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7047230" cy="5994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065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Jacobson Mark L.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8"/>
            <w:col w:w="3342"/>
          </w:cols>
          <w:pgMar w:left="460" w:top="217" w:right="359" w:bottom="106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5,783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116.19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4.85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114.23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25,000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03/15/2018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4.85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(2)(3)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15,000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09/13/2018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09/13/2027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sale of underlying shares of previously exercised stock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Such transaction was pursuant to a pre-approved 10b5-1 plan.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Necessary exercise of stock options set to expire due to attainment of the 10-year expiration date of such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Represents the subsequent sale of the underlying shares of the aforementioned exercise of stock options.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Represents the sale price of all shares in an open market transaction.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Represents the weighted average sale price of a series of open market transactions with sale prices ranging between $112.93 and $116.87.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Jacobson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09/17/2025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06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5812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2025-09-17T18:03:02Z</dcterms:created>
  <dcterms:modified xsi:type="dcterms:W3CDTF">2025-09-17T18:03:02Z</dcterms:modified>
</cp:coreProperties>
</file>