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March 14, 2019</w:t>
      </w:r>
    </w:p>
    <w:p>
      <w:pPr>
        <w:spacing w:after="0" w:line="26"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3380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154940</wp:posOffset>
            </wp:positionV>
            <wp:extent cx="185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S-8</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REGISTRATION STATEMENT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w:t>
      </w:r>
    </w:p>
    <w:p>
      <w:pPr>
        <w:jc w:val="center"/>
        <w:ind w:right="-19"/>
        <w:spacing w:after="0"/>
        <w:rPr>
          <w:sz w:val="20"/>
          <w:szCs w:val="20"/>
          <w:color w:val="auto"/>
        </w:rPr>
      </w:pPr>
      <w:r>
        <w:rPr>
          <w:rFonts w:ascii="Arial" w:cs="Arial" w:eastAsia="Arial" w:hAnsi="Arial"/>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146050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AXSOME THERAPEUTICS,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560"/>
          </w:cols>
          <w:pgMar w:left="160" w:top="275" w:right="179" w:bottom="213" w:gutter="0" w:footer="0" w:header="0"/>
        </w:sectPr>
      </w:pPr>
    </w:p>
    <w:p>
      <w:pPr>
        <w:spacing w:after="0" w:line="122"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(State or other jurisdiction</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45-4241907</w:t>
      </w:r>
    </w:p>
    <w:p>
      <w:pPr>
        <w:spacing w:after="0" w:line="26" w:lineRule="exact"/>
        <w:rPr>
          <w:sz w:val="24"/>
          <w:szCs w:val="24"/>
          <w:color w:val="auto"/>
        </w:rPr>
      </w:pPr>
    </w:p>
    <w:p>
      <w:pPr>
        <w:jc w:val="center"/>
        <w:ind w:right="1700"/>
        <w:spacing w:after="0"/>
        <w:rPr>
          <w:sz w:val="20"/>
          <w:szCs w:val="20"/>
          <w:color w:val="auto"/>
        </w:rPr>
      </w:pPr>
      <w:r>
        <w:rPr>
          <w:rFonts w:ascii="Arial" w:cs="Arial" w:eastAsia="Arial" w:hAnsi="Arial"/>
          <w:sz w:val="15"/>
          <w:szCs w:val="15"/>
          <w:color w:val="auto"/>
        </w:rPr>
        <w:t>(IRS Employer Identification No.)</w:t>
      </w:r>
    </w:p>
    <w:p>
      <w:pPr>
        <w:spacing w:after="0" w:line="346" w:lineRule="exact"/>
        <w:rPr>
          <w:sz w:val="24"/>
          <w:szCs w:val="24"/>
          <w:color w:val="auto"/>
        </w:rPr>
      </w:pPr>
    </w:p>
    <w:p>
      <w:pPr>
        <w:sectPr>
          <w:pgSz w:w="11900" w:h="16838" w:orient="portrait"/>
          <w:cols w:equalWidth="0" w:num="2">
            <w:col w:w="6900" w:space="720"/>
            <w:col w:w="3940"/>
          </w:cols>
          <w:pgMar w:left="160" w:top="275" w:right="179" w:bottom="213"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25 Broadway</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9th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10004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168910</wp:posOffset>
            </wp:positionV>
            <wp:extent cx="185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ectPr>
          <w:pgSz w:w="11900" w:h="16838" w:orient="portrait"/>
          <w:cols w:equalWidth="0" w:num="1">
            <w:col w:w="11560"/>
          </w:cols>
          <w:pgMar w:left="160" w:top="275" w:right="179" w:bottom="213" w:gutter="0" w:footer="0" w:header="0"/>
          <w:type w:val="continuous"/>
        </w:sect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Axsome Therapeutics, Inc. 2015 Omnibus Incentive Compensation Plan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851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Herriot Tabuteau, M.D.</w:t>
      </w:r>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4"/>
          <w:szCs w:val="24"/>
          <w:color w:val="auto"/>
        </w:rPr>
      </w:pPr>
    </w:p>
    <w:p>
      <w:pPr>
        <w:ind w:left="5460" w:right="5340" w:hanging="150"/>
        <w:spacing w:after="0" w:line="301" w:lineRule="auto"/>
        <w:tabs>
          <w:tab w:leader="none" w:pos="5508"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Broadway 9th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10004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and address of agent for service)</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332-3241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85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Copies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Emilio Ragosa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DLA Piper LLP (US)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51 John F. Kennedy Parkway, Suite 120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Short Hills, New Jersey 07078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Telephone: (973) 520-2550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85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both"/>
        <w:ind w:right="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â€œlarge accelerated filer,â€ â€œaccelerated filer,â€ â€œsmaller reporting companyâ€ and â€œemerging growth companyâ€ in Rule 12b-2 of the Exchange Act. (Check one):</w:t>
      </w:r>
    </w:p>
    <w:p>
      <w:pPr>
        <w:sectPr>
          <w:pgSz w:w="11900" w:h="16838" w:orient="portrait"/>
          <w:cols w:equalWidth="0" w:num="1">
            <w:col w:w="11560"/>
          </w:cols>
          <w:pgMar w:left="160" w:top="275" w:right="179" w:bottom="213" w:gutter="0" w:footer="0" w:header="0"/>
          <w:type w:val="continuous"/>
        </w:sectPr>
      </w:pPr>
    </w:p>
    <w:p>
      <w:pPr>
        <w:spacing w:after="0" w:line="90" w:lineRule="exact"/>
        <w:rPr>
          <w:sz w:val="24"/>
          <w:szCs w:val="24"/>
          <w:color w:val="auto"/>
        </w:rPr>
      </w:pPr>
    </w:p>
    <w:p>
      <w:pPr>
        <w:ind w:left="2060"/>
        <w:spacing w:after="0"/>
        <w:rPr>
          <w:sz w:val="20"/>
          <w:szCs w:val="20"/>
          <w:color w:val="auto"/>
        </w:rPr>
      </w:pPr>
      <w:r>
        <w:rPr>
          <w:rFonts w:ascii="Arial" w:cs="Arial" w:eastAsia="Arial" w:hAnsi="Arial"/>
          <w:sz w:val="14"/>
          <w:szCs w:val="14"/>
          <w:color w:val="auto"/>
        </w:rPr>
        <w:t>Large accelerated filer o</w:t>
      </w:r>
    </w:p>
    <w:p>
      <w:pPr>
        <w:spacing w:after="0" w:line="45" w:lineRule="exact"/>
        <w:rPr>
          <w:sz w:val="24"/>
          <w:szCs w:val="24"/>
          <w:color w:val="auto"/>
        </w:rPr>
      </w:pPr>
    </w:p>
    <w:p>
      <w:pPr>
        <w:ind w:left="2100"/>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Accelerated filer x</w:t>
      </w:r>
    </w:p>
    <w:p>
      <w:pPr>
        <w:spacing w:after="0" w:line="22" w:lineRule="exact"/>
        <w:rPr>
          <w:sz w:val="24"/>
          <w:szCs w:val="24"/>
          <w:color w:val="auto"/>
        </w:rPr>
      </w:pPr>
    </w:p>
    <w:p>
      <w:pPr>
        <w:jc w:val="center"/>
        <w:ind w:right="1880"/>
        <w:spacing w:after="0"/>
        <w:rPr>
          <w:sz w:val="20"/>
          <w:szCs w:val="20"/>
          <w:color w:val="auto"/>
        </w:rPr>
      </w:pPr>
      <w:r>
        <w:rPr>
          <w:rFonts w:ascii="Arial" w:cs="Arial" w:eastAsia="Arial" w:hAnsi="Arial"/>
          <w:sz w:val="14"/>
          <w:szCs w:val="14"/>
          <w:color w:val="auto"/>
        </w:rPr>
        <w:t>Smaller reporting company x</w:t>
      </w:r>
    </w:p>
    <w:p>
      <w:pPr>
        <w:spacing w:after="0" w:line="42" w:lineRule="exact"/>
        <w:rPr>
          <w:sz w:val="24"/>
          <w:szCs w:val="24"/>
          <w:color w:val="auto"/>
        </w:rPr>
      </w:pPr>
    </w:p>
    <w:p>
      <w:pPr>
        <w:jc w:val="center"/>
        <w:ind w:right="1880"/>
        <w:spacing w:after="0"/>
        <w:rPr>
          <w:sz w:val="20"/>
          <w:szCs w:val="20"/>
          <w:color w:val="auto"/>
        </w:rPr>
      </w:pPr>
      <w:r>
        <w:rPr>
          <w:rFonts w:ascii="Arial" w:cs="Arial" w:eastAsia="Arial" w:hAnsi="Arial"/>
          <w:sz w:val="14"/>
          <w:szCs w:val="14"/>
          <w:color w:val="auto"/>
        </w:rPr>
        <w:t>Emerging growth company x</w:t>
      </w:r>
    </w:p>
    <w:p>
      <w:pPr>
        <w:spacing w:after="0" w:line="159" w:lineRule="exact"/>
        <w:rPr>
          <w:sz w:val="24"/>
          <w:szCs w:val="24"/>
          <w:color w:val="auto"/>
        </w:rPr>
      </w:pPr>
    </w:p>
    <w:p>
      <w:pPr>
        <w:sectPr>
          <w:pgSz w:w="11900" w:h="16838" w:orient="portrait"/>
          <w:cols w:equalWidth="0" w:num="2">
            <w:col w:w="7060" w:space="720"/>
            <w:col w:w="3780"/>
          </w:cols>
          <w:pgMar w:left="160" w:top="275" w:right="179" w:bottom="213" w:gutter="0" w:footer="0" w:header="0"/>
          <w:type w:val="continuous"/>
        </w:sectPr>
      </w:pPr>
    </w:p>
    <w:p>
      <w:pPr>
        <w:ind w:right="380" w:firstLine="518"/>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CALCULATION OF REGISTRATION FEE</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76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r>
      <w:tr>
        <w:trPr>
          <w:trHeight w:val="97"/>
        </w:trPr>
        <w:tc>
          <w:tcPr>
            <w:tcW w:w="47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40" w:type="dxa"/>
            <w:vAlign w:val="bottom"/>
          </w:tcPr>
          <w:p>
            <w:pPr>
              <w:jc w:val="center"/>
              <w:ind w:left="396"/>
              <w:spacing w:after="0" w:line="98" w:lineRule="exact"/>
              <w:rPr>
                <w:sz w:val="20"/>
                <w:szCs w:val="20"/>
                <w:color w:val="auto"/>
              </w:rPr>
            </w:pPr>
            <w:r>
              <w:rPr>
                <w:rFonts w:ascii="Arial" w:cs="Arial" w:eastAsia="Arial" w:hAnsi="Arial"/>
                <w:sz w:val="10"/>
                <w:szCs w:val="10"/>
                <w:b w:val="1"/>
                <w:bCs w:val="1"/>
                <w:color w:val="auto"/>
              </w:rPr>
              <w:t>Proposed</w:t>
            </w: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jc w:val="center"/>
              <w:ind w:right="216"/>
              <w:spacing w:after="0" w:line="98" w:lineRule="exact"/>
              <w:rPr>
                <w:sz w:val="20"/>
                <w:szCs w:val="20"/>
                <w:color w:val="auto"/>
              </w:rPr>
            </w:pPr>
            <w:r>
              <w:rPr>
                <w:rFonts w:ascii="Arial" w:cs="Arial" w:eastAsia="Arial" w:hAnsi="Arial"/>
                <w:sz w:val="10"/>
                <w:szCs w:val="10"/>
                <w:b w:val="1"/>
                <w:bCs w:val="1"/>
                <w:color w:val="auto"/>
              </w:rPr>
              <w:t>Proposed</w:t>
            </w: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35"/>
        </w:trPr>
        <w:tc>
          <w:tcPr>
            <w:tcW w:w="47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40" w:type="dxa"/>
            <w:vAlign w:val="bottom"/>
          </w:tcPr>
          <w:p>
            <w:pPr>
              <w:jc w:val="center"/>
              <w:ind w:left="376"/>
              <w:spacing w:after="0" w:line="135" w:lineRule="exact"/>
              <w:rPr>
                <w:sz w:val="20"/>
                <w:szCs w:val="20"/>
                <w:color w:val="auto"/>
              </w:rPr>
            </w:pPr>
            <w:r>
              <w:rPr>
                <w:rFonts w:ascii="Arial" w:cs="Arial" w:eastAsia="Arial" w:hAnsi="Arial"/>
                <w:sz w:val="13"/>
                <w:szCs w:val="13"/>
                <w:b w:val="1"/>
                <w:bCs w:val="1"/>
                <w:color w:val="auto"/>
                <w:w w:val="93"/>
              </w:rPr>
              <w:t>Maximum</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center"/>
              <w:ind w:right="216"/>
              <w:spacing w:after="0" w:line="135" w:lineRule="exact"/>
              <w:rPr>
                <w:sz w:val="20"/>
                <w:szCs w:val="20"/>
                <w:color w:val="auto"/>
              </w:rPr>
            </w:pPr>
            <w:r>
              <w:rPr>
                <w:rFonts w:ascii="Arial" w:cs="Arial" w:eastAsia="Arial" w:hAnsi="Arial"/>
                <w:sz w:val="13"/>
                <w:szCs w:val="13"/>
                <w:b w:val="1"/>
                <w:bCs w:val="1"/>
                <w:color w:val="auto"/>
                <w:w w:val="93"/>
              </w:rPr>
              <w:t>Maximum</w:t>
            </w: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35"/>
        </w:trPr>
        <w:tc>
          <w:tcPr>
            <w:tcW w:w="4760" w:type="dxa"/>
            <w:vAlign w:val="bottom"/>
          </w:tcPr>
          <w:p>
            <w:pPr>
              <w:spacing w:after="0"/>
              <w:rPr>
                <w:sz w:val="11"/>
                <w:szCs w:val="11"/>
                <w:color w:val="auto"/>
              </w:rPr>
            </w:pPr>
          </w:p>
        </w:tc>
        <w:tc>
          <w:tcPr>
            <w:tcW w:w="1820" w:type="dxa"/>
            <w:vAlign w:val="bottom"/>
          </w:tcPr>
          <w:p>
            <w:pPr>
              <w:ind w:left="620"/>
              <w:spacing w:after="0" w:line="135" w:lineRule="exact"/>
              <w:rPr>
                <w:sz w:val="20"/>
                <w:szCs w:val="20"/>
                <w:color w:val="auto"/>
              </w:rPr>
            </w:pPr>
            <w:r>
              <w:rPr>
                <w:rFonts w:ascii="Arial" w:cs="Arial" w:eastAsia="Arial" w:hAnsi="Arial"/>
                <w:sz w:val="13"/>
                <w:szCs w:val="13"/>
                <w:b w:val="1"/>
                <w:bCs w:val="1"/>
                <w:color w:val="auto"/>
              </w:rPr>
              <w:t>Amount to be</w:t>
            </w:r>
          </w:p>
        </w:tc>
        <w:tc>
          <w:tcPr>
            <w:tcW w:w="1240" w:type="dxa"/>
            <w:vAlign w:val="bottom"/>
          </w:tcPr>
          <w:p>
            <w:pPr>
              <w:jc w:val="center"/>
              <w:ind w:left="396"/>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center"/>
              <w:ind w:right="216"/>
              <w:spacing w:after="0" w:line="135" w:lineRule="exact"/>
              <w:rPr>
                <w:sz w:val="20"/>
                <w:szCs w:val="20"/>
                <w:color w:val="auto"/>
              </w:rPr>
            </w:pPr>
            <w:r>
              <w:rPr>
                <w:rFonts w:ascii="Arial" w:cs="Arial" w:eastAsia="Arial" w:hAnsi="Arial"/>
                <w:sz w:val="13"/>
                <w:szCs w:val="13"/>
                <w:b w:val="1"/>
                <w:bCs w:val="1"/>
                <w:color w:val="auto"/>
                <w:w w:val="87"/>
              </w:rPr>
              <w:t>Aggregate Offering</w:t>
            </w:r>
          </w:p>
        </w:tc>
        <w:tc>
          <w:tcPr>
            <w:tcW w:w="300" w:type="dxa"/>
            <w:vAlign w:val="bottom"/>
          </w:tcPr>
          <w:p>
            <w:pPr>
              <w:spacing w:after="0"/>
              <w:rPr>
                <w:sz w:val="11"/>
                <w:szCs w:val="11"/>
                <w:color w:val="auto"/>
              </w:rPr>
            </w:pPr>
          </w:p>
        </w:tc>
        <w:tc>
          <w:tcPr>
            <w:tcW w:w="1320" w:type="dxa"/>
            <w:vAlign w:val="bottom"/>
          </w:tcPr>
          <w:p>
            <w:pPr>
              <w:jc w:val="center"/>
              <w:ind w:right="191"/>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53"/>
        </w:trPr>
        <w:tc>
          <w:tcPr>
            <w:tcW w:w="476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Title of Securities to be Registered (1)</w:t>
            </w: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Registered(2)</w:t>
            </w:r>
          </w:p>
        </w:tc>
        <w:tc>
          <w:tcPr>
            <w:tcW w:w="1240" w:type="dxa"/>
            <w:vAlign w:val="bottom"/>
            <w:tcBorders>
              <w:bottom w:val="single" w:sz="8" w:color="auto"/>
            </w:tcBorders>
          </w:tcPr>
          <w:p>
            <w:pPr>
              <w:jc w:val="center"/>
              <w:ind w:left="376"/>
              <w:spacing w:after="0"/>
              <w:rPr>
                <w:sz w:val="20"/>
                <w:szCs w:val="20"/>
                <w:color w:val="auto"/>
              </w:rPr>
            </w:pPr>
            <w:r>
              <w:rPr>
                <w:rFonts w:ascii="Arial" w:cs="Arial" w:eastAsia="Arial" w:hAnsi="Arial"/>
                <w:sz w:val="13"/>
                <w:szCs w:val="13"/>
                <w:b w:val="1"/>
                <w:bCs w:val="1"/>
                <w:color w:val="auto"/>
                <w:w w:val="88"/>
              </w:rPr>
              <w:t>Per Share(3)</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3"/>
                <w:szCs w:val="13"/>
                <w:b w:val="1"/>
                <w:bCs w:val="1"/>
                <w:color w:val="auto"/>
                <w:w w:val="92"/>
              </w:rPr>
              <w:t>Price(3)</w:t>
            </w: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1"/>
              <w:spacing w:after="0"/>
              <w:rPr>
                <w:sz w:val="20"/>
                <w:szCs w:val="20"/>
                <w:color w:val="auto"/>
              </w:rPr>
            </w:pPr>
            <w:r>
              <w:rPr>
                <w:rFonts w:ascii="Arial" w:cs="Arial" w:eastAsia="Arial" w:hAnsi="Arial"/>
                <w:sz w:val="13"/>
                <w:szCs w:val="13"/>
                <w:b w:val="1"/>
                <w:bCs w:val="1"/>
                <w:color w:val="auto"/>
                <w:w w:val="88"/>
              </w:rPr>
              <w:t>Registration Fee</w:t>
            </w:r>
          </w:p>
        </w:tc>
      </w:tr>
      <w:tr>
        <w:trPr>
          <w:trHeight w:val="186"/>
        </w:trPr>
        <w:tc>
          <w:tcPr>
            <w:tcW w:w="4760" w:type="dxa"/>
            <w:vAlign w:val="bottom"/>
          </w:tcPr>
          <w:p>
            <w:pPr>
              <w:spacing w:after="0"/>
              <w:rPr>
                <w:sz w:val="20"/>
                <w:szCs w:val="20"/>
                <w:color w:val="auto"/>
              </w:rPr>
            </w:pPr>
            <w:r>
              <w:rPr>
                <w:rFonts w:ascii="Arial" w:cs="Arial" w:eastAsia="Arial" w:hAnsi="Arial"/>
                <w:sz w:val="16"/>
                <w:szCs w:val="16"/>
                <w:color w:val="auto"/>
              </w:rPr>
              <w:t>Common stock, $0.0001 par value, to be issued pursuant to the</w:t>
            </w:r>
          </w:p>
        </w:tc>
        <w:tc>
          <w:tcPr>
            <w:tcW w:w="1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6"/>
        </w:trPr>
        <w:tc>
          <w:tcPr>
            <w:tcW w:w="4760" w:type="dxa"/>
            <w:vAlign w:val="bottom"/>
          </w:tcPr>
          <w:p>
            <w:pPr>
              <w:ind w:left="180"/>
              <w:spacing w:after="0"/>
              <w:rPr>
                <w:sz w:val="20"/>
                <w:szCs w:val="20"/>
                <w:color w:val="auto"/>
              </w:rPr>
            </w:pPr>
            <w:r>
              <w:rPr>
                <w:rFonts w:ascii="Arial" w:cs="Arial" w:eastAsia="Arial" w:hAnsi="Arial"/>
                <w:sz w:val="16"/>
                <w:szCs w:val="16"/>
                <w:color w:val="auto"/>
              </w:rPr>
              <w:t>Registrantâ€™s 2015 Omnibus Incentive Compensation Plan</w:t>
            </w:r>
          </w:p>
        </w:tc>
        <w:tc>
          <w:tcPr>
            <w:tcW w:w="1820" w:type="dxa"/>
            <w:vAlign w:val="bottom"/>
          </w:tcPr>
          <w:p>
            <w:pPr>
              <w:ind w:left="600"/>
              <w:spacing w:after="0"/>
              <w:rPr>
                <w:sz w:val="20"/>
                <w:szCs w:val="20"/>
                <w:color w:val="auto"/>
              </w:rPr>
            </w:pPr>
            <w:r>
              <w:rPr>
                <w:rFonts w:ascii="Arial" w:cs="Arial" w:eastAsia="Arial" w:hAnsi="Arial"/>
                <w:sz w:val="16"/>
                <w:szCs w:val="16"/>
                <w:color w:val="auto"/>
                <w:w w:val="97"/>
              </w:rPr>
              <w:t>1,203,488 shares</w:t>
            </w:r>
          </w:p>
        </w:tc>
        <w:tc>
          <w:tcPr>
            <w:tcW w:w="1240" w:type="dxa"/>
            <w:vAlign w:val="bottom"/>
          </w:tcPr>
          <w:p>
            <w:pPr>
              <w:jc w:val="right"/>
              <w:ind w:right="936"/>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59"/>
              <w:spacing w:after="0"/>
              <w:rPr>
                <w:sz w:val="20"/>
                <w:szCs w:val="20"/>
                <w:color w:val="auto"/>
              </w:rPr>
            </w:pPr>
            <w:r>
              <w:rPr>
                <w:rFonts w:ascii="Arial" w:cs="Arial" w:eastAsia="Arial" w:hAnsi="Arial"/>
                <w:sz w:val="16"/>
                <w:szCs w:val="16"/>
                <w:color w:val="auto"/>
                <w:w w:val="89"/>
              </w:rPr>
              <w:t>9.61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6"/>
              <w:spacing w:after="0"/>
              <w:rPr>
                <w:sz w:val="20"/>
                <w:szCs w:val="20"/>
                <w:color w:val="auto"/>
              </w:rPr>
            </w:pPr>
            <w:r>
              <w:rPr>
                <w:rFonts w:ascii="Arial" w:cs="Arial" w:eastAsia="Arial" w:hAnsi="Arial"/>
                <w:sz w:val="16"/>
                <w:szCs w:val="16"/>
                <w:color w:val="auto"/>
              </w:rPr>
              <w:t>11,565,519.68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1"/>
              <w:spacing w:after="0"/>
              <w:rPr>
                <w:sz w:val="20"/>
                <w:szCs w:val="20"/>
                <w:color w:val="auto"/>
              </w:rPr>
            </w:pPr>
            <w:r>
              <w:rPr>
                <w:rFonts w:ascii="Arial" w:cs="Arial" w:eastAsia="Arial" w:hAnsi="Arial"/>
                <w:sz w:val="16"/>
                <w:szCs w:val="16"/>
                <w:color w:val="auto"/>
              </w:rPr>
              <w:t>1,401.74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338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338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17" w:lineRule="exact"/>
        <w:rPr>
          <w:sz w:val="24"/>
          <w:szCs w:val="24"/>
          <w:color w:val="auto"/>
        </w:rPr>
      </w:pPr>
    </w:p>
    <w:p>
      <w:pPr>
        <w:ind w:left="660" w:right="220" w:hanging="652"/>
        <w:spacing w:after="0" w:line="266"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registration statement (the â€œRegistration Statementâ€ ) covers shares of the Registrantâ€™s common stock, $0.0001 par value per share (â€œCommon Stockâ€ ), which are issuable pursuant to the Registrantâ€™s 2015 Omnibus Incentive Compensation Plan (the â€œ2015 Planâ€ ).</w:t>
      </w:r>
    </w:p>
    <w:p>
      <w:pPr>
        <w:spacing w:after="0" w:line="1" w:lineRule="exact"/>
        <w:rPr>
          <w:rFonts w:ascii="Arial" w:cs="Arial" w:eastAsia="Arial" w:hAnsi="Arial"/>
          <w:sz w:val="16"/>
          <w:szCs w:val="16"/>
          <w:color w:val="auto"/>
        </w:rPr>
      </w:pPr>
    </w:p>
    <w:p>
      <w:pPr>
        <w:ind w:left="660" w:right="60" w:hanging="652"/>
        <w:spacing w:after="0" w:line="264"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Registration Statement shall also cover any additional shares of Common Stock which become issuable under the 2015 Plan by reason of any stock dividend, stock split, recapitalization or other similar transaction effected without the Registrantâ€™s receipt of consideration which results in an increase in the number of the outstanding shares of Registrantâ€™s Common Stock.</w:t>
      </w:r>
    </w:p>
    <w:p>
      <w:pPr>
        <w:ind w:left="660" w:right="40" w:hanging="652"/>
        <w:spacing w:after="0" w:line="288" w:lineRule="auto"/>
        <w:tabs>
          <w:tab w:leader="none" w:pos="241"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solely for purposes of this offering under Rule 457(h) of the Securities Act of 1933, as amended (the â€œ1933 Actâ€ ), on the basis of the average of the high and low prices per share of Registrantâ€™s Common Stock on March 11, 2019 as reported by The Nasdaq Stock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338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80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33806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806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278765</wp:posOffset>
            </wp:positionV>
            <wp:extent cx="735901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75" w:right="179" w:bottom="213"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This Registration Statement relates to the registration of an additional 1,203,488 shares (the â€œSharesâ€ ) of the common stock, par value $0.0001 per share, of Axsome Therapeutics, Inc. (the â€œRegistrantâ€ ). The Shares are securities of the same class and relate to the same employee benefit plan, the 2015 Omnibus Incentive Compensation Plan, as those registered pursuant to the Registrantâ€™s registration statements on Form S-8, previously filed with the Securities and Exchange Commission on December 16, 2015, March 29, 2017 and August 13, 2018. In accordance with General Instruction E of Form S-8, the contents of the Registrantâ€™s registration statements on Form S-8 (File Nos. 333-208579, 333-217002 and 333-226824) filed with the Securities and Exchange Commission on December 16, 2015, March 29, 2017 and August 13, 2018 are incorporated herein by reference and the information required by Part II is omitted, except as supplemented by the information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80" w:type="dxa"/>
            <w:vAlign w:val="bottom"/>
            <w:gridSpan w:val="7"/>
            <w:vMerge w:val="restart"/>
          </w:tcPr>
          <w:p>
            <w:pPr>
              <w:ind w:left="4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8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Borders>
              <w:top w:val="single" w:sz="8" w:color="auto"/>
            </w:tcBorders>
          </w:tcPr>
          <w:p>
            <w:pPr>
              <w:jc w:val="right"/>
              <w:ind w:right="335"/>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10040" w:type="dxa"/>
            <w:vAlign w:val="bottom"/>
            <w:tcBorders>
              <w:top w:val="single" w:sz="8" w:color="auto"/>
            </w:tcBorders>
            <w:gridSpan w:val="9"/>
          </w:tcPr>
          <w:p>
            <w:pPr>
              <w:spacing w:after="0"/>
              <w:rPr>
                <w:rFonts w:ascii="Arial" w:cs="Arial" w:eastAsia="Arial" w:hAnsi="Arial"/>
                <w:sz w:val="18"/>
                <w:szCs w:val="18"/>
                <w:color w:val="0000EE"/>
              </w:rPr>
            </w:pPr>
            <w:hyperlink r:id="rId21">
              <w:r>
                <w:rPr>
                  <w:rFonts w:ascii="Arial" w:cs="Arial" w:eastAsia="Arial" w:hAnsi="Arial"/>
                  <w:sz w:val="18"/>
                  <w:szCs w:val="18"/>
                  <w:color w:val="0000EE"/>
                </w:rPr>
                <w:t>Opinion and Consent of DLA Piper LLP (US).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right"/>
              <w:ind w:right="335"/>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rPr>
            </w:pPr>
            <w:hyperlink r:id="rId21">
              <w:r>
                <w:rPr>
                  <w:rFonts w:ascii="Arial" w:cs="Arial" w:eastAsia="Arial" w:hAnsi="Arial"/>
                  <w:sz w:val="18"/>
                  <w:szCs w:val="18"/>
                  <w:color w:val="0000EE"/>
                </w:rPr>
                <w:t>Consent of DLA Piper LLP (US) is contained in Exhibit 5.1.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right"/>
              <w:ind w:right="335"/>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5880" w:type="dxa"/>
            <w:vAlign w:val="bottom"/>
            <w:tcBorders>
              <w:bottom w:val="single" w:sz="8" w:color="0000EE"/>
            </w:tcBorders>
            <w:gridSpan w:val="4"/>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Consent of Ernst &amp; Young LLP, Independent Registered Public Accounting Firm.</w:t>
              </w:r>
            </w:hyperlink>
          </w:p>
        </w:tc>
        <w:tc>
          <w:tcPr>
            <w:tcW w:w="416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right"/>
              <w:ind w:right="335"/>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Power of Attorney. Reference is made to page 4 of this Registration Statement.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right"/>
              <w:ind w:right="335"/>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9920" w:type="dxa"/>
            <w:vAlign w:val="bottom"/>
            <w:tcBorders>
              <w:bottom w:val="single" w:sz="8" w:color="0000EE"/>
            </w:tcBorders>
            <w:gridSpan w:val="8"/>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 xml:space="preserve">Axsome Therapeutics, Inc. 2015 Omnibus Incentive Compensation Plan (Incorporated by reference, Exhibit 10.6 to </w:t>
              </w:r>
              <w:r>
                <w:rPr>
                  <w:rFonts w:ascii="Arial" w:cs="Arial" w:eastAsia="Arial" w:hAnsi="Arial"/>
                  <w:sz w:val="18"/>
                  <w:szCs w:val="18"/>
                  <w:u w:val="single" w:color="auto"/>
                  <w:color w:val="0000EE"/>
                  <w:w w:val="90"/>
                </w:rPr>
                <w:t>Registrantâ€</w:t>
              </w:r>
              <w:r>
                <w:rPr>
                  <w:rFonts w:ascii="Arial" w:cs="Arial" w:eastAsia="Arial" w:hAnsi="Arial"/>
                  <w:sz w:val="18"/>
                  <w:szCs w:val="18"/>
                  <w:color w:val="0000EE"/>
                  <w:w w:val="90"/>
                </w:rPr>
                <w:t>™s First</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Amendment of Registration Statement on Form S-1, File No. 333-207393, filed on November 2, 2015.)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right"/>
              <w:ind w:right="335"/>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4"/>
                <w:szCs w:val="24"/>
                <w:color w:val="auto"/>
              </w:rPr>
            </w:pPr>
          </w:p>
        </w:tc>
        <w:tc>
          <w:tcPr>
            <w:tcW w:w="8920" w:type="dxa"/>
            <w:vAlign w:val="bottom"/>
            <w:tcBorders>
              <w:bottom w:val="single" w:sz="8" w:color="0000EE"/>
            </w:tcBorders>
            <w:gridSpan w:val="7"/>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2015 Omnibus Incentive Compensation Plan, Form of Stock Option Agreement. (Incorporated by reference, Exhibit 99.2 to</w:t>
              </w:r>
            </w:hyperlink>
          </w:p>
        </w:tc>
        <w:tc>
          <w:tcPr>
            <w:tcW w:w="11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r:id="rId24">
              <w:r>
                <w:rPr>
                  <w:rFonts w:ascii="Arial" w:cs="Arial" w:eastAsia="Arial" w:hAnsi="Arial"/>
                  <w:sz w:val="18"/>
                  <w:szCs w:val="18"/>
                  <w:u w:val="single" w:color="auto"/>
                  <w:color w:val="0000EE"/>
                </w:rPr>
                <w:t>Registrantâ€</w:t>
              </w:r>
              <w:r>
                <w:rPr>
                  <w:rFonts w:ascii="Arial" w:cs="Arial" w:eastAsia="Arial" w:hAnsi="Arial"/>
                  <w:sz w:val="18"/>
                  <w:szCs w:val="18"/>
                  <w:color w:val="0000EE"/>
                </w:rPr>
                <w:t>™s Registration Statement on Form S-8, File No. 333-208579, filed on December 16, 2015.)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tcBorders>
              <w:top w:val="single" w:sz="8" w:color="0000EE"/>
            </w:tcBorders>
            <w:gridSpan w:val="2"/>
          </w:tcPr>
          <w:p>
            <w:pPr>
              <w:ind w:left="4220"/>
              <w:spacing w:after="0"/>
              <w:rPr>
                <w:sz w:val="20"/>
                <w:szCs w:val="20"/>
                <w:color w:val="auto"/>
              </w:rPr>
            </w:pPr>
            <w:r>
              <w:rPr>
                <w:rFonts w:ascii="Arial" w:cs="Arial" w:eastAsia="Arial" w:hAnsi="Arial"/>
                <w:sz w:val="18"/>
                <w:szCs w:val="18"/>
                <w:color w:val="auto"/>
              </w:rPr>
              <w:t>2</w:t>
            </w:r>
          </w:p>
        </w:tc>
        <w:tc>
          <w:tcPr>
            <w:tcW w:w="1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57" w:right="1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14th day of March, 2019.</w:t>
      </w:r>
    </w:p>
    <w:p>
      <w:pPr>
        <w:spacing w:after="0" w:line="180"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AXSOME THERAPEUTICS, INC.</w:t>
      </w:r>
    </w:p>
    <w:p>
      <w:pPr>
        <w:spacing w:after="0" w:line="200" w:lineRule="exact"/>
        <w:rPr>
          <w:sz w:val="20"/>
          <w:szCs w:val="20"/>
          <w:color w:val="auto"/>
        </w:rPr>
      </w:pPr>
    </w:p>
    <w:p>
      <w:pPr>
        <w:spacing w:after="0" w:line="245" w:lineRule="exact"/>
        <w:rPr>
          <w:sz w:val="20"/>
          <w:szCs w:val="20"/>
          <w:color w:val="auto"/>
        </w:rPr>
      </w:pPr>
    </w:p>
    <w:p>
      <w:pPr>
        <w:ind w:left="5800"/>
        <w:spacing w:after="0"/>
        <w:tabs>
          <w:tab w:leader="none" w:pos="6240" w:val="left"/>
        </w:tabs>
        <w:rPr>
          <w:sz w:val="20"/>
          <w:szCs w:val="20"/>
          <w:color w:val="auto"/>
        </w:rPr>
      </w:pPr>
      <w:r>
        <w:rPr>
          <w:rFonts w:ascii="Arial" w:cs="Arial" w:eastAsia="Arial" w:hAnsi="Arial"/>
          <w:sz w:val="18"/>
          <w:szCs w:val="18"/>
          <w:color w:val="auto"/>
        </w:rPr>
        <w:t>By</w:t>
        <w:tab/>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33686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Herriot Tabuteau, M.D.</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40"/>
          </w:cols>
          <w:pgMar w:left="160" w:top="257" w:right="1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PERSONS BY THESE PRESENTS:</w:t>
      </w:r>
    </w:p>
    <w:p>
      <w:pPr>
        <w:spacing w:after="0" w:line="229" w:lineRule="exact"/>
        <w:rPr>
          <w:sz w:val="20"/>
          <w:szCs w:val="20"/>
          <w:color w:val="auto"/>
        </w:rPr>
      </w:pPr>
    </w:p>
    <w:p>
      <w:pPr>
        <w:ind w:right="40" w:firstLine="1296"/>
        <w:spacing w:after="0" w:line="291" w:lineRule="auto"/>
        <w:rPr>
          <w:sz w:val="20"/>
          <w:szCs w:val="20"/>
          <w:color w:val="auto"/>
        </w:rPr>
      </w:pPr>
      <w:r>
        <w:rPr>
          <w:rFonts w:ascii="Arial" w:cs="Arial" w:eastAsia="Arial" w:hAnsi="Arial"/>
          <w:sz w:val="16"/>
          <w:szCs w:val="16"/>
          <w:color w:val="auto"/>
        </w:rPr>
        <w:t>That each person whose signature appears below constitutes and appoints Herriot Tabuteau, M.D., Chief Executive Officer, and Nick Pizzie, Chief Financial Officer, and each of them, as such personâ€™s true and lawful attorneys-in-fact and agents, with full power of substitution and resubstitution, for such person and in such personâ€™s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spacing w:after="0" w:line="166"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4"/>
                <w:szCs w:val="14"/>
                <w:color w:val="auto"/>
              </w:rPr>
            </w:pPr>
          </w:p>
        </w:tc>
        <w:tc>
          <w:tcPr>
            <w:tcW w:w="438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230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r>
      <w:tr>
        <w:trPr>
          <w:trHeight w:val="426"/>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Herriot Tabuteau, M.D.</w:t>
            </w: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Chief Executive Officer and Chairman of the Board</w:t>
            </w:r>
          </w:p>
        </w:tc>
        <w:tc>
          <w:tcPr>
            <w:tcW w:w="2340" w:type="dxa"/>
            <w:vAlign w:val="bottom"/>
            <w:gridSpan w:val="2"/>
          </w:tcPr>
          <w:p>
            <w:pPr>
              <w:ind w:left="1160"/>
              <w:spacing w:after="0"/>
              <w:rPr>
                <w:sz w:val="20"/>
                <w:szCs w:val="20"/>
                <w:color w:val="auto"/>
              </w:rPr>
            </w:pPr>
            <w:r>
              <w:rPr>
                <w:rFonts w:ascii="Arial" w:cs="Arial" w:eastAsia="Arial" w:hAnsi="Arial"/>
                <w:sz w:val="18"/>
                <w:szCs w:val="18"/>
                <w:color w:val="auto"/>
                <w:w w:val="92"/>
              </w:rPr>
              <w:t>March 14,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Herriot Tabuteau, M.D.</w:t>
            </w: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(Principal Executive Officer)</w:t>
            </w:r>
          </w:p>
        </w:tc>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Nick Pizzie, CPA, MBA</w:t>
            </w: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Chief Financial Officer</w:t>
            </w:r>
          </w:p>
        </w:tc>
        <w:tc>
          <w:tcPr>
            <w:tcW w:w="2340" w:type="dxa"/>
            <w:vAlign w:val="bottom"/>
            <w:gridSpan w:val="2"/>
          </w:tcPr>
          <w:p>
            <w:pPr>
              <w:ind w:left="1160"/>
              <w:spacing w:after="0"/>
              <w:rPr>
                <w:sz w:val="20"/>
                <w:szCs w:val="20"/>
                <w:color w:val="auto"/>
              </w:rPr>
            </w:pPr>
            <w:r>
              <w:rPr>
                <w:rFonts w:ascii="Arial" w:cs="Arial" w:eastAsia="Arial" w:hAnsi="Arial"/>
                <w:sz w:val="18"/>
                <w:szCs w:val="18"/>
                <w:color w:val="auto"/>
                <w:w w:val="92"/>
              </w:rPr>
              <w:t>March 14,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Nick Pizzie, CPA, MBA</w:t>
            </w: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(Principal Financial and Accounting Officer)</w:t>
            </w:r>
          </w:p>
        </w:tc>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Coleman, M.D.</w:t>
            </w: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340" w:type="dxa"/>
            <w:vAlign w:val="bottom"/>
            <w:gridSpan w:val="2"/>
          </w:tcPr>
          <w:p>
            <w:pPr>
              <w:ind w:left="1160"/>
              <w:spacing w:after="0"/>
              <w:rPr>
                <w:sz w:val="20"/>
                <w:szCs w:val="20"/>
                <w:color w:val="auto"/>
              </w:rPr>
            </w:pPr>
            <w:r>
              <w:rPr>
                <w:rFonts w:ascii="Arial" w:cs="Arial" w:eastAsia="Arial" w:hAnsi="Arial"/>
                <w:sz w:val="18"/>
                <w:szCs w:val="18"/>
                <w:color w:val="auto"/>
                <w:w w:val="92"/>
              </w:rPr>
              <w:t>March 14,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Mark Coleman, M.D.</w:t>
            </w:r>
          </w:p>
        </w:tc>
        <w:tc>
          <w:tcPr>
            <w:tcW w:w="3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Roger Jeffs, Ph.D.</w:t>
            </w: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340" w:type="dxa"/>
            <w:vAlign w:val="bottom"/>
            <w:gridSpan w:val="2"/>
          </w:tcPr>
          <w:p>
            <w:pPr>
              <w:ind w:left="1160"/>
              <w:spacing w:after="0"/>
              <w:rPr>
                <w:sz w:val="20"/>
                <w:szCs w:val="20"/>
                <w:color w:val="auto"/>
              </w:rPr>
            </w:pPr>
            <w:r>
              <w:rPr>
                <w:rFonts w:ascii="Arial" w:cs="Arial" w:eastAsia="Arial" w:hAnsi="Arial"/>
                <w:sz w:val="18"/>
                <w:szCs w:val="18"/>
                <w:color w:val="auto"/>
                <w:w w:val="92"/>
              </w:rPr>
              <w:t>March 14,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Roger Jeffs, Ph.D.</w:t>
            </w:r>
          </w:p>
        </w:tc>
        <w:tc>
          <w:tcPr>
            <w:tcW w:w="3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Myrtle Potter</w:t>
            </w: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340" w:type="dxa"/>
            <w:vAlign w:val="bottom"/>
            <w:gridSpan w:val="2"/>
          </w:tcPr>
          <w:p>
            <w:pPr>
              <w:ind w:left="1160"/>
              <w:spacing w:after="0"/>
              <w:rPr>
                <w:sz w:val="20"/>
                <w:szCs w:val="20"/>
                <w:color w:val="auto"/>
              </w:rPr>
            </w:pPr>
            <w:r>
              <w:rPr>
                <w:rFonts w:ascii="Arial" w:cs="Arial" w:eastAsia="Arial" w:hAnsi="Arial"/>
                <w:sz w:val="18"/>
                <w:szCs w:val="18"/>
                <w:color w:val="auto"/>
                <w:w w:val="92"/>
              </w:rPr>
              <w:t>March 14,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Myrtle Potter</w:t>
            </w:r>
          </w:p>
        </w:tc>
        <w:tc>
          <w:tcPr>
            <w:tcW w:w="3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Mark Saad</w:t>
            </w: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340" w:type="dxa"/>
            <w:vAlign w:val="bottom"/>
            <w:gridSpan w:val="2"/>
          </w:tcPr>
          <w:p>
            <w:pPr>
              <w:ind w:left="1160"/>
              <w:spacing w:after="0"/>
              <w:rPr>
                <w:sz w:val="20"/>
                <w:szCs w:val="20"/>
                <w:color w:val="auto"/>
              </w:rPr>
            </w:pPr>
            <w:r>
              <w:rPr>
                <w:rFonts w:ascii="Arial" w:cs="Arial" w:eastAsia="Arial" w:hAnsi="Arial"/>
                <w:sz w:val="18"/>
                <w:szCs w:val="18"/>
                <w:color w:val="auto"/>
                <w:w w:val="92"/>
              </w:rPr>
              <w:t>March 14,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Mark Saad</w:t>
            </w:r>
          </w:p>
        </w:tc>
        <w:tc>
          <w:tcPr>
            <w:tcW w:w="3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180" w:type="dxa"/>
            <w:vAlign w:val="bottom"/>
          </w:tcPr>
          <w:p>
            <w:pPr>
              <w:spacing w:after="0"/>
              <w:rPr>
                <w:sz w:val="24"/>
                <w:szCs w:val="24"/>
                <w:color w:val="auto"/>
              </w:rPr>
            </w:pPr>
          </w:p>
        </w:tc>
        <w:tc>
          <w:tcPr>
            <w:tcW w:w="4740" w:type="dxa"/>
            <w:vAlign w:val="bottom"/>
            <w:gridSpan w:val="2"/>
          </w:tcPr>
          <w:p>
            <w:pPr>
              <w:ind w:left="156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3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57" w:right="1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Short Hills, New Jersey 07078</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www.dlapiper.com</w:t>
      </w:r>
    </w:p>
    <w:p>
      <w:pPr>
        <w:spacing w:after="0" w:line="21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T: 973-520-2550</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F: 973-520-2551</w:t>
      </w:r>
    </w:p>
    <w:p>
      <w:pPr>
        <w:spacing w:after="0" w:line="21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Attorneys Responsible for Short Hills Office:</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Andrew P. Gilbert</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Michael E. Helmer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Broadway,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Axsome Therapeutics, Inc. â€”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acted as counsel to Axsome Therapeutics, Inc., a Delaware corporation (the â€œCompanyâ€ ), in connection with the preparation of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S-8 (the â€œRegistration Statementâ€ ) under the Securities Act of 1933, as amended (the â€œActâ€ ).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relates to the registration of 1,203,488 shares (the â€œPlan Sharesâ€ ) of the Companyâ€™s common stock, par value $0.0001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â€œCommon Stockâ€ ), issuable under the Axsome Therapeutics, Inc. 2015 Omnibus Incentive Compensation Plan (the â€œ2015 Planâ€ ), as referenced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Statement.</w:t>
      </w:r>
    </w:p>
    <w:p>
      <w:pPr>
        <w:spacing w:after="0" w:line="211" w:lineRule="exact"/>
        <w:rPr>
          <w:sz w:val="20"/>
          <w:szCs w:val="20"/>
          <w:color w:val="auto"/>
        </w:rPr>
      </w:pPr>
    </w:p>
    <w:p>
      <w:pPr>
        <w:ind w:right="460" w:firstLine="441"/>
        <w:spacing w:after="0" w:line="286" w:lineRule="auto"/>
        <w:rPr>
          <w:sz w:val="20"/>
          <w:szCs w:val="20"/>
          <w:color w:val="auto"/>
        </w:rPr>
      </w:pPr>
      <w:r>
        <w:rPr>
          <w:rFonts w:ascii="Arial" w:cs="Arial" w:eastAsia="Arial" w:hAnsi="Arial"/>
          <w:sz w:val="17"/>
          <w:szCs w:val="17"/>
          <w:color w:val="auto"/>
        </w:rPr>
        <w:t>In connection with this opinion letter, we have examined the Registration Statement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65" w:lineRule="exact"/>
        <w:rPr>
          <w:sz w:val="20"/>
          <w:szCs w:val="20"/>
          <w:color w:val="auto"/>
        </w:rPr>
      </w:pPr>
    </w:p>
    <w:p>
      <w:pPr>
        <w:ind w:right="160" w:firstLine="441"/>
        <w:spacing w:after="0" w:line="263"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84"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Based upon the foregoing, we are of the opinion that the Plan Shares have been duly authorized and, when and to the extent issued in accordance with the terms of the 2015 Plan and any award agreement entered into under the 2015 Plan, the Plan Shares will be validly issued, fully paid and nonassessable.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expressed herein is limited to the Delaware General Corporation Law.</w:t>
      </w:r>
    </w:p>
    <w:p>
      <w:pPr>
        <w:spacing w:after="0" w:line="225" w:lineRule="exact"/>
        <w:rPr>
          <w:sz w:val="20"/>
          <w:szCs w:val="20"/>
          <w:color w:val="auto"/>
        </w:rPr>
      </w:pPr>
    </w:p>
    <w:p>
      <w:pPr>
        <w:ind w:right="400" w:firstLine="441"/>
        <w:spacing w:after="0" w:line="263" w:lineRule="auto"/>
        <w:rPr>
          <w:sz w:val="20"/>
          <w:szCs w:val="20"/>
          <w:color w:val="auto"/>
        </w:rPr>
      </w:pPr>
      <w:r>
        <w:rPr>
          <w:rFonts w:ascii="Arial" w:cs="Arial" w:eastAsia="Arial" w:hAnsi="Arial"/>
          <w:sz w:val="18"/>
          <w:szCs w:val="18"/>
          <w:color w:val="auto"/>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35901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41" w:right="1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Axsome Therapeutics, Inc. 2015 Omnibus Incentive Compensation Plan of our report dated March 14, 2019, with respect to the consolidated financial statements of Axsome Therapeutics, Inc. included in its Annual Report (Form 10-K) for the year ended December 31, 2018, filed with the Securities and Exchange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35901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sectPr>
      <w:pgSz w:w="11900" w:h="16838" w:orient="portrait"/>
      <w:cols w:equalWidth="0" w:num="1">
        <w:col w:w="11560"/>
      </w:cols>
      <w:pgMar w:left="160" w:top="41"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21" Type="http://schemas.openxmlformats.org/officeDocument/2006/relationships/hyperlink" Target="file:///data/convert/a19-6511_1ex5d1.htm#Exhibit5_1_115824" TargetMode="External"/><Relationship Id="rId22" Type="http://schemas.openxmlformats.org/officeDocument/2006/relationships/hyperlink" Target="file:///data/convert/a19-6511_1ex23d2.htm#Exhibit23_2_120005" TargetMode="External"/><Relationship Id="rId23" Type="http://schemas.openxmlformats.org/officeDocument/2006/relationships/hyperlink" Target="http://www.sec.gov/Archives/edgar/data/1579428/000104746915008199/a2226320zex-10_6.htm" TargetMode="External"/><Relationship Id="rId24" Type="http://schemas.openxmlformats.org/officeDocument/2006/relationships/hyperlink" Target="http://www.sec.gov/Archives/edgar/data/1579428/000110465915085196/a15-24973_1ex99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2019-12-15T18:38:22Z</dcterms:created>
  <dcterms:modified xsi:type="dcterms:W3CDTF">2019-12-15T18:38:22Z</dcterms:modified>
</cp:coreProperties>
</file>