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Mark Jacobson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10000</w:t>
            </w:r>
          </w:p>
        </w:tc>
        <w:tc>
          <w:tcPr>
            <w:tcW w:w="1391" w:type="dxa"/>
            <w:tcBorders/>
            <w:vAlign w:val="center"/>
          </w:tcPr>
          <w:p>
            <w:pPr>
              <w:pStyle w:val="TableContents"/>
              <w:bidi w:val="0"/>
              <w:spacing w:before="0" w:after="283"/>
              <w:jc w:val="left"/>
              <w:rPr/>
            </w:pPr>
            <w:r>
              <w:rPr/>
              <w:t>2083500</w:t>
            </w:r>
          </w:p>
        </w:tc>
        <w:tc>
          <w:tcPr>
            <w:tcW w:w="1565" w:type="dxa"/>
            <w:tcBorders/>
            <w:vAlign w:val="center"/>
          </w:tcPr>
          <w:p>
            <w:pPr>
              <w:pStyle w:val="TableContents"/>
              <w:bidi w:val="0"/>
              <w:spacing w:before="0" w:after="283"/>
              <w:jc w:val="left"/>
              <w:rPr/>
            </w:pPr>
            <w:r>
              <w:rPr/>
              <w:t>52380818</w:t>
            </w:r>
          </w:p>
        </w:tc>
        <w:tc>
          <w:tcPr>
            <w:tcW w:w="1574" w:type="dxa"/>
            <w:tcBorders/>
            <w:vAlign w:val="center"/>
          </w:tcPr>
          <w:p>
            <w:pPr>
              <w:pStyle w:val="TableContents"/>
              <w:bidi w:val="0"/>
              <w:spacing w:before="0" w:after="283"/>
              <w:jc w:val="left"/>
              <w:rPr/>
            </w:pPr>
            <w:r>
              <w:rPr/>
              <w:t>09/03/2026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099" w:type="dxa"/>
            <w:tcBorders/>
            <w:vAlign w:val="center"/>
          </w:tcPr>
          <w:p>
            <w:pPr>
              <w:pStyle w:val="TableContents"/>
              <w:bidi w:val="0"/>
              <w:spacing w:before="0" w:after="283"/>
              <w:jc w:val="left"/>
              <w:rPr/>
            </w:pPr>
            <w:r>
              <w:rPr/>
              <w:t>03/19/2019</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10000</w:t>
            </w:r>
          </w:p>
        </w:tc>
        <w:tc>
          <w:tcPr>
            <w:tcW w:w="1041" w:type="dxa"/>
            <w:tcBorders/>
            <w:vAlign w:val="center"/>
          </w:tcPr>
          <w:p>
            <w:pPr>
              <w:pStyle w:val="TableContents"/>
              <w:bidi w:val="0"/>
              <w:spacing w:before="0" w:after="283"/>
              <w:jc w:val="left"/>
              <w:rPr/>
            </w:pPr>
            <w:r>
              <w:rPr/>
              <w:t>03/19/2019</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0"/>
              <w:jc w:val="left"/>
              <w:rPr/>
            </w:pPr>
            <w:r>
              <w:rPr/>
              <w:t>The sales of shares set forth herein are made in connection with a selling plan dated 6/2/2026 that is intended to comply with Rule 10b5-1(c).</w:t>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09/03/2026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Goldman Sachs &amp; Co. LLC on behalf of Mark Jacobson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3153</Characters>
  <CharactersWithSpaces>3730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