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70485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80" w:lineRule="exact"/>
        <w:rPr>
          <w:sz w:val="24"/>
          <w:szCs w:val="24"/>
          <w:color w:val="auto"/>
        </w:rPr>
      </w:pPr>
    </w:p>
    <w:p>
      <w:pPr>
        <w:ind w:left="1580" w:hanging="182"/>
        <w:spacing w:after="0"/>
        <w:tabs>
          <w:tab w:leader="none" w:pos="1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jc w:val="center"/>
        <w:ind w:left="3800" w:right="1400" w:hanging="2398"/>
        <w:spacing w:after="0" w:line="334" w:lineRule="auto"/>
        <w:tabs>
          <w:tab w:leader="none" w:pos="159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AXSOME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6" w:lineRule="exact"/>
        <w:rPr>
          <w:sz w:val="24"/>
          <w:szCs w:val="24"/>
          <w:color w:val="auto"/>
        </w:rPr>
      </w:pPr>
    </w:p>
    <w:tbl>
      <w:tblPr>
        <w:tblLayout w:type="fixed"/>
        <w:tblInd w:w="1100" w:type="dxa"/>
        <w:tblCellMar>
          <w:top w:w="0" w:type="dxa"/>
          <w:left w:w="0" w:type="dxa"/>
          <w:bottom w:w="0" w:type="dxa"/>
          <w:right w:w="0" w:type="dxa"/>
        </w:tblCellMar>
      </w:tblP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37"/>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One World Trade Center</w:t>
            </w:r>
          </w:p>
        </w:tc>
        <w:tc>
          <w:tcPr>
            <w:tcW w:w="3520" w:type="dxa"/>
            <w:vAlign w:val="bottom"/>
          </w:tcPr>
          <w:p>
            <w:pPr>
              <w:spacing w:after="0"/>
              <w:rPr>
                <w:sz w:val="20"/>
                <w:szCs w:val="20"/>
                <w:color w:val="auto"/>
              </w:rPr>
            </w:pPr>
          </w:p>
        </w:tc>
      </w:tr>
      <w:tr>
        <w:trPr>
          <w:trHeight w:val="203"/>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29th Floor</w:t>
            </w:r>
          </w:p>
        </w:tc>
        <w:tc>
          <w:tcPr>
            <w:tcW w:w="3520" w:type="dxa"/>
            <w:vAlign w:val="bottom"/>
          </w:tcPr>
          <w:p>
            <w:pPr>
              <w:spacing w:after="0"/>
              <w:rPr>
                <w:sz w:val="17"/>
                <w:szCs w:val="17"/>
                <w:color w:val="auto"/>
              </w:rPr>
            </w:pPr>
          </w:p>
        </w:tc>
      </w:t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352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66"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50,412,640 shares of the registrant’s common stock, $0.0001 par value, outstanding as of October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1048385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40" w:type="dxa"/>
            <w:vAlign w:val="bottom"/>
            <w:gridSpan w:val="4"/>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w w:val="99"/>
              </w:rPr>
              <w:t>CAUTIONARY NOTE REGARDING FORWARD LOOKING STATEMENTS</w:t>
            </w:r>
          </w:p>
        </w:tc>
        <w:tc>
          <w:tcPr>
            <w:tcW w:w="4660" w:type="dxa"/>
            <w:vAlign w:val="bottom"/>
            <w:gridSpan w:val="2"/>
            <w:vMerge w:val="restart"/>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5860" w:type="dxa"/>
            <w:vAlign w:val="bottom"/>
            <w:tcBorders>
              <w:bottom w:val="single" w:sz="8" w:color="0000EE"/>
            </w:tcBorders>
            <w:gridSpan w:val="12"/>
            <w:vMerge w:val="continue"/>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240" w:type="dxa"/>
            <w:vAlign w:val="bottom"/>
            <w:gridSpan w:val="4"/>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3040" w:type="dxa"/>
            <w:vAlign w:val="bottom"/>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5220" w:type="dxa"/>
            <w:vAlign w:val="bottom"/>
            <w:gridSpan w:val="3"/>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620" w:type="dxa"/>
            <w:vAlign w:val="bottom"/>
            <w:tcBorders>
              <w:top w:val="single" w:sz="8" w:color="0000EE"/>
            </w:tcBorders>
            <w:gridSpan w:val="3"/>
          </w:tcPr>
          <w:p>
            <w:pPr>
              <w:spacing w:after="0"/>
              <w:rPr>
                <w:sz w:val="24"/>
                <w:szCs w:val="24"/>
                <w:color w:val="auto"/>
              </w:rPr>
            </w:pPr>
          </w:p>
        </w:tc>
        <w:tc>
          <w:tcPr>
            <w:tcW w:w="7540" w:type="dxa"/>
            <w:vAlign w:val="bottom"/>
            <w:gridSpan w:val="5"/>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80" w:type="dxa"/>
            <w:vAlign w:val="bottom"/>
            <w:gridSpan w:val="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8180" w:type="dxa"/>
            <w:vAlign w:val="bottom"/>
            <w:gridSpan w:val="9"/>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Signatures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885"/>
        </w:trPr>
        <w:tc>
          <w:tcPr>
            <w:tcW w:w="1020" w:type="dxa"/>
            <w:vAlign w:val="bottom"/>
          </w:tcPr>
          <w:p>
            <w:pPr>
              <w:spacing w:after="0"/>
              <w:rPr>
                <w:sz w:val="24"/>
                <w:szCs w:val="24"/>
                <w:color w:val="auto"/>
              </w:rPr>
            </w:pPr>
          </w:p>
        </w:tc>
        <w:tc>
          <w:tcPr>
            <w:tcW w:w="700" w:type="dxa"/>
            <w:vAlign w:val="bottom"/>
            <w:tcBorders>
              <w:top w:val="single" w:sz="8" w:color="0000EE"/>
            </w:tcBorders>
            <w:gridSpan w:val="2"/>
          </w:tcPr>
          <w:p>
            <w:pPr>
              <w:spacing w:after="0"/>
              <w:rPr>
                <w:sz w:val="24"/>
                <w:szCs w:val="24"/>
                <w:color w:val="auto"/>
              </w:rPr>
            </w:pPr>
          </w:p>
        </w:tc>
        <w:tc>
          <w:tcPr>
            <w:tcW w:w="4140" w:type="dxa"/>
            <w:vAlign w:val="bottom"/>
            <w:gridSpan w:val="9"/>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70"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increases or decreases in expenses;</w:t>
      </w:r>
    </w:p>
    <w:p>
      <w:pPr>
        <w:spacing w:after="0" w:line="117" w:lineRule="exact"/>
        <w:rPr>
          <w:rFonts w:ascii="Times New Roman" w:cs="Times New Roman" w:eastAsia="Times New Roman" w:hAnsi="Times New Roman"/>
          <w:sz w:val="18"/>
          <w:szCs w:val="18"/>
          <w:color w:val="auto"/>
        </w:rPr>
      </w:pPr>
    </w:p>
    <w:p>
      <w:pPr>
        <w:ind w:left="760" w:right="9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40"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geopolitical conflicts or pandemics;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projections, sales forecasts, and potential peak market data;</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marketing and other partnership agreements;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product acquisitions and in-licensing transactions;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manufacture, market and sell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by doctors, patients, or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2" w:lineRule="exact"/>
        <w:rPr>
          <w:sz w:val="20"/>
          <w:szCs w:val="20"/>
          <w:color w:val="auto"/>
        </w:rPr>
      </w:pPr>
    </w:p>
    <w:p>
      <w:pPr>
        <w:ind w:right="280" w:firstLine="749"/>
        <w:spacing w:after="0" w:line="312"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325,272</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315,353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565,342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485,064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669,250</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568,498</w:t>
            </w:r>
          </w:p>
        </w:tc>
        <w:tc>
          <w:tcPr>
            <w:tcW w:w="100" w:type="dxa"/>
            <w:vAlign w:val="bottom"/>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2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54,227</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230,104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180,710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2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72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50,307,834 and</w:t>
            </w: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48,667,587 shares issued and outstanding at September 30, 2025 and December 31, 2024,</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1,179,797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(1,277,402)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(1,122,787)</w:t>
            </w:r>
          </w:p>
        </w:tc>
      </w:tr>
      <w:tr>
        <w:trPr>
          <w:trHeight w:val="209"/>
        </w:trPr>
        <w:tc>
          <w:tcPr>
            <w:tcW w:w="20" w:type="dxa"/>
            <w:vAlign w:val="bottom"/>
          </w:tcPr>
          <w:p>
            <w:pPr>
              <w:spacing w:after="0"/>
              <w:rPr>
                <w:sz w:val="18"/>
                <w:szCs w:val="18"/>
                <w:color w:val="auto"/>
              </w:rPr>
            </w:pPr>
          </w:p>
        </w:tc>
        <w:tc>
          <w:tcPr>
            <w:tcW w:w="7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57,015</w:t>
            </w:r>
          </w:p>
        </w:tc>
        <w:tc>
          <w:tcPr>
            <w:tcW w:w="100" w:type="dxa"/>
            <w:vAlign w:val="bottom"/>
            <w:tcBorders>
              <w:top w:val="single" w:sz="8" w:color="CFF0FC"/>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669,250</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568,498</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-3239770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-3222625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-3239770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-3222625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-1559560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-1559560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-316230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-316230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169,784</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103,736</w:t>
            </w:r>
          </w:p>
        </w:tc>
        <w:tc>
          <w:tcPr>
            <w:tcW w:w="1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439,101</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264,352</w:t>
            </w:r>
          </w:p>
        </w:tc>
        <w:tc>
          <w:tcPr>
            <w:tcW w:w="12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442,497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266,927</w:t>
            </w:r>
          </w:p>
        </w:tc>
        <w:tc>
          <w:tcPr>
            <w:tcW w:w="120" w:type="dxa"/>
            <w:vAlign w:val="bottom"/>
          </w:tcPr>
          <w:p>
            <w:pPr>
              <w:spacing w:after="0"/>
              <w:rPr>
                <w:sz w:val="18"/>
                <w:szCs w:val="18"/>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132,071</w:t>
            </w: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298,088</w:t>
            </w: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20" w:type="dxa"/>
            <w:vAlign w:val="bottom"/>
          </w:tcPr>
          <w:p>
            <w:pPr>
              <w:spacing w:after="0"/>
              <w:rPr>
                <w:sz w:val="18"/>
                <w:szCs w:val="18"/>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217,101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167,386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582,302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474,872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(139,805)</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(207,945)</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(5,385)</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(4,359)</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(10,385)</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(47,229)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(64,602)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(155,575)</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(212,304)</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2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(47,229)</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(64,602)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(154,615)</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(212,304)</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(4.45)</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2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50,021,851</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48,140,519</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49,449,220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47,703,508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-2322195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-2322195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-2322195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-2322195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-1199515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-1199515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-1199515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-351155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-333375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-351155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-333375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-351155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-351155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5"/>
                <w:szCs w:val="15"/>
                <w:color w:val="auto"/>
              </w:rPr>
            </w:pPr>
          </w:p>
        </w:tc>
        <w:tc>
          <w:tcPr>
            <w:tcW w:w="2140" w:type="dxa"/>
            <w:vAlign w:val="bottom"/>
            <w:gridSpan w:val="3"/>
            <w:vMerge w:val="restart"/>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70"/>
        </w:trPr>
        <w:tc>
          <w:tcPr>
            <w:tcW w:w="5120" w:type="dxa"/>
            <w:vAlign w:val="bottom"/>
          </w:tcPr>
          <w:p>
            <w:pPr>
              <w:spacing w:after="0"/>
              <w:rPr>
                <w:sz w:val="14"/>
                <w:szCs w:val="14"/>
                <w:color w:val="auto"/>
              </w:rPr>
            </w:pPr>
          </w:p>
        </w:tc>
        <w:tc>
          <w:tcPr>
            <w:tcW w:w="214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14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80" w:type="dxa"/>
            <w:vAlign w:val="bottom"/>
          </w:tcPr>
          <w:p>
            <w:pPr>
              <w:spacing w:after="0"/>
              <w:rPr>
                <w:sz w:val="14"/>
                <w:szCs w:val="14"/>
                <w:color w:val="auto"/>
              </w:rPr>
            </w:pPr>
          </w:p>
        </w:tc>
        <w:tc>
          <w:tcPr>
            <w:tcW w:w="1120" w:type="dxa"/>
            <w:vAlign w:val="bottom"/>
            <w:gridSpan w:val="3"/>
          </w:tcPr>
          <w:p>
            <w:pPr>
              <w:jc w:val="center"/>
              <w:ind w:right="120"/>
              <w:spacing w:after="0" w:line="170"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080" w:type="dxa"/>
            <w:vAlign w:val="bottom"/>
            <w:tcBorders>
              <w:bottom w:val="single" w:sz="8" w:color="auto"/>
            </w:tcBorders>
          </w:tcPr>
          <w:p>
            <w:pPr>
              <w:jc w:val="right"/>
              <w:ind w:right="264"/>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24"/>
              <w:spacing w:after="0" w:line="156" w:lineRule="exact"/>
              <w:rPr>
                <w:sz w:val="20"/>
                <w:szCs w:val="20"/>
                <w:color w:val="auto"/>
              </w:rPr>
            </w:pPr>
            <w:r>
              <w:rPr>
                <w:rFonts w:ascii="Times New Roman" w:cs="Times New Roman" w:eastAsia="Times New Roman" w:hAnsi="Times New Roman"/>
                <w:sz w:val="15"/>
                <w:szCs w:val="15"/>
                <w:b w:val="1"/>
                <w:bCs w:val="1"/>
                <w:color w:val="auto"/>
                <w:w w:val="99"/>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December 31, 2023</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47,351,363</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1,026,543</w:t>
            </w:r>
          </w:p>
        </w:tc>
        <w:tc>
          <w:tcPr>
            <w:tcW w:w="1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(835,571)</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190,977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20,533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20,533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80,294</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2,501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32,918</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(1,618)</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(1,618)</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(68,357)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(68,357)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2024</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47,464,575</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1,047,959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(903,928)</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144,036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21,709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21,709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120" w:type="dxa"/>
            <w:vAlign w:val="bottom"/>
            <w:shd w:val="clear" w:color="auto" w:fill="CFF0FC"/>
          </w:tcPr>
          <w:p>
            <w:pPr>
              <w:ind w:left="100"/>
              <w:spacing w:after="0" w:line="145" w:lineRule="exact"/>
              <w:rPr>
                <w:sz w:val="20"/>
                <w:szCs w:val="20"/>
                <w:color w:val="auto"/>
              </w:rPr>
            </w:pPr>
            <w:r>
              <w:rPr>
                <w:rFonts w:ascii="Times New Roman" w:cs="Times New Roman" w:eastAsia="Times New Roman" w:hAnsi="Times New Roman"/>
                <w:sz w:val="15"/>
                <w:szCs w:val="15"/>
                <w:color w:val="auto"/>
              </w:rPr>
              <w:t>Issuance of common stock upon exercise of options and under employee stock</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160,724</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6,741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27,404</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148,875</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11,039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11,039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(1,328)</w:t>
            </w: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(1,328)</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(79,345)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(79,345)</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June 30, 2024</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47,801,578</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1,086,120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(983,273)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102,852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21,992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21,992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475,830</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20,290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20,290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10,440</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148,260</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(473)</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(473)</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(64,602)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(64,602)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September 30, 2024</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48,436,108</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1,140,768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(1,047,875)</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92,898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tcPr>
          <w:p>
            <w:pPr>
              <w:spacing w:after="0" w:line="143" w:lineRule="exact"/>
              <w:rPr>
                <w:sz w:val="20"/>
                <w:szCs w:val="20"/>
                <w:color w:val="auto"/>
              </w:rPr>
            </w:pPr>
            <w:r>
              <w:rPr>
                <w:rFonts w:ascii="Times New Roman" w:cs="Times New Roman" w:eastAsia="Times New Roman" w:hAnsi="Times New Roman"/>
                <w:sz w:val="15"/>
                <w:szCs w:val="15"/>
                <w:color w:val="auto"/>
              </w:rPr>
              <w:t>Balance at December 31, 2024</w:t>
            </w:r>
          </w:p>
        </w:tc>
        <w:tc>
          <w:tcPr>
            <w:tcW w:w="108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48,667,587</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1,179,797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5"/>
                <w:szCs w:val="15"/>
                <w:color w:val="auto"/>
              </w:rPr>
              <w:t>(1,122,787)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57,015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23,647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23,647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331,853</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60,835</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156,484</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19,257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19,257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(4,336)</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(4,336)</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(59,413)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(59,413)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2025</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49,216,759</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1,235,400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(1,182,200)</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53,205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24,954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24,954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120" w:type="dxa"/>
            <w:vAlign w:val="bottom"/>
            <w:shd w:val="clear" w:color="auto" w:fill="CFF0FC"/>
          </w:tcPr>
          <w:p>
            <w:pPr>
              <w:ind w:left="100"/>
              <w:spacing w:after="0" w:line="145" w:lineRule="exact"/>
              <w:rPr>
                <w:sz w:val="20"/>
                <w:szCs w:val="20"/>
                <w:color w:val="auto"/>
              </w:rPr>
            </w:pPr>
            <w:r>
              <w:rPr>
                <w:rFonts w:ascii="Times New Roman" w:cs="Times New Roman" w:eastAsia="Times New Roman" w:hAnsi="Times New Roman"/>
                <w:sz w:val="15"/>
                <w:szCs w:val="15"/>
                <w:color w:val="auto"/>
              </w:rPr>
              <w:t>Issuance of common stock upon exercise of options and under employee stock</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276,280</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11,661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15,776</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306,486</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32,116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32,116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(888)</w:t>
            </w: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(888)</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(47,973)</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(47,973)</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June 30, 2025</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49,815,301</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1,303,243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(1,230,173)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73,075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23,442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23,442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389,542</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15,524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15,524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14,479</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88,512</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(842)</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(842)</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(47,229)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(47,229)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September 30, 2025</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50,307,834</w:t>
            </w:r>
          </w:p>
        </w:tc>
        <w:tc>
          <w:tcPr>
            <w:tcW w:w="1060" w:type="dxa"/>
            <w:vAlign w:val="bottom"/>
            <w:gridSpan w:val="2"/>
            <w:shd w:val="clear" w:color="auto" w:fill="CFF0FC"/>
          </w:tcPr>
          <w:p>
            <w:pPr>
              <w:jc w:val="right"/>
              <w:ind w:right="6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3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1,351,124</w:t>
            </w:r>
          </w:p>
        </w:tc>
        <w:tc>
          <w:tcPr>
            <w:tcW w:w="14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   (1,277,402)</w:t>
            </w:r>
          </w:p>
        </w:tc>
        <w:tc>
          <w:tcPr>
            <w:tcW w:w="260" w:type="dxa"/>
            <w:vAlign w:val="bottom"/>
            <w:gridSpan w:val="2"/>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73,727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-3282315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-3282315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-3282315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-3282315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-2442210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-2425065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-2442210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-2425065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-2442210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-2425065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-2442210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-2425065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-864870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-864870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-864870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-864870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(154,615)</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(212,304)</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63,232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Amortization of intangible asset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4,768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4,785</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10,385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in fair value of contingent consideration</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6,595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17,139</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Gain from lease modification</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(2,250)</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Non-cash lease expense</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 amortization for finance lease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 in operating lease liability</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(373)</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(235)</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(54,506)</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(29,276)</w:t>
            </w: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(7,020)</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(7,811)</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(5,296)</w:t>
            </w: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Non-current inventory and other assets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(5,159)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(169)</w:t>
            </w: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(17,770)</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23,574</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30,395</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(74,752)</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99"/>
              </w:rPr>
              <w:t>(102,208)</w:t>
            </w:r>
          </w:p>
        </w:tc>
      </w:tr>
      <w:tr>
        <w:trPr>
          <w:trHeight w:val="196"/>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equipment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(409)</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(240)</w:t>
            </w: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draw down of debt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(3,638)</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debt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(261,988)</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on principal portion of finance lease obligation</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(1,583)</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(660)</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upon financing</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24,365</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paid for common stock issuance costs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(1,099)</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(487)</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upon exercise of options and under employee stock purchase plan</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(6,995)</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(5,735)</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Payments of tax withholdings on stock awards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(6,066)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(3,419)</w:t>
            </w:r>
          </w:p>
        </w:tc>
      </w:tr>
      <w:tr>
        <w:trPr>
          <w:trHeight w:val="19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85,080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43,596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(58,852)</w:t>
            </w:r>
          </w:p>
        </w:tc>
      </w:tr>
      <w:tr>
        <w:trPr>
          <w:trHeight w:val="202"/>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at beginning of period</w:t>
            </w:r>
          </w:p>
        </w:tc>
        <w:tc>
          <w:tcPr>
            <w:tcW w:w="1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315,353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386,193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Cash at end of period</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325,272</w:t>
            </w:r>
          </w:p>
        </w:tc>
        <w:tc>
          <w:tcPr>
            <w:tcW w:w="160" w:type="dxa"/>
            <w:vAlign w:val="bottom"/>
          </w:tcPr>
          <w:p>
            <w:pPr>
              <w:spacing w:after="0"/>
              <w:rPr>
                <w:sz w:val="17"/>
                <w:szCs w:val="17"/>
                <w:color w:val="auto"/>
              </w:rPr>
            </w:pP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327,341</w:t>
            </w:r>
          </w:p>
        </w:tc>
        <w:tc>
          <w:tcPr>
            <w:tcW w:w="10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11,576</w:t>
            </w:r>
          </w:p>
        </w:tc>
        <w:tc>
          <w:tcPr>
            <w:tcW w:w="160" w:type="dxa"/>
            <w:vAlign w:val="bottom"/>
          </w:tcPr>
          <w:p>
            <w:pPr>
              <w:spacing w:after="0"/>
              <w:rPr>
                <w:sz w:val="17"/>
                <w:szCs w:val="17"/>
                <w:color w:val="auto"/>
              </w:rPr>
            </w:pP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14,935</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right-of-use asset obtained in exchange for operating lease liability</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23,869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right-of-use asset obtained in exchange for finance lease liability</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4,890</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Decrease in operating lease right-of-use asset due to lease modification</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Decrease in operating lease liability due to lease modification</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-3046730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-3046730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-2793365</wp:posOffset>
            </wp:positionV>
            <wp:extent cx="939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-2793365</wp:posOffset>
            </wp:positionV>
            <wp:extent cx="939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-1212215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-1212215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-946150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-946150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Axsome Therapeutics, Inc. (“Axsome” or the “Company”), based in New York, New York, is a biopharmaceutical company dedicated to the development and commercialization of innovative medicines for people living with central nervous system (“CNS”) conditions. Axsome has a diverse portfolio of U.S. Food and Drug Administration (FDA) approved treatments for major depressive disorder, excessive daytime sleepiness associated with narcolepsy or obstructive sleep apnea, and migraine, and an expansive pipeline comprised of multiple late-stage development programs addressing a broad range of serious neurological and psychiatric conditions that collectively impact over 150 million people in the United States.</w:t>
      </w:r>
    </w:p>
    <w:p>
      <w:pPr>
        <w:spacing w:after="0" w:line="190"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18"/>
          <w:szCs w:val="18"/>
          <w:color w:val="auto"/>
        </w:rPr>
        <w:t>In May 2022, the Company acquired the U.S. rights to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(solriamfetol) from Jazz Pharmaceuticals plc (“Jazz”), and in November 2022, the Company acquired worldwide ex-U.S. rights (excluding certain Asian markets) from Jazz (collectively, the “Acquisition”). Sunosi was approved for the treatment of excessive daytime sleepiness (EDS) in adult patients with narcolepsy or obstructive sleep apnea by the FDA in March 2019 and by the European Commission in January 2020. In February 2023, the Company announced a licensing transaction with Atnahs Pharma UK Limited (“Pharmanovia”) to market Sunosi in Europe and certain countries in the Middle East / North Africa.</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August 2022,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(dextromethorphan-bupropion) was approved by the FDA for the treatment of major depressive disorder in adults.</w:t>
      </w:r>
    </w:p>
    <w:p>
      <w:pPr>
        <w:spacing w:after="0"/>
        <w:rPr>
          <w:sz w:val="20"/>
          <w:szCs w:val="20"/>
          <w:color w:val="auto"/>
        </w:rPr>
      </w:pPr>
      <w:r>
        <w:rPr>
          <w:rFonts w:ascii="Times New Roman" w:cs="Times New Roman" w:eastAsia="Times New Roman" w:hAnsi="Times New Roman"/>
          <w:sz w:val="18"/>
          <w:szCs w:val="18"/>
          <w:color w:val="auto"/>
        </w:rPr>
        <w:t>The Company announced the commercial availability of Auvelity in the U.S. in October 2022.</w:t>
      </w:r>
    </w:p>
    <w:p>
      <w:pPr>
        <w:spacing w:after="0" w:line="212" w:lineRule="exact"/>
        <w:rPr>
          <w:sz w:val="20"/>
          <w:szCs w:val="20"/>
          <w:color w:val="auto"/>
        </w:rPr>
      </w:pPr>
    </w:p>
    <w:p>
      <w:pPr>
        <w:ind w:right="140" w:firstLine="749"/>
        <w:spacing w:after="0" w:line="227" w:lineRule="auto"/>
        <w:rPr>
          <w:sz w:val="20"/>
          <w:szCs w:val="20"/>
          <w:color w:val="auto"/>
        </w:rPr>
      </w:pPr>
      <w:r>
        <w:rPr>
          <w:rFonts w:ascii="Times New Roman" w:cs="Times New Roman" w:eastAsia="Times New Roman" w:hAnsi="Times New Roman"/>
          <w:sz w:val="18"/>
          <w:szCs w:val="18"/>
          <w:color w:val="auto"/>
        </w:rPr>
        <w:t>In January 2025,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meloxicam-rizatriptan) was approved by the FDA for the acute treatment of migraine with or without aura in adults. The Company announced the commercial availability of Symbravo in the U.S. in June 2025.</w:t>
      </w:r>
    </w:p>
    <w:p>
      <w:pPr>
        <w:spacing w:after="0" w:line="198"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Company refers herein to Auvelity, Sunosi, Symbravo (also referred to as “AXS-07”), AXS-12, AXS-14, and its programs to develop additional indications for AXS-05 and solriamfetol as the Company’s products.</w:t>
      </w:r>
    </w:p>
    <w:p>
      <w:pPr>
        <w:spacing w:after="0" w:line="16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accounting principles generally accepted in the United States (“GAAP”) for interim information and pursuant to the rules and regulations of the Securities and Exchange Commission (the “SEC”) for reporting on Form 10-Q. Accordingly, certain information and footnote disclosures normally included in financial statements prepared in accordance with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2024 filed with the SEC on February 18, 2025.</w:t>
      </w:r>
    </w:p>
    <w:p>
      <w:pPr>
        <w:spacing w:after="0" w:line="18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nine months ended September 30, 2025 are not necessarily indicative of the operating results for the full fiscal year or any future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and may never become profitable. As of September 30, 2025, the Company had an accumulated deficit of $1,277.4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sales of Auvelity, Sunosi, Symbravo,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Sunosi, and Symbravo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Company currently has three commercial products, Auvelity, Sunosi, and Symbravo. There can be no assurance that the Company’s research and development efforts will result in additional successfully commercialized products.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and Note 13.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8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for variable consideration. These reserves reflect the Company’s best estimate of the amount of consideration to which the Company is entitled based on the terms of the contracts. The Company sells Auvelity, Sunosi, and Symbravo in the United States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The Company received FDA approval for Symbravo in January 2025. See Note 13. Revenues for a further breakout of product sales,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9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18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 </w:t>
      </w:r>
      <w:r>
        <w:rPr>
          <w:rFonts w:ascii="Times New Roman" w:cs="Times New Roman" w:eastAsia="Times New Roman" w:hAnsi="Times New Roman"/>
          <w:sz w:val="18"/>
          <w:szCs w:val="18"/>
          <w:color w:val="auto"/>
        </w:rPr>
        <w:t>The Company generally provides discounts which include incentive fees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 net on the consolidated balance sheets.</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 </w:t>
      </w:r>
      <w:r>
        <w:rPr>
          <w:rFonts w:ascii="Times New Roman" w:cs="Times New Roman" w:eastAsia="Times New Roman" w:hAnsi="Times New Roman"/>
          <w:sz w:val="18"/>
          <w:szCs w:val="18"/>
          <w:color w:val="auto"/>
        </w:rPr>
        <w:t>The Company generally offers a limited right of return for product that has been purchased from the Company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and Discounts - </w:t>
      </w:r>
      <w:r>
        <w:rPr>
          <w:rFonts w:ascii="Times New Roman" w:cs="Times New Roman" w:eastAsia="Times New Roman" w:hAnsi="Times New Roman"/>
          <w:sz w:val="18"/>
          <w:szCs w:val="18"/>
          <w:color w:val="auto"/>
        </w:rPr>
        <w:t>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 net.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Rebates - </w:t>
      </w:r>
      <w:r>
        <w:rPr>
          <w:rFonts w:ascii="Times New Roman" w:cs="Times New Roman" w:eastAsia="Times New Roman" w:hAnsi="Times New Roman"/>
          <w:sz w:val="18"/>
          <w:szCs w:val="18"/>
          <w:color w:val="auto"/>
        </w:rPr>
        <w:t>Rebates apply to: Medicaid, managed care, and supplemental rebates to all applicable states as defined by the statutory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for Medicare Inflation Based Rebates resulting from the Inflation Reduction Act of 2022 which includes measures requiring manufacturers to pay rebates where price increases exceed the rate of inflation. The Company estimates these rebates and records such estimates in the same period the related product sales are recognized, resulting in a reduction to product sales as well as a component of accrued expenses and other current liabilities.</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Coverage Gap - </w:t>
      </w:r>
      <w:r>
        <w:rPr>
          <w:rFonts w:ascii="Times New Roman" w:cs="Times New Roman" w:eastAsia="Times New Roman" w:hAnsi="Times New Roman"/>
          <w:sz w:val="18"/>
          <w:szCs w:val="18"/>
          <w:color w:val="auto"/>
        </w:rPr>
        <w:t>The Medicare Part D coverage gap is a period of consumer payment for prescription medication costs which lies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coverage limit and the catastrophic-coverage threshold, when the patient is a member of a Medicare Part D prescription-drug program administered by the Centers for Medicare &amp; Medicaid Services. The Company estimates the percentage of goods sold to patients in the Coverage Gap and adjusts the transaction price for such discount at the time of sale resulting in a reduction to product sales as well as a component of accrued expenses and other current liabilities.</w:t>
      </w:r>
    </w:p>
    <w:p>
      <w:pPr>
        <w:spacing w:after="0" w:line="183"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Program Redesign </w:t>
      </w:r>
      <w:r>
        <w:rPr>
          <w:rFonts w:ascii="Times New Roman" w:cs="Times New Roman" w:eastAsia="Times New Roman" w:hAnsi="Times New Roman"/>
          <w:sz w:val="18"/>
          <w:szCs w:val="18"/>
          <w:color w:val="auto"/>
        </w:rPr>
        <w:t>- Effective January 1, 2025, the Medicare Part D coverage gap program was replaced with a redesigned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The Company estimates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spacing w:after="0" w:line="18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 </w:t>
      </w:r>
      <w:r>
        <w:rPr>
          <w:rFonts w:ascii="Times New Roman" w:cs="Times New Roman" w:eastAsia="Times New Roman" w:hAnsi="Times New Roman"/>
          <w:sz w:val="18"/>
          <w:szCs w:val="18"/>
          <w:color w:val="auto"/>
        </w:rPr>
        <w:t>Other incentives which the Company offers include voluntary patient assistance programs, such as the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spacing w:after="0" w:line="185"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right="420" w:firstLine="749"/>
        <w:spacing w:after="0" w:line="312" w:lineRule="auto"/>
        <w:rPr>
          <w:sz w:val="20"/>
          <w:szCs w:val="20"/>
          <w:color w:val="auto"/>
        </w:rPr>
      </w:pPr>
      <w:r>
        <w:rPr>
          <w:rFonts w:ascii="Times New Roman" w:cs="Times New Roman" w:eastAsia="Times New Roman" w:hAnsi="Times New Roman"/>
          <w:sz w:val="17"/>
          <w:szCs w:val="17"/>
          <w:color w:val="auto"/>
        </w:rPr>
        <w:t>The Company’s cost of revenue consists of cost of product sales. Cost of product sales primarily include direct costs (inclusive of material, shipping, handling, and manufacturing costs), overhead and product royalties. Cost of product sales excludes depreciation and amortization.</w:t>
      </w:r>
    </w:p>
    <w:p>
      <w:pPr>
        <w:spacing w:after="0" w:line="140"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$165.0 million based on revenue milestones and $1.0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and reporting segment, which is the business of developing and delivering novel therapies for the management of CNS disorders. See Note 18. Segment Information below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September 30, 2025, the balance of cash and cash equivalents was $325.3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a concentration of credit risk consist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The Company maintains its cash deposits at financial institutions, which cash deposits exceed insured limits. At September 30, 2025,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 net below for further information.</w:t>
      </w:r>
    </w:p>
    <w:p>
      <w:pPr>
        <w:spacing w:after="0" w:line="183"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 of Risk, Other </w:t>
      </w:r>
      <w:r>
        <w:rPr>
          <w:rFonts w:ascii="Times New Roman" w:cs="Times New Roman" w:eastAsia="Times New Roman" w:hAnsi="Times New Roman"/>
          <w:sz w:val="18"/>
          <w:szCs w:val="18"/>
          <w:color w:val="auto"/>
        </w:rPr>
        <w:t>- The Company has a limited number of contract manufacturers for its products. At times, the Company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one manufacturer or supplier for its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accounted for the acquisition of Sunosi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Acquisition, the Company recorded goodwill and an intangible asset.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September 30, 2025, the Company has determined that it has one reporting unit. The Company has not identified any events or changes in circumstances that indicate the existence of potential impairment of goodwill during the nine months ended September 30, 2025. The balance of goodwill was $12.0 million at both September 30, 2025 and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nine months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0" w:firstLine="749"/>
        <w:spacing w:after="0" w:line="220" w:lineRule="exact"/>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reporting entity to develop its own assumptions.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are cash and cash equivalents, accounts receivable, accounts payable, accrued expenses and other liabilities, contingent warrant liability, short-term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18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6. Fair Value of Financial Instruments for further detail.</w:t>
      </w:r>
    </w:p>
    <w:p>
      <w:pPr>
        <w:spacing w:after="0" w:line="18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contingent warrant liability using the Black-Scholes model based on key assumption and inputs. The Company utilized a probability assessment to estimate the likelihood of vesting for the remaining Loan Agreement (as defined below) warrants and allocated the probability of occurrence percentage to the fair values calculated, and, therefore, was considered Level 3 within the fair value hierarchy. The Company accounted for warrants anticipated to be issued in the future under the Loan Agreement as liabilities and measured them at fair value using the Black-Scholes valuation model. In the second quarter of 2025, the Company derecognized the fair value of contingent warrant liability upon extinguishment of the Hercules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net arise from product sales and represent amounts due from its customers. They are generally stated at the gross sales amount, less reserves resulting from trade discounts and allowances and chargebacks. Accounts receivable typically has a standard payment term of 60 days or less and does not bear interest.</w:t>
      </w:r>
    </w:p>
    <w:p>
      <w:pPr>
        <w:spacing w:after="0" w:line="176"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the customers’ credit profiles.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September 30, 2025, the Company has not recorded any allowances for doubtful accounts receivable. For further information about accounts receivable, see Note 3. Accounts Receivable, net.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 Costs that are directly attributable to the issuance of revolving credit facilities are capitalized and ratably amortized over the term of the revolving credit facility.</w:t>
      </w:r>
    </w:p>
    <w:p>
      <w:pPr>
        <w:spacing w:after="0" w:line="178"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evaluates amendments to its debt instruments in accordance with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470”) to determine whether the amendment should be accounted for as a modification or an extinguishment. An amendment may be considered modified when the terms of the new debt and original instrument are not “substantially different” (as defined in the debt modification guidance in ASC 470).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the cost of revenue.</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83"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Inventory levels are evaluated for amounts that would be sold within one year. If the level of inventory exceeds the estimated amount that would be sold after the next 12 months, the Company classifies the estimate of such inventory as non-current.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net</w:t>
      </w:r>
    </w:p>
    <w:p>
      <w:pPr>
        <w:spacing w:after="0" w:line="188"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Advertising costs are included in selling, general and administrative expenses, and are expensed as incurred. The Company considers advertising costs as expenses related to the promotion of the Company’s commercial products. For the three and nine months ended September 30, 2025, advertising costs were $41.4 million and $105.1 million, respectively. For the three and nine months ended September 30, 2024, advertising costs were $20.7 million and $75.0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ending December 31, 2025 since it is projecting losses and has incurred year to date losses in all significant jurisdictions from which the Company does not benefit due to the full valuation allowance position against the Company’s deferred tax assets. The Company did not record a tax expense or benefit for the three months ended September 30, 2025. The Company recorded a tax benefit for the nine months ended September 30, 2025 due to favorable return to provision adjustments attributable to certain foreign tax returns filed during July 2025 that was recorded as a discrete income tax benefit in the second quarter of 2025.</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September 30, 2025,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8" w:lineRule="exact"/>
        <w:rPr>
          <w:sz w:val="20"/>
          <w:szCs w:val="20"/>
          <w:color w:val="auto"/>
        </w:rPr>
      </w:pPr>
    </w:p>
    <w:p>
      <w:pPr>
        <w:ind w:right="60" w:firstLine="749"/>
        <w:spacing w:after="0" w:line="231" w:lineRule="exact"/>
        <w:rPr>
          <w:sz w:val="20"/>
          <w:szCs w:val="20"/>
          <w:color w:val="auto"/>
        </w:rPr>
      </w:pPr>
      <w:r>
        <w:rPr>
          <w:rFonts w:ascii="Times New Roman" w:cs="Times New Roman" w:eastAsia="Times New Roman" w:hAnsi="Times New Roman"/>
          <w:sz w:val="18"/>
          <w:szCs w:val="18"/>
          <w:color w:val="auto"/>
        </w:rPr>
        <w:t>For stock options issued, the Company estimates the grant date fair value of each option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w:t>
      </w:r>
    </w:p>
    <w:p>
      <w:pPr>
        <w:spacing w:after="0" w:line="200"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For restricted stock units (“RSUs”) and performance stock units (“PSUs”), the Company issues them in the form of Company common stock. The fair market value of these awards is based on the market closing price per share on the grant date and for certain awards that are subject to a post-vesting holding period, an illiquidity discount is also applied.</w:t>
      </w:r>
    </w:p>
    <w:p>
      <w:pPr>
        <w:spacing w:after="0" w:line="176" w:lineRule="exact"/>
        <w:rPr>
          <w:sz w:val="20"/>
          <w:szCs w:val="20"/>
          <w:color w:val="auto"/>
        </w:rPr>
      </w:pPr>
    </w:p>
    <w:p>
      <w:pPr>
        <w:jc w:val="both"/>
        <w:ind w:right="60" w:firstLine="749"/>
        <w:spacing w:after="0" w:line="272" w:lineRule="auto"/>
        <w:rPr>
          <w:sz w:val="20"/>
          <w:szCs w:val="20"/>
          <w:color w:val="auto"/>
        </w:rPr>
      </w:pPr>
      <w:r>
        <w:rPr>
          <w:rFonts w:ascii="Times New Roman" w:cs="Times New Roman" w:eastAsia="Times New Roman" w:hAnsi="Times New Roman"/>
          <w:sz w:val="17"/>
          <w:szCs w:val="17"/>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PSUs, the Company recognizes stock-based compensation expense when the achievement of the performance condition becomes probable.</w:t>
      </w:r>
    </w:p>
    <w:p>
      <w:pPr>
        <w:spacing w:after="0" w:line="2"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Stock-based compensation expense for PSUs with cliff-vesting terms is recognized on a straight-line basis. At the end of each reporting period, the Company reassesses the probability of achieving the performance condition and adjusts the stock-based compensation expense accordingly.</w:t>
      </w:r>
    </w:p>
    <w:p>
      <w:pPr>
        <w:spacing w:after="0" w:line="18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expense related to the stock-based compensation is recorded within the same financial statement line item as the grantee’s cash compensation. The Company’s policy upon exercise of stock options, vesting of RSUs and PSUs is that shares will be issued as new shares drawing on the Company’s 2025 Long-Term Incentive Plan share pool that was adopted by the Board in April 2025 and approved by the stockholders in June 2025. In addition, the Company accounts for equity award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PSUs,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three and nine months ended September 30,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3"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181"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Leases are accounted for under </w:t>
      </w:r>
      <w:r>
        <w:rPr>
          <w:rFonts w:ascii="Times New Roman" w:cs="Times New Roman" w:eastAsia="Times New Roman" w:hAnsi="Times New Roman"/>
          <w:sz w:val="18"/>
          <w:szCs w:val="18"/>
          <w:i w:val="1"/>
          <w:iCs w:val="1"/>
          <w:color w:val="auto"/>
        </w:rPr>
        <w:t>ASC 842, Leases</w:t>
      </w:r>
      <w:r>
        <w:rPr>
          <w:rFonts w:ascii="Times New Roman" w:cs="Times New Roman" w:eastAsia="Times New Roman" w:hAnsi="Times New Roman"/>
          <w:sz w:val="18"/>
          <w:szCs w:val="18"/>
          <w:color w:val="auto"/>
        </w:rPr>
        <w:t xml:space="preserve"> (“ASC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evaluates amendments to its lease arrangements in accordance with ASC 842.</w:t>
      </w:r>
    </w:p>
    <w:p>
      <w:pPr>
        <w:spacing w:after="0" w:line="18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adopted this guidance effective January 1, 2025, and will provide the required disclosures in the Company’s annual report on Form 10-K for the year ended December 31, 2025. The adoption of this guidance is not expected to have a material impact on the consolidated financial statements.</w:t>
      </w:r>
    </w:p>
    <w:p>
      <w:pPr>
        <w:spacing w:after="0" w:line="183"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6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215,848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155,505</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Reserves for variable consideration</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(13,504)</w:t>
            </w:r>
          </w:p>
        </w:tc>
      </w:tr>
      <w:tr>
        <w:trPr>
          <w:trHeight w:val="20"/>
        </w:trPr>
        <w:tc>
          <w:tcPr>
            <w:tcW w:w="4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4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196,507</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142,001</w:t>
            </w:r>
          </w:p>
        </w:tc>
        <w:tc>
          <w:tcPr>
            <w:tcW w:w="100" w:type="dxa"/>
            <w:vAlign w:val="bottom"/>
            <w:shd w:val="clear" w:color="auto" w:fill="CFF0FC"/>
          </w:tcPr>
          <w:p>
            <w:pPr>
              <w:spacing w:after="0"/>
              <w:rPr>
                <w:sz w:val="21"/>
                <w:szCs w:val="21"/>
                <w:color w:val="auto"/>
              </w:rPr>
            </w:pPr>
          </w:p>
        </w:tc>
      </w:tr>
      <w:tr>
        <w:trPr>
          <w:trHeight w:val="844"/>
        </w:trPr>
        <w:tc>
          <w:tcPr>
            <w:tcW w:w="4320" w:type="dxa"/>
            <w:vAlign w:val="bottom"/>
            <w:tcBorders>
              <w:top w:val="single" w:sz="8" w:color="CFF0FC"/>
            </w:tcBorders>
          </w:tcPr>
          <w:p>
            <w:pPr>
              <w:spacing w:after="0"/>
              <w:rPr>
                <w:sz w:val="24"/>
                <w:szCs w:val="24"/>
                <w:color w:val="auto"/>
              </w:rPr>
            </w:pPr>
          </w:p>
        </w:tc>
        <w:tc>
          <w:tcPr>
            <w:tcW w:w="342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There were no material inventory reserves or write downs of any excess and obsolete inventory as of September 30, 2025. Non-current inventory, which consists of raw materials and work in process inventory, is included in non-current inventory and other assets on the accompanying consolidated balance sheets. Non-current inventory is estimated to be consumed beyond the next 12 months.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inventory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the intangible asset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1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jc w:val="center"/>
              <w:ind w:right="353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51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260" w:type="dxa"/>
            <w:vAlign w:val="bottom"/>
          </w:tcPr>
          <w:p>
            <w:pPr>
              <w:spacing w:after="0"/>
              <w:rPr>
                <w:sz w:val="18"/>
                <w:szCs w:val="18"/>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8-years</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jc w:val="center"/>
              <w:ind w:right="349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jc w:val="center"/>
              <w:ind w:right="351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26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7-years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Based on the finite-lived intangible asset recorded as of September 30, 2025, and assuming the underlying asset will not be impaired and that the Company will not change the expected life of the asset, future amortization expense over the next five years and periods thereafter are estimated to be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173"/>
        </w:trPr>
        <w:tc>
          <w:tcPr>
            <w:tcW w:w="314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5"/>
                <w:szCs w:val="15"/>
                <w:color w:val="auto"/>
              </w:rPr>
            </w:pPr>
          </w:p>
        </w:tc>
      </w:tr>
      <w:tr>
        <w:trPr>
          <w:trHeight w:val="20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6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20" w:type="dxa"/>
            <w:vAlign w:val="bottom"/>
          </w:tcPr>
          <w:p>
            <w:pPr>
              <w:spacing w:after="0"/>
              <w:rPr>
                <w:sz w:val="18"/>
                <w:szCs w:val="18"/>
                <w:color w:val="auto"/>
              </w:rPr>
            </w:pPr>
          </w:p>
        </w:tc>
      </w:tr>
      <w:tr>
        <w:trPr>
          <w:trHeight w:val="25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120" w:type="dxa"/>
            <w:vAlign w:val="bottom"/>
            <w:shd w:val="clear" w:color="auto" w:fill="CFF0FC"/>
          </w:tcPr>
          <w:p>
            <w:pPr>
              <w:spacing w:after="0"/>
              <w:rPr>
                <w:sz w:val="21"/>
                <w:szCs w:val="21"/>
                <w:color w:val="auto"/>
              </w:rPr>
            </w:pPr>
          </w:p>
        </w:tc>
      </w:tr>
      <w:tr>
        <w:trPr>
          <w:trHeight w:val="844"/>
        </w:trPr>
        <w:tc>
          <w:tcPr>
            <w:tcW w:w="3140" w:type="dxa"/>
            <w:vAlign w:val="bottom"/>
            <w:tcBorders>
              <w:top w:val="single" w:sz="8" w:color="CFF0FC"/>
            </w:tcBorders>
          </w:tcPr>
          <w:p>
            <w:pPr>
              <w:spacing w:after="0"/>
              <w:rPr>
                <w:sz w:val="24"/>
                <w:szCs w:val="24"/>
                <w:color w:val="auto"/>
              </w:rPr>
            </w:pPr>
          </w:p>
        </w:tc>
        <w:tc>
          <w:tcPr>
            <w:tcW w:w="6100" w:type="dxa"/>
            <w:vAlign w:val="bottom"/>
            <w:tcBorders>
              <w:top w:val="single" w:sz="8" w:color="CFF0FC"/>
            </w:tcBorders>
          </w:tcPr>
          <w:p>
            <w:pPr>
              <w:jc w:val="right"/>
              <w:ind w:right="34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314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$9.7 million and non-current contingent consideration liability of $89.9 million in the consolidated balance sheet as of September 30, 2025.</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financial instruments measured on a recurring basis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240,099</w:t>
            </w:r>
          </w:p>
        </w:tc>
        <w:tc>
          <w:tcPr>
            <w:tcW w:w="1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240,099</w:t>
            </w: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99,565</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99,565</w:t>
            </w:r>
          </w:p>
        </w:tc>
        <w:tc>
          <w:tcPr>
            <w:tcW w:w="120" w:type="dxa"/>
            <w:vAlign w:val="bottom"/>
          </w:tcPr>
          <w:p>
            <w:pPr>
              <w:spacing w:after="0"/>
              <w:rPr>
                <w:sz w:val="20"/>
                <w:szCs w:val="20"/>
                <w:color w:val="auto"/>
              </w:rPr>
            </w:pPr>
          </w:p>
        </w:tc>
      </w:tr>
      <w:tr>
        <w:trPr>
          <w:trHeight w:val="616"/>
        </w:trPr>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244,097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244,097</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99,965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99,965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fair value of the contingent consideration liabilities is marked-to-market at each reporting period and was remeasured at September 30,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contingent consideration liabilities as of September 30, 2025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120" w:type="dxa"/>
            <w:vAlign w:val="bottom"/>
          </w:tcPr>
          <w:p>
            <w:pPr>
              <w:spacing w:after="0"/>
              <w:rPr>
                <w:sz w:val="15"/>
                <w:szCs w:val="15"/>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99,965</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fair value</w:t>
            </w:r>
          </w:p>
        </w:tc>
        <w:tc>
          <w:tcPr>
            <w:tcW w:w="12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6,595</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(6,995)</w:t>
            </w:r>
          </w:p>
        </w:tc>
      </w:tr>
      <w:tr>
        <w:trPr>
          <w:trHeight w:val="228"/>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2025 (Level 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99,565</w:t>
            </w:r>
          </w:p>
        </w:tc>
        <w:tc>
          <w:tcPr>
            <w:tcW w:w="12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2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00" w:type="dxa"/>
            <w:vAlign w:val="bottom"/>
          </w:tcPr>
          <w:p>
            <w:pPr>
              <w:spacing w:after="0"/>
              <w:rPr>
                <w:sz w:val="10"/>
                <w:szCs w:val="10"/>
                <w:color w:val="auto"/>
              </w:rPr>
            </w:pPr>
          </w:p>
        </w:tc>
        <w:tc>
          <w:tcPr>
            <w:tcW w:w="2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120" w:type="dxa"/>
            <w:vAlign w:val="bottom"/>
          </w:tcPr>
          <w:p>
            <w:pPr>
              <w:spacing w:after="0"/>
              <w:rPr>
                <w:sz w:val="10"/>
                <w:szCs w:val="10"/>
                <w:color w:val="auto"/>
              </w:rPr>
            </w:pPr>
          </w:p>
        </w:tc>
        <w:tc>
          <w:tcPr>
            <w:tcW w:w="2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91"/>
        </w:trPr>
        <w:tc>
          <w:tcPr>
            <w:tcW w:w="1600" w:type="dxa"/>
            <w:vAlign w:val="bottom"/>
            <w:shd w:val="clear" w:color="auto" w:fill="CFF0FC"/>
          </w:tcPr>
          <w:p>
            <w:pPr>
              <w:ind w:left="320"/>
              <w:spacing w:after="0" w:line="191" w:lineRule="exact"/>
              <w:rPr>
                <w:sz w:val="20"/>
                <w:szCs w:val="20"/>
                <w:color w:val="auto"/>
              </w:rPr>
            </w:pPr>
            <w:r>
              <w:rPr>
                <w:rFonts w:ascii="Times New Roman" w:cs="Times New Roman" w:eastAsia="Times New Roman" w:hAnsi="Times New Roman"/>
                <w:sz w:val="18"/>
                <w:szCs w:val="18"/>
                <w:color w:val="auto"/>
              </w:rPr>
              <w:t>Contingent</w:t>
            </w:r>
          </w:p>
        </w:tc>
        <w:tc>
          <w:tcPr>
            <w:tcW w:w="23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Probability weighted income</w:t>
            </w:r>
          </w:p>
        </w:tc>
        <w:tc>
          <w:tcPr>
            <w:tcW w:w="12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Discount rate</w:t>
            </w:r>
          </w:p>
        </w:tc>
        <w:tc>
          <w:tcPr>
            <w:tcW w:w="2420" w:type="dxa"/>
            <w:vAlign w:val="bottom"/>
            <w:gridSpan w:val="2"/>
            <w:shd w:val="clear" w:color="auto" w:fill="CFF0FC"/>
          </w:tcPr>
          <w:p>
            <w:pPr>
              <w:jc w:val="right"/>
              <w:ind w:right="850"/>
              <w:spacing w:after="0" w:line="191" w:lineRule="exact"/>
              <w:rPr>
                <w:sz w:val="20"/>
                <w:szCs w:val="20"/>
                <w:color w:val="auto"/>
              </w:rPr>
            </w:pPr>
            <w:r>
              <w:rPr>
                <w:rFonts w:ascii="Times New Roman" w:cs="Times New Roman" w:eastAsia="Times New Roman" w:hAnsi="Times New Roman"/>
                <w:sz w:val="18"/>
                <w:szCs w:val="18"/>
                <w:color w:val="auto"/>
              </w:rPr>
              <w:t>12.9%</w:t>
            </w:r>
          </w:p>
        </w:tc>
        <w:tc>
          <w:tcPr>
            <w:tcW w:w="2460" w:type="dxa"/>
            <w:vAlign w:val="bottom"/>
            <w:gridSpan w:val="2"/>
            <w:shd w:val="clear" w:color="auto" w:fill="CFF0FC"/>
          </w:tcPr>
          <w:p>
            <w:pPr>
              <w:jc w:val="right"/>
              <w:ind w:right="870"/>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4"/>
        </w:trPr>
        <w:tc>
          <w:tcPr>
            <w:tcW w:w="1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12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24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17.7% - 20.7%</w:t>
            </w:r>
          </w:p>
        </w:tc>
        <w:tc>
          <w:tcPr>
            <w:tcW w:w="24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17.6% - 20.6%</w:t>
            </w:r>
          </w:p>
        </w:tc>
        <w:tc>
          <w:tcPr>
            <w:tcW w:w="0" w:type="dxa"/>
            <w:vAlign w:val="bottom"/>
          </w:tcPr>
          <w:p>
            <w:pPr>
              <w:spacing w:after="0"/>
              <w:rPr>
                <w:sz w:val="1"/>
                <w:szCs w:val="1"/>
                <w:color w:val="auto"/>
              </w:rPr>
            </w:pPr>
          </w:p>
        </w:tc>
      </w:tr>
      <w:tr>
        <w:trPr>
          <w:trHeight w:val="846"/>
        </w:trPr>
        <w:tc>
          <w:tcPr>
            <w:tcW w:w="1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4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6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are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12,657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14,431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27,798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28,225</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36,163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17,498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139,471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73,952</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7,001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9,958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2,497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1,421</w:t>
            </w:r>
          </w:p>
        </w:tc>
      </w:tr>
      <w:tr>
        <w:trPr>
          <w:trHeight w:val="23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225,632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147,987</w:t>
            </w: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Loan and Security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Blackstone Alternative Credit Advisors LP and Blackstone Life Sciences Advisors L.L.C.</w:t>
      </w:r>
    </w:p>
    <w:p>
      <w:pPr>
        <w:spacing w:after="0" w:line="227"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For the purposes of this Note 8, capitalized terms used but not otherwise defined herein shall have the meanings assigned to them in the Blackstone Loan Agreement (as defined below).</w:t>
      </w:r>
    </w:p>
    <w:p>
      <w:pPr>
        <w:spacing w:after="0" w:line="162"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On May 8, 2025 (the “Closing Date”), the Company entered into a loan agreement (the “Blackstone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as agent, and the lenders from time to time party thereto (collectively, the “Lenders”). The Blackstone Loan Agreement provides for loans in an aggregate principal amount of up to $570.0 million, consisting of (i) a first lien senior secured term loan in an aggregate principal amount of $120.0 million funded to the Company on the Closing Date, (ii) a $180.0 million senior secured term loan available to the Company at its option, of which $90.0 million is available until May 31, 2026, and the remaining $90.0 million is available until May 31, 2027 (the “Term Loans”), and (iii) a super senior revolving credit facility in an aggregate principal amount of up to $70.0 million available at the Company’s option (the “Revolver” and, together with the Term Loans, the “Loans”). The Blackstone Loan Agreement also permits the Company,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the Company’s obligations under the Hercules Loan Agreement (as defined below). The improved financial terms and anticipated use of the Loans are expected to result in a significant reduction in interest expense. As of September 30, 2025, there were $120.0 million and $70.0 million of outstanding principal amounts under the Term Loans and Revolver facilities, respectively. The outstanding balance under the Revolver was classified as short-term based on the Company’s intent and ability to repay this amount in the next twelve months, and included in short-term borrowings on the accompanying consolidated balance sheets. In October 2025, the Company repaid the entire outstanding balance as of September 30, 2025 under the Revolver.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Term Loans bear interest at a rate equal to the Term SOFR (“Secured Overnight Financing Rate”) plus a margin of 4.75%. The effective interest rate on the Term Loans was 9.58% for the nine months ended September 30, 2025. The Revolver bears interest at SOFR plus a margin of 4.00%. If an Event of Default occurs and is continuing, all amounts outstanding under the Blackstone Loan Agreement will bear an additional 2.00% interest. The weighted-average interest rate on the Revolver was 8.00% as of September 30, 2025. The Loans mature and the principal amount (including any interest and fees) must be repaid on the date that is five years from the Closing Date. Fees and costs that were directly attributable to the Revolver have been capitalized as deferred assets and will be ratably expensed over the life of the Revolver. Deferred assets are included in non-current inventory and other assets on the accompanying consolidated balance sheets. As of September 30, 2025, the remaining unamortized balance of deferred assets was $1.0 million.</w:t>
      </w:r>
    </w:p>
    <w:p>
      <w:pPr>
        <w:spacing w:after="0" w:line="19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Loans are subject to mandatory prepayment provisions that may require prepayment upon a change of control, the incurrence of certain additional indebtedness, certain asset sales, or an event of loss, subject to certain conditions set forth in the Blackstone Loan Agreement. The Company may prepay the Loans in whole at its option at any time, subject to certain yield protection premiums. The obligations under the Blackstone Loan Agreement are guaranteed by the Company’s subsidiaries party thereto as guarantors and are secured by a first lien security interest in certain assets of the Company and the guarantors.</w:t>
      </w:r>
    </w:p>
    <w:p>
      <w:pPr>
        <w:spacing w:after="0" w:line="183"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Blackstone Loan Agreement contains customary representations and warranties, affirmative and negative covenants, and events of default applicable to the Company and the guarantors. The Blackstone Loan Agreement also contains a minimum liquidity covenant of $30.0 million, tested quarterly. If an event of default occurs and is continuing, the Lenders may declare all amounts outstanding under the Blackstone Loan Agreement to be immediately due and payable.</w:t>
      </w:r>
    </w:p>
    <w:p>
      <w:pPr>
        <w:spacing w:after="0" w:line="180"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Concurrent with the closing of the Blackstone Loan Agreement, Blackstone purchased $15.0 million of the Company’s common stock at a purchase price of $107.14 per share in a private placement transaction. The purchase agreement for the private placement contains customary representations, warranties, and covenants, and includes a lock-up period that generally prohibits, without the prior written consent of the Company, the sale, transfer, pledge, or other disposition of the securities through the period ending 120 days from the Closing Date.</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Blackstone Loan Agreement, Antecip consented to the collateral assignment of one of the license agreements, among other things, under a direct agreement among the Company, Antecip, a related party, and Blackstone.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Capital, Inc.</w:t>
      </w:r>
    </w:p>
    <w:p>
      <w:pPr>
        <w:spacing w:after="0" w:line="227"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In September 2020, the Company entered into a Loan and Security Agreement for a term loan with Hercules Capital, Inc., a Maryland corporation (“Hercules”), in its capacity as administrative agent and collateral agent and as a lender, and the other financial institutions that from time to time act as lenders (the “Hercules Loan Agreement”, as amended).</w:t>
      </w:r>
    </w:p>
    <w:p>
      <w:pPr>
        <w:spacing w:after="0" w:line="176"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On May 8, 2025, the Company repaid in full its obligations under the Hercules Loan Agreement using proceeds from the Blackstone Loan Agreement. Upon repayment, the Company recorded a loss on debt extinguishment of approximately $10.4 million in the Company’s consolidated statement of operations. As of September 30, 2025, there are no outstanding obligations under the Hercules Loan Agreement.</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Interest Expense and Amortization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Long-term debt and unamortized debt discount balances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debt, long-term</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120,000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180,000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accreted final payment fee</w:t>
            </w: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4,085</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117,642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180,710</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of debt approximates its fair value given its variable interest rate.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amortization of the final payment fee, and amortization of the debt discount related to the issuance costs and warrants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3,056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FF0FC"/>
          </w:tcPr>
          <w:p>
            <w:pPr>
              <w:spacing w:after="0"/>
              <w:rPr>
                <w:sz w:val="18"/>
                <w:szCs w:val="18"/>
                <w:color w:val="auto"/>
              </w:rPr>
            </w:pPr>
          </w:p>
        </w:tc>
      </w:tr>
      <w:tr>
        <w:trPr>
          <w:trHeight w:val="432"/>
        </w:trPr>
        <w:tc>
          <w:tcPr>
            <w:tcW w:w="834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Scheduled principal payments on outstanding debt, long-term, as of September 30, 2025, are as follows: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Borders>
              <w:bottom w:val="single" w:sz="8" w:color="auto"/>
            </w:tcBorders>
          </w:tcPr>
          <w:p>
            <w:pPr>
              <w:spacing w:after="0"/>
              <w:rPr>
                <w:sz w:val="18"/>
                <w:szCs w:val="18"/>
                <w:color w:val="auto"/>
              </w:rPr>
            </w:pP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5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Borders>
              <w:bottom w:val="single" w:sz="8" w:color="auto"/>
            </w:tcBorders>
            <w:shd w:val="clear" w:color="auto" w:fill="CFF0FC"/>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2023, the Company entered into a sublease agreement (“Initial Sublease”) for the previous office space located at One World Trade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w:t>
      </w:r>
    </w:p>
    <w:p>
      <w:pPr>
        <w:spacing w:after="0" w:line="207" w:lineRule="exact"/>
        <w:rPr>
          <w:sz w:val="20"/>
          <w:szCs w:val="20"/>
          <w:color w:val="auto"/>
        </w:rPr>
      </w:pPr>
    </w:p>
    <w:p>
      <w:pPr>
        <w:ind w:right="340" w:firstLine="749"/>
        <w:spacing w:after="0" w:line="253" w:lineRule="auto"/>
        <w:rPr>
          <w:sz w:val="20"/>
          <w:szCs w:val="20"/>
          <w:color w:val="auto"/>
        </w:rPr>
      </w:pPr>
      <w:r>
        <w:rPr>
          <w:rFonts w:ascii="Times New Roman" w:cs="Times New Roman" w:eastAsia="Times New Roman" w:hAnsi="Times New Roman"/>
          <w:sz w:val="18"/>
          <w:szCs w:val="18"/>
          <w:color w:val="auto"/>
        </w:rPr>
        <w:t>In January 2025, the Company entered into an amended sublease agreement (the “First Amendment”) to terminate the existing space in its corporate office and commence occupancy of different space within the same building. The First Amendment was treated as a lease modification to the Initial Sublease which resulted in the recognition of a gain on modification of $2.3 million which is included in selling, general and administrative expenses. The Company also recorded a right-of-use asset and corresponding lease liability of $23.9 million during the first quarter of fiscal year 2025. Based on the Company’s past experience and current expectations for administrative office needs, the Company determined the lease term to be approximately six years. As of September 30, 2025, the remaining lease term for the Company’s operating lease was 5.5 years with the discount rate of</w:t>
      </w:r>
    </w:p>
    <w:p>
      <w:pPr>
        <w:spacing w:after="0" w:line="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7.12%.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nine months ended September 30, 2025, the Company recognized a right-of-use asset and lease liability, both, of $4.4 million in connection to this lease. As of September 30, 2025, right-of-use asset and lease liability related to the finance lease were $7.1 million and $7.2 million, respectively, and the weighted average remaining lease term was 3.0 years, with a weighted average discount rate of 9.6%.</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Lease expenses recognized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520" w:type="dxa"/>
            <w:vAlign w:val="bottom"/>
            <w:gridSpan w:val="6"/>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660" w:type="dxa"/>
            <w:vAlign w:val="bottom"/>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3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1,261</w:t>
            </w:r>
          </w:p>
        </w:tc>
        <w:tc>
          <w:tcPr>
            <w:tcW w:w="78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96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3,479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1,633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2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w w:val="99"/>
              </w:rPr>
              <w:t>Future minimum lease payments of the Company’s leases as of September 30, 2025 were as follows: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24"/>
                <w:szCs w:val="24"/>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8,183</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(1,006)</w:t>
            </w:r>
          </w:p>
        </w:tc>
      </w:tr>
      <w:tr>
        <w:trPr>
          <w:trHeight w:val="250"/>
        </w:trPr>
        <w:tc>
          <w:tcPr>
            <w:tcW w:w="42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“March 2022 Sales Agreement”) with Leerink Partners LLC (“Leerink”) and filed a prospectus supplement. The March 2022 Sales Agreement supersedes the sales agreement, dated December 5, 2019, by and between the Company and Leerink. The Company exhausted sales of shares of the Company’s common stock under its prior at-the-market offering program.</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December 2022, in connection with the automatic shelf registration statement (the “2022 Shelf Registration Statement”), the Company filed a new sales agreement prospectus to replace the prior prospectus supplement filed in August 2022 associated with the expired automatic shelf registration statement (the “2019 Shelf Registration Statement”), which the Company filed with the U.S. Securities and Exchange Commission (the “SEC”) on December 5, 2019. The new sales agreement prospectus covered the issuance and sale by the Company of up to the same $250 million of the Company’s common stock that may be issued and sold from time to time through Leerink, as the Company’s sales agent, under the March 2022 Sales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Under the March 2022 Sales Agreement, for the three months ended September 30, 2025, the Company received approximately $9.9 million in gross proceeds through the sale of 88,512 shares, of which net proceeds were approximately $9.7 million. For the nine months ended September 30, 2025, the Company received approximately $47.2 million in gross proceeds through the sale of 411,482 shares, of which net proceeds were approximately $46.3 million under the March 2022 Sales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Public Offering</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Blackstone Securities Purchase Agreement</w:t>
      </w:r>
    </w:p>
    <w:p>
      <w:pPr>
        <w:spacing w:after="0" w:line="229"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securities purchase agreement (the “SPA”) with Blackstone or its affiliates for the private placement (the “Private Placement”) of an aggregate of 140,000 shares of the Company’s common stock, at a purchase price of $107.14 per share. Gross proceeds from the Private Placement were approximately $15.0 million. The closing of the Private Placement occurred contemporaneously with the closing of the Blackstone Loan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Contemporaneously herewith, the Company filed an automatic shelf registration statement (the “2025 Shelf Registration Statement”) with the SEC for the issuance of common stock, preferred stock, warrants, rights, debt securities and units. It became effective upon filing with the SEC and is currently the Company’s only active shelf registration.</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SEC rules, the 2025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2025 Shelf Registration Statement are offered for sale, a prospectus supplement will be prepared and filed with the SEC containing specific information about the terms of any such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November 2015, the 2015 Omnibus Incentive Compensation Plan (the “2015 Plan”) was adopted by the Company’s stockholders. In April 2025, the Company’s Long-Term Incentive Plan (“2025 Plan”) was adopted by the Board and approved by the stockholders in June 2025. All future equity awards will be made from the 2025 Plan and the Company does not intend to grant any future equity awards from the 2015 Plan. As of September 30, 2025, there were 2,592,462 shares available for future grant under the 2025 Plan.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stock option activity as of September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3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8,439,121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361,938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123.86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(938,068)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Forfeited/Canceled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7,587,618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49.93</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546,116</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September 30, 2025</w:t>
            </w:r>
          </w:p>
        </w:tc>
        <w:tc>
          <w:tcPr>
            <w:tcW w:w="1300" w:type="dxa"/>
            <w:vAlign w:val="bottom"/>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7,587,618</w:t>
            </w: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49.93</w:t>
            </w:r>
          </w:p>
        </w:tc>
        <w:tc>
          <w:tcPr>
            <w:tcW w:w="140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3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546,116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2025</w:t>
            </w:r>
          </w:p>
        </w:tc>
        <w:tc>
          <w:tcPr>
            <w:tcW w:w="1300" w:type="dxa"/>
            <w:vAlign w:val="bottom"/>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5,552,310</w:t>
            </w:r>
          </w:p>
        </w:tc>
        <w:tc>
          <w:tcPr>
            <w:tcW w:w="2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39.63</w:t>
            </w:r>
          </w:p>
        </w:tc>
        <w:tc>
          <w:tcPr>
            <w:tcW w:w="1400" w:type="dxa"/>
            <w:vAlign w:val="bottom"/>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3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454,782</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-350520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-333375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-350520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-333375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-350520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-333375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192" w:lineRule="exact"/>
        <w:rPr>
          <w:sz w:val="20"/>
          <w:szCs w:val="20"/>
          <w:color w:val="auto"/>
        </w:rPr>
      </w:pPr>
    </w:p>
    <w:p>
      <w:pPr>
        <w:ind w:right="50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was $88.37 per option for the nine months ended September 30, 2025. As of September 30, 2025, there was $112.6 million of total unrecognized compensation cost related to unvested stock options which is expected to be recognized over a weighted average period of 2.1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fair value of the RSUs is recognized as an expense ratably over the vesting period of four years. As of September 30, 2025, total compensation cost not yet recognized related to nonvested RSUs was $73.4 million, which is expected to be recognized over a weighted-average period of 2.6 years. The intrinsic value of RSUs lapsed during the nine months ended September 30, 2025 was $17.2 million.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RSU activity for the nine months ended September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5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906,944</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468,455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(295,835)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70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3700" w:type="dxa"/>
            <w:vAlign w:val="bottom"/>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1,006,984</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3980" w:type="dxa"/>
            <w:vAlign w:val="bottom"/>
            <w:tcBorders>
              <w:top w:val="single" w:sz="8" w:color="CFF0FC"/>
            </w:tcBorders>
          </w:tcPr>
          <w:p>
            <w:pPr>
              <w:spacing w:after="0"/>
              <w:rPr>
                <w:sz w:val="24"/>
                <w:szCs w:val="24"/>
                <w:color w:val="auto"/>
              </w:rPr>
            </w:pPr>
          </w:p>
        </w:tc>
        <w:tc>
          <w:tcPr>
            <w:tcW w:w="370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27</w:t>
            </w:r>
          </w:p>
        </w:tc>
        <w:tc>
          <w:tcPr>
            <w:tcW w:w="16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February 2025, the Company granted PSUs to the executive officers. Vesting of the PSUs is subject to achievement of specified performance goals, which include achieving revenue, clinical, and regulatory targets. The actual number of common shares that would ultimately be issued is calculated by multiplying the number of PSUs granted by a payout multiplier ranging from 0 to 2. Achievement of the performance goals will ultimately be determined by the Compensation Committee or the Board at the end of the vesting term, which is approximately 3 years from the grant date. As of September 30, 2025, total compensation cost not yet recognized related to nonvested PSUs was $4.9 million, which is expected to be recognized over a weighted-average period of 2.5 years.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PSU activity for the nine months ended September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1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64,281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64,281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second offering period pursuant to the ESPP on June 1, 2024, and such offering ended on May 31, 2025.</w:t>
      </w:r>
    </w:p>
    <w:p>
      <w:pPr>
        <w:spacing w:after="0" w:line="180"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59,607 common shares have been purchased and issued pursuant to the ESPP, and $0.7 million and $1.5 million of expense was recorded for the three and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Stock-based compensation expense recognized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6,807</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5,868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20,207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15,508</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16,296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15,792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50,815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47,724</w:t>
            </w: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23,103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21,660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71,022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63,232</w:t>
            </w: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capitalized into inventory totaled $0.3 million and $1.0 million for the three and nine months ended September 30, 2025, respectively, and $0.3 million and $1.0 million for the three and nine months ended September 30, 2024, respectively. Capitalized stock-based compensation is recognized as an expense in cost of product sales when the related product is sold or in selling, general and administrative expense when the related product is dispensed as a physician sample.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nine months ended September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Third Amendment to the Hercules Loan Agreement,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Upon full repayment of the Company’s obligations under the Hercules Loan Agreement, no additional warrants are issuable under the Hercules Loan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Common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(212,304)</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6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50,021,851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48,140,519</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49,449,220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47,703,508</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2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-1216660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-1216660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-1216660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they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32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Borders>
              <w:bottom w:val="single" w:sz="8" w:color="auto"/>
            </w:tcBorders>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72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7,587,618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8,453,826</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1,495,986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899,277</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64,281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79,220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79,220</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83,477</w:t>
            </w: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69,761</w:t>
            </w: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9,310,582</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9,502,084</w:t>
            </w:r>
          </w:p>
        </w:tc>
      </w:tr>
      <w:tr>
        <w:trPr>
          <w:trHeight w:val="20"/>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Revenues</w:t>
      </w:r>
    </w:p>
    <w:p>
      <w:pPr>
        <w:spacing w:after="0" w:line="229" w:lineRule="exact"/>
        <w:rPr>
          <w:sz w:val="20"/>
          <w:szCs w:val="20"/>
          <w:color w:val="auto"/>
        </w:rPr>
      </w:pPr>
    </w:p>
    <w:p>
      <w:pPr>
        <w:ind w:right="40" w:firstLine="749"/>
        <w:spacing w:after="0" w:line="289" w:lineRule="auto"/>
        <w:rPr>
          <w:sz w:val="20"/>
          <w:szCs w:val="20"/>
          <w:color w:val="auto"/>
        </w:rPr>
      </w:pPr>
      <w:r>
        <w:rPr>
          <w:rFonts w:ascii="Times New Roman" w:cs="Times New Roman" w:eastAsia="Times New Roman" w:hAnsi="Times New Roman"/>
          <w:sz w:val="17"/>
          <w:szCs w:val="17"/>
          <w:color w:val="auto"/>
        </w:rPr>
        <w:t>The Company sells Auvelity, Sunosi, and Symbravo in the United States through the Distributors. The Company also sells Sunosi to Distributors in Canada and on a product supply basis to Pharmanovia. Sunosi is subsequently sold by Pharmanovia in certain ex-U.S. markets. For the nine months ended September 30, 2025, the Company’s three largest customers represented approximately 34%, 30%, and 26% of the Company’s gross product sales.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Royalty revenue is related to sales of Sunosi by Pharmanovia in certain ex-U.S. markets.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product: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3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2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Auvelity</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136,102</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351,975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198,798</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Sunosi</w:t>
            </w:r>
          </w:p>
        </w:tc>
        <w:tc>
          <w:tcPr>
            <w:tcW w:w="2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84,645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65,554</w:t>
            </w:r>
          </w:p>
        </w:tc>
        <w:tc>
          <w:tcPr>
            <w:tcW w:w="120" w:type="dxa"/>
            <w:vAlign w:val="bottom"/>
            <w:shd w:val="clear" w:color="auto" w:fill="CFF0FC"/>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Symbravo</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20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169,784</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103,736</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439,101</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264,352</w:t>
            </w:r>
          </w:p>
        </w:tc>
        <w:tc>
          <w:tcPr>
            <w:tcW w:w="12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Sunosi royalty revenue</w:t>
            </w:r>
          </w:p>
        </w:tc>
        <w:tc>
          <w:tcPr>
            <w:tcW w:w="2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tcPr>
          <w:p>
            <w:pPr>
              <w:spacing w:after="0"/>
              <w:rPr>
                <w:sz w:val="18"/>
                <w:szCs w:val="18"/>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442,497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266,927</w:t>
            </w:r>
          </w:p>
        </w:tc>
        <w:tc>
          <w:tcPr>
            <w:tcW w:w="120" w:type="dxa"/>
            <w:vAlign w:val="bottom"/>
            <w:shd w:val="clear" w:color="auto" w:fill="CFF0FC"/>
          </w:tcPr>
          <w:p>
            <w:pPr>
              <w:spacing w:after="0"/>
              <w:rPr>
                <w:sz w:val="19"/>
                <w:szCs w:val="19"/>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geographic location: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3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1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169,176</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435,035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261,525</w:t>
            </w:r>
          </w:p>
        </w:tc>
        <w:tc>
          <w:tcPr>
            <w:tcW w:w="12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18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264,352</w:t>
            </w:r>
          </w:p>
        </w:tc>
        <w:tc>
          <w:tcPr>
            <w:tcW w:w="12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1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1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tcPr>
          <w:p>
            <w:pPr>
              <w:spacing w:after="0"/>
              <w:rPr>
                <w:sz w:val="18"/>
                <w:szCs w:val="18"/>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442,497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266,927</w:t>
            </w:r>
          </w:p>
        </w:tc>
        <w:tc>
          <w:tcPr>
            <w:tcW w:w="120" w:type="dxa"/>
            <w:vAlign w:val="bottom"/>
            <w:shd w:val="clear" w:color="auto" w:fill="CFF0FC"/>
          </w:tcPr>
          <w:p>
            <w:pPr>
              <w:spacing w:after="0"/>
              <w:rPr>
                <w:sz w:val="19"/>
                <w:szCs w:val="19"/>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-591185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-591185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-591185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product sales, net includes adjustments for provisions for product sales made in 2024 resulting from changes in estimates of $0.9 million for Auvelity and $0.8 million for Sunosi. For the nine months ended September 30, 2024, product sales, net includes adjustments for provisions for product sales made in 2023 resulting from changes in estimates of $1.0 million for Auvelity and $0.6 million for Sunosi.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consideration for entering the Pharmanovia License Agreement, the Company received a non-refundable upfront payment of €62.0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($65.7 million). The Company also will receive a royalty percentage in the mid-twenties on Sunosi net sales in the Territory and is eligible to receive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milestone payments totaling up to €94.5 million.</w:t>
      </w:r>
    </w:p>
    <w:p>
      <w:pPr>
        <w:spacing w:after="0" w:line="207" w:lineRule="exact"/>
        <w:rPr>
          <w:sz w:val="20"/>
          <w:szCs w:val="20"/>
          <w:color w:val="auto"/>
        </w:rPr>
      </w:pPr>
    </w:p>
    <w:p>
      <w:pPr>
        <w:ind w:right="20" w:firstLine="794"/>
        <w:spacing w:after="0" w:line="253" w:lineRule="auto"/>
        <w:rPr>
          <w:sz w:val="20"/>
          <w:szCs w:val="20"/>
          <w:color w:val="auto"/>
        </w:rPr>
      </w:pPr>
      <w:r>
        <w:rPr>
          <w:rFonts w:ascii="Times New Roman" w:cs="Times New Roman" w:eastAsia="Times New Roman" w:hAnsi="Times New Roman"/>
          <w:sz w:val="18"/>
          <w:szCs w:val="18"/>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The Company recognized royalty revenue of $1.2 million and $1.0 million for the three months ended September 30, 2025 and 2024, respectively, and $3.4 million and $2.6 million for the nine months ended September 30, 2025 and 2024, respectively, related to Pharmanovia’s sales of Sunosi. No other development or sales-based milestones were recognized during the nine months ended September 30, 2025 and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w:t>
      </w:r>
    </w:p>
    <w:p>
      <w:pPr>
        <w:jc w:val="center"/>
        <w:ind w:left="5540" w:right="560" w:hanging="5532"/>
        <w:spacing w:after="0" w:line="761" w:lineRule="auto"/>
        <w:tabs>
          <w:tab w:leader="none" w:pos="2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2025 and 2024, no milestone payments or royalties were paid to Pfizer by the Company.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nine months ended September 30, 2025 and 2024, the Company recorded royalty expense of $10.6 million and $6.0 million, respectively, for royalty due to Antecip, which is equal to 3.0% of net sales of Auvelity. This is considered to be a related party transaction.</w:t>
      </w:r>
    </w:p>
    <w:p>
      <w:pPr>
        <w:spacing w:after="0" w:line="195"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Blackstone Loan Agreement, Antecip consented to the collateral assignment of one of the license agreements, among other things, under a direct agreement among the Company, Antecip and Blackstone.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Royalty Agreements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Company agreed to make non-refundable, non-creditable royalty payments to Jazz equal to a (A) high single-digit royalty for any current indication, or (B) mid-single-digit royalty for any future indication of net sales in the U.S. Territory made during the applicable royalty term. There are no royalty payments due to Jazz for net sales outside of the U.S. Territory.</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$165.0 million based on revenue milestones and $1.0 million based on development milestones.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the Company’s loss before income taxes and effective tax rates for all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6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37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(47,229)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(64,602)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(155,575)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(212,304)</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2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-25400</wp:posOffset>
            </wp:positionV>
            <wp:extent cx="1111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111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1111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1460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1460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(the “IRS”) and other tax authorities to determine the adequacy of its income tax reserves and expense. Should actual events or results differ from the Company’s current expectations, charges or credits to its income tax expense may become necessary.</w:t>
      </w:r>
    </w:p>
    <w:p>
      <w:pPr>
        <w:spacing w:after="0" w:line="18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 did not record a tax expense or benefit for the three months ended September 30, 2025. The Company recorded a tax benefit for the nine months ended September 30, 2025 of $1.0 million due to favorable return-to-provision adjustments attributable to certain foreign tax returns filed during July 2025 that was recorded as a discrete income tax benefit in the second quarter of 2025. The Company did not have any unrecognized tax benefits as of September 30, 2025 related to uncertain tax positions that would impact the effective income tax rate if recognized.</w:t>
      </w:r>
    </w:p>
    <w:p>
      <w:pPr>
        <w:spacing w:after="0" w:line="180"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Company is currently under examination by the IRS for the Company’s 2021 U.S. income tax return.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80"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does not expect material tax impacts from the legislation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The Company recorded royalty expense of $10.6 million and $6.0 million for the nine months ended September 30, 2025 and 2024, respectively, which equal 3.0% of net sales for those respective periods.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is a party to three exclusive license agreements with Antecip Bioventures II LLC, an entity owned by Dr. Tabuteau. See Note 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for further information regarding the license agreements.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which is the business of developing and delivering novel therapies for the management of CNS disorders. The Company’s focus centers around the CNS disorders market as its primary operating environment. Consistent with the operational structure, the Chief Executive Officer, as the chief operating decision maker (“CODM”), manages and allocates resources on a consolidated basis. This decision making process reflects the way in which the financial information is regularly reviewed and used by the CODM to evaluate performance, set operational targets, forecast future financial results, and allocate resources.</w:t>
      </w:r>
    </w:p>
    <w:p>
      <w:pPr>
        <w:spacing w:after="0" w:line="183"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Company’s CODM assesses financial performance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one reportable segment and includes the reconciliation to consolidated net loss.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170,992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104,762</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442,497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266,927</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120" w:type="dxa"/>
            <w:vAlign w:val="bottom"/>
            <w:shd w:val="clear" w:color="auto" w:fill="CFF0FC"/>
          </w:tcPr>
          <w:p>
            <w:pPr>
              <w:spacing w:after="0"/>
              <w:rPr>
                <w:sz w:val="18"/>
                <w:szCs w:val="18"/>
                <w:color w:val="auto"/>
              </w:rPr>
            </w:pPr>
          </w:p>
        </w:tc>
      </w:tr>
      <w:tr>
        <w:trPr>
          <w:trHeight w:val="198"/>
        </w:trPr>
        <w:tc>
          <w:tcPr>
            <w:tcW w:w="56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Research and development expense (excluding share-based compensation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Solriamfetol</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37,908</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AXS-05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44,090</w:t>
            </w:r>
          </w:p>
        </w:tc>
        <w:tc>
          <w:tcPr>
            <w:tcW w:w="120" w:type="dxa"/>
            <w:vAlign w:val="bottom"/>
          </w:tcPr>
          <w:p>
            <w:pPr>
              <w:spacing w:after="0"/>
              <w:rPr>
                <w:sz w:val="18"/>
                <w:szCs w:val="18"/>
                <w:color w:val="auto"/>
              </w:rPr>
            </w:pPr>
          </w:p>
        </w:tc>
      </w:tr>
      <w:tr>
        <w:trPr>
          <w:trHeight w:val="216"/>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AXS-07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AXS-12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20" w:type="dxa"/>
            <w:vAlign w:val="bottom"/>
          </w:tcPr>
          <w:p>
            <w:pPr>
              <w:spacing w:after="0"/>
              <w:rPr>
                <w:sz w:val="18"/>
                <w:szCs w:val="18"/>
                <w:color w:val="auto"/>
              </w:rPr>
            </w:pPr>
          </w:p>
        </w:tc>
      </w:tr>
      <w:tr>
        <w:trPr>
          <w:trHeight w:val="216"/>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AXS-14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(a)</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20" w:type="dxa"/>
            <w:vAlign w:val="bottom"/>
          </w:tcPr>
          <w:p>
            <w:pPr>
              <w:spacing w:after="0"/>
              <w:rPr>
                <w:sz w:val="18"/>
                <w:szCs w:val="18"/>
                <w:color w:val="auto"/>
              </w:rPr>
            </w:pPr>
          </w:p>
        </w:tc>
      </w:tr>
      <w:tr>
        <w:trPr>
          <w:trHeight w:val="198"/>
        </w:trPr>
        <w:tc>
          <w:tcPr>
            <w:tcW w:w="56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 (excluding share-based compensation</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20" w:type="dxa"/>
            <w:vAlign w:val="bottom"/>
            <w:shd w:val="clear" w:color="auto" w:fill="CFF0FC"/>
          </w:tcPr>
          <w:p>
            <w:pPr>
              <w:spacing w:after="0"/>
              <w:rPr>
                <w:sz w:val="20"/>
                <w:szCs w:val="20"/>
                <w:color w:val="auto"/>
              </w:rPr>
            </w:pPr>
          </w:p>
        </w:tc>
      </w:tr>
      <w:tr>
        <w:trPr>
          <w:trHeight w:val="198"/>
        </w:trPr>
        <w:tc>
          <w:tcPr>
            <w:tcW w:w="56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Selling and marketing expense (excluding share-based compensation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305,864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213,938</w:t>
            </w:r>
          </w:p>
        </w:tc>
        <w:tc>
          <w:tcPr>
            <w:tcW w:w="120" w:type="dxa"/>
            <w:vAlign w:val="bottom"/>
          </w:tcPr>
          <w:p>
            <w:pPr>
              <w:spacing w:after="0"/>
              <w:rPr>
                <w:sz w:val="20"/>
                <w:szCs w:val="20"/>
                <w:color w:val="auto"/>
              </w:rPr>
            </w:pPr>
          </w:p>
        </w:tc>
      </w:tr>
      <w:tr>
        <w:trPr>
          <w:trHeight w:val="216"/>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63,232</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120" w:type="dxa"/>
            <w:vAlign w:val="bottom"/>
          </w:tcPr>
          <w:p>
            <w:pPr>
              <w:spacing w:after="0"/>
              <w:rPr>
                <w:sz w:val="18"/>
                <w:szCs w:val="18"/>
                <w:color w:val="auto"/>
              </w:rPr>
            </w:pPr>
          </w:p>
        </w:tc>
      </w:tr>
      <w:tr>
        <w:trPr>
          <w:trHeight w:val="216"/>
        </w:trPr>
        <w:tc>
          <w:tcPr>
            <w:tcW w:w="56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4"/>
                <w:szCs w:val="24"/>
                <w:color w:val="auto"/>
                <w:vertAlign w:val="superscript"/>
              </w:rPr>
              <w:t>(b)</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(c)</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20" w:type="dxa"/>
            <w:vAlign w:val="bottom"/>
          </w:tcPr>
          <w:p>
            <w:pPr>
              <w:spacing w:after="0"/>
              <w:rPr>
                <w:sz w:val="18"/>
                <w:szCs w:val="18"/>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(47,229)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(64,602)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(154,615)</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(212,304)</w:t>
            </w:r>
          </w:p>
        </w:tc>
      </w:tr>
      <w:tr>
        <w:trPr>
          <w:trHeight w:val="210"/>
        </w:trPr>
        <w:tc>
          <w:tcPr>
            <w:tcW w:w="56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Reconciliation of net loss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3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(47,229)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(64,602)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(154,615)</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(212,304)</w:t>
            </w: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-590550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-590550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-590550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research and development expenses primarily consist of facilities charges, third party consultant costs, costs related to other product candidates, and other unallocated costs.</w:t>
      </w:r>
    </w:p>
    <w:p>
      <w:pPr>
        <w:ind w:left="300" w:right="40" w:hanging="292"/>
        <w:spacing w:after="0" w:line="216" w:lineRule="auto"/>
        <w:tabs>
          <w:tab w:leader="none" w:pos="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net of $1,120 for the three months ended September 30, 2025 comprises (i) consolidated interest expense of $3,375 and (ii) consolidated interest income of $2,255. Interest expense, net of $5,385 for the nine months ended September 30, 2025 comprises (i) consolidated interest expense of $12,719 and (ii) consolidated interest income of $7,334. Interest expense, net of $1,978 for the three months ended September 30, 2024 comprises (i) consolidated interest expense of $5,666 and (ii) consolidated interest income of $3,688. Interest expense, net of $4,359 for the nine months ended September 30, 2024 comprises (i) consolidated interest expense of $16,151 and (ii) consolidated interest income of $11,792.</w:t>
      </w:r>
    </w:p>
    <w:p>
      <w:pPr>
        <w:spacing w:after="0" w:line="1" w:lineRule="exact"/>
        <w:rPr>
          <w:rFonts w:ascii="Times New Roman" w:cs="Times New Roman" w:eastAsia="Times New Roman" w:hAnsi="Times New Roman"/>
          <w:sz w:val="13"/>
          <w:szCs w:val="13"/>
          <w:color w:val="auto"/>
        </w:rPr>
      </w:pPr>
    </w:p>
    <w:p>
      <w:pPr>
        <w:ind w:left="300" w:hanging="292"/>
        <w:spacing w:after="0"/>
        <w:tabs>
          <w:tab w:leader="none" w:pos="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included in Segment net loss include intangible asset amortization, loss on debt extinguishment, and other miscellaneous items.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See Note 2. Summary of Significant Accounting Policies for further details on the products from which the Company derives its revenues.</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13. Revenues for details of revenue from external customers by geography.</w:t>
      </w: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2024 which was filed with the U.S. Securities and Exchange Commission, or SEC, on February 18, 2025</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are a biopharmaceutical company dedicated to the development and commercialization of innovative medicines for people living central nervous system (“CNS”) conditions.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124" w:lineRule="exact"/>
        <w:rPr>
          <w:sz w:val="20"/>
          <w:szCs w:val="20"/>
          <w:color w:val="auto"/>
        </w:rPr>
      </w:pPr>
    </w:p>
    <w:p>
      <w:pPr>
        <w:ind w:left="1020" w:right="20" w:hanging="503"/>
        <w:spacing w:after="0" w:line="245" w:lineRule="auto"/>
        <w:tabs>
          <w:tab w:leader="none" w:pos="10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Auvelity</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Auvelity (dextromethorphan-bupropion) is a novel, oral, N-methyl-D-aspartate (NMDA) receptor antagonist, sigma-1 receptor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agonist, aminoketone, and CYP2D6 inhibitor. Auvelity was developed by the Company and approved by the FDA for the treatment of major depressive disorder (MDD) in adults in August 2022. We initiated the commercial launch of Auvelity in the United States in October 2022. We refer to the proprietary dextromethorphan-bupropion formulation contained in Auvelity as AXS-05. As used in this report, “Auvelity” refers to AXS-05 approved by the FDA for the treatment of MDD in adults, and “AXS-05” refers to, where applicable, Auvelity as well as AXS-05 for the treatment of indications beyond MDD in adults.</w:t>
      </w:r>
    </w:p>
    <w:p>
      <w:pPr>
        <w:spacing w:after="0" w:line="92" w:lineRule="exact"/>
        <w:rPr>
          <w:rFonts w:ascii="Times New Roman" w:cs="Times New Roman" w:eastAsia="Times New Roman" w:hAnsi="Times New Roman"/>
          <w:sz w:val="18"/>
          <w:szCs w:val="18"/>
          <w:b w:val="1"/>
          <w:bCs w:val="1"/>
          <w:i w:val="1"/>
          <w:iCs w:val="1"/>
          <w:color w:val="auto"/>
        </w:rPr>
      </w:pPr>
    </w:p>
    <w:p>
      <w:pPr>
        <w:ind w:left="1020" w:right="20" w:hanging="503"/>
        <w:spacing w:after="0" w:line="243" w:lineRule="auto"/>
        <w:tabs>
          <w:tab w:leader="none" w:pos="10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Sunosi</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Sunosi (solriamfetol) is a novel, oral, dopamine and norepinephrine reuptake inhibitor (DNRI), trace amine-associated receptor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(TAAR1) agonist, and 5-HT</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xml:space="preserve"> agonist. Sunosi was approved for the treatment of EDS in adult patients with narcolepsy or obstructive sleep apnea (OSA) by the FDA in 2019 and by the European Commission in 2020. We acquired the U.S. rights to Sunosi from Jazz Pharmaceuticals plc, or Jazz, in May 2022 and the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entered into a licensing agreement, or the Pharmanovia License Agreement, with Atnahs Pharma UK Limited, or Pharmanovia, that granted to Pharmanovia the exclusive right to market Sunosi in Europe and certain countries in the Middle East and North Africa, referred to as the Licensed Territory. As used in this report, “Sunosi” refers to solriamfetol approved for the treatment of EDS in patients with narcolepsy or OSA, and “solriamfetol” refers to, where applicable, Sunosi as well as solriamfetol for the treatment of indications beyond EDS in patients with narcolepsy or OSA.</w:t>
      </w:r>
    </w:p>
    <w:p>
      <w:pPr>
        <w:spacing w:after="0" w:line="93" w:lineRule="exact"/>
        <w:rPr>
          <w:rFonts w:ascii="Times New Roman" w:cs="Times New Roman" w:eastAsia="Times New Roman" w:hAnsi="Times New Roman"/>
          <w:sz w:val="18"/>
          <w:szCs w:val="18"/>
          <w:b w:val="1"/>
          <w:bCs w:val="1"/>
          <w:i w:val="1"/>
          <w:iCs w:val="1"/>
          <w:color w:val="auto"/>
        </w:rPr>
      </w:pPr>
    </w:p>
    <w:p>
      <w:pPr>
        <w:ind w:left="1020" w:right="120" w:hanging="503"/>
        <w:spacing w:after="0" w:line="226" w:lineRule="auto"/>
        <w:tabs>
          <w:tab w:leader="none" w:pos="10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Symbravo</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Symbravo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meloxicam-rizatriptan) is a novel, oral, rapidly absorbed, multi-mechanistic, selective COX-2 inhibitor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5-HT</w:t>
      </w:r>
      <w:r>
        <w:rPr>
          <w:rFonts w:ascii="Times New Roman" w:cs="Times New Roman" w:eastAsia="Times New Roman" w:hAnsi="Times New Roman"/>
          <w:sz w:val="24"/>
          <w:szCs w:val="24"/>
          <w:color w:val="auto"/>
          <w:vertAlign w:val="subscript"/>
        </w:rPr>
        <w:t>1B/1D</w:t>
      </w:r>
      <w:r>
        <w:rPr>
          <w:rFonts w:ascii="Times New Roman" w:cs="Times New Roman" w:eastAsia="Times New Roman" w:hAnsi="Times New Roman"/>
          <w:sz w:val="18"/>
          <w:szCs w:val="18"/>
          <w:color w:val="auto"/>
        </w:rPr>
        <w:t xml:space="preserve"> agonist. Symbravo was developed by the Company and approved by the FDA for the acute treatment of migraine with or without aura in adults in January 2025. We initiated the commercial launch of Symbravo in the United States in June 2025.</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advancing a diversified, late-stage pipeline of novel product candidates for serious neurological and psychiatric conditions.</w:t>
      </w:r>
    </w:p>
    <w:p>
      <w:pPr>
        <w:spacing w:after="0" w:line="22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AXS-05 (dextromethorphan-bupropion) is a novel, oral, investigational NMDA receptor antagonist, sigma-1 receptor agonist, aminoketone, and CYP2D6 inhibitor being developed for the treatment of Alzheimer’s disease agitation, or AD agitation, and smoking cessation. AXS-05 utilizes a proprietary formulation and dose of dextromethorphan and bupropion, and Axsome’s metabolic inhibition technology, to modulate the delivery of the components. We have submitted a supplemental NDA (sNDA) to the FDA for AXS-05 in AD agitation supported by four completed Phase 3, placebo-controlled efficacy trials and a long-term safety trial. AXS-05 has been granted FDA Breakthrough Therapy designation for AD agitation.</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Solriamfetol is a novel, oral, investigational DNRI, TAAR1 agonist, and 5-HT1A agonist being developed for the treatment of attention deficit hyperactivity disorder (“ADHD”), major depressive disorder (MDD) with EDS, binge eating disorder (“BED”) and excessive sleepiness associated with shift work disorder (“SWD”). In March 2025, we announced topline results from the FOCUS Phase 3 trial of solriamfetol in ADHD in adults, and in April 2025, we announced topline results from the PARADIGM Phase 3 trial of solriamfetol in MDD. Enrollment for the ENGAGE and SUSTAIN Phase 3 trials of solriamfetol in BED and SWD, respectively, are ongoing.</w:t>
      </w:r>
    </w:p>
    <w:p>
      <w:pPr>
        <w:spacing w:after="0" w:line="183"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AXS-12 (reboxetine) is a novel, oral, investigational, highly selective and potent norepinephrine reuptake inhibitor and cortical dopamine modulator being developed for the treatment of narcolepsy. We have successfully completed three Phase 2 and Phase 3, placebo-controlled efficacy trials and a long-term safety trial. AXS-12 has been granted FDA Orphan Drug Designation for narcolepsy.</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AXS-14 (esreboxetine) is a novel, oral, investigational, highly selective and potent norepinephrine reuptake inhibitor being developed for the management of fibromyalgia. Esreboxetine, the SS-enantiomer of reboxetine, is more potent and selective than racemic reboxetine. In May 2025, we announced that we submitted an NDA to the FDA for AXS-14 for the management of fibromyalgia. In June 2025, we received a Refusal to File letter from the FDA for the NDA. To address the FDA’s feedback, Axsome will conduct an additional controlled trial, which will use a fixed-dose paradigm and a 12-week primary endpoint as requested by the FDA.</w:t>
      </w:r>
    </w:p>
    <w:p>
      <w:pPr>
        <w:spacing w:after="0" w:line="183"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engaging in other discovery and preclinical activities, and the commercial launches of Auvelity, Sunosi, and Symbravo. Subsequent to our IPO, we financed our operations primarily through proceeds from sales of our common stock to equity investors and debt borrowings. For a further discussion, see the section entitled “Liquidity and Capital Resources” below.</w:t>
      </w:r>
    </w:p>
    <w:p>
      <w:pPr>
        <w:spacing w:after="0" w:line="180"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We have begun commercial sales of Auvelity, Sunosi, and Symbravo, but we have limited experience with commercializing these, or any, products.</w:t>
      </w:r>
    </w:p>
    <w:p>
      <w:pPr>
        <w:spacing w:after="0" w:line="16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and net losses since inception. We incurred net losses of $154.6 million and $212.3 million for the nine months ended September 30, 2025 and 2024, respectively. Our accumulated deficit as of September 30, 2025 was $1,277.4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We generated total revenues of $171.0 million and $104.8 million in the three months ended September 30, 2025 and 2024, respectively, and $442.5 million and $266.9 million in the nine months ended September 30, 2025 and 2024, respectively.</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expect that Auvelity, Sunosi, and Symbravo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In February 2023, we entered into the Pharmanovia License Agreement with Pharmanovia to commercialize and further develop Sunosi in the Territory. Pharmanovia is a UK-based global life cycle management healthcare company that focuses on four core therapeutic areas – Oncology, Endocrinology, Neurology and Cardiovascular.</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are eligible to receive sales-based and other milestone payments totaling up to €94.5 million. We will receive a royalty percentage in the mid-twenties on net sales of the Licensed Products (as defined in the Pharmanovia License Agreement) in the Territory. We recognized royalty revenue of $1.2 million and $1.0 million for the three months ended September 30, 2025 and 2024, respectively, and $3.4 million and $2.6 million for the nine months ended September 30, 2025 and 2024, respectively, related to Pharmanovia’s sales of Sunosi.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60" w:firstLine="749"/>
        <w:spacing w:after="0" w:line="220" w:lineRule="exact"/>
        <w:rPr>
          <w:sz w:val="20"/>
          <w:szCs w:val="20"/>
          <w:color w:val="auto"/>
        </w:rPr>
      </w:pPr>
      <w:r>
        <w:rPr>
          <w:rFonts w:ascii="Times New Roman" w:cs="Times New Roman" w:eastAsia="Times New Roman" w:hAnsi="Times New Roman"/>
          <w:sz w:val="18"/>
          <w:szCs w:val="18"/>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0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have and will incur substantial costs beyond our present and planned clinical trials in order to file an NDA for any of our product candidates. It is difficult to determine with certainty the costs and duration of our current or future clinical trials and preclinical studies, or to what extent we will generate revenue from the commercialization and sale of Auvelity, Sunosi, Symbravo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 for Variable Consideration</w:t>
      </w:r>
    </w:p>
    <w:p>
      <w:pPr>
        <w:spacing w:after="0" w:line="227"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Program Redesign </w:t>
      </w:r>
      <w:r>
        <w:rPr>
          <w:rFonts w:ascii="Times New Roman" w:cs="Times New Roman" w:eastAsia="Times New Roman" w:hAnsi="Times New Roman"/>
          <w:sz w:val="18"/>
          <w:szCs w:val="18"/>
          <w:color w:val="auto"/>
        </w:rPr>
        <w:t>- Effective January 1, 2025, the Medicare Part D coverage gap program was replaced with a redesigned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We estimate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spacing w:after="0" w:line="184"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Except for the Medicare Part D Program Redesign, as discussed above, there have been no material changes to the critical accounting policies disclosed in our 2024 Annual Report on Form 10-K. Our critical accounting policies are described in the notes to the consolidated financial statements appearing elsewhere in this Quarterly Report on Form 10-Q.</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169,784</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103,736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439,101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264,352</w:t>
            </w:r>
          </w:p>
        </w:tc>
      </w:tr>
      <w:tr>
        <w:trPr>
          <w:trHeight w:val="216"/>
        </w:trPr>
        <w:tc>
          <w:tcPr>
            <w:tcW w:w="5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3,396</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2,575</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170,992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104,762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442,497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266,927</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35,149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22,789</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40,162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45,388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134,488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132,071</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150,235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95,564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401,302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298,088</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13,185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16,391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6,595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17,139</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4,768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4,785</w:t>
            </w: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217,101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167,386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582,302</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474,872</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(207,945)</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(155,575)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(212,304)</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(154,615)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(212,304)</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1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(3.13)</w:t>
            </w:r>
          </w:p>
        </w:tc>
        <w:tc>
          <w:tcPr>
            <w:tcW w:w="3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(4.45)</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2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50,021,851</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48,140,519</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49,449,220</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47,703,508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-2322195</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-2322195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-2322195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-1199515</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-1199515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-1199515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-350520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-333375</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-350520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-333375</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-350520</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-333375</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6" w:lineRule="exact"/>
        <w:rPr>
          <w:sz w:val="20"/>
          <w:szCs w:val="20"/>
          <w:color w:val="auto"/>
        </w:rPr>
      </w:pPr>
    </w:p>
    <w:p>
      <w:pPr>
        <w:ind w:right="16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sales, net. </w:t>
      </w:r>
      <w:r>
        <w:rPr>
          <w:rFonts w:ascii="Times New Roman" w:cs="Times New Roman" w:eastAsia="Times New Roman" w:hAnsi="Times New Roman"/>
          <w:sz w:val="18"/>
          <w:szCs w:val="18"/>
          <w:color w:val="auto"/>
        </w:rPr>
        <w:t>Auvelity U.S. net sales were $136.1 million and $352.0 million for the three and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$80.4 million and $198.8 million for the same periods in 2024. Sunosi net sales were $31.6 million and $84.6 million for the three and nine months ended September 30, 2025, respectively, as compared to $23.4 million and $65.6 million for the same periods in 2024. We began commercial sales of Symbravo in June 2025 and had U.S. net sales of $2.1 million and $2.5 million for the three and nine months ended September 30, 2025. There were no Symbravo sales recorded in 2024, which reflects the timing of the Symbravo approval and launch. The increases in both comparable periods were primarily due to the increase in unit sales volume for both Auvelity and Sunosi, and commercial launch of Symbravo in June 2025.</w:t>
      </w:r>
    </w:p>
    <w:p>
      <w:pPr>
        <w:spacing w:after="0" w:line="184"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of our sales allowance and reserves as of and for the nine months ended September 30, 2025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80" w:type="dxa"/>
            <w:vAlign w:val="bottom"/>
          </w:tcPr>
          <w:p>
            <w:pPr>
              <w:spacing w:after="0"/>
              <w:rPr>
                <w:sz w:val="12"/>
                <w:szCs w:val="12"/>
                <w:color w:val="auto"/>
              </w:rPr>
            </w:pPr>
          </w:p>
        </w:tc>
        <w:tc>
          <w:tcPr>
            <w:tcW w:w="12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Cash discounts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Medicaid and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rebates, returns</w:t>
            </w: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chargebacks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Medicare rebates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Payments/credits</w:t>
            </w: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(238,407)</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(98,919)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(32,830)</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(370,156)</w:t>
            </w:r>
          </w:p>
        </w:tc>
        <w:tc>
          <w:tcPr>
            <w:tcW w:w="0" w:type="dxa"/>
            <w:vAlign w:val="bottom"/>
          </w:tcPr>
          <w:p>
            <w:pPr>
              <w:spacing w:after="0"/>
              <w:rPr>
                <w:sz w:val="1"/>
                <w:szCs w:val="1"/>
                <w:color w:val="auto"/>
              </w:rPr>
            </w:pPr>
          </w:p>
        </w:tc>
      </w:tr>
      <w:tr>
        <w:trPr>
          <w:trHeight w:val="210"/>
        </w:trPr>
        <w:tc>
          <w:tcPr>
            <w:tcW w:w="3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9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85,248</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54,220</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158,809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-1216660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-1216660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Royalty revenue. </w:t>
      </w:r>
      <w:r>
        <w:rPr>
          <w:rFonts w:ascii="Times New Roman" w:cs="Times New Roman" w:eastAsia="Times New Roman" w:hAnsi="Times New Roman"/>
          <w:sz w:val="18"/>
          <w:szCs w:val="18"/>
          <w:color w:val="auto"/>
        </w:rPr>
        <w:t>In connection with the February 2023 Pharmanovia License Agreement to commercialize Sunosi in certain ex-U.S. markets,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royalty revenue of $1.2 million and $3.4 million for the three and nine months ended September 30, 2025, respectively, as compared to $1.0 million and $2.6 million for the same periods in 2024 attributable to Pharmanovia sales of Sunosi in the out-licensed markets. The increases in both comparable periods were in line with the increase in unit sales volume of Sunosi in certain ex-U.S. markets.</w:t>
      </w:r>
    </w:p>
    <w:p>
      <w:pPr>
        <w:spacing w:after="0" w:line="180" w:lineRule="exact"/>
        <w:rPr>
          <w:sz w:val="20"/>
          <w:szCs w:val="20"/>
          <w:color w:val="auto"/>
        </w:rPr>
      </w:pPr>
    </w:p>
    <w:p>
      <w:pPr>
        <w:ind w:right="1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$11.9 million and $35.1 million for the three and nine months ended September 30, 2025, respectively,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$8.4 million and $22.8 million for the same periods in 2024. The increase was in line with the increase in sales of Auvelity and Sunosi, and commercial launch of Symbravo in June 2025.</w:t>
      </w:r>
    </w:p>
    <w:p>
      <w:pPr>
        <w:spacing w:after="0" w:line="173" w:lineRule="exact"/>
        <w:rPr>
          <w:sz w:val="20"/>
          <w:szCs w:val="20"/>
          <w:color w:val="auto"/>
        </w:rPr>
      </w:pPr>
    </w:p>
    <w:p>
      <w:pPr>
        <w:ind w:right="1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expenses for our primary products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2025 and 2024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Solriamfetol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9,518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13,711</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32,094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37,908</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AXS-05</w:t>
            </w:r>
          </w:p>
        </w:tc>
        <w:tc>
          <w:tcPr>
            <w:tcW w:w="14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42,896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44,090</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AXS-07</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4,825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2,512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15,379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9,457</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AXS-12</w:t>
            </w:r>
          </w:p>
        </w:tc>
        <w:tc>
          <w:tcPr>
            <w:tcW w:w="14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7,035</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AXS-14</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3,516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5,951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9,886</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 (*)</w:t>
            </w:r>
          </w:p>
        </w:tc>
        <w:tc>
          <w:tcPr>
            <w:tcW w:w="14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4,744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8,186</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6,807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5,869</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20,207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15,509</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40,162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45,388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134,488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132,071</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research and development expenses primarily consist of facilities charges, third party consultant costs, costs related to other product candidates, and other unallocated costs.</w:t>
      </w:r>
    </w:p>
    <w:p>
      <w:pPr>
        <w:spacing w:after="0" w:line="20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by $5.2 million and increased by $2.4 million for the three and nine months ended September 30, 2025, respectively, as compared to the same periods in 2024. The decrease in the three months ended comparable period was due to the completion of trials for solriamfetol in ADHD and MDD and a refund of a regulatory filing fee related to AXS-14, partially offset by ongoing supplier validation costs for AXS-07. The increase in the nine months ended comparable period was due to the ongoing supplier validation costs for AXS-07, partially offset by lower spending due to completion of trials for MDD and ADHD for solriamfetol. We expect research and development costs to moderately increase through the end of 2025 and into 2026 as new development programs commence while certain development programs near completion.</w:t>
      </w:r>
    </w:p>
    <w:p>
      <w:pPr>
        <w:spacing w:after="0" w:line="185" w:lineRule="exact"/>
        <w:rPr>
          <w:sz w:val="20"/>
          <w:szCs w:val="20"/>
          <w:color w:val="auto"/>
        </w:rPr>
      </w:pPr>
    </w:p>
    <w:p>
      <w:pPr>
        <w:ind w:right="16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$150.2 million and $401.3 million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respectively, as compared to $95.6 million and $298.1 million for the same periods in 2024. The increases in both comparable periods were related to higher commercial activities for Auvelity, including a sales force expansion and a national direct-to-consumer advertising campaign, commercial launch of Symbravo, and higher personnel costs related to organizational growth, including non-cash stock-based compensation. We anticipate modest growth in SG&amp;A expenses through 2025 and into 2026 as we increase marketing and promotional spending for Auvelity.</w:t>
      </w:r>
    </w:p>
    <w:p>
      <w:pPr>
        <w:spacing w:after="0" w:line="182" w:lineRule="exact"/>
        <w:rPr>
          <w:sz w:val="20"/>
          <w:szCs w:val="20"/>
          <w:color w:val="auto"/>
        </w:rPr>
      </w:pPr>
    </w:p>
    <w:p>
      <w:pPr>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in Fair Value of Contingent Consideration. </w:t>
      </w:r>
      <w:r>
        <w:rPr>
          <w:rFonts w:ascii="Times New Roman" w:cs="Times New Roman" w:eastAsia="Times New Roman" w:hAnsi="Times New Roman"/>
          <w:sz w:val="18"/>
          <w:szCs w:val="18"/>
          <w:color w:val="auto"/>
        </w:rPr>
        <w:t>The $13.2 million and $6.6 million changes for the three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as compared to $16.4 million and $17.1 million changes for the same periods in 2024, were primarily related to changes in significant unobservable inputs, including discount rates.</w:t>
      </w:r>
    </w:p>
    <w:p>
      <w:pPr>
        <w:spacing w:after="0" w:line="173" w:lineRule="exact"/>
        <w:rPr>
          <w:sz w:val="20"/>
          <w:szCs w:val="20"/>
          <w:color w:val="auto"/>
        </w:rPr>
      </w:pPr>
    </w:p>
    <w:p>
      <w:pPr>
        <w:ind w:right="1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We amortize the intangible asset, which we recognized as part of the Acquisition, over its useful life of 10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 amortization was $1.6 million for both the three months ended September 30, 2025 and 2024 and $4.8 million for both the nine months ended September 30, 2025 and 2024.</w:t>
      </w:r>
    </w:p>
    <w:p>
      <w:pPr>
        <w:spacing w:after="0" w:line="173"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$1.1 million and $5.4 million for the three and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$2.0 million and $4.4 million for the same periods in 2024. The decrease in the three months ended comparable period was due to the lower interest expense from the Blackstone Loan Agreement, which was partially offset by less interest income on lower cash balances. The increase in the nine months ended comparable period was mainly due to less interest income on lower cash balances.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did not record an income tax expense or benefit for the three months ended September 30, 2025. We recorded a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of $1.0 million for the nine months ended September 30, 2025 due to favorable return-to-provision adjustments attributable to certain foreign tax returns filed during July 2025 that were recorded as a discrete tax benefit in the second quarter of 2025. We did not record an income tax benefit or expense for the same periods in 2024.</w:t>
      </w:r>
    </w:p>
    <w:p>
      <w:pPr>
        <w:spacing w:after="0" w:line="180"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was $47.2 million and $154.6 million for the three and nine months ended September 30, 2025, respectively,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$64.6 million and $212.3 million for the same periods in 2024. The decreases in both comparable periods were primarily due to higher sales which was partially offset by higher research and development spend from ongoing clinical trial expenses, higher selling, general and administrative expenses from commercial activities related to Auvelity and Symbravo, including sales force and marketing spend, and higher personnel costs due to organizational growth, including non-cash stock compensation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Since our inception through September 30, 2025, we have financed our operations primarily through proceeds from equity offerings, debt borrowings, and proceeds from product sales. See discussion below.</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Contemporaneously herewith, we filed an automatic shelf registration statement with the SEC for the issuance of common stock, preferred stock, warrants, rights, debt securities, and units up to an unlimited amount, which we refer to as the 2025 Shelf Registration Statement. In the future, we may conduct additional offerings of one or more of these securities utilizing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Also contemporaneously herewith, in connection with the 2025 Shelf Registration Statement, we filed a new sales agreement prospectus to replace the prior prospectus supplement filed in December 2022 associated with the 2022 Shelf Registration Statement, which would have expired in December 2025. The new sales agreement prospectus covered the issuance and sale by us of up to the same $250 million of our common stock that may be issued and sold from time to time through Leerink, as the sales agent, under the March 2022 Sales Agreement.</w:t>
      </w:r>
    </w:p>
    <w:p>
      <w:pPr>
        <w:spacing w:after="0" w:line="180"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In March 2022, we entered into a sales agreement, or the March 2022 Sales Agreement with Leerink, and filed a prospectus supplement. The March 2022 Sales Agreement supersedes the sales agreement, dated December 5, 2019, by and between us and Leerink. We exhausted sales of shares of our common stock under our prior at-the-market offering program.</w:t>
      </w:r>
    </w:p>
    <w:p>
      <w:pPr>
        <w:spacing w:after="0" w:line="17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Under the March 2022 Sales Agreement, for the nine months ended September 30, 2025, we received approximately $47.2 million in gross proceeds through the sale of 411,482 shares, of which net proceeds were approximately $46.3 million.</w:t>
      </w:r>
    </w:p>
    <w:p>
      <w:pPr>
        <w:spacing w:after="0" w:line="162"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future, we may conduct additional offerings of one or more of the securities covered by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On February 21, 2023, we entered into a Sublease with Advance Magazine Publishers d/b/a Conde Nast for the entirety of the twenty-second floor of One Word Trade Center in New York, NY, or the Initial Sublease.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January 17, 2025, we entered into an Amendment to our Sublease, or First Amendment, pursuant to which we relinquished our then existing space in One World Trade Center and commenced occupancy of different space within the building. This space is utilized as our corporate and executive offices. The First Amendment extends the Initial Sublease expiration date to January 31, 2036. We now have a one-time option to terminate the Sublease effective March 30, 2031 upon the payment of a fee to the sublandlord. The Company is responsible for base rent under the Sublease and certain additional customary variable costs, such as an allocable portion of building taxes and operating expenses. In connection with the Initial Sublease and First Amendment, we received certain rent and work concessions from the sublandlord.</w:t>
      </w:r>
    </w:p>
    <w:p>
      <w:pPr>
        <w:spacing w:after="0" w:line="187" w:lineRule="exact"/>
        <w:rPr>
          <w:sz w:val="20"/>
          <w:szCs w:val="20"/>
          <w:color w:val="auto"/>
        </w:rPr>
      </w:pPr>
    </w:p>
    <w:p>
      <w:pPr>
        <w:ind w:right="100" w:firstLine="794"/>
        <w:spacing w:after="0" w:line="266"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See Note 9. Commitments and Contingencies for further information on future contractual obligations.</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described below in the “Loan Agreement with Blackstone” section, on May 8, 2025, we entered into a loan agreement (the “Blackstone Loan Agreement”) with Blackstone Alternative Credit Advisors LP and Blackstone Life Sciences Advisors L.L.C. (collectively, the “Blackstone Representative” and referred to herein as “Blackstone”), certain subsidiaries of our party thereto as guarantors, Wilmington Trust, National Association, as agent, and the lenders from time to time party thereto (collectively, the “Lenders”). The Blackstone Loan Agreement provides for Loans in an aggregate principal amount of up to $570.0 million.</w:t>
      </w:r>
    </w:p>
    <w:p>
      <w:pPr>
        <w:spacing w:after="0" w:line="183"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 May 8, 2025, we repaid in full our obligations under the Hercules Loan Agreement using proceeds from the Blackstone Loan Agreement. As of September 30, 2025, there are no outstanding obligations under the Hercules Loan Agreement.</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500" w:type="dxa"/>
            <w:vAlign w:val="bottom"/>
            <w:tcBorders>
              <w:bottom w:val="single" w:sz="8" w:color="auto"/>
            </w:tcBorders>
            <w:gridSpan w:val="5"/>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7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(74,752)</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(102,208)</w:t>
            </w: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85,080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43,596</w:t>
            </w: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7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9,919</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(58,852)</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ind w:right="1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nine months ended September 30, 2025 was $74.8 million, as compared to $102.2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2024. The decrease of $27.4 million was primarily due to higher net product revenues from Auvelity and Sunosi in 2025, which was partially offset by an increase in cash used in commercial and clinical related activities.</w:t>
      </w:r>
    </w:p>
    <w:p>
      <w:pPr>
        <w:spacing w:after="0" w:line="173" w:lineRule="exact"/>
        <w:rPr>
          <w:sz w:val="20"/>
          <w:szCs w:val="20"/>
          <w:color w:val="auto"/>
        </w:rPr>
      </w:pPr>
    </w:p>
    <w:p>
      <w:pPr>
        <w:jc w:val="both"/>
        <w:ind w:right="2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nine months ended September 30, 2025 was $409 thousand, as compared to $240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for the same period in 2024. The increase was attributable to additional equipment purchases in 2025 to support our expanded office space and workforce.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$85.1 million for the nine months ended September 30, 2025, which included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$256.4 million from draw-downs related to the Blackstone Loans and net proceeds of $61.1 million from issuance of common stock for financing purposes as well as proceeds of $44.2 million from the issuance of common stock upon the exercise of employee stock options and under the ESPP, which was partially offset by the repayment of the Hercules Loan and revolving loan commitments under the Blackstone Loan Agreement, for a total of $262.0 million, and payments of contingent consideration and tax withholdings on stock awards, for a total of $13.1 million. Cash provided by financing activities was $43.6 million for the nine months ended September 30, 2024, which included net proceeds of $23.9 million from issuance of common stock for financing purposes as well as proceeds of $29.5 million from the issuance of common stock upon the exercise of employee stock options and under the ESPP, which was partially offset by payments of contingent consideration and tax withholdings on stock awards, for a total of $9.2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have losses as we continue the development of, and seek regulatory approvals for, our product candidates, while further investing in Auvelity, Sunosi, and Symbravo. We are subject to all of the risks pertinent to the development of new product candidates, and we may encounter unforeseen expenses, difficulties, complications, delays, and other unknown factors that may harm our business.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3"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and development requirements of any other product candidates that we pursue;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timing, and outcome of regulatory reviews of our product candidates;</w:t>
      </w:r>
    </w:p>
    <w:p>
      <w:pPr>
        <w:spacing w:after="0" w:line="225" w:lineRule="exact"/>
        <w:rPr>
          <w:rFonts w:ascii="Times New Roman" w:cs="Times New Roman" w:eastAsia="Times New Roman" w:hAnsi="Times New Roman"/>
          <w:sz w:val="16"/>
          <w:szCs w:val="16"/>
          <w:color w:val="auto"/>
        </w:rPr>
      </w:pPr>
    </w:p>
    <w:p>
      <w:pPr>
        <w:ind w:left="760" w:right="460" w:hanging="378"/>
        <w:spacing w:after="0" w:line="282"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and timing of our commercialization activities, including product manufacturing, marketing, sales, and distribution, for any of our products and product candidates for which we receive marketing approval;</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expenses needed to attract and retain skilled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revenue received from commercial sales of our products and product candidates for which we receive marketing approval; and</w:t>
      </w:r>
    </w:p>
    <w:p>
      <w:pPr>
        <w:spacing w:after="0" w:line="225" w:lineRule="exact"/>
        <w:rPr>
          <w:rFonts w:ascii="Times New Roman" w:cs="Times New Roman" w:eastAsia="Times New Roman" w:hAnsi="Times New Roman"/>
          <w:sz w:val="16"/>
          <w:szCs w:val="16"/>
          <w:color w:val="auto"/>
        </w:rPr>
      </w:pPr>
    </w:p>
    <w:p>
      <w:pPr>
        <w:ind w:left="760" w:right="580" w:hanging="378"/>
        <w:spacing w:after="0" w:line="239" w:lineRule="exact"/>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70"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Please see “Risk Factors” for additional risks associated with our substantial capital requirements.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Pfizer</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18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Antecip Bioventures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Under three exclusive license agreements with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Blackstone Loan Agreement (see below), Antecip consented to the collateral assignment of one of the license agreements, among other things, under a direct agreement among us, Antecip and Blackstone.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 with Blackstone</w:t>
      </w:r>
    </w:p>
    <w:p>
      <w:pPr>
        <w:spacing w:after="0" w:line="227" w:lineRule="exact"/>
        <w:rPr>
          <w:sz w:val="20"/>
          <w:szCs w:val="20"/>
          <w:color w:val="auto"/>
        </w:rPr>
      </w:pPr>
    </w:p>
    <w:p>
      <w:pPr>
        <w:ind w:right="80" w:firstLine="749"/>
        <w:spacing w:after="0" w:line="252" w:lineRule="auto"/>
        <w:rPr>
          <w:sz w:val="20"/>
          <w:szCs w:val="20"/>
          <w:color w:val="auto"/>
        </w:rPr>
      </w:pPr>
      <w:r>
        <w:rPr>
          <w:rFonts w:ascii="Times New Roman" w:cs="Times New Roman" w:eastAsia="Times New Roman" w:hAnsi="Times New Roman"/>
          <w:sz w:val="18"/>
          <w:szCs w:val="18"/>
          <w:color w:val="auto"/>
        </w:rPr>
        <w:t>On May 8, 2025 (the “Closing Date”), we entered into a loan agreement (the “Blackstone Loan Agreement”) with Blackstone Alternative Credit Advisors LP and Blackstone Life Sciences Advisors L.L.C. (collectively, the “Blackstone Representative” and referred to herein as “Blackstone”), certain subsidiaries of ours party thereto as guarantors, Wilmington Trust, National Association, as agent, and the lenders from time to time party thereto (collectively,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our option, of which $90.0 million is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approximately $10.4 million in the Company’s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w:t>
      </w:r>
    </w:p>
    <w:p>
      <w:pPr>
        <w:spacing w:after="0" w:line="19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May 8, 2025, we repaid in full our obligations under the Hercules Loan Agreement using proceeds from the Blackstone Loan Agreement. As of September 30, 2025, there are no outstanding obligations under the Hercules Loan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8" w:lineRule="exact"/>
        <w:rPr>
          <w:sz w:val="20"/>
          <w:szCs w:val="20"/>
          <w:color w:val="auto"/>
        </w:rPr>
      </w:pPr>
    </w:p>
    <w:p>
      <w:pPr>
        <w:ind w:right="160" w:firstLine="749"/>
        <w:spacing w:after="0" w:line="223" w:lineRule="exact"/>
        <w:rPr>
          <w:sz w:val="20"/>
          <w:szCs w:val="20"/>
          <w:color w:val="auto"/>
        </w:rPr>
      </w:pPr>
      <w:r>
        <w:rPr>
          <w:rFonts w:ascii="Times New Roman" w:cs="Times New Roman" w:eastAsia="Times New Roman" w:hAnsi="Times New Roman"/>
          <w:sz w:val="18"/>
          <w:szCs w:val="18"/>
          <w:color w:val="auto"/>
        </w:rPr>
        <w:t>As of October 27, 2025, we had 816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$325.3 million and $315.4 million as of September 30, 2025 and December 31, 2024, respectively. The primary objective of our investment activities is to preserve principal and liquidity while maximizing income without significantly increasing risk. We do not enter into investments for trading or speculative purposes. Due to the short term nature of our investment portfolio and debt agreement, which use short term interest rates and the prime rate, respectively, we do not believe an immediate 100 basis point increase in interest rates would have a material effect on the fair market value of our portfolio or interest expense, and, accordingly, we do not expect our operating results or cash flows to be materially affected by a sudden change in market interest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contract with vendors and third-party manufacturers located in Europe and certain invoices are denominated in foreign currencies. Royalty revenues from Pharmanovia are derived from their sales of Sunosi in ex-U.S. markets and those sales are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3"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do not believe a 10% change in these currencies on September 30, 2025 would have had a material effect on our results of operations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principal executive officer and our principal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jc w:val="both"/>
        <w:ind w:right="320" w:firstLine="74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During the quarter ended September 30, 2025, there have been no changes in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controls over financial reporting that have materially affected, or are reasonably likely to materially affect, our internal control over financial reporting.</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7" w:lineRule="exact"/>
        <w:rPr>
          <w:sz w:val="20"/>
          <w:szCs w:val="20"/>
          <w:color w:val="auto"/>
        </w:rPr>
      </w:pPr>
    </w:p>
    <w:p>
      <w:pPr>
        <w:ind w:right="220" w:firstLine="749"/>
        <w:spacing w:after="0" w:line="246" w:lineRule="auto"/>
        <w:rPr>
          <w:sz w:val="20"/>
          <w:szCs w:val="20"/>
          <w:color w:val="auto"/>
        </w:rPr>
      </w:pPr>
      <w:r>
        <w:rPr>
          <w:rFonts w:ascii="Times New Roman" w:cs="Times New Roman" w:eastAsia="Times New Roman" w:hAnsi="Times New Roman"/>
          <w:sz w:val="18"/>
          <w:szCs w:val="18"/>
          <w:color w:val="auto"/>
        </w:rPr>
        <w:t>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we refer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then product candidates, AXS-07, now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named plaintiff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pacing w:after="0" w:line="193"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October 13, 2023, plaintiffs’ counsel filed a letter seeking leave to file an amended complaint and to substitute new plaintiffs. On January 22, 2024, the SDNY District Court granted that motion and ordered that the case name be changed to In re Axsome Therapeutics, Inc. Securities Litigation. On January 26, 2024, the replacement plaintiffs renewed their request for leave to file a proposed second amended complaint, and, on February 6, 2024, the SDNY District Court granted that request. Plaintiffs filed the second amended complaint on February 7, 2024. On March 11, 2024, the defendants moved to dismiss the second amended complaint. On March 31, 2025, the SDNY District Court entered an order granting in part and denying in part defendants’ motions to dismiss, dismissing plaintiffs’ claims against three of Axsome’s current and former officers and allowing the claims against the Company and two current officers to proceed. On October 27, 2025, the SDNY District Court preliminarily approved the terms of a settlement resolving the Securities Class Action. A settlement hearing is scheduled for February 10,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Action</w:t>
      </w:r>
    </w:p>
    <w:p>
      <w:pPr>
        <w:spacing w:after="0" w:line="227"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On July 21, 2022, Daniel Engel filed a stockholder derivative complaint captioned Engel v. Herriot Tabuteau, et al. in the SDNY District Court against the Company’s current directors, certain of the Company’s current and former officers, and the Company (as nominal defendant). On January 27, 2023, Kyle Guterba filed a stockholder derivative complaint captioned Guterba v. Tabuteau, et al. in the SDNY District Court against the Company’s current directors, certain of the Company’s current and former officers, and the Company (as nominal defendant). The SDNY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Securities Class Action.</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September 23, 2025, John Wickstrom filed a stockholder derivative complaint captioned Wickstrom v. Herriot Tabuteau, et al. in the Court of Chancery of the State of Delaware against the Company’s current directors, certain of the Company’s current and former officers, and the Company (as nominal defendant). On September 29, 2025, John Gildea filed a stockholder derivative complaint captioned Gildea v. Herriot Tabuteau, et al. in the Court of Chancery of the State of Delaware against the Company’s current directors, certain of the Company’s current and former officers, and the Company (as nominal defendant). The Delaware derivative complaints arise out of similar allegations as those made in the Securities Class Action and the SDNY derivative action. The plaintiffs assert claims for breach of fiduciary duties, unjust enrichment, and corporate waste against all of the defendants. The plaintiffs seek unspecified damages, fees, interest, and costs, as well as corporate governance changes.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Sunosi Paragraph IV Litigation</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On September 13, 2023, we commenced a patent infringement action against Hikma and five other drug companies relating to each defendant’s ANDA for Sunosi. This action is captioned </w:t>
      </w:r>
      <w:r>
        <w:rPr>
          <w:rFonts w:ascii="Times New Roman" w:cs="Times New Roman" w:eastAsia="Times New Roman" w:hAnsi="Times New Roman"/>
          <w:sz w:val="18"/>
          <w:szCs w:val="18"/>
          <w:i w:val="1"/>
          <w:iCs w:val="1"/>
          <w:color w:val="auto"/>
        </w:rPr>
        <w:t>Axsome Malta Ltd. &amp; Axsome Therapeutics, Inc. v. Alkem Laboratories Ltd., et al</w:t>
      </w:r>
      <w:r>
        <w:rPr>
          <w:rFonts w:ascii="Times New Roman" w:cs="Times New Roman" w:eastAsia="Times New Roman" w:hAnsi="Times New Roman"/>
          <w:sz w:val="18"/>
          <w:szCs w:val="18"/>
          <w:color w:val="auto"/>
        </w:rPr>
        <w:t xml:space="preserve">. No. 2:23-CV-20354 in the NJ District Court. We commenced related patent infringement actions against the defendants relating to their ANDAs on December 20, 2023, January 11, 2024, January 18, 2024, February 14, 2024, March 19, 2024 (2 actions filed), April 5, 2024, July 2, 2024, August 8, 2024, August 21, 2024, September 16, 2024, November 20, 2024 (4 actions filed), January 21, 2025, January 29, 2025, May 1, 2025, and August 15, 2025. Those actions are captioned </w:t>
      </w:r>
      <w:r>
        <w:rPr>
          <w:rFonts w:ascii="Times New Roman" w:cs="Times New Roman" w:eastAsia="Times New Roman" w:hAnsi="Times New Roman"/>
          <w:sz w:val="18"/>
          <w:szCs w:val="18"/>
          <w:i w:val="1"/>
          <w:iCs w:val="1"/>
          <w:color w:val="auto"/>
        </w:rPr>
        <w:t>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Malta Ltd. &amp; Axsome Therapeutics, Inc. v. Unichem Laboratories Ltd</w:t>
      </w:r>
      <w:r>
        <w:rPr>
          <w:rFonts w:ascii="Times New Roman" w:cs="Times New Roman" w:eastAsia="Times New Roman" w:hAnsi="Times New Roman"/>
          <w:sz w:val="18"/>
          <w:szCs w:val="18"/>
          <w:color w:val="auto"/>
        </w:rPr>
        <w:t>. No. 2:23-cv-23255;</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No 2:24-cv-00196;</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2:24-cv-00309;</w:t>
      </w:r>
      <w:r>
        <w:rPr>
          <w:rFonts w:ascii="Times New Roman" w:cs="Times New Roman" w:eastAsia="Times New Roman" w:hAnsi="Times New Roman"/>
          <w:sz w:val="18"/>
          <w:szCs w:val="18"/>
          <w:i w:val="1"/>
          <w:iCs w:val="1"/>
          <w:color w:val="auto"/>
        </w:rPr>
        <w:t xml:space="preserve"> Axsome Malta Ltd. &amp; Axsome Therapeutics, Inc. v. Sandoz, Inc</w:t>
      </w:r>
      <w:r>
        <w:rPr>
          <w:rFonts w:ascii="Times New Roman" w:cs="Times New Roman" w:eastAsia="Times New Roman" w:hAnsi="Times New Roman"/>
          <w:sz w:val="18"/>
          <w:szCs w:val="18"/>
          <w:color w:val="auto"/>
        </w:rPr>
        <w:t>. No. 2:24-cv-00860;</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xml:space="preserve">. No 2:24-cv-03999; </w:t>
      </w:r>
      <w:r>
        <w:rPr>
          <w:rFonts w:ascii="Times New Roman" w:cs="Times New Roman" w:eastAsia="Times New Roman" w:hAnsi="Times New Roman"/>
          <w:sz w:val="18"/>
          <w:szCs w:val="18"/>
          <w:i w:val="1"/>
          <w:iCs w:val="1"/>
          <w:color w:val="auto"/>
        </w:rPr>
        <w:t>Axsome Malta Ltd. &amp; Axsome Therapeutics, Inc. v. Aurobindo Pharma USA, Inc. et al</w:t>
      </w:r>
      <w:r>
        <w:rPr>
          <w:rFonts w:ascii="Times New Roman" w:cs="Times New Roman" w:eastAsia="Times New Roman" w:hAnsi="Times New Roman"/>
          <w:sz w:val="18"/>
          <w:szCs w:val="18"/>
          <w:color w:val="auto"/>
        </w:rPr>
        <w:t xml:space="preserve">. No. 2:24-cv-04002;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Alkem Laboratories Ltd., et al</w:t>
      </w:r>
      <w:r>
        <w:rPr>
          <w:rFonts w:ascii="Times New Roman" w:cs="Times New Roman" w:eastAsia="Times New Roman" w:hAnsi="Times New Roman"/>
          <w:sz w:val="18"/>
          <w:szCs w:val="18"/>
          <w:color w:val="auto"/>
        </w:rPr>
        <w:t>. No. 2:24-CV-04608;</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2-24-cv-07511;</w:t>
      </w:r>
      <w:r>
        <w:rPr>
          <w:rFonts w:ascii="Times New Roman" w:cs="Times New Roman" w:eastAsia="Times New Roman" w:hAnsi="Times New Roman"/>
          <w:sz w:val="18"/>
          <w:szCs w:val="18"/>
          <w:i w:val="1"/>
          <w:iCs w:val="1"/>
          <w:color w:val="auto"/>
        </w:rPr>
        <w:t xml:space="preserve"> Axsome Malta Ltd. &amp; Axsome Therapeutics, Inc. v. Alkem Laboratories Ltd.</w:t>
      </w:r>
      <w:r>
        <w:rPr>
          <w:rFonts w:ascii="Times New Roman" w:cs="Times New Roman" w:eastAsia="Times New Roman" w:hAnsi="Times New Roman"/>
          <w:sz w:val="18"/>
          <w:szCs w:val="18"/>
          <w:color w:val="auto"/>
        </w:rPr>
        <w:t>No. 2-24-cv-08365;</w:t>
      </w:r>
      <w:r>
        <w:rPr>
          <w:rFonts w:ascii="Times New Roman" w:cs="Times New Roman" w:eastAsia="Times New Roman" w:hAnsi="Times New Roman"/>
          <w:sz w:val="18"/>
          <w:szCs w:val="18"/>
          <w:i w:val="1"/>
          <w:iCs w:val="1"/>
          <w:color w:val="auto"/>
        </w:rPr>
        <w:t xml:space="preserve"> Axsome Malta Ltd. &amp; Axsome Therapeutics, Inc. v. Aurobindo Pharma USA, Inc. et al. </w:t>
      </w:r>
      <w:r>
        <w:rPr>
          <w:rFonts w:ascii="Times New Roman" w:cs="Times New Roman" w:eastAsia="Times New Roman" w:hAnsi="Times New Roman"/>
          <w:sz w:val="18"/>
          <w:szCs w:val="18"/>
          <w:color w:val="auto"/>
        </w:rPr>
        <w:t>No. 2-24-cv-08624;</w:t>
      </w:r>
      <w:r>
        <w:rPr>
          <w:rFonts w:ascii="Times New Roman" w:cs="Times New Roman" w:eastAsia="Times New Roman" w:hAnsi="Times New Roman"/>
          <w:sz w:val="18"/>
          <w:szCs w:val="18"/>
          <w:i w:val="1"/>
          <w:iCs w:val="1"/>
          <w:color w:val="auto"/>
        </w:rPr>
        <w:t xml:space="preserve"> Axsome Malta Ltd. &amp; Axsome Therapeutics, Inc. v. Alkem Laboratories Ltd. et al. </w:t>
      </w:r>
      <w:r>
        <w:rPr>
          <w:rFonts w:ascii="Times New Roman" w:cs="Times New Roman" w:eastAsia="Times New Roman" w:hAnsi="Times New Roman"/>
          <w:sz w:val="18"/>
          <w:szCs w:val="18"/>
          <w:color w:val="auto"/>
        </w:rPr>
        <w:t>No. 2-24-cv-09209;</w:t>
      </w:r>
      <w:r>
        <w:rPr>
          <w:rFonts w:ascii="Times New Roman" w:cs="Times New Roman" w:eastAsia="Times New Roman" w:hAnsi="Times New Roman"/>
          <w:sz w:val="18"/>
          <w:szCs w:val="18"/>
          <w:i w:val="1"/>
          <w:iCs w:val="1"/>
          <w:color w:val="auto"/>
        </w:rPr>
        <w:t xml:space="preserve"> Axsome Malta Ltd. &amp; Axsome Therapeutics, Inc. v. Alkem Laboratories Ltd. </w:t>
      </w:r>
      <w:r>
        <w:rPr>
          <w:rFonts w:ascii="Times New Roman" w:cs="Times New Roman" w:eastAsia="Times New Roman" w:hAnsi="Times New Roman"/>
          <w:sz w:val="18"/>
          <w:szCs w:val="18"/>
          <w:color w:val="auto"/>
        </w:rPr>
        <w:t>No. 2-24-cv-10617;</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No 2:24-cv-10618;</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2:24-cv-10619; </w:t>
      </w:r>
      <w:r>
        <w:rPr>
          <w:rFonts w:ascii="Times New Roman" w:cs="Times New Roman" w:eastAsia="Times New Roman" w:hAnsi="Times New Roman"/>
          <w:sz w:val="18"/>
          <w:szCs w:val="18"/>
          <w:i w:val="1"/>
          <w:iCs w:val="1"/>
          <w:color w:val="auto"/>
        </w:rPr>
        <w:t>Axsome Malta Ltd. &amp; Axsome Therapeutics, Inc. v. Hikma Pharmaceuticals USA Inc</w:t>
      </w:r>
      <w:r>
        <w:rPr>
          <w:rFonts w:ascii="Times New Roman" w:cs="Times New Roman" w:eastAsia="Times New Roman" w:hAnsi="Times New Roman"/>
          <w:sz w:val="18"/>
          <w:szCs w:val="18"/>
          <w:color w:val="auto"/>
        </w:rPr>
        <w:t xml:space="preserve">. No 2:24-cv-10620;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Aurobindo Pharma USA, Inc. et al</w:t>
      </w:r>
      <w:r>
        <w:rPr>
          <w:rFonts w:ascii="Times New Roman" w:cs="Times New Roman" w:eastAsia="Times New Roman" w:hAnsi="Times New Roman"/>
          <w:sz w:val="18"/>
          <w:szCs w:val="18"/>
          <w:color w:val="auto"/>
        </w:rPr>
        <w:t>. No 2:25-cv-00643;</w:t>
      </w:r>
      <w:r>
        <w:rPr>
          <w:rFonts w:ascii="Times New Roman" w:cs="Times New Roman" w:eastAsia="Times New Roman" w:hAnsi="Times New Roman"/>
          <w:sz w:val="18"/>
          <w:szCs w:val="18"/>
          <w:i w:val="1"/>
          <w:iCs w:val="1"/>
          <w:color w:val="auto"/>
        </w:rPr>
        <w:t xml:space="preserve"> Axsome Malta Ltd. et al v. Hetero USA Inc. et al</w:t>
      </w:r>
      <w:r>
        <w:rPr>
          <w:rFonts w:ascii="Times New Roman" w:cs="Times New Roman" w:eastAsia="Times New Roman" w:hAnsi="Times New Roman"/>
          <w:sz w:val="18"/>
          <w:szCs w:val="18"/>
          <w:color w:val="auto"/>
        </w:rPr>
        <w:t>. 2-25-cv-00801;</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2-25-cv-03721; and</w:t>
      </w:r>
      <w:r>
        <w:rPr>
          <w:rFonts w:ascii="Times New Roman" w:cs="Times New Roman" w:eastAsia="Times New Roman" w:hAnsi="Times New Roman"/>
          <w:sz w:val="18"/>
          <w:szCs w:val="18"/>
          <w:i w:val="1"/>
          <w:iCs w:val="1"/>
          <w:color w:val="auto"/>
        </w:rPr>
        <w:t xml:space="preserve"> Axsome Malta Ltd. et al v. Alkem Laboratories Ltd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2-25-cv-14694, respectively, all of which were filed in the NJ District Court.</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On June 4, 2024, Axsome and the Malta Subsidiary entered into a settlement agreement with Unichem Laboratories Ltd. (“Unichem”) under which agreement Unichem agreed not to launch its generic solriamfetol product until June 30, 2042, or earlier under certain circumstances. On August 21, 2024, Axsome and the Malta Subsidiary reached an agreement to dismiss the actions pending against Sandoz Inc. On September 25, 2024, Hikma Pharmaceuticals USA, Inc. (“Hikma”) filed a petition for Inter Partes Review of U.S. Patent No. 11,560,354 before the United States Patent and Trademark Office’s Patent Trial and Appeal Board. That petition is captioned </w:t>
      </w:r>
      <w:r>
        <w:rPr>
          <w:rFonts w:ascii="Times New Roman" w:cs="Times New Roman" w:eastAsia="Times New Roman" w:hAnsi="Times New Roman"/>
          <w:sz w:val="18"/>
          <w:szCs w:val="18"/>
          <w:i w:val="1"/>
          <w:iCs w:val="1"/>
          <w:color w:val="auto"/>
        </w:rPr>
        <w:t>Hikma Pharmaceuticals USA Inc. f/k/a West-Ward Pharmaceuticals Corp. v.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Malta Ltd</w:t>
      </w:r>
      <w:r>
        <w:rPr>
          <w:rFonts w:ascii="Times New Roman" w:cs="Times New Roman" w:eastAsia="Times New Roman" w:hAnsi="Times New Roman"/>
          <w:sz w:val="18"/>
          <w:szCs w:val="18"/>
          <w:color w:val="auto"/>
        </w:rPr>
        <w:t>. IPR2024-01418. On March 2, 2025, Axsome and the Malta Subsidiary entered into a settlement agreement with Hikma under which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Hikma agreed not to launch its generic solriamfetol product until September 1, 2040, if pediatric exclusivity is granted for Sunosi, or on or after March 1, 2040, if no pediatric exclusivity is granted, or earlier under certain circumstances. On March 6, 2025 the Malta Subsidiary and Hikma jointly requested that the PTAB dismiss IPR2024-01418. That request was granted on March 12, 2025. On May 21, 2025, Axsome and the Malta Subsidiary entered into a settlement with Hetero USA, Inc., Hetero Labs Limited Unit-V, and Hetero Labs Ltd. (collectively, “Hetero”) under which agreement Hetero agreed not to launch its generic solriamfetol product until September 1, 2040, if pediatric exclusivity is granted for Sunosi, or on or after March 1, 2040, if no pediatric exclusivity is granted, or earlier under certain circumstances. All other actions remain pending.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Symbravo Paragraph IV Litigation</w:t>
      </w:r>
    </w:p>
    <w:p>
      <w:pPr>
        <w:spacing w:after="0" w:line="22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 xml:space="preserve">On September 26, 2025, we commenced a patent infringement action against Apotex Inc. relating to Apotex’s ANDA for Symbravo. This action is captioned </w:t>
      </w:r>
      <w:r>
        <w:rPr>
          <w:rFonts w:ascii="Times New Roman" w:cs="Times New Roman" w:eastAsia="Times New Roman" w:hAnsi="Times New Roman"/>
          <w:sz w:val="18"/>
          <w:szCs w:val="18"/>
          <w:i w:val="1"/>
          <w:iCs w:val="1"/>
          <w:color w:val="auto"/>
        </w:rPr>
        <w:t>Axsome Therapeutics, Inc. v. Apotex, Inc.,</w:t>
      </w:r>
      <w:r>
        <w:rPr>
          <w:rFonts w:ascii="Times New Roman" w:cs="Times New Roman" w:eastAsia="Times New Roman" w:hAnsi="Times New Roman"/>
          <w:sz w:val="18"/>
          <w:szCs w:val="18"/>
          <w:color w:val="auto"/>
        </w:rPr>
        <w:t xml:space="preserve"> No. 1:25-CV-16038 in the NJ District Court.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and filed with the SEC on February 18, 2025. Investors should carefully consider all of the information set forth in this Quarterly Report on Form 10-Q, including the following risk factors, before deciding to invest in any of the Company’s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58" w:lineRule="exact"/>
        <w:rPr>
          <w:sz w:val="20"/>
          <w:szCs w:val="20"/>
          <w:color w:val="auto"/>
        </w:rPr>
      </w:pPr>
    </w:p>
    <w:p>
      <w:pPr>
        <w:ind w:left="760" w:right="220" w:hanging="378"/>
        <w:spacing w:after="0" w:line="286"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continue to have losses, and may never achieve or maintain profitability.</w:t>
      </w:r>
    </w:p>
    <w:p>
      <w:pPr>
        <w:spacing w:after="0" w:line="154" w:lineRule="exact"/>
        <w:rPr>
          <w:rFonts w:ascii="Times New Roman" w:cs="Times New Roman" w:eastAsia="Times New Roman" w:hAnsi="Times New Roman"/>
          <w:sz w:val="16"/>
          <w:szCs w:val="16"/>
          <w:color w:val="auto"/>
        </w:rPr>
      </w:pPr>
    </w:p>
    <w:p>
      <w:pPr>
        <w:ind w:left="760" w:right="38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0" w:lineRule="exact"/>
        <w:rPr>
          <w:rFonts w:ascii="Times New Roman" w:cs="Times New Roman" w:eastAsia="Times New Roman" w:hAnsi="Times New Roman"/>
          <w:sz w:val="18"/>
          <w:szCs w:val="18"/>
          <w:color w:val="auto"/>
        </w:rPr>
      </w:pPr>
    </w:p>
    <w:p>
      <w:pPr>
        <w:ind w:left="760" w:right="42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4" w:lineRule="exact"/>
        <w:rPr>
          <w:rFonts w:ascii="Times New Roman" w:cs="Times New Roman" w:eastAsia="Times New Roman" w:hAnsi="Times New Roman"/>
          <w:sz w:val="18"/>
          <w:szCs w:val="18"/>
          <w:color w:val="auto"/>
        </w:rPr>
      </w:pPr>
    </w:p>
    <w:p>
      <w:pPr>
        <w:ind w:left="760" w:right="60" w:hanging="378"/>
        <w:spacing w:after="0" w:line="26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Food and Drug Administration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6"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6" w:lineRule="exact"/>
        <w:rPr>
          <w:rFonts w:ascii="Times New Roman" w:cs="Times New Roman" w:eastAsia="Times New Roman" w:hAnsi="Times New Roman"/>
          <w:sz w:val="18"/>
          <w:szCs w:val="18"/>
          <w:color w:val="auto"/>
        </w:rPr>
      </w:pPr>
    </w:p>
    <w:p>
      <w:pPr>
        <w:ind w:left="760" w:right="160" w:hanging="378"/>
        <w:spacing w:after="0" w:line="28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4" w:lineRule="exact"/>
        <w:rPr>
          <w:rFonts w:ascii="Times New Roman" w:cs="Times New Roman" w:eastAsia="Times New Roman" w:hAnsi="Times New Roman"/>
          <w:sz w:val="18"/>
          <w:szCs w:val="18"/>
          <w:color w:val="auto"/>
        </w:rPr>
      </w:pPr>
    </w:p>
    <w:p>
      <w:pPr>
        <w:ind w:left="760" w:right="100" w:hanging="378"/>
        <w:spacing w:after="0" w:line="28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we may be unable to generate substantial product revenues.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right="20" w:hanging="378"/>
        <w:spacing w:after="0" w:line="259"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79"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or fail to generate potential revenues.</w:t>
      </w:r>
    </w:p>
    <w:p>
      <w:pPr>
        <w:spacing w:after="0" w:line="170" w:lineRule="exact"/>
        <w:rPr>
          <w:rFonts w:ascii="Times New Roman" w:cs="Times New Roman" w:eastAsia="Times New Roman" w:hAnsi="Times New Roman"/>
          <w:sz w:val="18"/>
          <w:szCs w:val="18"/>
          <w:color w:val="auto"/>
        </w:rPr>
      </w:pPr>
    </w:p>
    <w:p>
      <w:pPr>
        <w:ind w:left="760" w:right="74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4"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70" w:lineRule="exact"/>
        <w:rPr>
          <w:rFonts w:ascii="Times New Roman" w:cs="Times New Roman" w:eastAsia="Times New Roman" w:hAnsi="Times New Roman"/>
          <w:sz w:val="18"/>
          <w:szCs w:val="18"/>
          <w:color w:val="auto"/>
        </w:rPr>
      </w:pPr>
    </w:p>
    <w:p>
      <w:pPr>
        <w:ind w:left="760" w:right="20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0"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revenue and prospects for profitability may be limited.</w:t>
      </w:r>
    </w:p>
    <w:p>
      <w:pPr>
        <w:spacing w:after="0" w:line="170" w:lineRule="exact"/>
        <w:rPr>
          <w:rFonts w:ascii="Times New Roman" w:cs="Times New Roman" w:eastAsia="Times New Roman" w:hAnsi="Times New Roman"/>
          <w:sz w:val="18"/>
          <w:szCs w:val="18"/>
          <w:color w:val="auto"/>
        </w:rPr>
      </w:pPr>
    </w:p>
    <w:p>
      <w:pPr>
        <w:jc w:val="both"/>
        <w:ind w:left="760" w:right="12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0" w:lineRule="exact"/>
        <w:rPr>
          <w:rFonts w:ascii="Times New Roman" w:cs="Times New Roman" w:eastAsia="Times New Roman" w:hAnsi="Times New Roman"/>
          <w:sz w:val="18"/>
          <w:szCs w:val="18"/>
          <w:color w:val="auto"/>
        </w:rPr>
      </w:pPr>
    </w:p>
    <w:p>
      <w:pPr>
        <w:ind w:left="76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70" w:lineRule="exact"/>
        <w:rPr>
          <w:rFonts w:ascii="Times New Roman" w:cs="Times New Roman" w:eastAsia="Times New Roman" w:hAnsi="Times New Roman"/>
          <w:sz w:val="18"/>
          <w:szCs w:val="18"/>
          <w:color w:val="auto"/>
        </w:rPr>
      </w:pPr>
    </w:p>
    <w:p>
      <w:pPr>
        <w:ind w:left="760" w:right="40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continue to have losses, and may never achieve or maintain profitability.</w:t>
      </w:r>
    </w:p>
    <w:p>
      <w:pPr>
        <w:spacing w:after="0" w:line="24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Since inception, we have incurred significant operating losses. Our net loss was $154.6 million and $212.3 million for the nine months ended September 30, 2025 and 2024, respectively. As of September 30, 2025, we had an accumulated deficit of $1,277.4 million. In 2022, we commenced the commercial sale of Auvelity in the United States and Sunosi in the United States and select global markets. In January 2025, Symbravo was approved by the FDA for the acute treatment of migraine with or without aura in adults. Apart from Auvelity, Sunosi, and Symbravo, we have no other products which have received regulatory approval.</w:t>
      </w:r>
    </w:p>
    <w:p>
      <w:pPr>
        <w:spacing w:after="0" w:line="183"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spacing w:after="0" w:line="176"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marketing, and distribution infrastructure;</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external manufacturing capabilities and production to commercialize any additional products for which we may obtain regulatory approval and that we choose not to license to a third party;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solriamfetol in additional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potentially submit NDAs for other pipeline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commercial sales of Auvelity, Sunosi, and Symbravo;</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7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5" w:lineRule="exact"/>
        <w:rPr>
          <w:sz w:val="20"/>
          <w:szCs w:val="20"/>
          <w:color w:val="auto"/>
        </w:rPr>
      </w:pPr>
    </w:p>
    <w:p>
      <w:pPr>
        <w:ind w:right="180" w:firstLine="749"/>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99" w:lineRule="exact"/>
        <w:rPr>
          <w:sz w:val="20"/>
          <w:szCs w:val="20"/>
          <w:color w:val="auto"/>
        </w:rPr>
      </w:pPr>
    </w:p>
    <w:p>
      <w:pPr>
        <w:ind w:left="760" w:right="1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 and continue to commercialize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and outsource the commercial scale manufacturing of our products under cGMP;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product candidates; and</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66" w:lineRule="exact"/>
        <w:rPr>
          <w:sz w:val="20"/>
          <w:szCs w:val="20"/>
          <w:color w:val="auto"/>
        </w:rPr>
      </w:pPr>
    </w:p>
    <w:p>
      <w:pPr>
        <w:ind w:right="280" w:firstLine="749"/>
        <w:spacing w:after="0" w:line="289" w:lineRule="auto"/>
        <w:rPr>
          <w:sz w:val="20"/>
          <w:szCs w:val="20"/>
          <w:color w:val="auto"/>
        </w:rPr>
      </w:pPr>
      <w:r>
        <w:rPr>
          <w:rFonts w:ascii="Times New Roman" w:cs="Times New Roman" w:eastAsia="Times New Roman" w:hAnsi="Times New Roman"/>
          <w:sz w:val="17"/>
          <w:szCs w:val="17"/>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58" w:lineRule="exact"/>
        <w:rPr>
          <w:sz w:val="20"/>
          <w:szCs w:val="20"/>
          <w:color w:val="auto"/>
        </w:rPr>
      </w:pPr>
    </w:p>
    <w:p>
      <w:pPr>
        <w:ind w:left="760" w:right="6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related to the development of our product candidates, including the costs of preparing filings for regulatory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selling, marketing, and distributing our approved products;</w:t>
      </w:r>
    </w:p>
    <w:p>
      <w:pPr>
        <w:spacing w:after="0" w:line="225"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61"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commercial sales of our approved products;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any of our current products and, if approved, any of our product candidates.</w:t>
      </w:r>
    </w:p>
    <w:p>
      <w:pPr>
        <w:spacing w:after="0" w:line="22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May 8, 2025 (the “Closing Date”), we entered into a loan agreement (the “Blackstone Loan Agreement”) with Blackstone Alternative Credit Advisors LP and Blackstone Life Sciences Advisors L.L.C. (collectively, the “Blackstone Representative” and referred to herein as “Blackstone”), certain subsidiaries party thereto as guarantors, Wilmington Trust, National Association, as agent, and the lenders from time to time party thereto (collectively,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the Company’s option, of which $90.0 million is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approximately $10.4 million in the Company’s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Blackstone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covenants under the Blackstone Loan Agreement also require maintaining a minimum amount of cash in an account or accounts in which the Lenders have a first priority security interest.</w:t>
      </w:r>
    </w:p>
    <w:p>
      <w:pPr>
        <w:spacing w:after="0" w:line="16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 breach of any of the covenants under the Blackstone Loan Agreement could result in a default. Upon the occurrence of an event of default,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are a commercial-stage company. Prior to our commercialization of Auvelity and Sunosi in 2022, and the approval of Symbravo earlier this year,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80"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undertaking commercial activities. We may continue to encounter unforeseen expenses, difficulties, complications and delays, and this may not be a successful transition.</w:t>
      </w:r>
    </w:p>
    <w:p>
      <w:pPr>
        <w:spacing w:after="0" w:line="176"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military conflicts between Russia and Ukraine and between Israel and Hamas, Hezbollah, and the Houthis, and record inflation. Our business, financial condition, and results of operations could be materially adversely affected by any negative impact on the global economy and capital markets resulting from the conflicts in Ukraine and the Middle East, geopolitical tensions, or record inflation.</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3"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on October 7, 2023, Hamas militants and members of other terrorist organizations infiltrated Israel’s southern border from the Gaza Strip and conducted a series of terror attacks on civilian and military targets. Shortly following the attack, Israel’s security cabinet declared war against Hamas, and Israel launched an aerial bombardment of various targets within the Gaza Strip and then also began ground operations in the Gaza Strip, which remain ongoing. On October 10, 2025, a cease-fire between Israel and Hamas took effect; however, there remain reports of clashes in Gaza and accusations of violations from both sides. Other terrorist and/or regional organizations have joined the hostilities as well, including Hezbollah in Lebanon, and the Houthis in Yemen, and it is possible that other countries in the Middle East, including Iran, will become further involved in hostilities with Israel, resulting in a further widening of the conflict. In March 2025, the United States launched a campaign of air and naval strikes against Houthi targets in Yemen, and although the US-Houthi conflict has now ceased, Yemen remains a volatile region with ongoing violence from multiple parties. The intensity and duration of the current wars in the Middle East are difficult to predict as are such wars’ implications for the global economy.</w:t>
      </w:r>
    </w:p>
    <w:p>
      <w:pPr>
        <w:spacing w:after="0" w:line="188"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17"/>
          <w:szCs w:val="17"/>
          <w:color w:val="auto"/>
        </w:rPr>
        <w:t>General political uncertainty may have an adverse impact on our operating performance and results of operations. In particular, the U.S. continues to experience significant political events that cast uncertainty on the U.S. and global financial and economic markets. For example, on October 1, 2025, the U.S. federal government commenced a shutdown due to an impasse over funding for the 2026 fiscal year, impacting a number of federal services, including essential services such as Medicare and Medicaid, and it is uncertain when it will end. In addition, the U.S. announced a 100% tariff, effective October 1, 2025, on any branded or patented pharmaceuticals imported into the U.S., unless the relevant drug manufacturer has or is in the process of building a manufacturing facility in the U.S. The imposition of such tariffs is currently delayed as the U.S. administration seeks to negotiate drug pricing agreements with large drug manufacturers. The outcome of such ongoing negotiations is currently unclear, and the final terms and impact remain uncertain. While we currently do not anticipate a material impact from such tariffs on our business or operations, such tariffs could have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w:t>
      </w:r>
    </w:p>
    <w:p>
      <w:pPr>
        <w:spacing w:after="0" w:line="18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Furthermore, in April 2025, the U.S. administration imposed increased tariffs on all countries and individualized “reciprocal” higher tariffs on certain countries with which the U.S. has the largest trade deficits. Certain countries responded by announcing retaliatory tariffs on U.S. imports. A few days later, the U.S. administration reduced the tariffs imposed on most countries to 10 percent for a period of 90 days to allow trade negotiations with those countries. This pause was initially set to expire on July 9, 2025, but was extended thereafter, with significant tariff changes taking effect with certain countries on August 1, 2025. Tariffs have become a central part of the U.S. trade policy, undergoing continuous expansion and modification throughout 2025, including an announcement that starting October 1, 2025, the U.S. will impose a 100% tariff on any branded or patented pharmaceutical product, unless a company is building its pharmaceutical manufacturing plant in America. It is presently unclear how these actions may impact the biopharmaceutical industry in the U.S. Any actions taken by the U.S. administration, including the many recent executive orders and tariff increases, may have a negative impact on the U.S. economy, global markets and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new U.S. administration may also enact other new regulations or policies that affect trade with China or otherwise impact the pharmaceutical industry by enacting laws to restrict U.S. pharmaceutical companies from contracting with Chinese companies on the development, research or manufacturing of pharmaceutical products. In April 2025,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Further, executive orders were signed to implement Most Favored Nation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If such Most Favored Nation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such proposed regulations and policies are unclear and the final terms and impact remain uncertain, and may pose long-term risks to our business and our future commercialization plans of our drug candidates.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We currently have three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Sunosi, and Symbravo,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8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180"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Although we submitted NDAs to the FDA for Auvelity (which was approved) and for Symbravo (which received a CRL and has now been approved) and for AXS-14 (which received a Refuse to File letter from the FDA, and which we plan to resubmit),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If approved for marketing by applicable regulatory authorities, our ability to generate revenues from our product candidates depend on our 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760" w:right="2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a sales force to commercialize our product candidates;</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by third parties) our product candidates in sufficient quantities and at acceptable quality and manufacturing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225"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agitation associated with AD and smoking cessation,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Note 14, we are required to pay to an entity owned by our Chief Executive Officer and Chairman of the Board certain royalty payments related to any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5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CNS therapies. However, these business activities may entail numerous operational and financial risks, including:</w:t>
      </w:r>
    </w:p>
    <w:p>
      <w:pPr>
        <w:spacing w:after="0" w:line="162" w:lineRule="exact"/>
        <w:rPr>
          <w:sz w:val="20"/>
          <w:szCs w:val="20"/>
          <w:color w:val="auto"/>
        </w:rPr>
      </w:pPr>
    </w:p>
    <w:p>
      <w:pPr>
        <w:ind w:left="5540" w:right="4000" w:hanging="5158"/>
        <w:spacing w:after="0" w:line="783" w:lineRule="auto"/>
        <w:tabs>
          <w:tab w:leader="none" w:pos="7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business activities for such development;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development costs;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22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For instance, we received a Refuse to File from the FDA relating to the Company’s product candidate AXS-14 for the management of fibromyalgia in June 2025. Likewise, our prior efforts have resulted in our decision not to further develop certain product candidates that, at one time, appeared to be promising.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In the EU, we are not permitted to commercialize, market, promote, or sell any product candidate without obtaining marketing approval from the EC or national competent authorities at the EU member state level.</w:t>
      </w:r>
    </w:p>
    <w:p>
      <w:pPr>
        <w:spacing w:after="0" w:line="176"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some of our product candidates using the 505(b)(2) pathway. These 505(b)(2) product candidates include additional indications for AXS-05. The FDA interprets Section 505(b)(2) of the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3" w:lineRule="exact"/>
        <w:rPr>
          <w:sz w:val="20"/>
          <w:szCs w:val="20"/>
          <w:color w:val="auto"/>
        </w:rPr>
      </w:pPr>
    </w:p>
    <w:p>
      <w:pPr>
        <w:ind w:right="20" w:firstLine="749"/>
        <w:spacing w:after="0" w:line="226" w:lineRule="exact"/>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Auvelity,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submitted NDAs for Auvelity and Symbravo pursuant to the 505(b)(2) process, we have not conducted certain additional clinical trials for these products and, as such, we will have less experience with actual testing of these products.</w:t>
      </w:r>
    </w:p>
    <w:p>
      <w:pPr>
        <w:spacing w:after="0" w:line="18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IRB approval, or otherwise cause delays in the approval or rejection of an application. To date, we have submitted two NDAs to the FDA and have obtained regulatory approval for both of our product candidates, Auvelity and Symbravo.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and/or national competent authorities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 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88"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9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2" w:lineRule="exact"/>
        <w:rPr>
          <w:sz w:val="20"/>
          <w:szCs w:val="20"/>
          <w:color w:val="auto"/>
        </w:rPr>
      </w:pPr>
    </w:p>
    <w:p>
      <w:pPr>
        <w:ind w:left="760" w:right="28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Times New Roman" w:cs="Times New Roman" w:eastAsia="Times New Roman" w:hAnsi="Times New Roman"/>
          <w:sz w:val="18"/>
          <w:szCs w:val="18"/>
          <w:color w:val="auto"/>
        </w:rPr>
      </w:pPr>
    </w:p>
    <w:p>
      <w:pPr>
        <w:jc w:val="both"/>
        <w:ind w:left="760" w:right="44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5"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1"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0" w:lineRule="exact"/>
        <w:rPr>
          <w:rFonts w:ascii="Times New Roman" w:cs="Times New Roman" w:eastAsia="Times New Roman" w:hAnsi="Times New Roman"/>
          <w:sz w:val="18"/>
          <w:szCs w:val="18"/>
          <w:color w:val="auto"/>
        </w:rPr>
      </w:pPr>
    </w:p>
    <w:p>
      <w:pPr>
        <w:ind w:left="760" w:right="140" w:hanging="378"/>
        <w:spacing w:after="0" w:line="245" w:lineRule="exact"/>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24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review for each submitted product application;</w:t>
      </w:r>
    </w:p>
    <w:p>
      <w:pPr>
        <w:spacing w:after="0" w:line="22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1"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760" w:right="40" w:hanging="378"/>
        <w:spacing w:after="0" w:line="25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preclinical/nonclinical studies than we currently plan, or we may abandon product development programs. For instance, we relied on the completed Phase 2 trial and Phase 3 trial to support an NDA for AXS-14 for the management of fibromyalgia; however, we received a Refuse to File from the FDA. We plan to conduct an additional Phase 3 trial to address FDA’s feedback. Furthermore, although we believe that we are able to rely on the Phase 2 CONCERT trial, Phase 3 SYMPHONY trial, and Phase 3 ENCORE trial to support an NDA for AXS-12 for the treatment of cataplexy and narcolepsy, the FDA could still require additional studies to support the approval of an NDA for this and other product candidates. The outcome of our studies may further necessitate additional clinical or preclinical work;</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75"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regarding interpretations of data and results, or new information may emerge regarding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80" w:hanging="378"/>
        <w:spacing w:after="0" w:line="258"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6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CMC data necessary for our NDA filing and approval, we will need to conduct stability studies and provide stability data to establish appropriate retest or expiration dating periods;</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demonstrate sufficient long-term stability to support an NDA filing or obtain approval, or the product shelf life may be limited by stability results;</w:t>
      </w:r>
    </w:p>
    <w:p>
      <w:pPr>
        <w:spacing w:after="0" w:line="161"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6"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3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product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previously-published draft guidance was temporarily removed from the FDA website following an executive order, but was restored and reinstated the following month per a court order. However, it remains in draft form, which impacts the eventual publication date of the final guidance, and as a result, may delay the compliance deadline.</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88"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Symbravo, the FDA noted the need for additional CMC data. Symbravo was subsequently approved by the FDA. With respect to our NDA for AXS-14 for the management of fibromyalgia, the FDA stated that upon preliminary review, it found that our NDA was not sufficiently complete to permit a substantive review. To address the FDA’s feedback, we plan to conduct an additional controlled trial, which will use a fixed-dose paradigm and a 12-week primary endpoint as requested by the FDA.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87" w:lineRule="exact"/>
        <w:rPr>
          <w:sz w:val="20"/>
          <w:szCs w:val="20"/>
          <w:color w:val="auto"/>
        </w:rPr>
      </w:pPr>
    </w:p>
    <w:p>
      <w:pPr>
        <w:ind w:left="760" w:right="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or nonclinical testing may produce inconclusive or negative safety results, which may require us to conduct additional nonclinical testing or to abandon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unfavorable pharmacology or toxicity characteristics or suggest possible drug-drug interaction;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determine that additional safety testing is required.</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Any such events would increase our costs and could delay or prevent our ability to commercialize our product candidates, which could adversely impact our business, financial condition and results of operation.</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83"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98" w:lineRule="exact"/>
        <w:rPr>
          <w:sz w:val="20"/>
          <w:szCs w:val="20"/>
          <w:color w:val="auto"/>
        </w:rPr>
      </w:pPr>
    </w:p>
    <w:p>
      <w:pPr>
        <w:ind w:right="160" w:firstLine="749"/>
        <w:spacing w:after="0" w:line="260" w:lineRule="auto"/>
        <w:rPr>
          <w:sz w:val="20"/>
          <w:szCs w:val="20"/>
          <w:color w:val="auto"/>
        </w:rPr>
      </w:pPr>
      <w:r>
        <w:rPr>
          <w:rFonts w:ascii="Times New Roman" w:cs="Times New Roman" w:eastAsia="Times New Roman" w:hAnsi="Times New Roman"/>
          <w:sz w:val="18"/>
          <w:szCs w:val="18"/>
          <w:color w:val="auto"/>
        </w:rPr>
        <w:t>Based on the side effects disclosed in the EMA required product label for marketed drugs that contain the same active molecule as our product candidates,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Known side effects for Auvelity, Sunosi, and Symbravo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80" w:lineRule="exact"/>
        <w:rPr>
          <w:sz w:val="20"/>
          <w:szCs w:val="20"/>
          <w:color w:val="auto"/>
        </w:rPr>
      </w:pPr>
    </w:p>
    <w:p>
      <w:pPr>
        <w:ind w:right="240" w:firstLine="749"/>
        <w:spacing w:after="0" w:line="220" w:lineRule="exact"/>
        <w:rPr>
          <w:sz w:val="20"/>
          <w:szCs w:val="20"/>
          <w:color w:val="auto"/>
        </w:rPr>
      </w:pPr>
      <w:r>
        <w:rPr>
          <w:rFonts w:ascii="Times New Roman" w:cs="Times New Roman" w:eastAsia="Times New Roman" w:hAnsi="Times New Roman"/>
          <w:sz w:val="18"/>
          <w:szCs w:val="18"/>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3"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maintain patient informed consents;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patients for enrollment and maintain a sufficient level of patient participants in our clinical studies;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product candidates may present more or different challenges than development of single agent product candidates.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Certain product candidates of ours, including AXS-05,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products from being marketed abroad.</w:t>
      </w:r>
    </w:p>
    <w:p>
      <w:pPr>
        <w:spacing w:after="0" w:line="188" w:lineRule="exact"/>
        <w:rPr>
          <w:sz w:val="20"/>
          <w:szCs w:val="20"/>
          <w:color w:val="auto"/>
        </w:rPr>
      </w:pPr>
    </w:p>
    <w:p>
      <w:pPr>
        <w:ind w:right="140" w:firstLine="749"/>
        <w:spacing w:after="0" w:line="222" w:lineRule="exact"/>
        <w:rPr>
          <w:sz w:val="20"/>
          <w:szCs w:val="20"/>
          <w:color w:val="auto"/>
        </w:rPr>
      </w:pPr>
      <w:r>
        <w:rPr>
          <w:rFonts w:ascii="Times New Roman" w:cs="Times New Roman" w:eastAsia="Times New Roman" w:hAnsi="Times New Roman"/>
          <w:sz w:val="18"/>
          <w:szCs w:val="18"/>
          <w:color w:val="auto"/>
        </w:rPr>
        <w:t>In order to market and sell our products in the EU,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96"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5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received a Fast Track product designation for AXS-05 for both the treatment of TRD as well as for the treatment of AD agitation, and we may seek Fast Track designation for our other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-103505</wp:posOffset>
            </wp:positionV>
            <wp:extent cx="6413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OIG,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authorities’ approval for any desired uses or indications for our products and product candidates, we may not market or promote our products for those indications and uses, referred to as off label uses, and our business may be adversely affected. We further must be able to sufficiently substantiate any claims that we make for our products including claims comparing our products to other companies’ products.</w:t>
      </w:r>
    </w:p>
    <w:p>
      <w:pPr>
        <w:spacing w:after="0" w:line="192" w:lineRule="exact"/>
        <w:rPr>
          <w:sz w:val="20"/>
          <w:szCs w:val="20"/>
          <w:color w:val="auto"/>
        </w:rPr>
      </w:pPr>
    </w:p>
    <w:p>
      <w:pPr>
        <w:ind w:right="60" w:firstLine="749"/>
        <w:spacing w:after="0" w:line="224"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72" w:lineRule="exact"/>
        <w:rPr>
          <w:sz w:val="20"/>
          <w:szCs w:val="20"/>
          <w:color w:val="auto"/>
        </w:rPr>
      </w:pPr>
    </w:p>
    <w:p>
      <w:pPr>
        <w:ind w:right="100"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FCA exposure. The FCA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FCA, a penalty may be imposed for each false claim, for example, a claim for payment for each prescription for the product, and, when aggregated, these penalties often total millions of dollars and incentivize qui tam lawsuits. These FCA lawsuits against pharmaceutical companies have increased significantly in volume and breadth, leading to several substantial civil and criminal settlements,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other actions and, if we do not successfully defend against such actions, those actions may have a material adverse effect on our business, financial condition, results of operations, and prospects.</w:t>
      </w:r>
    </w:p>
    <w:p>
      <w:pPr>
        <w:spacing w:after="0" w:line="19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PDMA.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8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75"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Our product(s) are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post-approval.</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For example, in early September 2025, following a presidential memorandum directing the FDA to “take appropriate action to enforce the Federal Food, Drug, and Cosmetic Act’s prescription drug advertising provisions, and otherwise ensure truthful and non-misleading information in direct-to-consumer prescription drug advertisements”, the FDA issued more than 100 enforcement letters to pharmaceutical companies and compounding firms, alleging that certain promotional communications and direct-to-consumer advertisements are false and misleading. Furthermore, the Department of Health and Human Services (HHS) and FDA have stated that they are committed to a “more expansive reading” of the FDA’s enforcement authorities than that taken by previous administrations.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6"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9" w:lineRule="auto"/>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57"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drug is administered;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becoming less competitive;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2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14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2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78"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there is a great degree of uncertainty regarding how recent U.S. Supreme Court decisions, including </w:t>
      </w:r>
      <w:r>
        <w:rPr>
          <w:rFonts w:ascii="Times New Roman" w:cs="Times New Roman" w:eastAsia="Times New Roman" w:hAnsi="Times New Roman"/>
          <w:sz w:val="18"/>
          <w:szCs w:val="18"/>
          <w:i w:val="1"/>
          <w:iCs w:val="1"/>
          <w:color w:val="auto"/>
        </w:rPr>
        <w:t>Loper Bright Enterprises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Raimondo</w:t>
      </w:r>
      <w:r>
        <w:rPr>
          <w:rFonts w:ascii="Times New Roman" w:cs="Times New Roman" w:eastAsia="Times New Roman" w:hAnsi="Times New Roman"/>
          <w:sz w:val="18"/>
          <w:szCs w:val="18"/>
          <w:color w:val="auto"/>
        </w:rPr>
        <w:t>, 603 U.S. 369 (2024) and</w:t>
      </w:r>
      <w:r>
        <w:rPr>
          <w:rFonts w:ascii="Times New Roman" w:cs="Times New Roman" w:eastAsia="Times New Roman" w:hAnsi="Times New Roman"/>
          <w:sz w:val="18"/>
          <w:szCs w:val="18"/>
          <w:i w:val="1"/>
          <w:iCs w:val="1"/>
          <w:color w:val="auto"/>
        </w:rPr>
        <w:t xml:space="preserve"> Corner Post, Inc. v. Board of Governors of the Federal Reserve System</w:t>
      </w:r>
      <w:r>
        <w:rPr>
          <w:rFonts w:ascii="Times New Roman" w:cs="Times New Roman" w:eastAsia="Times New Roman" w:hAnsi="Times New Roman"/>
          <w:sz w:val="18"/>
          <w:szCs w:val="18"/>
          <w:color w:val="auto"/>
        </w:rPr>
        <w:t>, 603 U.S. 799 (2024), will impact the FDA’s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enforcement and decision-making authority.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explicitly overturned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deference, which previously gave judicial deference to administrative action by agencies in the executive branch. Furthermore, the Supreme Court’s decision in </w:t>
      </w:r>
      <w:r>
        <w:rPr>
          <w:rFonts w:ascii="Times New Roman" w:cs="Times New Roman" w:eastAsia="Times New Roman" w:hAnsi="Times New Roman"/>
          <w:sz w:val="18"/>
          <w:szCs w:val="18"/>
          <w:i w:val="1"/>
          <w:iCs w:val="1"/>
          <w:color w:val="auto"/>
        </w:rPr>
        <w:t>Corner Post</w:t>
      </w:r>
      <w:r>
        <w:rPr>
          <w:rFonts w:ascii="Times New Roman" w:cs="Times New Roman" w:eastAsia="Times New Roman" w:hAnsi="Times New Roman"/>
          <w:sz w:val="18"/>
          <w:szCs w:val="18"/>
          <w:color w:val="auto"/>
        </w:rPr>
        <w:t xml:space="preserve"> may result in challenges to FDA decisions by new litigants long into the future. These decisions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 xml:space="preserve">Loper </w:t>
      </w:r>
      <w:r>
        <w:rPr>
          <w:rFonts w:ascii="Times New Roman" w:cs="Times New Roman" w:eastAsia="Times New Roman" w:hAnsi="Times New Roman"/>
          <w:sz w:val="18"/>
          <w:szCs w:val="18"/>
          <w:color w:val="auto"/>
        </w:rPr>
        <w:t>decision may result in increased regulatory uncertainty, inconsistent judicial interpretations, and could impact various aspects of the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94" w:lineRule="exact"/>
        <w:rPr>
          <w:sz w:val="20"/>
          <w:szCs w:val="20"/>
          <w:color w:val="auto"/>
        </w:rPr>
      </w:pPr>
    </w:p>
    <w:p>
      <w:pPr>
        <w:ind w:right="680" w:firstLine="749"/>
        <w:spacing w:after="0" w:line="239"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76"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84" w:lineRule="exact"/>
        <w:rPr>
          <w:rFonts w:ascii="Times New Roman" w:cs="Times New Roman" w:eastAsia="Times New Roman" w:hAnsi="Times New Roman"/>
          <w:sz w:val="18"/>
          <w:szCs w:val="18"/>
          <w:color w:val="auto"/>
        </w:rPr>
      </w:pPr>
    </w:p>
    <w:p>
      <w:pPr>
        <w:ind w:left="760" w:hanging="378"/>
        <w:spacing w:after="0" w:line="236" w:lineRule="exact"/>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9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stricter harmonized EU rules on data privacy particularly in relation to personal data, including health data, which are being further toughened with the EU General Data Protection Regulation, or the GDPR, which became enforceable beginning May 25, 2018;</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6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 and worker rights tend to be stronger;</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U.S. laws and regulations for foreign operations, including the FCPA or comparable foreign regulations, and the risks and costs of noncompliance;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market risk from fluctuations in currency exchange rates and interest rates.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62"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LLC; Intra-Cellular Therapies, Inc.; Janssen; Jazz; Otsuka Pharmaceutical Co. Ltd.; Pfizer; and Takeda Pharmaceutical Company Limited.</w:t>
      </w:r>
    </w:p>
    <w:p>
      <w:pPr>
        <w:spacing w:after="0" w:line="180"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We settled the ensuing litigation in February 2025.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 We have reached settlement agreements in the ensuing litigation with four of the six filers. We remain in ongoing litigation with the remaining two filers in the U.S. District Court for the District of New Jersey.</w:t>
      </w:r>
    </w:p>
    <w:p>
      <w:pPr>
        <w:spacing w:after="0" w:line="192" w:lineRule="exact"/>
        <w:rPr>
          <w:sz w:val="20"/>
          <w:szCs w:val="20"/>
          <w:color w:val="auto"/>
        </w:rPr>
      </w:pPr>
    </w:p>
    <w:p>
      <w:pPr>
        <w:ind w:right="120" w:firstLine="749"/>
        <w:spacing w:after="0" w:line="220" w:lineRule="exact"/>
        <w:rPr>
          <w:sz w:val="20"/>
          <w:szCs w:val="20"/>
          <w:color w:val="auto"/>
        </w:rPr>
      </w:pPr>
      <w:r>
        <w:rPr>
          <w:rFonts w:ascii="Times New Roman" w:cs="Times New Roman" w:eastAsia="Times New Roman" w:hAnsi="Times New Roman"/>
          <w:sz w:val="18"/>
          <w:szCs w:val="18"/>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20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0" w:lineRule="exact"/>
        <w:rPr>
          <w:sz w:val="20"/>
          <w:szCs w:val="20"/>
          <w:color w:val="auto"/>
        </w:rPr>
      </w:pPr>
    </w:p>
    <w:p>
      <w:pPr>
        <w:ind w:right="240" w:firstLine="749"/>
        <w:spacing w:after="0" w:line="219"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3"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75"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AXS-12 received Orphan Drug Designation from FDA for the treatment of narcolepsy. We may also seek Orphan Drug Designation for our other products, as appropriate.</w:t>
      </w:r>
    </w:p>
    <w:p>
      <w:pPr>
        <w:spacing w:after="0" w:line="16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spacing w:after="0" w:line="175"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recently expanded our commercial infrastructure for the marketing, sale, and distribution of pharmaceutical products, which included the creation of a sales force to launch our commercial stage products throughout the United States. This effort requires additional compliance with a range of federal and state laws. Additionally, we currently commercialize Sunosi outside the United States. Each global market we commercialize Sunosi in has its own set of applicable laws.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83" w:lineRule="exact"/>
        <w:rPr>
          <w:sz w:val="20"/>
          <w:szCs w:val="20"/>
          <w:color w:val="auto"/>
        </w:rPr>
      </w:pPr>
    </w:p>
    <w:p>
      <w:pPr>
        <w:ind w:left="5540" w:right="2500" w:hanging="5158"/>
        <w:spacing w:after="0" w:line="783" w:lineRule="auto"/>
        <w:tabs>
          <w:tab w:leader="none" w:pos="7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20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appropriately persuade adequate numbers of physicians to prescribe any of our current or future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federal and state drug distribution and supply chain requirements to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or any coverage and reimbursement by government and private health plans or other payers;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and labeled claims for which the product is approved;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760" w:right="9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Our products, and, if approved, our product candidates, may not gain acceptance among physicians, patients, third-party payors, or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Physicians and their patients may likewise make decisions about therapies based on cost and insurance coverage and reimbursement. Further, patients often acclimate to the therapy that they are currently taking. While they may switch if their physicians recommend switching products, there is no guarantee. Additionally, they may also switch therapies due to lack of reimbursement for existing therapies or for other reasons. Even if physicians prescribe our products, third-party payors may not provide coverage or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40" w:firstLine="749"/>
        <w:spacing w:after="0" w:line="289" w:lineRule="auto"/>
        <w:rPr>
          <w:sz w:val="20"/>
          <w:szCs w:val="20"/>
          <w:color w:val="auto"/>
        </w:rPr>
      </w:pPr>
      <w:r>
        <w:rPr>
          <w:rFonts w:ascii="Times New Roman" w:cs="Times New Roman" w:eastAsia="Times New Roman" w:hAnsi="Times New Roman"/>
          <w:sz w:val="17"/>
          <w:szCs w:val="17"/>
          <w:color w:val="auto"/>
        </w:rPr>
        <w:t>Efforts to educate the medical community and third-party payors on the benefits of our products may require significant resources and may not be successful. If any of our product candidates are approved but do not achieve an adequate level of market acceptance, we may not generate significant revenues, and we may not become profitable. The degree of market acceptance of any of our products will depend on a number of factors, including:</w:t>
      </w:r>
    </w:p>
    <w:p>
      <w:pPr>
        <w:spacing w:after="0" w:line="158"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184" w:lineRule="exact"/>
        <w:rPr>
          <w:rFonts w:ascii="Times New Roman" w:cs="Times New Roman" w:eastAsia="Times New Roman" w:hAnsi="Times New Roman"/>
          <w:sz w:val="18"/>
          <w:szCs w:val="18"/>
          <w:color w:val="auto"/>
        </w:rPr>
      </w:pPr>
    </w:p>
    <w:p>
      <w:pPr>
        <w:ind w:left="760" w:right="680" w:hanging="378"/>
        <w:spacing w:after="0" w:line="245" w:lineRule="exact"/>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9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third-party payors to prefer other products, even if not approved for our product’s indication;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or to which we agree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as well as competitive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products may require significant resources and may never be successful. Even if the medical community accepts that one of our product candidates is safe and effective for its approved indications and third-party payors provide coverage and reimbursement for the same, physicians and patients may not immediately be receptive to such product candidate and may be slow to adopt it as an accepted treatment of the approved indication or may not accept it at all. It is unlikely that any labeling approved by the FDA will contain claims that one of our product candidates is safer or more effective than competitive products or will permit us to promote such product candidate as being superior to competing products.</w:t>
      </w:r>
    </w:p>
    <w:p>
      <w:pPr>
        <w:spacing w:after="0" w:line="187" w:lineRule="exact"/>
        <w:rPr>
          <w:sz w:val="20"/>
          <w:szCs w:val="20"/>
          <w:color w:val="auto"/>
        </w:rPr>
      </w:pPr>
    </w:p>
    <w:p>
      <w:pPr>
        <w:ind w:right="160" w:firstLine="749"/>
        <w:spacing w:after="0" w:line="219" w:lineRule="exact"/>
        <w:rPr>
          <w:sz w:val="20"/>
          <w:szCs w:val="20"/>
          <w:color w:val="auto"/>
        </w:rPr>
      </w:pPr>
      <w:r>
        <w:rPr>
          <w:rFonts w:ascii="Times New Roman" w:cs="Times New Roman" w:eastAsia="Times New Roman" w:hAnsi="Times New Roman"/>
          <w:sz w:val="18"/>
          <w:szCs w:val="18"/>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including from:</w:t>
      </w:r>
    </w:p>
    <w:p>
      <w:pPr>
        <w:spacing w:after="0" w:line="188"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have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9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could have a material adverse effect on our business, results of operations, financial condition and growth prospects.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42" w:lineRule="exact"/>
        <w:rPr>
          <w:sz w:val="20"/>
          <w:szCs w:val="20"/>
          <w:color w:val="auto"/>
        </w:rPr>
      </w:pPr>
    </w:p>
    <w:p>
      <w:pPr>
        <w:ind w:firstLine="749"/>
        <w:spacing w:after="0" w:line="224" w:lineRule="exact"/>
        <w:rPr>
          <w:sz w:val="20"/>
          <w:szCs w:val="20"/>
          <w:color w:val="auto"/>
        </w:rPr>
      </w:pPr>
      <w:r>
        <w:rPr>
          <w:rFonts w:ascii="Times New Roman" w:cs="Times New Roman" w:eastAsia="Times New Roman" w:hAnsi="Times New Roman"/>
          <w:sz w:val="18"/>
          <w:szCs w:val="18"/>
          <w:color w:val="auto"/>
        </w:rPr>
        <w:t>We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98"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51"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when we submit an NDA for review, we are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9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comply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9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87" w:lineRule="exact"/>
        <w:rPr>
          <w:sz w:val="20"/>
          <w:szCs w:val="20"/>
          <w:color w:val="auto"/>
        </w:rPr>
      </w:pPr>
    </w:p>
    <w:p>
      <w:pPr>
        <w:ind w:right="20" w:firstLine="749"/>
        <w:spacing w:after="0" w:line="222"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749"/>
        <w:spacing w:after="0" w:line="223"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98" w:lineRule="exact"/>
        <w:rPr>
          <w:sz w:val="20"/>
          <w:szCs w:val="20"/>
          <w:color w:val="auto"/>
        </w:rPr>
      </w:pPr>
    </w:p>
    <w:p>
      <w:pPr>
        <w:ind w:right="140" w:firstLine="749"/>
        <w:spacing w:after="0" w:line="219"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9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on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FCA;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9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FCA liability and other civil monetary penalties.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9" w:lineRule="exact"/>
        <w:rPr>
          <w:sz w:val="20"/>
          <w:szCs w:val="20"/>
          <w:color w:val="auto"/>
        </w:rPr>
      </w:pPr>
    </w:p>
    <w:p>
      <w:pPr>
        <w:ind w:right="200" w:firstLine="749"/>
        <w:spacing w:after="0" w:line="253" w:lineRule="auto"/>
        <w:rPr>
          <w:sz w:val="20"/>
          <w:szCs w:val="20"/>
          <w:color w:val="auto"/>
        </w:rPr>
      </w:pPr>
      <w:r>
        <w:rPr>
          <w:rFonts w:ascii="Times New Roman" w:cs="Times New Roman" w:eastAsia="Times New Roman" w:hAnsi="Times New Roman"/>
          <w:sz w:val="18"/>
          <w:szCs w:val="18"/>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92"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76"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760" w:right="7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225"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8"/>
          <w:szCs w:val="18"/>
          <w:color w:val="auto"/>
        </w:rPr>
      </w:pPr>
    </w:p>
    <w:p>
      <w:pPr>
        <w:ind w:left="760" w:right="320" w:hanging="378"/>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79" w:lineRule="exact"/>
        <w:rPr>
          <w:rFonts w:ascii="Times New Roman" w:cs="Times New Roman" w:eastAsia="Times New Roman" w:hAnsi="Times New Roman"/>
          <w:sz w:val="18"/>
          <w:szCs w:val="18"/>
          <w:color w:val="auto"/>
        </w:rPr>
      </w:pPr>
    </w:p>
    <w:p>
      <w:pPr>
        <w:jc w:val="both"/>
        <w:ind w:left="760" w:right="280" w:hanging="378"/>
        <w:spacing w:after="0" w:line="312" w:lineRule="auto"/>
        <w:tabs>
          <w:tab w:leader="none" w:pos="7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3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Market exclusivity awarded by the FDA upon the approval of an NDA is limited in scope and duration. For example, our New Chemical Entity exclusivity for Sunosi expired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that we would succeed in stopping the “at risk” launch of a generic version of either of our currently commercialized products during the pendency of litigation following expiry of the 30-month stay, or that we would commence such proceedings. Such a generic launch could materially impact our commercial success.</w:t>
      </w:r>
    </w:p>
    <w:p>
      <w:pPr>
        <w:spacing w:after="0" w:line="192"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seek to protect intellectual property relating to our products and portfolio products by prosecuting patents in the United States and elsewhere. The patent prosecution process is expensive and time consuming, and we may not be able to and/or may choose not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or that we may choose not to pursue patent protection for all patentable aspects identified.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maintained,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reliably or accurately predict the breadth of claims that may be allowed or enforced in our patents and patent applications or in third party patents and patent applications. Further, the degree of future protection for our proprietary rights is uncertain, for example,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95" w:lineRule="exact"/>
        <w:rPr>
          <w:sz w:val="20"/>
          <w:szCs w:val="20"/>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conceive of and reduce to practice the inventions covered by each of our pending patent applications and issued patents;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225" w:lineRule="exact"/>
        <w:rPr>
          <w:rFonts w:ascii="Times New Roman" w:cs="Times New Roman" w:eastAsia="Times New Roman" w:hAnsi="Times New Roman"/>
          <w:sz w:val="18"/>
          <w:szCs w:val="18"/>
          <w:color w:val="auto"/>
        </w:rPr>
      </w:pPr>
    </w:p>
    <w:p>
      <w:pPr>
        <w:ind w:left="760" w:right="50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 and we may not have a continuing application (e.g., divisional, continuation, continuation-in-part) pending that covers the relevant subject matter;</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of others may have an adverse effect on our business;</w:t>
      </w:r>
    </w:p>
    <w:p>
      <w:pPr>
        <w:spacing w:after="0" w:line="225"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5"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products and potential product candidates; or</w:t>
      </w:r>
    </w:p>
    <w:p>
      <w:pPr>
        <w:spacing w:after="0" w:line="17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utility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and regulatory review.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36"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and/or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take time to publish and can take many years to issue, and because there is no way to guarantee we are aware of all third party patents and applications,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 third party claims that we infringe their intellectual property rights, we could face a number of issues, including:</w:t>
      </w:r>
    </w:p>
    <w:p>
      <w:pPr>
        <w:spacing w:after="0" w:line="225" w:lineRule="exact"/>
        <w:rPr>
          <w:sz w:val="20"/>
          <w:szCs w:val="20"/>
          <w:color w:val="auto"/>
        </w:rPr>
      </w:pPr>
    </w:p>
    <w:p>
      <w:pPr>
        <w:ind w:left="760" w:right="1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22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and processes so they do not infringe, which may not be possible or could require substantial funds and time.</w:t>
      </w:r>
    </w:p>
    <w:p>
      <w:pPr>
        <w:spacing w:after="0" w:line="225"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9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Any litigation proceeding or related proceeding at the USPTO could have adverse results, putting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3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products in the United States and to seek and maintain regulatory approvals for the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19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 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proprietary information and may not provide an adequate remedy in the event of unauthorized disclosure of proprietary information. Costly and time 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enforcing,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and/or our licensors’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As a pharmaceutical company, we are subject to many federal and state healthcare laws, including those described in the “Business— Government Regulation and Product Approval” section of our most recent Annual Report on Form 10-K, such as the federal Anti-Kickback Statute, the federal civil and criminal FCA, the civil monetary penalties statute, the Medicaid Drug Rebate Statute and other price reporting requirements, the Veterans Health Care Act of 1992, the Sunshine Act, HIPAA, the FCPA, the ACA, and other state and foreign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We are subject to healthcare laws by both the federal government and the states in which we conduct our business as well as by other third parties, such as patients.</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and security laws apply in broader circumstances than HIPAA and its implementing regulations. For example, California enacted legislation – the CCPA, which went into effect in January 2020, as subsequently amended by the CPRA, passed on November 3,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 Since the passage of the CCPA, certain other states have passed similar laws that may also have similar impacts on our data processing practices and incurred costs. Some of these state laws have not taken effect, and we cannot predict if states will subsequently amend those laws, if other states will pass similar laws, or the costs and expenses that we will incur to comply with such laws.</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EU member states and other foreign jurisdictions, including Switzerland, have adopted data protection laws and regulations which impose significant compliance obligations. Moreover, the collection and use of personal data, including health data, relating to individuals located in the EU, which was formerly governed by the provisions of the EU Data Protection Directive 95/46, was replaced with the EU GDPR in May 2018. The GDPR, which is wide-ranging in scope, imposes several requirements relating to the legal basis of the processing of personal data,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EEA to the U.S. and other non-EEA countries that do not provide a level of protection to personal data in line with the GDPR standard, provides an enforcement authority in each EU member state and imposes large penalties for noncompliance, including the potential for fines of up to €20 million or 4% of the annual global turnover of the noncompliant company, whichever is greater. The GDPR requirements apply not only to third-party transactions, but also to transfers of information between us and our subsidiaries, including employee information. The coming into force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are also federal and state laws on marketing and solicitation, such as CAN-SPAM. The CAN-SPAM Act, among other things, obligates the sender of commercial emails to provide recipients with the ability to opt out of receiving future commercial emails from the sender. Any failure by us to comply fully with the CAN-SPAM Act may leave us subject to substantial fines and penalties.</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addition, foreign jurisdictions, such as Canada, have enacted laws that regulate our ability to send commercial messages via email. For example, Canada’s Anti-Spam Legislation (“CASL”) prohibits email marketing without the recipient’s consent, with limited exceptions. The penalties for non-compliance with CASL are considerable, including administrative monetary penalties of up to $10 million and a private right of action.</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8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revenue and prospects for profitability may be limited.</w:t>
      </w:r>
    </w:p>
    <w:p>
      <w:pPr>
        <w:spacing w:after="0" w:line="1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depend in part upon the availability of coverage and reimbursement from third-party payors. Such third-party payors include government health programs, such as Medicare and Medicaid, managed care organizations, private health insurers, and other similar programs and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or other third party is responsible to pay the full price, which can significantly limit utilization. If reimbursement is not available, or is available only up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varies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healthcare programs, private health insurers, and other organizations. Regulatory authorities and third-party payors, such as private health insurers and HMOs,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20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of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8" w:lineRule="exact"/>
        <w:rPr>
          <w:sz w:val="20"/>
          <w:szCs w:val="20"/>
          <w:color w:val="auto"/>
        </w:rPr>
      </w:pPr>
    </w:p>
    <w:p>
      <w:pPr>
        <w:jc w:val="both"/>
        <w:ind w:right="440" w:firstLine="749"/>
        <w:spacing w:after="0" w:line="257"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of our product candidates for which we obtain marketing approval could have a material adverse effect on our operating results, ability to raise capital needed to commercialize products, and overall financial condition.</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ind w:right="60"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expect that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The IRA’s changes include, by way of example, capping Medicare beneficiary out-of-pocket spending at $2,000 for 2025 and providing for no beneficiary cost sharing above the annual out-of-pocket threshold. Additionally, as of January 1, 2025, the existing Medicare Coverage Gap Discount Program ended and was replaced by the Manufacturer Discount Program, through which a manufacturer provides discounts for brand-name drugs and biologics in the initial and catastrophic coverage phases under the Medicare Part D benefit. These changes eliminated the Medicare Part D coverage gap benefit phase (commonly referred to as the “donut hole”), in which a Medicare beneficiary was originally responsible for 100% of the costs of covered prescription drugs following an initial coverage phase until the costs initiated a catastrophic coverage phase, but which was gradually phased out through the end of 2024.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On April 15, 2025, the Administration issued an executive order (the “April 2025 EO”) that, among other directives, directs HHS to work with Congress to align the treatment of small molecule drugs and biologics in the Medicare price setting program under the IRA. It is currently unclear how such modifications would affect the timeframe in which Medicare price setting becomes applicable for selected drugs or biologics. The April 2025 EO also directs HHS to provide recommendations within 180 days to accelerate the approval of generics, biosimilars, combination products and second-in-class medications, as well as to address Medicaid drug rebates and Medicaid drug payment methodologies, and, within one year, to develop and implement a plan to test a payment model to enable Medicare to obtain pharmaceuticals at lower cost. Other Centers for Medicare &amp; Medicaid Services (CMS) policy changes and demonstration projects to test new care, delivery and payment models can also significantly affect how drugs, including our products, are covered and reimbursed. Legislative and regulatory proposals may also be made to expand post-approval requirements and restrict sales and promotional activities for drugs. To date, CMS has selected ten Medicare Part D drugs with prices to go into effect on January 1, 2026 and another 15 Part D drugs with prices to go into effect on January 1, 2027. Another 15 drugs from Medicare Part B or Medicare Part D will be selected by February 1, 2026, for the maximum price to be set and in effect by January 1, 2028.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 We continue to evaluate the impact of the IRA on our business, operations and financial condition.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Further,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spacing w:after="0" w:line="18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the enacted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The distribution of product samples continues to be regulated under the PDMA, and some states also impose regulations on drug sample distribution.</w:t>
      </w:r>
    </w:p>
    <w:p>
      <w:pPr>
        <w:spacing w:after="0" w:line="18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6"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the EU, recently adopted and pending legislation will impact regulatory procedures for medicinal products. Key developments include Regulation (EU) 2021/2282 on health technology assessment (HTA Regulation), which became applicable in the EU on January 12, 2025. Additionally, in April 2023, the EC adopted a proposal to revise the EU pharmaceutical legislation consisting of a new directive and a new regulation that would replace Directive 2001/83/EC and Regulation (EC) 726/2004, among others. In April 2024, the European Parliament introduced amendments to the EC’s proposal. The EU legislative process remains ongoing, with several stages still required before the reform can receive final approval. If approved, the reform would mark the most significant overhaul of EU pharmaceutical law since 2004, with a wide range of impacts including on approval procedures, regulatory data protection, or RDP, and the so-called “Bolar exemption,” among others.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U.S. and international laws and regulations.</w:t>
      </w:r>
    </w:p>
    <w:p>
      <w:pPr>
        <w:spacing w:after="0" w:line="22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data privacy regulations and enforcement, particularly in the EU, the U.S., and China; (vii) legislative mandates or preferences for local manufacturing of pharmaceutical products; (viii) 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For example, the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requirements.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Further, OBBBA has enacted, among others, changes to eligibility requirements for premium tax credits, which are expected to result in less coverage in the ACA’s health insurance marketplace (“Marketplace”) over the next few years. The ACA premium tax credits will expire at the end of 2025, which is expected to result in an additional loss of coverage for approximately 24 million people currently enrolled in insurance plans obtained through the Marketplace. In addition, the OBBBA has made other changes to the enrollment and eligibility requirements for Medicaid, which is expected to result in the loss of coverage for certain individuals currently enrolled in Medicaid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94"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3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-223520</wp:posOffset>
            </wp:positionV>
            <wp:extent cx="6413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18" w:lineRule="exact"/>
        <w:rPr>
          <w:sz w:val="20"/>
          <w:szCs w:val="20"/>
          <w:color w:val="auto"/>
        </w:rPr>
      </w:pPr>
    </w:p>
    <w:p>
      <w:pPr>
        <w:ind w:right="200" w:firstLine="749"/>
        <w:spacing w:after="0" w:line="226" w:lineRule="exact"/>
        <w:rPr>
          <w:sz w:val="20"/>
          <w:szCs w:val="20"/>
          <w:color w:val="auto"/>
        </w:rPr>
      </w:pPr>
      <w:r>
        <w:rPr>
          <w:rFonts w:ascii="Times New Roman" w:cs="Times New Roman" w:eastAsia="Times New Roman" w:hAnsi="Times New Roman"/>
          <w:sz w:val="18"/>
          <w:szCs w:val="18"/>
          <w:color w:val="auto"/>
        </w:rPr>
        <w:t>As of October 27, 2025, we had 816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2" w:lineRule="exact"/>
        <w:rPr>
          <w:sz w:val="20"/>
          <w:szCs w:val="20"/>
          <w:color w:val="auto"/>
        </w:rPr>
      </w:pPr>
    </w:p>
    <w:p>
      <w:pPr>
        <w:ind w:left="760" w:right="2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hiring and training of personnel for our commercial organization, and maintain appropriate systems, policies and infrastructure to support that organization;</w:t>
      </w:r>
    </w:p>
    <w:p>
      <w:pPr>
        <w:spacing w:after="0" w:line="161"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100" w:firstLine="749"/>
        <w:spacing w:after="0" w:line="282"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5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8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9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0"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ultimate completion, of our planned and ongoing Phase 3 clinical trials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refusal on the part of the FDA in approving an NDA for any of our current and future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relating to our industry as a whole and news relating to trends in our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any of our current and future product candidates or those of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provide to the public,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competitive products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security breaches;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companies similar to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trends in our industry;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requires us to complete additional, unanticipated studies, tests, or other activities prior to approving any of our current and future product candidates, which may delay any such approval;</w:t>
      </w:r>
    </w:p>
    <w:p>
      <w:pPr>
        <w:spacing w:after="0" w:line="120" w:lineRule="exact"/>
        <w:rPr>
          <w:rFonts w:ascii="Times New Roman" w:cs="Times New Roman" w:eastAsia="Times New Roman" w:hAnsi="Times New Roman"/>
          <w:sz w:val="18"/>
          <w:szCs w:val="18"/>
          <w:color w:val="auto"/>
        </w:rPr>
      </w:pPr>
    </w:p>
    <w:p>
      <w:pPr>
        <w:ind w:left="760" w:right="480" w:hanging="378"/>
        <w:spacing w:after="0" w:line="245" w:lineRule="exact"/>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any of our current or future product candidates in commercial quantities;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6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current products, or the products of our competitors;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our products.</w:t>
      </w:r>
    </w:p>
    <w:p>
      <w:pPr>
        <w:spacing w:after="0" w:line="225"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As of October 27, 2025, our executive officers, directors, and 5% stockholders and their affiliates beneficially owned an aggregate of approximately 34%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of October 27, 2025, we have outstanding 50,412,640 shares of common stock and 9,324,596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42,498,356 are freely tradable. The remainder of the outstanding shares of common stock are held by our affiliates and may be considered “control securities” for purposes of Rule 144 under the Securities Act.</w:t>
      </w:r>
    </w:p>
    <w:p>
      <w:pPr>
        <w:spacing w:after="0" w:line="143" w:lineRule="exact"/>
        <w:rPr>
          <w:sz w:val="20"/>
          <w:szCs w:val="20"/>
          <w:color w:val="auto"/>
        </w:rPr>
      </w:pPr>
    </w:p>
    <w:p>
      <w:pPr>
        <w:ind w:firstLine="749"/>
        <w:spacing w:after="0" w:line="228" w:lineRule="exact"/>
        <w:rPr>
          <w:sz w:val="20"/>
          <w:szCs w:val="20"/>
          <w:color w:val="auto"/>
        </w:rPr>
      </w:pPr>
      <w:r>
        <w:rPr>
          <w:rFonts w:ascii="Times New Roman" w:cs="Times New Roman" w:eastAsia="Times New Roman" w:hAnsi="Times New Roman"/>
          <w:sz w:val="18"/>
          <w:szCs w:val="18"/>
          <w:color w:val="auto"/>
        </w:rPr>
        <w:t>In addition, we have filed, or will soon file,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an aggregate of 17,546,713 shares of common stock subject to options or other equity awards issued or reserved for issuance under our 2025 Long-Term Incentive Plan and 1,100,000 shares of common stock reserved for issuance under our 2023 Employee Stock Purchase Plan. Shares registered under registration statements on Form S-8 will be available for sale in the public market subject to vesting arrangements and exercise of options, the lock up agreements described above and the restrictions of Rule 144 in the case of our affiliates.</w:t>
      </w:r>
    </w:p>
    <w:p>
      <w:pPr>
        <w:spacing w:after="0" w:line="19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which we refer to as our Capital Raises, including the proceeds from sales pursuant to the March 2022 Sales Agreement with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2024, we had U.S. federal net operating loss, or NOL, carryforwards of approximately $572.1 million and foreign NOL carryforwards of $4.8 million. U.S. federal net operating loss carry forwards amounting to $59.8 million generated before the 2018 tax year will start expiring beginning 2032, if we have not used them prior to that time, and the U.S. federal net operating losses of approximately $512.3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returns for our stockholders will be limited to any increase in the value of our stock.</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In addition, the Blackstone Loan Agreement contains restrictive covenants that prohibit us from declaring or paying any dividends or making any other distributions on our common stock, except as may be expressly permitted under the facility.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ind w:right="140" w:firstLine="749"/>
        <w:spacing w:after="0" w:line="228"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alternate forum,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7"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During the third quarter of 2025, the Company did not adopt or terminate a Rule 10b5-1 trading arrangement (as defined in Item 408(a)(1)(i) of Regulation S-K) for the purchase or sale of securities of the Company, whether or not intended to satisfy the affirmative defense conditions of Rule 10b5-1(c) of the Exchange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During the third quarter of 2025,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 of Rule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Scheduled Expiration</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w:t>
            </w: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10b5-1 Trading</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Date of Rule 10b5-1</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Securities to Be Sold</w:t>
            </w:r>
          </w:p>
        </w:tc>
      </w:tr>
      <w:tr>
        <w:trPr>
          <w:trHeight w:val="289"/>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24"/>
                <w:szCs w:val="24"/>
                <w:b w:val="1"/>
                <w:bCs w:val="1"/>
                <w:color w:val="auto"/>
                <w:vertAlign w:val="superscript"/>
              </w:rPr>
              <w:t>(1)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2240" w:type="dxa"/>
            <w:vAlign w:val="bottom"/>
            <w:tcBorders>
              <w:bottom w:val="single" w:sz="8" w:color="auto"/>
              <w:right w:val="single" w:sz="8" w:color="auto"/>
            </w:tcBorders>
          </w:tcPr>
          <w:p>
            <w:pPr>
              <w:spacing w:after="0"/>
              <w:rPr>
                <w:sz w:val="24"/>
                <w:szCs w:val="24"/>
                <w:color w:val="auto"/>
              </w:rPr>
            </w:pPr>
          </w:p>
        </w:tc>
      </w:tr>
      <w:tr>
        <w:trPr>
          <w:trHeight w:val="293"/>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Saad</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September 11, 2025</w:t>
            </w:r>
            <w:r>
              <w:rPr>
                <w:rFonts w:ascii="Times New Roman" w:cs="Times New Roman" w:eastAsia="Times New Roman" w:hAnsi="Times New Roman"/>
                <w:sz w:val="24"/>
                <w:szCs w:val="24"/>
                <w:color w:val="auto"/>
                <w:vertAlign w:val="superscript"/>
              </w:rPr>
              <w:t>(2)</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15, 2027</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48,577</w:t>
            </w:r>
            <w:r>
              <w:rPr>
                <w:rFonts w:ascii="Times New Roman" w:cs="Times New Roman" w:eastAsia="Times New Roman" w:hAnsi="Times New Roman"/>
                <w:sz w:val="24"/>
                <w:szCs w:val="24"/>
                <w:color w:val="auto"/>
                <w:vertAlign w:val="superscript"/>
              </w:rPr>
              <w:t>(3)</w:t>
            </w:r>
          </w:p>
        </w:tc>
      </w:tr>
      <w:tr>
        <w:trPr>
          <w:trHeight w:val="223"/>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Nick Pizzie</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September 15, 2025</w:t>
            </w:r>
            <w:r>
              <w:rPr>
                <w:rFonts w:ascii="Times New Roman" w:cs="Times New Roman" w:eastAsia="Times New Roman" w:hAnsi="Times New Roman"/>
                <w:sz w:val="24"/>
                <w:szCs w:val="24"/>
                <w:color w:val="auto"/>
                <w:vertAlign w:val="superscript"/>
              </w:rPr>
              <w:t>(2)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September 15, 2026</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37,000</w:t>
            </w:r>
            <w:r>
              <w:rPr>
                <w:rFonts w:ascii="Times New Roman" w:cs="Times New Roman" w:eastAsia="Times New Roman" w:hAnsi="Times New Roman"/>
                <w:sz w:val="24"/>
                <w:szCs w:val="24"/>
                <w:color w:val="auto"/>
                <w:vertAlign w:val="superscript"/>
              </w:rPr>
              <w:t>(3)</w:t>
            </w: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 Maizel</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September 15, 2025</w:t>
            </w:r>
            <w:r>
              <w:rPr>
                <w:rFonts w:ascii="Times New Roman" w:cs="Times New Roman" w:eastAsia="Times New Roman" w:hAnsi="Times New Roman"/>
                <w:sz w:val="24"/>
                <w:szCs w:val="24"/>
                <w:color w:val="auto"/>
                <w:vertAlign w:val="superscript"/>
              </w:rPr>
              <w:t>(2)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November 30, 2026</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27,500</w:t>
            </w:r>
            <w:r>
              <w:rPr>
                <w:rFonts w:ascii="Times New Roman" w:cs="Times New Roman" w:eastAsia="Times New Roman" w:hAnsi="Times New Roman"/>
                <w:sz w:val="24"/>
                <w:szCs w:val="24"/>
                <w:color w:val="auto"/>
                <w:vertAlign w:val="superscript"/>
              </w:rPr>
              <w:t>(3)</w:t>
            </w:r>
          </w:p>
        </w:tc>
      </w:tr>
    </w:tbl>
    <w:p>
      <w:pPr>
        <w:spacing w:after="0" w:line="45" w:lineRule="exact"/>
        <w:rPr>
          <w:sz w:val="20"/>
          <w:szCs w:val="20"/>
          <w:color w:val="auto"/>
        </w:rPr>
      </w:pP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adoption of Rule 10b5-1 trading arrangements is in accordance with both the Company’s insider trading policy and applicable SEC rules and regulations.</w:t>
      </w:r>
    </w:p>
    <w:p>
      <w:pPr>
        <w:spacing w:after="0" w:line="3" w:lineRule="exact"/>
        <w:rPr>
          <w:rFonts w:ascii="Times New Roman" w:cs="Times New Roman" w:eastAsia="Times New Roman" w:hAnsi="Times New Roman"/>
          <w:sz w:val="14"/>
          <w:szCs w:val="14"/>
          <w:color w:val="auto"/>
        </w:rPr>
      </w:pPr>
    </w:p>
    <w:p>
      <w:pPr>
        <w:ind w:right="20" w:firstLine="8"/>
        <w:spacing w:after="0" w:line="221" w:lineRule="auto"/>
        <w:tabs>
          <w:tab w:leader="none" w:pos="20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trade pursuant to the Rule 10b5-1 trading arrangement will be, in accordance with both the Company’s insider trading policy and applicable SEC rules and regulations, on a date after the date of adoption of the Rule 10b5-1 trading arrangement.</w:t>
      </w: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sale of shares underlying stock options that will be exercised prior to expiration.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60" w:type="dxa"/>
            <w:vAlign w:val="bottom"/>
            <w:gridSpan w:val="4"/>
          </w:tcPr>
          <w:p>
            <w:pPr>
              <w:ind w:left="164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245"/>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160" w:type="dxa"/>
            <w:vAlign w:val="bottom"/>
            <w:gridSpan w:val="4"/>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1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13a-14(a)/15d-14(a), as adopted pursuant to Section 302 of the Sarbanes-</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260" w:type="dxa"/>
            <w:vAlign w:val="bottom"/>
            <w:tcBorders>
              <w:top w:val="single" w:sz="8" w:color="0000FF"/>
            </w:tcBorders>
            <w:gridSpan w:val="2"/>
          </w:tcPr>
          <w:p>
            <w:pPr>
              <w:spacing w:after="0"/>
              <w:rPr>
                <w:sz w:val="17"/>
                <w:szCs w:val="17"/>
                <w:color w:val="auto"/>
              </w:rPr>
            </w:pPr>
          </w:p>
        </w:tc>
        <w:tc>
          <w:tcPr>
            <w:tcW w:w="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13a-14(a)/15d-14(a), as adopted pursuant to Section 302 of the Sarbanes-Oxley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§1350, as adopted pursuant to Section 906 of the Sarbanes-Oxley Act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2002 (furnished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9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§1350, as adopted pursuant to Section 906 of the Sarbanes-Oxley Act of</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2002 (furnished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right="40" w:firstLine="8"/>
        <w:spacing w:after="0" w:line="261" w:lineRule="auto"/>
        <w:tabs>
          <w:tab w:leader="none" w:pos="2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and schedules to and certain provisions of this exhibit have been omitted pursuant to Item 601(b)(10)(iv) of Regulation S-K as they contain information that is both not material and of the type that the registrant treats as private or confidential. The registrant agrees to supplementally furnish an unredacted copy of this exhibit, including any exhibit or schedule hereto, to the SEC upon its request; however, the registrant may request confidential treatment of such unredacted copy.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AXSOME THERAPEUTICS, INC.</w:t>
            </w:r>
          </w:p>
        </w:tc>
      </w:tr>
      <w:tr>
        <w:trPr>
          <w:trHeight w:val="48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2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18"/>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6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2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Nick Pizzie</w:t>
            </w:r>
          </w:p>
        </w:tc>
      </w:tr>
      <w:tr>
        <w:trPr>
          <w:trHeight w:val="218"/>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Nick Pizzie</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6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91"/>
        </w:trPr>
        <w:tc>
          <w:tcPr>
            <w:tcW w:w="3640" w:type="dxa"/>
            <w:vAlign w:val="bottom"/>
          </w:tcPr>
          <w:p>
            <w:pPr>
              <w:spacing w:after="0"/>
              <w:rPr>
                <w:sz w:val="24"/>
                <w:szCs w:val="24"/>
                <w:color w:val="auto"/>
              </w:rPr>
            </w:pPr>
          </w:p>
        </w:tc>
        <w:tc>
          <w:tcPr>
            <w:tcW w:w="2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114</w:t>
            </w:r>
          </w:p>
        </w:tc>
        <w:tc>
          <w:tcPr>
            <w:tcW w:w="516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Herriot Tabuteau, M.D.,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7"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28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207"/>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37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Nick Pizzie,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7"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28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Nick Pizzie</w:t>
            </w:r>
          </w:p>
        </w:tc>
      </w:tr>
      <w:tr>
        <w:trPr>
          <w:trHeight w:val="207"/>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Nick Pizzie</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37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EXECUTIVE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ind w:right="14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September 30, 2025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85"/>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02"/>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0"/>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60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FINANCIAL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ind w:right="20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September 30, 2025 as filed with the Securities and Exchange Commission (the “Report”), I, Nick Pizzie, Chief Financial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Nick Pizzie</w:t>
            </w:r>
          </w:p>
        </w:tc>
      </w:tr>
      <w:tr>
        <w:trPr>
          <w:trHeight w:val="185"/>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Nick Pizzie</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60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4"/>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2025-11-03T15:47:18Z</dcterms:created>
  <dcterms:modified xsi:type="dcterms:W3CDTF">2025-11-03T15:47:18Z</dcterms:modified>
</cp:coreProperties>
</file>