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169545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August 10, 2020</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60"/>
          </w:cols>
          <w:pgMar w:left="980" w:top="895" w:right="10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1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1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001-37635</w:t>
      </w:r>
    </w:p>
    <w:p>
      <w:pPr>
        <w:spacing w:after="0" w:line="16"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w:t>
      </w:r>
    </w:p>
    <w:p>
      <w:pPr>
        <w:spacing w:after="0" w:line="19"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45-4241907</w:t>
      </w:r>
    </w:p>
    <w:p>
      <w:pPr>
        <w:spacing w:after="0" w:line="11"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22" w:lineRule="exact"/>
        <w:rPr>
          <w:sz w:val="24"/>
          <w:szCs w:val="24"/>
          <w:color w:val="auto"/>
        </w:rPr>
      </w:pPr>
    </w:p>
    <w:p>
      <w:pPr>
        <w:sectPr>
          <w:pgSz w:w="11900" w:h="16838" w:orient="portrait"/>
          <w:cols w:equalWidth="0" w:num="3">
            <w:col w:w="3760" w:space="720"/>
            <w:col w:w="2460" w:space="720"/>
            <w:col w:w="2200"/>
          </w:cols>
          <w:pgMar w:left="980" w:top="895" w:right="1059" w:bottom="1440" w:gutter="0" w:footer="0" w:header="0"/>
          <w:type w:val="continuous"/>
        </w:sectPr>
      </w:pPr>
    </w:p>
    <w:p>
      <w:pPr>
        <w:jc w:val="center"/>
        <w:ind w:right="1500"/>
        <w:spacing w:after="0"/>
        <w:rPr>
          <w:sz w:val="20"/>
          <w:szCs w:val="20"/>
          <w:color w:val="auto"/>
        </w:rPr>
      </w:pPr>
      <w:r>
        <w:rPr>
          <w:rFonts w:ascii="Arial" w:cs="Arial" w:eastAsia="Arial" w:hAnsi="Arial"/>
          <w:sz w:val="18"/>
          <w:szCs w:val="18"/>
          <w:b w:val="1"/>
          <w:bCs w:val="1"/>
          <w:color w:val="auto"/>
        </w:rPr>
        <w:t>22 Cortlandt Street, 16</w:t>
      </w:r>
      <w:r>
        <w:rPr>
          <w:rFonts w:ascii="Arial" w:cs="Arial" w:eastAsia="Arial" w:hAnsi="Arial"/>
          <w:sz w:val="13"/>
          <w:szCs w:val="13"/>
          <w:b w:val="1"/>
          <w:bCs w:val="1"/>
          <w:color w:val="auto"/>
        </w:rPr>
        <w:t>th</w:t>
      </w:r>
      <w:r>
        <w:rPr>
          <w:rFonts w:ascii="Arial" w:cs="Arial" w:eastAsia="Arial" w:hAnsi="Arial"/>
          <w:sz w:val="18"/>
          <w:szCs w:val="18"/>
          <w:b w:val="1"/>
          <w:bCs w:val="1"/>
          <w:color w:val="auto"/>
        </w:rPr>
        <w:t xml:space="preserve"> Floor</w:t>
      </w:r>
    </w:p>
    <w:p>
      <w:pPr>
        <w:spacing w:after="0" w:line="11"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New York, New York</w:t>
      </w:r>
    </w:p>
    <w:p>
      <w:pPr>
        <w:jc w:val="center"/>
        <w:ind w:right="1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10007</w:t>
      </w:r>
    </w:p>
    <w:p>
      <w:pPr>
        <w:spacing w:after="0" w:line="16"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760"/>
          </w:cols>
          <w:pgMar w:left="980" w:top="895" w:right="1059" w:bottom="1440" w:gutter="0" w:footer="0" w:header="0"/>
          <w:type w:val="continuous"/>
        </w:sectPr>
      </w:pP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500" w:type="dxa"/>
        <w:tblCellMar>
          <w:top w:w="0" w:type="dxa"/>
          <w:left w:w="0" w:type="dxa"/>
          <w:bottom w:w="0" w:type="dxa"/>
          <w:right w:w="0" w:type="dxa"/>
        </w:tblCellMar>
      </w:tblPr>
      <w:tr>
        <w:trPr>
          <w:trHeight w:val="185"/>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132715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8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8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8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p>
      <w:pPr>
        <w:ind w:right="420"/>
        <w:spacing w:after="0" w:line="29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102" w:lineRule="exact"/>
        <w:rPr>
          <w:sz w:val="24"/>
          <w:szCs w:val="24"/>
          <w:color w:val="auto"/>
        </w:rPr>
      </w:pPr>
    </w:p>
    <w:p>
      <w:pPr>
        <w:ind w:right="620"/>
        <w:spacing w:after="0" w:line="22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528320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107950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151130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895"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August 10, 2020, Axsome Therapeutics, Inc. (the “Company”) issued a press release announcing its financial results for the three months ended June 30, 2020 and provided an update on the Company’s operations. The Company is furnishing a copy of the press release, which is attached hereto as Exhibit 99.1.</w:t>
      </w:r>
    </w:p>
    <w:p>
      <w:pPr>
        <w:spacing w:after="0" w:line="168"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16"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On August 10, 2020, the Company issued a press release providing an update on the progress of its AXS-05 clinical product candidate.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99.2 hereto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p>
      <w:pPr>
        <w:spacing w:after="0"/>
        <w:tabs>
          <w:tab w:leader="none" w:pos="52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99.1</w:t>
            </w:r>
          </w:p>
        </w:tc>
        <w:tc>
          <w:tcPr>
            <w:tcW w:w="3180" w:type="dxa"/>
            <w:vAlign w:val="bottom"/>
          </w:tcPr>
          <w:p>
            <w:pPr>
              <w:ind w:left="480"/>
              <w:spacing w:after="0"/>
              <w:rPr>
                <w:rFonts w:ascii="Arial" w:cs="Arial" w:eastAsia="Arial" w:hAnsi="Arial"/>
                <w:sz w:val="18"/>
                <w:szCs w:val="18"/>
                <w:u w:val="single" w:color="auto"/>
                <w:color w:val="0000EE"/>
                <w:w w:val="86"/>
              </w:rPr>
            </w:pPr>
            <w:hyperlink w:anchor="page4">
              <w:r>
                <w:rPr>
                  <w:rFonts w:ascii="Arial" w:cs="Arial" w:eastAsia="Arial" w:hAnsi="Arial"/>
                  <w:sz w:val="18"/>
                  <w:szCs w:val="18"/>
                  <w:u w:val="single" w:color="auto"/>
                  <w:color w:val="0000EE"/>
                  <w:w w:val="86"/>
                </w:rPr>
                <w:t>Press Release dated August 10, 2020.</w:t>
              </w:r>
            </w:hyperlink>
          </w:p>
        </w:tc>
      </w:tr>
      <w:tr>
        <w:trPr>
          <w:trHeight w:val="230"/>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99.2</w:t>
            </w:r>
          </w:p>
        </w:tc>
        <w:tc>
          <w:tcPr>
            <w:tcW w:w="3180" w:type="dxa"/>
            <w:vAlign w:val="bottom"/>
          </w:tcPr>
          <w:p>
            <w:pPr>
              <w:ind w:left="480"/>
              <w:spacing w:after="0"/>
              <w:rPr>
                <w:rFonts w:ascii="Arial" w:cs="Arial" w:eastAsia="Arial" w:hAnsi="Arial"/>
                <w:sz w:val="18"/>
                <w:szCs w:val="18"/>
                <w:u w:val="single" w:color="auto"/>
                <w:color w:val="0000EE"/>
                <w:w w:val="86"/>
              </w:rPr>
            </w:pPr>
            <w:hyperlink w:anchor="page9">
              <w:r>
                <w:rPr>
                  <w:rFonts w:ascii="Arial" w:cs="Arial" w:eastAsia="Arial" w:hAnsi="Arial"/>
                  <w:sz w:val="18"/>
                  <w:szCs w:val="18"/>
                  <w:u w:val="single" w:color="auto"/>
                  <w:color w:val="0000EE"/>
                  <w:w w:val="86"/>
                </w:rPr>
                <w:t>Press Release dated August 10, 2020.</w:t>
              </w:r>
            </w:hyperlink>
          </w:p>
        </w:tc>
      </w:tr>
    </w:tbl>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600" w:type="dxa"/>
            <w:vAlign w:val="bottom"/>
            <w:gridSpan w:val="2"/>
          </w:tcPr>
          <w:p>
            <w:pPr>
              <w:ind w:left="1660"/>
              <w:spacing w:after="0"/>
              <w:rPr>
                <w:sz w:val="20"/>
                <w:szCs w:val="20"/>
                <w:color w:val="auto"/>
              </w:rPr>
            </w:pPr>
            <w:r>
              <w:rPr>
                <w:rFonts w:ascii="Arial" w:cs="Arial" w:eastAsia="Arial" w:hAnsi="Arial"/>
                <w:sz w:val="18"/>
                <w:szCs w:val="18"/>
                <w:b w:val="1"/>
                <w:bCs w:val="1"/>
                <w:color w:val="auto"/>
              </w:rPr>
              <w:t>Axsome Therapeutics, Inc.</w:t>
            </w:r>
          </w:p>
        </w:tc>
      </w:tr>
      <w:tr>
        <w:trPr>
          <w:trHeight w:val="594"/>
        </w:trPr>
        <w:tc>
          <w:tcPr>
            <w:tcW w:w="3320" w:type="dxa"/>
            <w:vAlign w:val="bottom"/>
          </w:tcPr>
          <w:p>
            <w:pPr>
              <w:spacing w:after="0"/>
              <w:rPr>
                <w:sz w:val="20"/>
                <w:szCs w:val="20"/>
                <w:color w:val="auto"/>
              </w:rPr>
            </w:pPr>
            <w:r>
              <w:rPr>
                <w:rFonts w:ascii="Arial" w:cs="Arial" w:eastAsia="Arial" w:hAnsi="Arial"/>
                <w:sz w:val="18"/>
                <w:szCs w:val="18"/>
                <w:color w:val="auto"/>
              </w:rPr>
              <w:t>Dated: August 10, 2020</w:t>
            </w: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By:  /s/ Herriot Tabuteau, M.D.</w:t>
            </w:r>
          </w:p>
        </w:tc>
      </w:tr>
      <w:tr>
        <w:trPr>
          <w:trHeight w:val="182"/>
        </w:trPr>
        <w:tc>
          <w:tcPr>
            <w:tcW w:w="3320" w:type="dxa"/>
            <w:vAlign w:val="bottom"/>
          </w:tcPr>
          <w:p>
            <w:pPr>
              <w:spacing w:after="0"/>
              <w:rPr>
                <w:sz w:val="15"/>
                <w:szCs w:val="15"/>
                <w:color w:val="auto"/>
              </w:rPr>
            </w:pPr>
          </w:p>
        </w:tc>
        <w:tc>
          <w:tcPr>
            <w:tcW w:w="2040" w:type="dxa"/>
            <w:vAlign w:val="bottom"/>
          </w:tcPr>
          <w:p>
            <w:pPr>
              <w:ind w:left="1660"/>
              <w:spacing w:after="0" w:line="182" w:lineRule="exact"/>
              <w:rPr>
                <w:sz w:val="20"/>
                <w:szCs w:val="20"/>
                <w:color w:val="auto"/>
              </w:rPr>
            </w:pPr>
            <w:r>
              <w:rPr>
                <w:rFonts w:ascii="Arial" w:cs="Arial" w:eastAsia="Arial" w:hAnsi="Arial"/>
                <w:sz w:val="17"/>
                <w:szCs w:val="17"/>
                <w:color w:val="auto"/>
                <w:w w:val="71"/>
              </w:rPr>
              <w:t>Name:</w:t>
            </w:r>
          </w:p>
        </w:tc>
        <w:tc>
          <w:tcPr>
            <w:tcW w:w="4560" w:type="dxa"/>
            <w:vAlign w:val="bottom"/>
            <w:tcBorders>
              <w:top w:val="single" w:sz="8" w:color="auto"/>
            </w:tcBorders>
          </w:tcPr>
          <w:p>
            <w:pPr>
              <w:ind w:left="200"/>
              <w:spacing w:after="0" w:line="182" w:lineRule="exact"/>
              <w:rPr>
                <w:sz w:val="20"/>
                <w:szCs w:val="20"/>
                <w:color w:val="auto"/>
              </w:rPr>
            </w:pPr>
            <w:r>
              <w:rPr>
                <w:rFonts w:ascii="Arial" w:cs="Arial" w:eastAsia="Arial" w:hAnsi="Arial"/>
                <w:sz w:val="18"/>
                <w:szCs w:val="18"/>
                <w:color w:val="auto"/>
              </w:rPr>
              <w:t>Herriot Tabuteau, M.D.</w:t>
            </w:r>
          </w:p>
        </w:tc>
      </w:tr>
      <w:tr>
        <w:trPr>
          <w:trHeight w:val="230"/>
        </w:trPr>
        <w:tc>
          <w:tcPr>
            <w:tcW w:w="3320" w:type="dxa"/>
            <w:vAlign w:val="bottom"/>
          </w:tcPr>
          <w:p>
            <w:pPr>
              <w:spacing w:after="0"/>
              <w:rPr>
                <w:sz w:val="20"/>
                <w:szCs w:val="20"/>
                <w:color w:val="auto"/>
              </w:rPr>
            </w:pP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Title:  President and Chief Executive Officer</w:t>
            </w:r>
          </w:p>
        </w:tc>
      </w:tr>
      <w:tr>
        <w:trPr>
          <w:trHeight w:val="352"/>
        </w:trPr>
        <w:tc>
          <w:tcPr>
            <w:tcW w:w="3320" w:type="dxa"/>
            <w:vAlign w:val="bottom"/>
          </w:tcPr>
          <w:p>
            <w:pPr>
              <w:spacing w:after="0"/>
              <w:rPr>
                <w:sz w:val="24"/>
                <w:szCs w:val="24"/>
                <w:color w:val="auto"/>
              </w:rPr>
            </w:pPr>
          </w:p>
        </w:tc>
        <w:tc>
          <w:tcPr>
            <w:tcW w:w="2040" w:type="dxa"/>
            <w:vAlign w:val="bottom"/>
          </w:tcPr>
          <w:p>
            <w:pPr>
              <w:ind w:left="1600"/>
              <w:spacing w:after="0"/>
              <w:rPr>
                <w:sz w:val="20"/>
                <w:szCs w:val="20"/>
                <w:color w:val="auto"/>
              </w:rPr>
            </w:pPr>
            <w:r>
              <w:rPr>
                <w:rFonts w:ascii="Arial" w:cs="Arial" w:eastAsia="Arial" w:hAnsi="Arial"/>
                <w:sz w:val="14"/>
                <w:szCs w:val="14"/>
                <w:color w:val="auto"/>
              </w:rPr>
              <w:t>3</w:t>
            </w:r>
          </w:p>
        </w:tc>
        <w:tc>
          <w:tcPr>
            <w:tcW w:w="4560" w:type="dxa"/>
            <w:vAlign w:val="bottom"/>
          </w:tcPr>
          <w:p>
            <w:pPr>
              <w:spacing w:after="0"/>
              <w:rPr>
                <w:sz w:val="24"/>
                <w:szCs w:val="24"/>
                <w:color w:val="auto"/>
              </w:rPr>
            </w:pPr>
          </w:p>
        </w:tc>
      </w:tr>
      <w:tr>
        <w:trPr>
          <w:trHeight w:val="559"/>
        </w:trPr>
        <w:tc>
          <w:tcPr>
            <w:tcW w:w="3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44018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Second Quarter 2020 Financial Results and Provides Business Update</w:t>
      </w:r>
    </w:p>
    <w:p>
      <w:pPr>
        <w:spacing w:after="0" w:line="202" w:lineRule="exact"/>
        <w:rPr>
          <w:sz w:val="20"/>
          <w:szCs w:val="20"/>
          <w:color w:val="auto"/>
        </w:rPr>
      </w:pPr>
    </w:p>
    <w:p>
      <w:pPr>
        <w:ind w:left="1221"/>
        <w:spacing w:after="0"/>
        <w:rPr>
          <w:sz w:val="20"/>
          <w:szCs w:val="20"/>
          <w:color w:val="auto"/>
        </w:rPr>
      </w:pPr>
      <w:r>
        <w:rPr>
          <w:rFonts w:ascii="Arial" w:cs="Arial" w:eastAsia="Arial" w:hAnsi="Arial"/>
          <w:sz w:val="18"/>
          <w:szCs w:val="18"/>
          <w:i w:val="1"/>
          <w:iCs w:val="1"/>
          <w:color w:val="auto"/>
        </w:rPr>
        <w:t>Two NDA submissions, for AXS-05 in MDD and for AXS-07 in migraine, on track for 4Q 2020</w:t>
      </w:r>
    </w:p>
    <w:p>
      <w:pPr>
        <w:spacing w:after="0" w:line="185" w:lineRule="exact"/>
        <w:rPr>
          <w:sz w:val="20"/>
          <w:szCs w:val="20"/>
          <w:color w:val="auto"/>
        </w:rPr>
      </w:pPr>
    </w:p>
    <w:p>
      <w:pPr>
        <w:ind w:left="21"/>
        <w:spacing w:after="0"/>
        <w:rPr>
          <w:sz w:val="20"/>
          <w:szCs w:val="20"/>
          <w:color w:val="auto"/>
        </w:rPr>
      </w:pPr>
      <w:r>
        <w:rPr>
          <w:rFonts w:ascii="Arial" w:cs="Arial" w:eastAsia="Arial" w:hAnsi="Arial"/>
          <w:sz w:val="16"/>
          <w:szCs w:val="16"/>
          <w:i w:val="1"/>
          <w:iCs w:val="1"/>
          <w:color w:val="auto"/>
        </w:rPr>
        <w:t>Enrollment completed for both the AXS-05 Phase 3 long-term safety trial in MDD, and for the AXS-07 Phase 3 long-term safety</w:t>
      </w:r>
    </w:p>
    <w:p>
      <w:pPr>
        <w:spacing w:after="0" w:line="46" w:lineRule="exact"/>
        <w:rPr>
          <w:sz w:val="20"/>
          <w:szCs w:val="20"/>
          <w:color w:val="auto"/>
        </w:rPr>
      </w:pPr>
    </w:p>
    <w:p>
      <w:pPr>
        <w:ind w:left="4021"/>
        <w:spacing w:after="0"/>
        <w:rPr>
          <w:sz w:val="20"/>
          <w:szCs w:val="20"/>
          <w:color w:val="auto"/>
        </w:rPr>
      </w:pPr>
      <w:r>
        <w:rPr>
          <w:rFonts w:ascii="Arial" w:cs="Arial" w:eastAsia="Arial" w:hAnsi="Arial"/>
          <w:sz w:val="18"/>
          <w:szCs w:val="18"/>
          <w:i w:val="1"/>
          <w:iCs w:val="1"/>
          <w:color w:val="auto"/>
        </w:rPr>
        <w:t>trial in migraine</w:t>
      </w:r>
    </w:p>
    <w:p>
      <w:pPr>
        <w:spacing w:after="0" w:line="170" w:lineRule="exact"/>
        <w:rPr>
          <w:sz w:val="20"/>
          <w:szCs w:val="20"/>
          <w:color w:val="auto"/>
        </w:rPr>
      </w:pPr>
    </w:p>
    <w:p>
      <w:pPr>
        <w:ind w:left="281"/>
        <w:spacing w:after="0"/>
        <w:rPr>
          <w:sz w:val="20"/>
          <w:szCs w:val="20"/>
          <w:color w:val="auto"/>
        </w:rPr>
      </w:pPr>
      <w:r>
        <w:rPr>
          <w:rFonts w:ascii="Arial" w:cs="Arial" w:eastAsia="Arial" w:hAnsi="Arial"/>
          <w:sz w:val="16"/>
          <w:szCs w:val="16"/>
          <w:i w:val="1"/>
          <w:iCs w:val="1"/>
          <w:color w:val="auto"/>
        </w:rPr>
        <w:t>Results from three Phase 2 open-label efficacy trials of AXS-05 in TRD, antidepressant unresponsive MDD, and suicidal</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ideation, expected in 4Q 2020</w:t>
      </w:r>
    </w:p>
    <w:p>
      <w:pPr>
        <w:spacing w:after="0" w:line="184" w:lineRule="exact"/>
        <w:rPr>
          <w:sz w:val="20"/>
          <w:szCs w:val="20"/>
          <w:color w:val="auto"/>
        </w:rPr>
      </w:pPr>
    </w:p>
    <w:p>
      <w:pPr>
        <w:ind w:left="661"/>
        <w:spacing w:after="0"/>
        <w:rPr>
          <w:sz w:val="20"/>
          <w:szCs w:val="20"/>
          <w:color w:val="auto"/>
        </w:rPr>
      </w:pPr>
      <w:r>
        <w:rPr>
          <w:rFonts w:ascii="Arial" w:cs="Arial" w:eastAsia="Arial" w:hAnsi="Arial"/>
          <w:sz w:val="17"/>
          <w:szCs w:val="17"/>
          <w:i w:val="1"/>
          <w:iCs w:val="1"/>
          <w:color w:val="auto"/>
        </w:rPr>
        <w:t>Phase 3 trials for AXS-05 in Alzheimer’s disease agitation and for AXS-12 in narcolepsy on track for 4Q 2020</w:t>
      </w:r>
    </w:p>
    <w:p>
      <w:pPr>
        <w:spacing w:after="0" w:line="196" w:lineRule="exact"/>
        <w:rPr>
          <w:sz w:val="20"/>
          <w:szCs w:val="20"/>
          <w:color w:val="auto"/>
        </w:rPr>
      </w:pPr>
    </w:p>
    <w:p>
      <w:pPr>
        <w:ind w:left="141"/>
        <w:spacing w:after="0"/>
        <w:rPr>
          <w:sz w:val="20"/>
          <w:szCs w:val="20"/>
          <w:color w:val="auto"/>
        </w:rPr>
      </w:pPr>
      <w:r>
        <w:rPr>
          <w:rFonts w:ascii="Arial" w:cs="Arial" w:eastAsia="Arial" w:hAnsi="Arial"/>
          <w:sz w:val="16"/>
          <w:szCs w:val="16"/>
          <w:i w:val="1"/>
          <w:iCs w:val="1"/>
          <w:color w:val="auto"/>
        </w:rPr>
        <w:t>Three FDA Breakthrough Therapy designations, in MDD, Alzheimer’s disease agitation, and narcolepsy, highlight Axsome’s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broad, differentiated, late-stage CNS pipeline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98" w:lineRule="exact"/>
        <w:rPr>
          <w:sz w:val="20"/>
          <w:szCs w:val="20"/>
          <w:color w:val="auto"/>
        </w:rPr>
      </w:pPr>
    </w:p>
    <w:p>
      <w:pPr>
        <w:jc w:val="both"/>
        <w:ind w:left="1"/>
        <w:spacing w:after="0" w:line="263" w:lineRule="auto"/>
        <w:rPr>
          <w:sz w:val="20"/>
          <w:szCs w:val="20"/>
          <w:color w:val="auto"/>
        </w:rPr>
      </w:pPr>
      <w:r>
        <w:rPr>
          <w:rFonts w:ascii="Arial" w:cs="Arial" w:eastAsia="Arial" w:hAnsi="Arial"/>
          <w:sz w:val="18"/>
          <w:szCs w:val="18"/>
          <w:color w:val="auto"/>
        </w:rPr>
        <w:t>NEW YORK, August 10, 2020 (Globe Newswire) – Axsome Therapeutics, Inc. (NASDAQ: AXSM), a biopharmaceutical company developing novel therapies for the management of central nervous system (CNS) disorders, today reported financial results for the second quarter ended June 30, 2020.</w:t>
      </w:r>
    </w:p>
    <w:p>
      <w:pPr>
        <w:spacing w:after="0" w:line="143" w:lineRule="exact"/>
        <w:rPr>
          <w:sz w:val="20"/>
          <w:szCs w:val="20"/>
          <w:color w:val="auto"/>
        </w:rPr>
      </w:pPr>
    </w:p>
    <w:p>
      <w:pPr>
        <w:jc w:val="both"/>
        <w:ind w:left="1"/>
        <w:spacing w:after="0" w:line="287" w:lineRule="auto"/>
        <w:rPr>
          <w:sz w:val="20"/>
          <w:szCs w:val="20"/>
          <w:color w:val="auto"/>
        </w:rPr>
      </w:pPr>
      <w:r>
        <w:rPr>
          <w:rFonts w:ascii="Arial" w:cs="Arial" w:eastAsia="Arial" w:hAnsi="Arial"/>
          <w:sz w:val="16"/>
          <w:szCs w:val="16"/>
          <w:color w:val="auto"/>
        </w:rPr>
        <w:t>“Axsome is committed to developing potentially life-changing medicines for patients living with difficult-to-treat CNS disorders. Over the past several months, we achieved a number of significant clinical and regulatory milestones including receipt of Breakthrough Therapy designations from the FDA for AXS-05 for the treatment of Alzheimer’s disease agitation, and for AXS-12 for the treatment of cataplexy in patients with narcolepsy. Our industry-leading, late-stage CNS pipeline has now been granted three FDA Breakthrough Therapy designations, highlighting the potential for significant advances in patient care,” said Herriot Tabuteau, MD, Chief Executive Officer of Axsome. “We remain on track to submit two New Drug Applications to the FDA, for AXS-05 in depression and for AXS-07 in migraine, by year-end. We expect to launch the second pivotal trial of AXS-05 in Alzheimer’s disease agitation as well as pivotal trials of AXS-12 in narcolepsy by year end. We also unveiled three new Phase 2 open-label efficacy trials of AXS-05 in three different clinically pertinent depressed populations. These trials are designed to further characterize the novel antidepressant profile of AXS-05 across a broad spectrum of patients with major depressive disorder, with results expected in the fourth quarter. Having achieved a number of key milestones and with more on the horizon, our team is expanding to support launch-readiness efforts and our growing pipeline.”</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CNS Pipeline Update</w:t>
      </w:r>
    </w:p>
    <w:p>
      <w:pPr>
        <w:spacing w:after="0" w:line="202" w:lineRule="exact"/>
        <w:rPr>
          <w:sz w:val="20"/>
          <w:szCs w:val="20"/>
          <w:color w:val="auto"/>
        </w:rPr>
      </w:pPr>
    </w:p>
    <w:p>
      <w:pPr>
        <w:jc w:val="both"/>
        <w:ind w:left="1"/>
        <w:spacing w:after="0" w:line="286" w:lineRule="auto"/>
        <w:rPr>
          <w:sz w:val="20"/>
          <w:szCs w:val="20"/>
          <w:color w:val="auto"/>
        </w:rPr>
      </w:pPr>
      <w:r>
        <w:rPr>
          <w:rFonts w:ascii="Arial" w:cs="Arial" w:eastAsia="Arial" w:hAnsi="Arial"/>
          <w:sz w:val="17"/>
          <w:szCs w:val="17"/>
          <w:color w:val="auto"/>
        </w:rPr>
        <w:t>Axsome is developing a portfolio of differentiated, patent-protected, central nervous system (CNS) product candidates. For the many people living with serious CNS disorders, Axsome accelerates the invention and adoption of life-changing medicines. The Company’s CNS pipeline includes four differentiated product candidates in active clinical development.</w:t>
      </w:r>
    </w:p>
    <w:p>
      <w:pPr>
        <w:spacing w:after="0" w:line="161" w:lineRule="exact"/>
        <w:rPr>
          <w:sz w:val="20"/>
          <w:szCs w:val="20"/>
          <w:color w:val="auto"/>
        </w:rPr>
      </w:pPr>
    </w:p>
    <w:p>
      <w:pPr>
        <w:ind w:left="321" w:hanging="321"/>
        <w:spacing w:after="0"/>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AXS-05: </w:t>
      </w:r>
      <w:r>
        <w:rPr>
          <w:rFonts w:ascii="Arial" w:cs="Arial" w:eastAsia="Arial" w:hAnsi="Arial"/>
          <w:sz w:val="17"/>
          <w:szCs w:val="17"/>
          <w:color w:val="auto"/>
        </w:rPr>
        <w:t>AXS-05 (dextromethorphan/bupropion modulated delivery tablet) is Axsome’s novel, oral, investigational</w:t>
      </w:r>
    </w:p>
    <w:p>
      <w:pPr>
        <w:spacing w:after="0" w:line="38" w:lineRule="exact"/>
        <w:rPr>
          <w:rFonts w:ascii="Arial" w:cs="Arial" w:eastAsia="Arial" w:hAnsi="Arial"/>
          <w:sz w:val="17"/>
          <w:szCs w:val="17"/>
          <w:color w:val="auto"/>
        </w:rPr>
      </w:pPr>
    </w:p>
    <w:p>
      <w:pPr>
        <w:jc w:val="both"/>
        <w:ind w:left="321"/>
        <w:spacing w:after="0" w:line="253" w:lineRule="auto"/>
        <w:rPr>
          <w:rFonts w:ascii="Arial" w:cs="Arial" w:eastAsia="Arial" w:hAnsi="Arial"/>
          <w:sz w:val="17"/>
          <w:szCs w:val="17"/>
          <w:color w:val="auto"/>
        </w:rPr>
      </w:pPr>
      <w:r>
        <w:rPr>
          <w:rFonts w:ascii="Arial" w:cs="Arial" w:eastAsia="Arial" w:hAnsi="Arial"/>
          <w:sz w:val="18"/>
          <w:szCs w:val="18"/>
          <w:color w:val="auto"/>
        </w:rPr>
        <w:t>NMDA receptor antagonist with multimodal activity being developed for the following indications: major depressive disorder (MDD), Alzheimer’s disease (AD) agitation, and smoking cessation. AXS-05 has been granted U.S. Food and Drug Administration (FDA) Breakthrough Therapy designations for MDD, and for AD agitation; as well as Fast Track designations for treatment resistant MDD (TRD), and for AD agitation.</w:t>
      </w:r>
    </w:p>
    <w:p>
      <w:pPr>
        <w:spacing w:after="0" w:line="148" w:lineRule="exact"/>
        <w:rPr>
          <w:rFonts w:ascii="Arial" w:cs="Arial" w:eastAsia="Arial" w:hAnsi="Arial"/>
          <w:sz w:val="17"/>
          <w:szCs w:val="17"/>
          <w:color w:val="auto"/>
        </w:rPr>
      </w:pPr>
    </w:p>
    <w:p>
      <w:pPr>
        <w:jc w:val="both"/>
        <w:ind w:left="321"/>
        <w:spacing w:after="0" w:line="256" w:lineRule="auto"/>
        <w:rPr>
          <w:rFonts w:ascii="Arial" w:cs="Arial" w:eastAsia="Arial" w:hAnsi="Arial"/>
          <w:sz w:val="17"/>
          <w:szCs w:val="17"/>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 remains on track to submit a New Drug Application (NDA) to the FDA for AXS-05 for the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MDD in the fourth quarter of 2020. In July 2020, Axsome announced it had completed a pre-NDA meeting for AXS-05 in MDD with the FDA to reach agreement on the proposed content and format of the Company’s planned NDA submission, including the clinical and nonclinical requirements. Based on the feedback from the FDA, the Company believes its regulatory data package will be sufficient to support an NDA for AXS-05 in MDD. The NDA is supported by positive efficacy results from the ASCEND and GEMINI trials.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494665</wp:posOffset>
            </wp:positionV>
            <wp:extent cx="588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121" w:right="1339" w:bottom="1440" w:gutter="0" w:footer="0" w:header="0"/>
        </w:sectPr>
      </w:pPr>
    </w:p>
    <w:bookmarkStart w:id="4" w:name="page5"/>
    <w:bookmarkEnd w:id="4"/>
    <w:p>
      <w:pPr>
        <w:jc w:val="both"/>
        <w:ind w:left="321"/>
        <w:spacing w:after="0" w:line="275" w:lineRule="auto"/>
        <w:rPr>
          <w:sz w:val="20"/>
          <w:szCs w:val="20"/>
          <w:color w:val="auto"/>
        </w:rPr>
      </w:pPr>
      <w:r>
        <w:rPr>
          <w:rFonts w:ascii="Arial" w:cs="Arial" w:eastAsia="Arial" w:hAnsi="Arial"/>
          <w:sz w:val="17"/>
          <w:szCs w:val="17"/>
          <w:color w:val="auto"/>
        </w:rPr>
        <w:t>Enrollment has been completed in the COMET (Clinical Outcomes with NMDA-based Depression Treatment) Phase 3 open-label, long-term safety trial to support the planned NDA filing of AXS-05 in MDD. Nearly 900 patients have been enrolled, more than 500 of whom have been treated with AXS-05 for at least 6 months to date. At least 300 patients treated for 6 months and 100 patients treated for one year are required for the NDA filing. Axsome remains on track to achieve the required number of patients treated for one year in the fourth quarter.</w:t>
      </w:r>
    </w:p>
    <w:p>
      <w:pPr>
        <w:spacing w:after="0" w:line="136" w:lineRule="exact"/>
        <w:rPr>
          <w:sz w:val="20"/>
          <w:szCs w:val="20"/>
          <w:color w:val="auto"/>
        </w:rPr>
      </w:pPr>
    </w:p>
    <w:p>
      <w:pPr>
        <w:jc w:val="both"/>
        <w:ind w:left="321"/>
        <w:spacing w:after="0" w:line="259" w:lineRule="auto"/>
        <w:rPr>
          <w:sz w:val="20"/>
          <w:szCs w:val="20"/>
          <w:color w:val="auto"/>
        </w:rPr>
      </w:pPr>
      <w:r>
        <w:rPr>
          <w:rFonts w:ascii="Arial" w:cs="Arial" w:eastAsia="Arial" w:hAnsi="Arial"/>
          <w:sz w:val="18"/>
          <w:szCs w:val="18"/>
          <w:color w:val="auto"/>
        </w:rPr>
        <w:t>Axsome is conducting three Phase 2 open-label efficacy sub-studies of the COMET trial which will evaluate the efficacy and safety of AXS-05 in three clinically pertinent MDD patient populations: the COMET-TRD trial in treatment resistant MDD (TRD), the COMET-AU trial in antidepressant unresponsive MDD, and the COMET-SI trial in MDD with suicidal ideation. Efficacy results from these studies are expected in the fourth quarter of 2020.</w:t>
      </w:r>
    </w:p>
    <w:p>
      <w:pPr>
        <w:spacing w:after="0" w:line="160" w:lineRule="exact"/>
        <w:rPr>
          <w:sz w:val="20"/>
          <w:szCs w:val="20"/>
          <w:color w:val="auto"/>
        </w:rPr>
      </w:pPr>
    </w:p>
    <w:p>
      <w:pPr>
        <w:jc w:val="both"/>
        <w:ind w:left="321"/>
        <w:spacing w:after="0" w:line="257" w:lineRule="auto"/>
        <w:rPr>
          <w:sz w:val="20"/>
          <w:szCs w:val="20"/>
          <w:color w:val="auto"/>
        </w:rPr>
      </w:pPr>
      <w:r>
        <w:rPr>
          <w:rFonts w:ascii="Arial" w:cs="Arial" w:eastAsia="Arial" w:hAnsi="Arial"/>
          <w:sz w:val="18"/>
          <w:szCs w:val="18"/>
          <w:color w:val="auto"/>
        </w:rPr>
        <w:t>Axsome has initiated the MERIT (Mechanistic Evaluation of Response in TRD) trial, a Phase 2, double-blind, placebo-controlled, randomized withdrawal study in patients with TRD. Results from the MERIT trial are expected in the first half of 2021. The MERIT and COMET-TRD trials are being conducted in lieu of the previously planned Phase 3 trial in TRD. This approach will more quickly generate clinically useful information with AXS-05 in this treatment resistant MDD population, starting as early as the fourth quarter of 2020.</w:t>
      </w:r>
    </w:p>
    <w:p>
      <w:pPr>
        <w:spacing w:after="0" w:line="143" w:lineRule="exact"/>
        <w:rPr>
          <w:sz w:val="20"/>
          <w:szCs w:val="20"/>
          <w:color w:val="auto"/>
        </w:rPr>
      </w:pPr>
    </w:p>
    <w:p>
      <w:pPr>
        <w:jc w:val="both"/>
        <w:ind w:left="321"/>
        <w:spacing w:after="0" w:line="258"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In June 2020, Axsome received FDA Breakthrough Therapy designation for AXS-05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AD agitation. The designation was supported by the positive results from the pivotal ADVANCE-1 study, a randomized, double-blind, controlled, multicenter U.S. trial in which 366 Alzheimer’s disease patients were treated with AXS-05, bupropion, or placebo. Axsome remains on track to initiate a second Phase 3 trial of AXS-05 in AD agitation in the second half of 2020.</w:t>
      </w:r>
    </w:p>
    <w:p>
      <w:pPr>
        <w:spacing w:after="0" w:line="143" w:lineRule="exact"/>
        <w:rPr>
          <w:sz w:val="20"/>
          <w:szCs w:val="20"/>
          <w:color w:val="auto"/>
        </w:rPr>
      </w:pPr>
    </w:p>
    <w:p>
      <w:pPr>
        <w:jc w:val="both"/>
        <w:ind w:left="321"/>
        <w:spacing w:after="0" w:line="261" w:lineRule="auto"/>
        <w:rPr>
          <w:sz w:val="20"/>
          <w:szCs w:val="20"/>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meet with the FDA in the second half of 2020 to discuss the continued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AXS-05 as an aid to smoking cessation treatment. Axsome previously announced positive results from a Phase 2 trial of AXS-05 for smoking cessation treatment conducted under a research collaboration between Axsome and Duke University.</w:t>
      </w:r>
    </w:p>
    <w:p>
      <w:pPr>
        <w:spacing w:after="0" w:line="153" w:lineRule="exact"/>
        <w:rPr>
          <w:sz w:val="20"/>
          <w:szCs w:val="20"/>
          <w:color w:val="auto"/>
        </w:rPr>
      </w:pPr>
    </w:p>
    <w:p>
      <w:pPr>
        <w:ind w:left="321" w:hanging="321"/>
        <w:spacing w:after="0" w:line="282" w:lineRule="auto"/>
        <w:tabs>
          <w:tab w:leader="none" w:pos="321" w:val="left"/>
        </w:tabs>
        <w:numPr>
          <w:ilvl w:val="0"/>
          <w:numId w:val="3"/>
        </w:numPr>
        <w:rPr>
          <w:rFonts w:ascii="Arial" w:cs="Arial" w:eastAsia="Arial" w:hAnsi="Arial"/>
          <w:sz w:val="18"/>
          <w:szCs w:val="18"/>
          <w:color w:val="0D0D0D"/>
        </w:rPr>
      </w:pPr>
      <w:r>
        <w:rPr>
          <w:rFonts w:ascii="Arial" w:cs="Arial" w:eastAsia="Arial" w:hAnsi="Arial"/>
          <w:sz w:val="18"/>
          <w:szCs w:val="18"/>
          <w:b w:val="1"/>
          <w:bCs w:val="1"/>
          <w:color w:val="auto"/>
        </w:rPr>
        <w:t xml:space="preserve">AXS-07: </w:t>
      </w:r>
      <w:r>
        <w:rPr>
          <w:rFonts w:ascii="Arial" w:cs="Arial" w:eastAsia="Arial" w:hAnsi="Arial"/>
          <w:sz w:val="18"/>
          <w:szCs w:val="18"/>
          <w:color w:val="auto"/>
        </w:rPr>
        <w:t>AXS-07 (MoSEIC™ meloxicam/rizatriptan) is Axsome’s novel, oral, rapidly absorbed, multi-mechanistic,</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investigational medicine for the acute treatment of migraine.</w:t>
      </w:r>
    </w:p>
    <w:p>
      <w:pPr>
        <w:spacing w:after="0" w:line="121" w:lineRule="exact"/>
        <w:rPr>
          <w:rFonts w:ascii="Arial" w:cs="Arial" w:eastAsia="Arial" w:hAnsi="Arial"/>
          <w:sz w:val="18"/>
          <w:szCs w:val="18"/>
          <w:color w:val="0D0D0D"/>
        </w:rPr>
      </w:pPr>
    </w:p>
    <w:p>
      <w:pPr>
        <w:ind w:left="321"/>
        <w:spacing w:after="0" w:line="347" w:lineRule="auto"/>
        <w:rPr>
          <w:rFonts w:ascii="Arial" w:cs="Arial" w:eastAsia="Arial" w:hAnsi="Arial"/>
          <w:sz w:val="18"/>
          <w:szCs w:val="18"/>
          <w:color w:val="0D0D0D"/>
        </w:rPr>
      </w:pPr>
      <w:r>
        <w:rPr>
          <w:rFonts w:ascii="Arial" w:cs="Arial" w:eastAsia="Arial" w:hAnsi="Arial"/>
          <w:sz w:val="16"/>
          <w:szCs w:val="16"/>
          <w:b w:val="1"/>
          <w:bCs w:val="1"/>
          <w:color w:val="auto"/>
        </w:rPr>
        <w:t xml:space="preserve">Migraine: </w:t>
      </w:r>
      <w:r>
        <w:rPr>
          <w:rFonts w:ascii="Arial" w:cs="Arial" w:eastAsia="Arial" w:hAnsi="Arial"/>
          <w:sz w:val="16"/>
          <w:szCs w:val="16"/>
          <w:color w:val="auto"/>
        </w:rPr>
        <w:t>Axsome remains on track to submit an NDA for AXS-07 in the acute treatment of migraine to the FDA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2020. The NDA is supported by positive efficacy results from the MOMENTUM and INTERCEPT trials.</w:t>
      </w:r>
    </w:p>
    <w:p>
      <w:pPr>
        <w:spacing w:after="0" w:line="79" w:lineRule="exact"/>
        <w:rPr>
          <w:rFonts w:ascii="Arial" w:cs="Arial" w:eastAsia="Arial" w:hAnsi="Arial"/>
          <w:sz w:val="18"/>
          <w:szCs w:val="18"/>
          <w:color w:val="0D0D0D"/>
        </w:rPr>
      </w:pPr>
    </w:p>
    <w:p>
      <w:pPr>
        <w:jc w:val="both"/>
        <w:ind w:left="321"/>
        <w:spacing w:after="0" w:line="296" w:lineRule="auto"/>
        <w:rPr>
          <w:rFonts w:ascii="Arial" w:cs="Arial" w:eastAsia="Arial" w:hAnsi="Arial"/>
          <w:sz w:val="18"/>
          <w:szCs w:val="18"/>
          <w:color w:val="0D0D0D"/>
        </w:rPr>
      </w:pPr>
      <w:r>
        <w:rPr>
          <w:rFonts w:ascii="Arial" w:cs="Arial" w:eastAsia="Arial" w:hAnsi="Arial"/>
          <w:sz w:val="16"/>
          <w:szCs w:val="16"/>
          <w:color w:val="auto"/>
        </w:rPr>
        <w:t>Enrollment has been completed in the MOVEMENT (Multimechanistic Treatment Overtime of Migraine Symptoms) Phase 3 open-label, long-term safety trial to support the planned NDA filing of AXS-07 in the acute treatment of migraine. More than 700 patients have been enrolled, approximately 450 of whom have been treated with AXS-07 for at least 6 months to date. At least 300 patients treated for 6 months and 100 patients treated for one year are required for the NDA filing. Axsome remains on track to achieve the required number of patients treated for one year in the third quarter.</w:t>
      </w:r>
    </w:p>
    <w:p>
      <w:pPr>
        <w:spacing w:after="0" w:line="130" w:lineRule="exact"/>
        <w:rPr>
          <w:rFonts w:ascii="Arial" w:cs="Arial" w:eastAsia="Arial" w:hAnsi="Arial"/>
          <w:sz w:val="18"/>
          <w:szCs w:val="18"/>
          <w:color w:val="0D0D0D"/>
        </w:rPr>
      </w:pPr>
    </w:p>
    <w:p>
      <w:pPr>
        <w:jc w:val="both"/>
        <w:ind w:left="321" w:hanging="321"/>
        <w:spacing w:after="0" w:line="289" w:lineRule="auto"/>
        <w:tabs>
          <w:tab w:leader="none" w:pos="321" w:val="left"/>
        </w:tabs>
        <w:numPr>
          <w:ilvl w:val="0"/>
          <w:numId w:val="3"/>
        </w:numPr>
        <w:rPr>
          <w:rFonts w:ascii="Arial" w:cs="Arial" w:eastAsia="Arial" w:hAnsi="Arial"/>
          <w:sz w:val="17"/>
          <w:szCs w:val="17"/>
          <w:color w:val="0D0D0D"/>
        </w:rPr>
      </w:pPr>
      <w:r>
        <w:rPr>
          <w:rFonts w:ascii="Arial" w:cs="Arial" w:eastAsia="Arial" w:hAnsi="Arial"/>
          <w:sz w:val="17"/>
          <w:szCs w:val="17"/>
          <w:b w:val="1"/>
          <w:bCs w:val="1"/>
          <w:color w:val="auto"/>
        </w:rPr>
        <w:t xml:space="preserve">AXS-12: </w:t>
      </w:r>
      <w:r>
        <w:rPr>
          <w:rFonts w:ascii="Arial" w:cs="Arial" w:eastAsia="Arial" w:hAnsi="Arial"/>
          <w:sz w:val="17"/>
          <w:szCs w:val="17"/>
          <w:color w:val="auto"/>
        </w:rPr>
        <w:t>AXS-12 (reboxetine) is Axsome’s novel, oral, potent, and highly selective norepinephrine reuptake inhibitor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of narcolepsy. AXS-12 has been granted FDA Breakthrough Therapy designation for the treatment of cataplexy in patients with narcolepsy and Orphan Drug Designation for the treatment of narcolepsy.</w:t>
      </w:r>
    </w:p>
    <w:p>
      <w:pPr>
        <w:spacing w:after="0" w:line="117" w:lineRule="exact"/>
        <w:rPr>
          <w:rFonts w:ascii="Arial" w:cs="Arial" w:eastAsia="Arial" w:hAnsi="Arial"/>
          <w:sz w:val="17"/>
          <w:szCs w:val="17"/>
          <w:color w:val="0D0D0D"/>
        </w:rPr>
      </w:pPr>
    </w:p>
    <w:p>
      <w:pPr>
        <w:jc w:val="both"/>
        <w:ind w:left="321"/>
        <w:spacing w:after="0" w:line="298" w:lineRule="auto"/>
        <w:rPr>
          <w:rFonts w:ascii="Arial" w:cs="Arial" w:eastAsia="Arial" w:hAnsi="Arial"/>
          <w:sz w:val="17"/>
          <w:szCs w:val="17"/>
          <w:color w:val="0D0D0D"/>
        </w:rPr>
      </w:pPr>
      <w:r>
        <w:rPr>
          <w:rFonts w:ascii="Arial" w:cs="Arial" w:eastAsia="Arial" w:hAnsi="Arial"/>
          <w:sz w:val="16"/>
          <w:szCs w:val="16"/>
          <w:b w:val="1"/>
          <w:bCs w:val="1"/>
          <w:color w:val="auto"/>
        </w:rPr>
        <w:t xml:space="preserve">Narcolepsy: </w:t>
      </w:r>
      <w:r>
        <w:rPr>
          <w:rFonts w:ascii="Arial" w:cs="Arial" w:eastAsia="Arial" w:hAnsi="Arial"/>
          <w:sz w:val="16"/>
          <w:szCs w:val="16"/>
          <w:color w:val="auto"/>
        </w:rPr>
        <w:t>In August 2020, Axsome received FDA Breakthrough Therapy designation for AXS-12 for the treatment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cataplexy in patients with narcolepsy. The designation was supported by the positive results from the Phase 2 CONCERT study, a randomized, double-blind, placebo-controlled, crossover, multicenter U.S. trial in which 21 patients with a diagnosis of narcolepsy with cataplexy were treated with AXS-12 or with placebo, followed by a crossover to the other treatment. Axsome is on track to initiate Phase 3 trials of AXS-12 in the treatment of narcolepsy in the second half of 2020.</w:t>
      </w:r>
    </w:p>
    <w:p>
      <w:pPr>
        <w:spacing w:after="0" w:line="113" w:lineRule="exact"/>
        <w:rPr>
          <w:rFonts w:ascii="Arial" w:cs="Arial" w:eastAsia="Arial" w:hAnsi="Arial"/>
          <w:sz w:val="17"/>
          <w:szCs w:val="17"/>
          <w:color w:val="0D0D0D"/>
        </w:rPr>
      </w:pPr>
    </w:p>
    <w:p>
      <w:pPr>
        <w:jc w:val="both"/>
        <w:ind w:left="321" w:hanging="321"/>
        <w:spacing w:after="0" w:line="266"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AXS-14: </w:t>
      </w:r>
      <w:r>
        <w:rPr>
          <w:rFonts w:ascii="Arial" w:cs="Arial" w:eastAsia="Arial" w:hAnsi="Arial"/>
          <w:sz w:val="18"/>
          <w:szCs w:val="18"/>
          <w:color w:val="auto"/>
        </w:rPr>
        <w:t>AXS-14 (esreboxetine) is Axsome’s novel, oral, potent, and highly selective norepinephrine reuptake inhibitor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fibromyalgia. Esreboxetine, the SS-enantiomer of reboxetine, is more potent and selective than racemic reboxetine.</w:t>
      </w:r>
    </w:p>
    <w:p>
      <w:pPr>
        <w:spacing w:after="0" w:line="148" w:lineRule="exact"/>
        <w:rPr>
          <w:rFonts w:ascii="Arial" w:cs="Arial" w:eastAsia="Arial" w:hAnsi="Arial"/>
          <w:sz w:val="18"/>
          <w:szCs w:val="18"/>
          <w:color w:val="auto"/>
        </w:rPr>
      </w:pPr>
    </w:p>
    <w:p>
      <w:pPr>
        <w:jc w:val="both"/>
        <w:ind w:left="321"/>
        <w:spacing w:after="0" w:line="314" w:lineRule="auto"/>
        <w:rPr>
          <w:rFonts w:ascii="Arial" w:cs="Arial" w:eastAsia="Arial" w:hAnsi="Arial"/>
          <w:sz w:val="18"/>
          <w:szCs w:val="18"/>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Axsome plans to meet with the FDA in the second half of 2020 to discuss the further clinical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of AXS-14 for the treatment of fibromyalgia. AXS-14 has previously met the primary endpoints and demonstrated positive and statistically significant results in a Phase 3 and a Phase 2 trial in the treatment of fibromyalgia.</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494665</wp:posOffset>
            </wp:positionV>
            <wp:extent cx="588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881" w:right="1339" w:bottom="1440" w:gutter="0" w:footer="0" w:header="0"/>
        </w:sectPr>
      </w:pPr>
    </w:p>
    <w:bookmarkStart w:id="5" w:name="page6"/>
    <w:bookmarkEnd w:id="5"/>
    <w:p>
      <w:pPr>
        <w:ind w:left="1"/>
        <w:spacing w:after="0"/>
        <w:rPr>
          <w:sz w:val="20"/>
          <w:szCs w:val="20"/>
          <w:color w:val="auto"/>
        </w:rPr>
      </w:pPr>
      <w:r>
        <w:rPr>
          <w:rFonts w:ascii="Arial" w:cs="Arial" w:eastAsia="Arial" w:hAnsi="Arial"/>
          <w:sz w:val="18"/>
          <w:szCs w:val="18"/>
          <w:b w:val="1"/>
          <w:bCs w:val="1"/>
          <w:color w:val="auto"/>
        </w:rPr>
        <w:t>Anticipated Milestones</w:t>
      </w:r>
    </w:p>
    <w:p>
      <w:pPr>
        <w:spacing w:after="0" w:line="185" w:lineRule="exact"/>
        <w:rPr>
          <w:sz w:val="20"/>
          <w:szCs w:val="20"/>
          <w:color w:val="auto"/>
        </w:rPr>
      </w:pPr>
    </w:p>
    <w:p>
      <w:pPr>
        <w:ind w:left="301" w:hanging="234"/>
        <w:spacing w:after="0"/>
        <w:tabs>
          <w:tab w:leader="none" w:pos="301"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NDA Filings:</w:t>
      </w:r>
    </w:p>
    <w:p>
      <w:pPr>
        <w:spacing w:after="0" w:line="202" w:lineRule="exact"/>
        <w:rPr>
          <w:sz w:val="20"/>
          <w:szCs w:val="20"/>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AXS-05 in the treatment of MDD (4Q 2020)</w:t>
      </w:r>
    </w:p>
    <w:p>
      <w:pPr>
        <w:spacing w:after="0" w:line="168" w:lineRule="exact"/>
        <w:rPr>
          <w:rFonts w:ascii="Courier New" w:cs="Courier New" w:eastAsia="Courier New" w:hAnsi="Courier New"/>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AXS-07 in the acute treatment of migraine (4Q 2020)</w:t>
      </w:r>
    </w:p>
    <w:p>
      <w:pPr>
        <w:spacing w:after="0" w:line="164" w:lineRule="exact"/>
        <w:rPr>
          <w:rFonts w:ascii="Courier New" w:cs="Courier New" w:eastAsia="Courier New" w:hAnsi="Courier New"/>
          <w:sz w:val="18"/>
          <w:szCs w:val="18"/>
          <w:color w:val="auto"/>
        </w:rPr>
      </w:pPr>
    </w:p>
    <w:p>
      <w:pPr>
        <w:ind w:left="301" w:hanging="234"/>
        <w:spacing w:after="0"/>
        <w:tabs>
          <w:tab w:leader="none" w:pos="301"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FDA Meetings:</w:t>
      </w:r>
    </w:p>
    <w:p>
      <w:pPr>
        <w:spacing w:after="0" w:line="202" w:lineRule="exact"/>
        <w:rPr>
          <w:rFonts w:ascii="Arial" w:cs="Arial" w:eastAsia="Arial" w:hAnsi="Arial"/>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AXS-05 for AD agitation (2H 2020)</w:t>
      </w:r>
    </w:p>
    <w:p>
      <w:pPr>
        <w:spacing w:after="0" w:line="168" w:lineRule="exact"/>
        <w:rPr>
          <w:rFonts w:ascii="Courier New" w:cs="Courier New" w:eastAsia="Courier New" w:hAnsi="Courier New"/>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AXS-05 for smoking cessation (2H 2020)</w:t>
      </w:r>
    </w:p>
    <w:p>
      <w:pPr>
        <w:spacing w:after="0" w:line="209" w:lineRule="exact"/>
        <w:rPr>
          <w:rFonts w:ascii="Courier New" w:cs="Courier New" w:eastAsia="Courier New" w:hAnsi="Courier New"/>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AXS-12 for narcolepsy (2H 2020)</w:t>
      </w:r>
    </w:p>
    <w:p>
      <w:pPr>
        <w:spacing w:after="0" w:line="182" w:lineRule="exact"/>
        <w:rPr>
          <w:rFonts w:ascii="Courier New" w:cs="Courier New" w:eastAsia="Courier New" w:hAnsi="Courier New"/>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AXS-14 for fibromyalgia (2H 2020)</w:t>
      </w:r>
    </w:p>
    <w:p>
      <w:pPr>
        <w:spacing w:after="0" w:line="164"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Phase 2 COMET-TRD trial of AXS-05 in TRD, topline data (4Q 2020)</w:t>
      </w:r>
    </w:p>
    <w:p>
      <w:pPr>
        <w:spacing w:after="0" w:line="182" w:lineRule="exact"/>
        <w:rPr>
          <w:rFonts w:ascii="Courier New" w:cs="Courier New" w:eastAsia="Courier New" w:hAnsi="Courier New"/>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Phase 2 COMET-AU trial of AXS-05 in antidepressant unresponsive MDD, topline data (4Q 2020)</w:t>
      </w:r>
    </w:p>
    <w:p>
      <w:pPr>
        <w:spacing w:after="0" w:line="168" w:lineRule="exact"/>
        <w:rPr>
          <w:rFonts w:ascii="Courier New" w:cs="Courier New" w:eastAsia="Courier New" w:hAnsi="Courier New"/>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Phase 2 COMET-SI trial of AXS-05 in MDD with suicidal ideation, topline data (4Q 2020)</w:t>
      </w:r>
    </w:p>
    <w:p>
      <w:pPr>
        <w:spacing w:after="0" w:line="168" w:lineRule="exact"/>
        <w:rPr>
          <w:rFonts w:ascii="Courier New" w:cs="Courier New" w:eastAsia="Courier New" w:hAnsi="Courier New"/>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Phase 2 MERIT trial of AXS-05 in TRD, topline data (1H 2021)</w:t>
      </w:r>
    </w:p>
    <w:p>
      <w:pPr>
        <w:spacing w:after="0" w:line="178"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229" w:lineRule="exact"/>
        <w:rPr>
          <w:rFonts w:ascii="Arial" w:cs="Arial" w:eastAsia="Arial" w:hAnsi="Arial"/>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Phase 3 trials of AXS-12 in narcolepsy (2H 2020)</w:t>
      </w:r>
    </w:p>
    <w:p>
      <w:pPr>
        <w:spacing w:after="0" w:line="168" w:lineRule="exact"/>
        <w:rPr>
          <w:rFonts w:ascii="Courier New" w:cs="Courier New" w:eastAsia="Courier New" w:hAnsi="Courier New"/>
          <w:sz w:val="18"/>
          <w:szCs w:val="18"/>
          <w:color w:val="auto"/>
        </w:rPr>
      </w:pPr>
    </w:p>
    <w:p>
      <w:pPr>
        <w:ind w:left="981" w:hanging="333"/>
        <w:spacing w:after="0"/>
        <w:tabs>
          <w:tab w:leader="none" w:pos="981" w:val="left"/>
        </w:tabs>
        <w:numPr>
          <w:ilvl w:val="2"/>
          <w:numId w:val="5"/>
        </w:numPr>
        <w:rPr>
          <w:rFonts w:ascii="Courier New" w:cs="Courier New" w:eastAsia="Courier New" w:hAnsi="Courier New"/>
          <w:sz w:val="18"/>
          <w:szCs w:val="18"/>
          <w:color w:val="auto"/>
        </w:rPr>
      </w:pPr>
      <w:r>
        <w:rPr>
          <w:rFonts w:ascii="Arial" w:cs="Arial" w:eastAsia="Arial" w:hAnsi="Arial"/>
          <w:sz w:val="18"/>
          <w:szCs w:val="18"/>
          <w:color w:val="auto"/>
        </w:rPr>
        <w:t>Phase 3 trial of AXS-05 in AD agitation (2H 2020)</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Second Quarter 2020 Financial Results</w:t>
      </w:r>
    </w:p>
    <w:p>
      <w:pPr>
        <w:spacing w:after="0" w:line="185" w:lineRule="exact"/>
        <w:rPr>
          <w:sz w:val="20"/>
          <w:szCs w:val="20"/>
          <w:color w:val="auto"/>
        </w:rPr>
      </w:pPr>
    </w:p>
    <w:p>
      <w:pPr>
        <w:jc w:val="both"/>
        <w:ind w:left="321" w:hanging="240"/>
        <w:spacing w:after="0" w:line="266"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$10.5 million for the quarter ended June 30, 2020 and</w:t>
      </w:r>
      <w:r>
        <w:rPr>
          <w:rFonts w:ascii="Arial" w:cs="Arial" w:eastAsia="Arial" w:hAnsi="Arial"/>
          <w:sz w:val="18"/>
          <w:szCs w:val="18"/>
          <w:b w:val="1"/>
          <w:bCs w:val="1"/>
          <w:color w:val="auto"/>
        </w:rPr>
        <w:t xml:space="preserve"> </w:t>
      </w:r>
      <w:r>
        <w:rPr>
          <w:rFonts w:ascii="Arial" w:cs="Arial" w:eastAsia="Arial" w:hAnsi="Arial"/>
          <w:sz w:val="18"/>
          <w:szCs w:val="18"/>
          <w:color w:val="auto"/>
        </w:rPr>
        <w:t>$11.0 million for the comparable period in 2019. The decrease of $0.5 million was driven by the completion of several clinical trials which were ongoing in the comparable prior period.</w:t>
      </w:r>
    </w:p>
    <w:p>
      <w:pPr>
        <w:spacing w:after="0" w:line="135" w:lineRule="exact"/>
        <w:rPr>
          <w:rFonts w:ascii="Arial" w:cs="Arial" w:eastAsia="Arial" w:hAnsi="Arial"/>
          <w:sz w:val="18"/>
          <w:szCs w:val="18"/>
          <w:color w:val="auto"/>
        </w:rPr>
      </w:pPr>
    </w:p>
    <w:p>
      <w:pPr>
        <w:jc w:val="both"/>
        <w:ind w:left="321" w:hanging="240"/>
        <w:spacing w:after="0" w:line="266"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$7.2 million for the quarter ended June 30, 2020 and</w:t>
      </w:r>
      <w:r>
        <w:rPr>
          <w:rFonts w:ascii="Arial" w:cs="Arial" w:eastAsia="Arial" w:hAnsi="Arial"/>
          <w:sz w:val="18"/>
          <w:szCs w:val="18"/>
          <w:b w:val="1"/>
          <w:bCs w:val="1"/>
          <w:color w:val="auto"/>
        </w:rPr>
        <w:t xml:space="preserve"> </w:t>
      </w:r>
      <w:r>
        <w:rPr>
          <w:rFonts w:ascii="Arial" w:cs="Arial" w:eastAsia="Arial" w:hAnsi="Arial"/>
          <w:sz w:val="18"/>
          <w:szCs w:val="18"/>
          <w:color w:val="auto"/>
        </w:rPr>
        <w:t>$2.4 million for the comparable period in 2019. The change was primarily due to an increase in stock compensation expense, along with the build-out of the commercial function.</w:t>
      </w:r>
    </w:p>
    <w:p>
      <w:pPr>
        <w:spacing w:after="0" w:line="148" w:lineRule="exact"/>
        <w:rPr>
          <w:rFonts w:ascii="Arial" w:cs="Arial" w:eastAsia="Arial" w:hAnsi="Arial"/>
          <w:sz w:val="18"/>
          <w:szCs w:val="18"/>
          <w:color w:val="auto"/>
        </w:rPr>
      </w:pPr>
    </w:p>
    <w:p>
      <w:pPr>
        <w:ind w:left="321" w:hanging="240"/>
        <w:spacing w:after="0" w:line="282"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$18.3 million, or $(0.49) per share for the quarter ended June 30, 2020,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$13.8 million, or $(0.41) per share for the comparable period in 2019.</w:t>
      </w:r>
    </w:p>
    <w:p>
      <w:pPr>
        <w:spacing w:after="0" w:line="121" w:lineRule="exact"/>
        <w:rPr>
          <w:rFonts w:ascii="Arial" w:cs="Arial" w:eastAsia="Arial" w:hAnsi="Arial"/>
          <w:sz w:val="18"/>
          <w:szCs w:val="18"/>
          <w:color w:val="auto"/>
        </w:rPr>
      </w:pPr>
    </w:p>
    <w:p>
      <w:pPr>
        <w:ind w:left="321" w:hanging="240"/>
        <w:spacing w:after="0"/>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Cash: </w:t>
      </w:r>
      <w:r>
        <w:rPr>
          <w:rFonts w:ascii="Arial" w:cs="Arial" w:eastAsia="Arial" w:hAnsi="Arial"/>
          <w:sz w:val="17"/>
          <w:szCs w:val="17"/>
          <w:color w:val="auto"/>
        </w:rPr>
        <w:t>At June 30, 2020, Axsome had $190.7 million of cash compared to $197.3 million of cash at March 31, 2020.</w:t>
      </w:r>
    </w:p>
    <w:p>
      <w:pPr>
        <w:spacing w:after="0" w:line="196" w:lineRule="exact"/>
        <w:rPr>
          <w:rFonts w:ascii="Arial" w:cs="Arial" w:eastAsia="Arial" w:hAnsi="Arial"/>
          <w:sz w:val="17"/>
          <w:szCs w:val="17"/>
          <w:color w:val="auto"/>
        </w:rPr>
      </w:pPr>
    </w:p>
    <w:p>
      <w:pPr>
        <w:ind w:left="321" w:hanging="240"/>
        <w:spacing w:after="0"/>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June 30, 2020, Axsome had 37,267,510 shares of common stock outstanding.</w:t>
      </w:r>
    </w:p>
    <w:p>
      <w:pPr>
        <w:spacing w:after="0" w:line="184" w:lineRule="exact"/>
        <w:rPr>
          <w:rFonts w:ascii="Arial" w:cs="Arial" w:eastAsia="Arial" w:hAnsi="Arial"/>
          <w:sz w:val="18"/>
          <w:szCs w:val="18"/>
          <w:color w:val="auto"/>
        </w:rPr>
      </w:pPr>
    </w:p>
    <w:p>
      <w:pPr>
        <w:ind w:left="321" w:hanging="240"/>
        <w:spacing w:after="0" w:line="282"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Financial Guidance: </w:t>
      </w:r>
      <w:r>
        <w:rPr>
          <w:rFonts w:ascii="Arial" w:cs="Arial" w:eastAsia="Arial" w:hAnsi="Arial"/>
          <w:sz w:val="18"/>
          <w:szCs w:val="18"/>
          <w:color w:val="auto"/>
        </w:rPr>
        <w:t>Axsome believes that its cash at June 30, 2020 will be sufficient to fund the Company’s anticipated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based on its current operating plans, for at least two years.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494665</wp:posOffset>
            </wp:positionV>
            <wp:extent cx="588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877" w:right="1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Axsome will host a conference call and webcast today at 8:00 AM Eastern to discuss second quarter 2020 financial results as well as to provide a corporate update. To participate in the live conference call, please dial (844) 698-4029 (toll-free domestic) or (647) 253-8660 (international), and use the conference ID 4876676. The live webcast can be accessed on the "Webcasts &amp; Presentations" page of the "Investors" section of the Company's website at axsome.com. A replay of the webcast will be available for approximately 30 days following the live event.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877" w:right="1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Statements of Operations Information:</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10,542,957</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11,003,142</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7,235,877</w:t>
            </w:r>
          </w:p>
        </w:tc>
        <w:tc>
          <w:tcPr>
            <w:tcW w:w="6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2,445,077</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17,778,834</w:t>
            </w:r>
          </w:p>
        </w:tc>
        <w:tc>
          <w:tcPr>
            <w:tcW w:w="3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13,448,219</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(17,778,834)</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(13,448,219)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46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(548,158)</w:t>
            </w:r>
          </w:p>
        </w:tc>
        <w:tc>
          <w:tcPr>
            <w:tcW w:w="6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(313,995)</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(18,326,992)</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(13,762,214)</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(0.49)</w:t>
            </w:r>
          </w:p>
        </w:tc>
        <w:tc>
          <w:tcPr>
            <w:tcW w:w="38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4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Weighted average common shares outstanding, basic and</w:t>
            </w:r>
          </w:p>
        </w:tc>
        <w:tc>
          <w:tcPr>
            <w:tcW w:w="460" w:type="dxa"/>
            <w:vAlign w:val="bottom"/>
            <w:shd w:val="clear" w:color="auto" w:fill="CCEEFF"/>
          </w:tcPr>
          <w:p>
            <w:pPr>
              <w:spacing w:after="0"/>
              <w:rPr>
                <w:sz w:val="13"/>
                <w:szCs w:val="13"/>
                <w:color w:val="auto"/>
              </w:rPr>
            </w:pPr>
          </w:p>
        </w:tc>
        <w:tc>
          <w:tcPr>
            <w:tcW w:w="19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37,100,770</w:t>
            </w:r>
          </w:p>
        </w:tc>
        <w:tc>
          <w:tcPr>
            <w:tcW w:w="66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33,801,749</w:t>
            </w: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9240"/>
          </w:cols>
          <w:pgMar w:left="1320" w:top="877" w:right="1339" w:bottom="1440" w:gutter="0" w:footer="0" w:header="0"/>
        </w:sectPr>
      </w:pPr>
    </w:p>
    <w:p>
      <w:pPr>
        <w:spacing w:after="0"/>
        <w:rPr>
          <w:sz w:val="20"/>
          <w:szCs w:val="20"/>
          <w:color w:val="auto"/>
        </w:rPr>
      </w:pPr>
      <w:r>
        <w:rPr>
          <w:rFonts w:ascii="Arial" w:cs="Arial" w:eastAsia="Arial" w:hAnsi="Arial"/>
          <w:sz w:val="18"/>
          <w:szCs w:val="18"/>
          <w:b w:val="1"/>
          <w:bCs w:val="1"/>
          <w:color w:val="auto"/>
        </w:rPr>
        <w:t>Balance Sheet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Loan payable, current and long-term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1"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ind w:right="1480"/>
        <w:spacing w:after="0" w:line="323" w:lineRule="auto"/>
        <w:rPr>
          <w:sz w:val="20"/>
          <w:szCs w:val="20"/>
          <w:color w:val="auto"/>
        </w:rPr>
      </w:pPr>
      <w:r>
        <w:rPr>
          <w:rFonts w:ascii="Arial" w:cs="Arial" w:eastAsia="Arial" w:hAnsi="Arial"/>
          <w:sz w:val="16"/>
          <w:szCs w:val="16"/>
          <w:color w:val="auto"/>
        </w:rPr>
        <w:t>Email: mjacobson@axsome.com www.axsome.com</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June 30, 2020</w:t>
            </w: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December 31, 2019</w:t>
            </w:r>
          </w:p>
        </w:tc>
      </w:tr>
      <w:tr>
        <w:trPr>
          <w:trHeight w:val="209"/>
        </w:trPr>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190,682,109</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219,966,167</w:t>
            </w:r>
          </w:p>
        </w:tc>
        <w:tc>
          <w:tcPr>
            <w:tcW w:w="80" w:type="dxa"/>
            <w:vAlign w:val="bottom"/>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190,989,587</w:t>
            </w:r>
          </w:p>
        </w:tc>
        <w:tc>
          <w:tcPr>
            <w:tcW w:w="1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220,549,760</w:t>
            </w:r>
          </w:p>
        </w:tc>
      </w:tr>
      <w:tr>
        <w:trPr>
          <w:trHeight w:val="216"/>
        </w:trPr>
        <w:tc>
          <w:tcPr>
            <w:tcW w:w="2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20,291,582</w:t>
            </w:r>
          </w:p>
        </w:tc>
        <w:tc>
          <w:tcPr>
            <w:tcW w:w="12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19,934,918</w:t>
            </w:r>
          </w:p>
        </w:tc>
      </w:tr>
      <w:tr>
        <w:trPr>
          <w:trHeight w:val="243"/>
        </w:trPr>
        <w:tc>
          <w:tcPr>
            <w:tcW w:w="22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(226,706,631)</w:t>
            </w:r>
          </w:p>
        </w:tc>
        <w:tc>
          <w:tcPr>
            <w:tcW w:w="12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(175,895,493)</w:t>
            </w:r>
          </w:p>
        </w:tc>
      </w:tr>
      <w:tr>
        <w:trPr>
          <w:trHeight w:val="230"/>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154,243,310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178,722,389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-727710</wp:posOffset>
            </wp:positionV>
            <wp:extent cx="587184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1845" cy="14541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-436880</wp:posOffset>
            </wp:positionV>
            <wp:extent cx="587184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-145415</wp:posOffset>
            </wp:positionV>
            <wp:extent cx="587184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494665</wp:posOffset>
            </wp:positionV>
            <wp:extent cx="588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2">
            <w:col w:w="3860" w:space="720"/>
            <w:col w:w="4660"/>
          </w:cols>
          <w:pgMar w:left="1320" w:top="877" w:right="1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1320165"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Further Progress in AXS-05 Depression Clinical Program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Enrollment complete in the COMET Phase 3 long-term safety trial of AXS-05 in MDD; NDA filing on track for 4Q 2020</w:t>
      </w:r>
    </w:p>
    <w:p>
      <w:pPr>
        <w:spacing w:after="0" w:line="237" w:lineRule="exact"/>
        <w:rPr>
          <w:sz w:val="20"/>
          <w:szCs w:val="20"/>
          <w:color w:val="auto"/>
        </w:rPr>
      </w:pPr>
    </w:p>
    <w:p>
      <w:pPr>
        <w:jc w:val="center"/>
        <w:ind w:left="1320" w:right="280"/>
        <w:spacing w:after="0" w:line="277" w:lineRule="auto"/>
        <w:rPr>
          <w:sz w:val="20"/>
          <w:szCs w:val="20"/>
          <w:color w:val="auto"/>
        </w:rPr>
      </w:pPr>
      <w:r>
        <w:rPr>
          <w:rFonts w:ascii="Arial" w:cs="Arial" w:eastAsia="Arial" w:hAnsi="Arial"/>
          <w:sz w:val="18"/>
          <w:szCs w:val="18"/>
          <w:i w:val="1"/>
          <w:iCs w:val="1"/>
          <w:color w:val="auto"/>
        </w:rPr>
        <w:t>Results from three Phase 2 open-label efficacy trials of AXS-05 in TRD, antidepressant unresponsive MDD, and suicidal ideation, expected in 4Q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MERIT Phase 2 placebo-controlled trial in TRD initiated; topline results expected in 1H 2021</w:t>
      </w:r>
    </w:p>
    <w:p>
      <w:pPr>
        <w:spacing w:after="0" w:line="239" w:lineRule="exact"/>
        <w:rPr>
          <w:sz w:val="20"/>
          <w:szCs w:val="20"/>
          <w:color w:val="auto"/>
        </w:rPr>
      </w:pPr>
    </w:p>
    <w:p>
      <w:pPr>
        <w:jc w:val="both"/>
        <w:ind w:left="1"/>
        <w:spacing w:after="0" w:line="257" w:lineRule="auto"/>
        <w:rPr>
          <w:sz w:val="20"/>
          <w:szCs w:val="20"/>
          <w:color w:val="auto"/>
        </w:rPr>
      </w:pPr>
      <w:r>
        <w:rPr>
          <w:rFonts w:ascii="Arial" w:cs="Arial" w:eastAsia="Arial" w:hAnsi="Arial"/>
          <w:sz w:val="18"/>
          <w:szCs w:val="18"/>
          <w:color w:val="auto"/>
        </w:rPr>
        <w:t>NEW YORK, August 10, 2020 (Globe Newswire) – Axsome Therapeutics, Inc. (NASDAQ: AXSM), a clinical-stage biopharmaceutical company developing novel therapies for the management of central nervous system (CNS) disorders, announces continued progress toward NDA filing of AXS-05 in the treatment of major depressive disorder (MDD), and the generation of new clinical data to further characterize the antidepressant profile of AXS-05 across a broad spectrum of patients with MDD.</w:t>
      </w:r>
    </w:p>
    <w:p>
      <w:pPr>
        <w:spacing w:after="0" w:line="188" w:lineRule="exact"/>
        <w:rPr>
          <w:sz w:val="20"/>
          <w:szCs w:val="20"/>
          <w:color w:val="auto"/>
        </w:rPr>
      </w:pPr>
    </w:p>
    <w:p>
      <w:pPr>
        <w:jc w:val="both"/>
        <w:ind w:left="1"/>
        <w:spacing w:after="0" w:line="286" w:lineRule="auto"/>
        <w:rPr>
          <w:sz w:val="20"/>
          <w:szCs w:val="20"/>
          <w:color w:val="auto"/>
        </w:rPr>
      </w:pPr>
      <w:r>
        <w:rPr>
          <w:rFonts w:ascii="Arial" w:cs="Arial" w:eastAsia="Arial" w:hAnsi="Arial"/>
          <w:sz w:val="17"/>
          <w:szCs w:val="17"/>
          <w:color w:val="auto"/>
        </w:rPr>
        <w:t>Enrollment has been completed in the COMET (Clinical Outcomes with NMDA-based Depression Treatment) Phase 3 open-label, long-term safety trial to support the planned NDA filing of AXS-05 in MDD. In addition, the required number of patients treated for 6 months has been reached. Filing of the NDA remains on track for the fourth quarter of 2020.</w:t>
      </w:r>
    </w:p>
    <w:p>
      <w:pPr>
        <w:spacing w:after="0" w:line="165"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Axsome is also conducting three Phase 2 open-label efficacy sub-studies of the COMET trial which will evaluate the efficacy and safety of AXS-05 in three clinically pertinent MDD patient populations: the COMET-TRD trial in treatment resistant MDD (TRD), the COMET-AU trial in antidepressant unresponsive MDD, and the COMET-SI trial in MDD with suicidal ideation. Efficacy results from these studies are expected in the fourth quarter of 2020.</w:t>
      </w:r>
    </w:p>
    <w:p>
      <w:pPr>
        <w:spacing w:after="0" w:line="187"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Further, Axsome has initiated the MERIT (Mechanistic Evaluation of Response in TRD) trial, a Phase 2, double-blind, placebo-controlled, randomized withdrawal study in patients with TRD. Results from the MERIT trial, which are expected in the first half of 2021, along with results from the COMET-TRD trial, which are expected in the fourth quarter of 2020, will provide clinically useful information with AXS-05 in this treatment resistant MDD population.</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Depression Clinical Program Update</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Major Depressive Disorder (MDD) NDA</w:t>
      </w:r>
    </w:p>
    <w:p>
      <w:pPr>
        <w:spacing w:after="0" w:line="225" w:lineRule="exact"/>
        <w:rPr>
          <w:sz w:val="20"/>
          <w:szCs w:val="20"/>
          <w:color w:val="auto"/>
        </w:rPr>
      </w:pPr>
    </w:p>
    <w:p>
      <w:pPr>
        <w:jc w:val="both"/>
        <w:ind w:left="321" w:hanging="321"/>
        <w:spacing w:after="0" w:line="25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Enrollment has been completed in the COMET Phase 3, open-label, long-term safety trial of AXS-05 to support the New Drug Application (NDA) filing in MDD. Nearly 900 patients have been enrolled, of whom more than 500 have been treated for at least 6 months to date. At least 300 patients treated for 6 months and 100 patients treated for one year are required for the NDA filing. Axsome remains on track to achieve the required number of patients treated for one year in the fourth quarter.</w:t>
      </w:r>
    </w:p>
    <w:p>
      <w:pPr>
        <w:spacing w:after="0" w:line="187" w:lineRule="exact"/>
        <w:rPr>
          <w:rFonts w:ascii="Arial" w:cs="Arial" w:eastAsia="Arial" w:hAnsi="Arial"/>
          <w:sz w:val="18"/>
          <w:szCs w:val="18"/>
          <w:color w:val="auto"/>
        </w:rPr>
      </w:pPr>
    </w:p>
    <w:p>
      <w:pPr>
        <w:jc w:val="both"/>
        <w:ind w:left="321" w:hanging="321"/>
        <w:spacing w:after="0" w:line="25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Axsome previously announced that it had completed a pre-NDA meeting for AXS-05 in MDD with the U.S. Food and Drug Administration (FDA) to reach agreement on the proposed content and format of the Company’s planned NDA submission, including the clinical and nonclinical requirements. Based on the feedback from the FDA, the Company believes its regulatory data package will be sufficient to support an NDA for AXS-05 in MDD, and Axsome remains on track to submit the planned NDA in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58807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337" w:right="1339" w:bottom="1440" w:gutter="0" w:footer="0" w:header="0"/>
        </w:sectPr>
      </w:pPr>
    </w:p>
    <w:bookmarkStart w:id="9" w:name="page10"/>
    <w:bookmarkEnd w:id="9"/>
    <w:p>
      <w:pPr>
        <w:ind w:left="1"/>
        <w:spacing w:after="0"/>
        <w:rPr>
          <w:sz w:val="20"/>
          <w:szCs w:val="20"/>
          <w:color w:val="auto"/>
        </w:rPr>
      </w:pPr>
      <w:r>
        <w:rPr>
          <w:rFonts w:ascii="Arial" w:cs="Arial" w:eastAsia="Arial" w:hAnsi="Arial"/>
          <w:sz w:val="18"/>
          <w:szCs w:val="18"/>
          <w:i w:val="1"/>
          <w:iCs w:val="1"/>
          <w:color w:val="auto"/>
        </w:rPr>
        <w:t>Treatment Resistant MDD (TRD)</w:t>
      </w:r>
    </w:p>
    <w:p>
      <w:pPr>
        <w:spacing w:after="0" w:line="225" w:lineRule="exact"/>
        <w:rPr>
          <w:sz w:val="20"/>
          <w:szCs w:val="20"/>
          <w:color w:val="auto"/>
        </w:rPr>
      </w:pPr>
    </w:p>
    <w:p>
      <w:pPr>
        <w:jc w:val="both"/>
        <w:ind w:left="321" w:hanging="321"/>
        <w:spacing w:after="0" w:line="255"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COMET-TRD Trial – Axsome is conducting the COMET-TRD trial, a Phase 2 open-label sub-study evaluating the efficacy and safety of AXS-05 in TRD patients. The trial will include approximately 70 patients who have had ongoing symptoms of depression despite receiving treatment with two or more prior antidepressants during the current major depressive episode. The trial endpoints will include the change from baseline in the Montgomery-Åsberg Depression Rating Scale (MADRS) total score, clinical response, and remission. Topline results from the COMET-TRD trial are expected in the fourth quarter of 2020.</w:t>
      </w:r>
    </w:p>
    <w:p>
      <w:pPr>
        <w:spacing w:after="0" w:line="205" w:lineRule="exact"/>
        <w:rPr>
          <w:rFonts w:ascii="Arial" w:cs="Arial" w:eastAsia="Arial" w:hAnsi="Arial"/>
          <w:sz w:val="18"/>
          <w:szCs w:val="18"/>
          <w:color w:val="auto"/>
        </w:rPr>
      </w:pPr>
    </w:p>
    <w:p>
      <w:pPr>
        <w:jc w:val="both"/>
        <w:ind w:left="321" w:hanging="321"/>
        <w:spacing w:after="0" w:line="254"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MERIT Trial – Axsome is conducting the MERIT trial, a Phase 2, double-blind, placebo-controlled, randomized withdrawal study of AXS-05 in patients with TRD. The trial will include approximately 50 patients who have had ongoing symptoms of depression despite receiving treatment with two or more prior antidepressants during the current major depressive episode. In this trial, patients who experience a sustained remission of depressive symptoms after treatment with open-label AXS-05 will be randomized to continued treatment with AXS-05 or to placebo in a double-blind fashion. The primary endpoint of the trial is the time to relapse of depressive symptoms. Topline results from the MERIT trial are expected in the first half of 2021.</w:t>
      </w:r>
    </w:p>
    <w:p>
      <w:pPr>
        <w:spacing w:after="0" w:line="194" w:lineRule="exact"/>
        <w:rPr>
          <w:rFonts w:ascii="Arial" w:cs="Arial" w:eastAsia="Arial" w:hAnsi="Arial"/>
          <w:sz w:val="18"/>
          <w:szCs w:val="18"/>
          <w:color w:val="auto"/>
        </w:rPr>
      </w:pPr>
    </w:p>
    <w:p>
      <w:pPr>
        <w:jc w:val="both"/>
        <w:ind w:left="321" w:hanging="321"/>
        <w:spacing w:after="0" w:line="263"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MERIT and COMET-TRD trials are being conducted in lieu of the previously planned Phase 3 trial in TRD. This approach will more quickly generate clinically useful information with AXS-05 in this treatment resistant MDD population, starting as early as the fourth quarter of 2020.</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Antidepressant Unresponsive MDD</w:t>
      </w:r>
    </w:p>
    <w:p>
      <w:pPr>
        <w:spacing w:after="0" w:line="225" w:lineRule="exact"/>
        <w:rPr>
          <w:sz w:val="20"/>
          <w:szCs w:val="20"/>
          <w:color w:val="auto"/>
        </w:rPr>
      </w:pPr>
    </w:p>
    <w:p>
      <w:pPr>
        <w:jc w:val="both"/>
        <w:ind w:left="321" w:hanging="321"/>
        <w:spacing w:after="0" w:line="275" w:lineRule="auto"/>
        <w:tabs>
          <w:tab w:leader="none" w:pos="321"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COMET-AU Trial – Axsome is conducting the COMET-AU trial, a Phase 2 open-label sub-study evaluating the efficacy and safety of AXS-05 in patients with antidepressant unresponsive (AU) MDD. The trial will include approximately 150 patients with ongoing symptoms of depression despite receiving one standard antidepressant pharmacotherapy. The trial endpoints will include the change from baseline in the MADRS total score, clinical response, and remission. Topline results from the COMET-AU trial are expected in the fourth quarter of 2020.</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MDD with Suicidal Ideation</w:t>
      </w:r>
    </w:p>
    <w:p>
      <w:pPr>
        <w:spacing w:after="0" w:line="225" w:lineRule="exact"/>
        <w:rPr>
          <w:sz w:val="20"/>
          <w:szCs w:val="20"/>
          <w:color w:val="auto"/>
        </w:rPr>
      </w:pPr>
    </w:p>
    <w:p>
      <w:pPr>
        <w:jc w:val="both"/>
        <w:ind w:left="321" w:hanging="321"/>
        <w:spacing w:after="0" w:line="259"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COMET-SI Trial – Axsome is conducting the COMET-SI trial, a Phase 2 open-label sub-study evaluating the efficacy and safety of AXS-05 in MDD patients with suicidal ideation (SI). The trial will include approximately 30 patients. The trial endpoints will include the resolution of suicidal ideation. Topline results from the COMET-SI trial are expected in the fourth quarter of 2020.</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About Major Depressive Disorder (MDD)</w:t>
      </w:r>
    </w:p>
    <w:p>
      <w:pPr>
        <w:spacing w:after="0" w:line="229" w:lineRule="exact"/>
        <w:rPr>
          <w:sz w:val="20"/>
          <w:szCs w:val="20"/>
          <w:color w:val="auto"/>
        </w:rPr>
      </w:pPr>
    </w:p>
    <w:p>
      <w:pPr>
        <w:jc w:val="both"/>
        <w:ind w:left="1"/>
        <w:spacing w:after="0" w:line="248" w:lineRule="auto"/>
        <w:rPr>
          <w:sz w:val="20"/>
          <w:szCs w:val="20"/>
          <w:color w:val="auto"/>
        </w:rPr>
      </w:pPr>
      <w:r>
        <w:rPr>
          <w:rFonts w:ascii="Arial" w:cs="Arial" w:eastAsia="Arial" w:hAnsi="Arial"/>
          <w:sz w:val="16"/>
          <w:szCs w:val="16"/>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7.1% of U.S. adults, or approximately 17 million, experience MDD each year</w:t>
      </w:r>
      <w:r>
        <w:rPr>
          <w:rFonts w:ascii="Arial" w:cs="Arial" w:eastAsia="Arial" w:hAnsi="Arial"/>
          <w:sz w:val="23"/>
          <w:szCs w:val="23"/>
          <w:color w:val="auto"/>
          <w:vertAlign w:val="superscript"/>
        </w:rPr>
        <w:t>1</w:t>
      </w:r>
      <w:r>
        <w:rPr>
          <w:rFonts w:ascii="Arial" w:cs="Arial" w:eastAsia="Arial" w:hAnsi="Arial"/>
          <w:sz w:val="16"/>
          <w:szCs w:val="16"/>
          <w:color w:val="auto"/>
        </w:rPr>
        <w:t>. According to the World Health Organization (WHO), depression is the leading cause of disability worldwide, and is a major contributor to the overall global burden of disease</w:t>
      </w:r>
      <w:r>
        <w:rPr>
          <w:rFonts w:ascii="Arial" w:cs="Arial" w:eastAsia="Arial" w:hAnsi="Arial"/>
          <w:sz w:val="23"/>
          <w:szCs w:val="23"/>
          <w:color w:val="auto"/>
          <w:vertAlign w:val="superscript"/>
        </w:rPr>
        <w:t>2</w:t>
      </w:r>
      <w:r>
        <w:rPr>
          <w:rFonts w:ascii="Arial" w:cs="Arial" w:eastAsia="Arial" w:hAnsi="Arial"/>
          <w:sz w:val="16"/>
          <w:szCs w:val="16"/>
          <w:color w:val="auto"/>
        </w:rPr>
        <w:t>. Nearly two thirds of diagnosed and treated patients do not experience adequate treatment response with currently available first-line therapy</w:t>
      </w:r>
      <w:r>
        <w:rPr>
          <w:rFonts w:ascii="Arial" w:cs="Arial" w:eastAsia="Arial" w:hAnsi="Arial"/>
          <w:sz w:val="23"/>
          <w:szCs w:val="23"/>
          <w:color w:val="auto"/>
          <w:vertAlign w:val="superscript"/>
        </w:rPr>
        <w:t>3</w:t>
      </w:r>
      <w:r>
        <w:rPr>
          <w:rFonts w:ascii="Arial" w:cs="Arial" w:eastAsia="Arial" w:hAnsi="Arial"/>
          <w:sz w:val="16"/>
          <w:szCs w:val="16"/>
          <w:color w:val="auto"/>
        </w:rPr>
        <w:t>,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58807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881" w:right="1339" w:bottom="1440" w:gutter="0" w:footer="0" w:header="0"/>
        </w:sectPr>
      </w:pPr>
    </w:p>
    <w:bookmarkStart w:id="10" w:name="page11"/>
    <w:bookmarkEnd w:id="10"/>
    <w:p>
      <w:pPr>
        <w:ind w:left="1"/>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jc w:val="both"/>
        <w:ind w:left="1"/>
        <w:spacing w:after="0" w:line="269" w:lineRule="auto"/>
        <w:rPr>
          <w:sz w:val="20"/>
          <w:szCs w:val="20"/>
          <w:color w:val="auto"/>
        </w:rPr>
      </w:pPr>
      <w:r>
        <w:rPr>
          <w:rFonts w:ascii="Arial" w:cs="Arial" w:eastAsia="Arial" w:hAnsi="Arial"/>
          <w:sz w:val="17"/>
          <w:szCs w:val="17"/>
          <w:color w:val="auto"/>
        </w:rPr>
        <w:t>AXS-05 is a novel, oral, patent-protected, investigational NMDA receptor antagonist with multimodal activity under development for the treatment of major depressive disorder, Alzheimer’s disease agitation,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a sigma-1 receptor agonist, an inhibitor of the serotonin and norepinephrine transporters, a nicotinic acetylcholine receptor antagonist, and an inhibitor of microglial activation. The bupropion component of AXS-05 serves to increase the bioavailability of dextromethorphan, and is a norepinephrine and dopamine reuptake inhibitor, and a nicotinic acetylcholine receptor antagonist. AXS-05 is covered by more than 42 issued U.S. and international patents which provide protection out to 2034. AXS-05 has been granted U.S. Food and Drug Administration Breakthrough Therapy designation for major depressive disorder, Fast Track designation for treatment resistant depression, and Breakthrough Therapy and Fast Track designations for Alzheimer’s disease agitation. AXS-05 is not approved by the FDA.</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ind w:left="1"/>
        <w:spacing w:after="0" w:line="289" w:lineRule="auto"/>
        <w:rPr>
          <w:sz w:val="20"/>
          <w:szCs w:val="20"/>
          <w:color w:val="auto"/>
        </w:rPr>
      </w:pPr>
      <w:r>
        <w:rPr>
          <w:rFonts w:ascii="Arial" w:cs="Arial" w:eastAsia="Arial" w:hAnsi="Arial"/>
          <w:sz w:val="16"/>
          <w:szCs w:val="16"/>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jc w:val="both"/>
        <w:ind w:left="321" w:hanging="319"/>
        <w:spacing w:after="0" w:line="277" w:lineRule="auto"/>
        <w:tabs>
          <w:tab w:leader="none" w:pos="301" w:val="left"/>
        </w:tabs>
        <w:rPr>
          <w:sz w:val="20"/>
          <w:szCs w:val="20"/>
          <w:color w:val="auto"/>
        </w:rPr>
      </w:pPr>
      <w:r>
        <w:rPr>
          <w:rFonts w:ascii="Arial" w:cs="Arial" w:eastAsia="Arial" w:hAnsi="Arial"/>
          <w:sz w:val="18"/>
          <w:szCs w:val="18"/>
          <w:color w:val="auto"/>
        </w:rPr>
        <w:t>1.</w:t>
        <w:tab/>
        <w:t>National Institute of Mental Health. (2017). Major Depression. Retrieved from https://www.nimh.nih.gov/health/statistics/major-depression.shtml.</w:t>
      </w:r>
    </w:p>
    <w:p>
      <w:pPr>
        <w:spacing w:after="0" w:line="184" w:lineRule="exact"/>
        <w:rPr>
          <w:sz w:val="20"/>
          <w:szCs w:val="20"/>
          <w:color w:val="auto"/>
        </w:rPr>
      </w:pPr>
    </w:p>
    <w:p>
      <w:pPr>
        <w:ind w:left="321" w:hanging="321"/>
        <w:spacing w:after="0" w:line="277"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 Health Organization. Fact Sheets: Depression, accessed October 9, 2018, http://www.who.int/en/news-room/fact-sheets/detail/depression.</w:t>
      </w:r>
    </w:p>
    <w:p>
      <w:pPr>
        <w:spacing w:after="0" w:line="170" w:lineRule="exact"/>
        <w:rPr>
          <w:rFonts w:ascii="Arial" w:cs="Arial" w:eastAsia="Arial" w:hAnsi="Arial"/>
          <w:sz w:val="18"/>
          <w:szCs w:val="18"/>
          <w:color w:val="auto"/>
        </w:rPr>
      </w:pPr>
    </w:p>
    <w:p>
      <w:pPr>
        <w:ind w:left="321" w:hanging="321"/>
        <w:spacing w:after="0"/>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588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877" w:right="1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58807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sectPr>
      <w:pgSz w:w="11900" w:h="16838" w:orient="portrait"/>
      <w:cols w:equalWidth="0" w:num="1">
        <w:col w:w="9240"/>
      </w:cols>
      <w:pgMar w:left="1320" w:top="877"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2020-08-10T07:25:24Z</dcterms:created>
  <dcterms:modified xsi:type="dcterms:W3CDTF">2020-08-10T07:25:24Z</dcterms:modified>
</cp:coreProperties>
</file>