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30,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8" w:orient="portrait"/>
          <w:cols w:equalWidth="0" w:num="1">
            <w:col w:w="11420"/>
          </w:cols>
          <w:pgMar w:left="240" w:top="544"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78" w:orient="portrait"/>
          <w:cols w:equalWidth="0" w:num="3">
            <w:col w:w="4520" w:space="720"/>
            <w:col w:w="2960" w:space="720"/>
            <w:col w:w="2500"/>
          </w:cols>
          <w:pgMar w:left="240" w:top="544" w:right="23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78" w:orient="portrait"/>
          <w:cols w:equalWidth="0" w:num="2">
            <w:col w:w="7500" w:space="720"/>
            <w:col w:w="3200"/>
          </w:cols>
          <w:pgMar w:left="240" w:top="544"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83185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firstLine="648"/>
        <w:spacing w:after="0" w:line="291" w:lineRule="auto"/>
        <w:rPr>
          <w:sz w:val="20"/>
          <w:szCs w:val="20"/>
          <w:color w:val="auto"/>
        </w:rPr>
      </w:pPr>
      <w:r>
        <w:rPr>
          <w:rFonts w:ascii="Arial" w:cs="Arial" w:eastAsia="Arial" w:hAnsi="Arial"/>
          <w:sz w:val="16"/>
          <w:szCs w:val="16"/>
          <w:color w:val="auto"/>
        </w:rPr>
        <w:t>On November 30, 2017, Axsome Therapeutics, Inc. (the “Company”), and certain institutional investors entered into a securities purchase agreement (the “Securities Purchase Agreement”), pursuant to which the Company agreed to sell an aggregate of 1,783,587 shares of its common stock and warrants exercisable for up to 1,783,587 shares of its common stock (exclusive of the Wainwright Warrants described below) in a registered direct offering (the “Offering”) for gross proceeds of approximately $9.5 million. The shares and warrants are being sold in units, each consisting of one share of common stock and a warrant to purchase one share of common stock, at an offering price of $5.325 per unit. Subject to certain ownership limitations, the warrants will be exercisable immediately and will expire 53 weeks from the initial exercise date. The warrants will have an exercise price of $5.25 per share. The number of shares issuable upon exercise of the warrants and the exercise price of the warrants are adjustable in the event of stock splits, stock dividends, combinations of</w:t>
      </w:r>
    </w:p>
    <w:p>
      <w:pPr>
        <w:sectPr>
          <w:pgSz w:w="11900" w:h="16878" w:orient="portrait"/>
          <w:cols w:equalWidth="0" w:num="1">
            <w:col w:w="11420"/>
          </w:cols>
          <w:pgMar w:left="240" w:top="544" w:right="239" w:bottom="0" w:gutter="0" w:footer="0" w:header="0"/>
          <w:type w:val="continuous"/>
        </w:sectPr>
      </w:pPr>
    </w:p>
    <w:bookmarkStart w:id="1" w:name="page2"/>
    <w:bookmarkEnd w:id="1"/>
    <w:p>
      <w:pPr>
        <w:ind w:right="420"/>
        <w:spacing w:after="0" w:line="277" w:lineRule="auto"/>
        <w:rPr>
          <w:sz w:val="20"/>
          <w:szCs w:val="20"/>
          <w:color w:val="auto"/>
        </w:rPr>
      </w:pPr>
      <w:r>
        <w:rPr>
          <w:rFonts w:ascii="Arial" w:cs="Arial" w:eastAsia="Arial" w:hAnsi="Arial"/>
          <w:sz w:val="18"/>
          <w:szCs w:val="18"/>
          <w:color w:val="auto"/>
        </w:rPr>
        <w:t>shares and similar recapitalization transactions. The Offering is expected to close on or about December 4, 2017, subject to the satisfaction of customary closing conditions.</w:t>
      </w:r>
    </w:p>
    <w:p>
      <w:pPr>
        <w:spacing w:after="0" w:line="170"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The Company also entered into an engagement letter (the “Engagement Letter”) with H.C. Wainwright &amp; Co., LLC (“Wainwright”) on November 30, 2017, pursuant to which Wainwright agreed to serve as exclusive placement agent for the Offering. The Company has agreed to pay Wainwright an aggregate cash fee up to 6% of the gross proceeds received in the Offering and pay Wainwright for non-accountable expenses in an amount equal to $35,000, as well as up to $50,000 for fees and expenses of legal counsel and other out-of-pocket expenses. In connection with the Offering, the Company will also issue Wainwright or its designees warrants to purchase up to 107,015 shares of the Company’s common stock (the “Wainwright Warrants”), representing a number of warrants equal to an aggregate of 6% of the number of shares sold in the Offering. The Wainwright Warrants will be substantially on the same terms as the other warrants issued in the Offering, except that the Wainwright Warrants will have an exercise price of $6.6562 per share.</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net proceeds to the Company from the Offering, after deducting Wainwright’s fees and expenses, the Company’s estimated offering expenses, and excluding the proceeds, if any, from the exercise of the warrants issued in the Offering, are expected to be approximately $8.8 million. The Company expects to use the net proceeds from the Offering to fund the clinical development of its next product candidate, AXS-07, its ongoing clinical programs, and for working capital and general corporate purposes.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shares of common stock, warrants to purchase common stock and shares of common stock issuable upon exercise of the warrants and the Wainwright Warrants were issued pursuant to a prospectus supplement dated November 30, 2017 filed with the Securities and Exchange Commission in connection with a takedown from the Company’s effective shelf registration statement on Form S-3 (File No. 333-214859) and the base prospectus dated as of December 16, 2016 contained in such registration statement.</w:t>
      </w:r>
    </w:p>
    <w:p>
      <w:pPr>
        <w:spacing w:after="0" w:line="18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description of the terms and conditions of the Engagement Letter, the form of warrant and the Securities Purchase Agreement set forth herein do not purport to be complete and are qualified in their entirety by the full text of the Engagement Letter, the form of warrant and the form of Securities Purchase Agreement, which are attached hereto as Exhibits 1.1, 4.1 and 10.1, respectively, and incorporated herein by reference.</w:t>
      </w:r>
    </w:p>
    <w:p>
      <w:pPr>
        <w:spacing w:after="0" w:line="166"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securities discussed herein, nor shall there be any offer, solicitation or sale of the securities in any jurisdiction in which such offer, solicitation or sale would be unlawful prior to registration or qualification under the securities laws of any such jurisdiction.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copy of the opinion of Morgan, Lewis &amp; Bockius LLP relating to the legality of the securities offered by the Company is attached as Exhibit 5.1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December 1, 2017, the Company issued a press release announcing the Offering. A copy of the press release is attached hereto as Exhibit 99.1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Certain of the foregoing statements are forward-looking statements that involve a number of risks and uncertainties, including statements relating to expectations regarding the completion of the Offering. Such forward-looking statements are within the meaning of that term in Section 27A of the Securities Act of 1933, as amended, and Section 21E of the Securities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Exchange Act of 1934, as amended (the “Exchange Act”). Reference is made to the Company’s filings under the Exchange Act for additional factors that could cause actual results to differ materially, including the Risk Factors described in the Company’s Form 10-K for the fiscal year ended December 31, 2016 and in subsequent periodic reports filed with the U.S. Securities and Exchange Commission. The Company undertakes no obligation to publicly update or revise any such forward-looking statements, whether as a result of new information, future events, or otherwise. Readers are cautioned that any such forward-looking statements are not guarantees of future performance and involve risks and uncertainties, and that actual results may differ materially from those indicated in the forward-looking statements as a result of various factors. Readers are cautioned not to place undue reliance on any such forward-looking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2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gridSpan w:val="4"/>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1.1</w:t>
            </w:r>
          </w:p>
        </w:tc>
        <w:tc>
          <w:tcPr>
            <w:tcW w:w="280" w:type="dxa"/>
            <w:vAlign w:val="bottom"/>
          </w:tcPr>
          <w:p>
            <w:pPr>
              <w:spacing w:after="0"/>
              <w:rPr>
                <w:sz w:val="14"/>
                <w:szCs w:val="14"/>
                <w:color w:val="auto"/>
              </w:rPr>
            </w:pPr>
          </w:p>
        </w:tc>
        <w:tc>
          <w:tcPr>
            <w:tcW w:w="8900" w:type="dxa"/>
            <w:vAlign w:val="bottom"/>
            <w:tcBorders>
              <w:top w:val="single" w:sz="8" w:color="auto"/>
              <w:bottom w:val="single" w:sz="8" w:color="0000EE"/>
            </w:tcBorders>
            <w:gridSpan w:val="5"/>
          </w:tcPr>
          <w:p>
            <w:pPr>
              <w:spacing w:after="0" w:line="170"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Engagement Letter, dated as of November 30, 2017 between Axsome Therapeutics, Inc. and H.C. Wainwright &amp; Co., LLC.</w:t>
              </w:r>
            </w:hyperlink>
          </w:p>
        </w:tc>
        <w:tc>
          <w:tcPr>
            <w:tcW w:w="1140" w:type="dxa"/>
            <w:vAlign w:val="bottom"/>
            <w:tcBorders>
              <w:top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7"/>
              </w:rPr>
              <w:t>4.1</w:t>
            </w:r>
          </w:p>
        </w:tc>
        <w:tc>
          <w:tcPr>
            <w:tcW w:w="28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Form of Warrant.</w:t>
              </w:r>
            </w:hyperlink>
          </w:p>
        </w:tc>
        <w:tc>
          <w:tcPr>
            <w:tcW w:w="878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7"/>
              </w:rPr>
              <w:t>5.1</w:t>
            </w:r>
          </w:p>
        </w:tc>
        <w:tc>
          <w:tcPr>
            <w:tcW w:w="280" w:type="dxa"/>
            <w:vAlign w:val="bottom"/>
          </w:tcPr>
          <w:p>
            <w:pPr>
              <w:spacing w:after="0"/>
              <w:rPr>
                <w:sz w:val="17"/>
                <w:szCs w:val="17"/>
                <w:color w:val="auto"/>
              </w:rPr>
            </w:pPr>
          </w:p>
        </w:tc>
        <w:tc>
          <w:tcPr>
            <w:tcW w:w="10040" w:type="dxa"/>
            <w:vAlign w:val="bottom"/>
            <w:gridSpan w:val="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Opinion of Morgan, Lewis &amp; Bockius LLP.</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17"/>
                <w:szCs w:val="17"/>
                <w:color w:val="auto"/>
              </w:rPr>
            </w:pPr>
          </w:p>
        </w:tc>
        <w:tc>
          <w:tcPr>
            <w:tcW w:w="92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Form of Purchase Agreement, dated as of November 30, 2017 among Axsome Therapeutics, Inc. and the purchasers thereunder.</w:t>
              </w:r>
            </w:hyperlink>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23.1</w:t>
            </w:r>
          </w:p>
        </w:tc>
        <w:tc>
          <w:tcPr>
            <w:tcW w:w="28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Consent of Morgan, Lewis &amp; Bockius LLP (included in Exhibit 5.1).</w:t>
              </w:r>
            </w:hyperlink>
          </w:p>
        </w:tc>
        <w:tc>
          <w:tcPr>
            <w:tcW w:w="50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99.1</w:t>
            </w:r>
          </w:p>
        </w:tc>
        <w:tc>
          <w:tcPr>
            <w:tcW w:w="280" w:type="dxa"/>
            <w:vAlign w:val="bottom"/>
          </w:tcPr>
          <w:p>
            <w:pPr>
              <w:spacing w:after="0"/>
              <w:rPr>
                <w:sz w:val="17"/>
                <w:szCs w:val="17"/>
                <w:color w:val="auto"/>
              </w:rPr>
            </w:pPr>
          </w:p>
        </w:tc>
        <w:tc>
          <w:tcPr>
            <w:tcW w:w="27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Press release dated December 1, 2017.</w:t>
              </w:r>
            </w:hyperlink>
          </w:p>
        </w:tc>
        <w:tc>
          <w:tcPr>
            <w:tcW w:w="726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60" w:type="dxa"/>
            <w:vAlign w:val="bottom"/>
            <w:gridSpan w:val="5"/>
          </w:tcPr>
          <w:p>
            <w:pPr>
              <w:jc w:val="right"/>
              <w:ind w:right="528"/>
              <w:spacing w:after="0"/>
              <w:rPr>
                <w:sz w:val="20"/>
                <w:szCs w:val="20"/>
                <w:color w:val="auto"/>
              </w:rPr>
            </w:pPr>
            <w:r>
              <w:rPr>
                <w:rFonts w:ascii="Arial" w:cs="Arial" w:eastAsia="Arial" w:hAnsi="Arial"/>
                <w:sz w:val="18"/>
                <w:szCs w:val="18"/>
                <w:color w:val="auto"/>
              </w:rPr>
              <w:t>3</w:t>
            </w:r>
          </w:p>
        </w:tc>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60"/>
          </w:cols>
          <w:pgMar w:left="240" w:top="125" w:right="199" w:bottom="158" w:gutter="0" w:footer="0" w:header="0"/>
        </w:sectPr>
      </w:pPr>
    </w:p>
    <w:bookmarkStart w:id="2" w:name="page3"/>
    <w:bookmarkEnd w:id="2"/>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88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Dated: December 4, 2017</w:t>
            </w:r>
          </w:p>
        </w:tc>
        <w:tc>
          <w:tcPr>
            <w:tcW w:w="7680" w:type="dxa"/>
            <w:vAlign w:val="bottom"/>
            <w:gridSpan w:val="2"/>
          </w:tcPr>
          <w:p>
            <w:pPr>
              <w:ind w:left="1880"/>
              <w:spacing w:after="0"/>
              <w:rPr>
                <w:sz w:val="20"/>
                <w:szCs w:val="20"/>
                <w:color w:val="auto"/>
              </w:rPr>
            </w:pPr>
            <w:r>
              <w:rPr>
                <w:rFonts w:ascii="Arial" w:cs="Arial" w:eastAsia="Arial" w:hAnsi="Arial"/>
                <w:sz w:val="18"/>
                <w:szCs w:val="18"/>
                <w:color w:val="auto"/>
              </w:rPr>
              <w:t>By:   /s/ Herriot Tabuteau</w:t>
            </w:r>
          </w:p>
        </w:tc>
        <w:tc>
          <w:tcPr>
            <w:tcW w:w="4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Herriot Tabuteau</w:t>
            </w:r>
          </w:p>
        </w:tc>
        <w:tc>
          <w:tcPr>
            <w:tcW w:w="40" w:type="dxa"/>
            <w:vAlign w:val="bottom"/>
          </w:tcPr>
          <w:p>
            <w:pPr>
              <w:spacing w:after="0"/>
              <w:rPr>
                <w:sz w:val="16"/>
                <w:szCs w:val="16"/>
                <w:color w:val="auto"/>
              </w:rPr>
            </w:pPr>
          </w:p>
        </w:tc>
      </w:tr>
      <w:tr>
        <w:trPr>
          <w:trHeight w:val="230"/>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238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4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154940</wp:posOffset>
            </wp:positionV>
            <wp:extent cx="25812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812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STRICTLY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Broadway,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Herriot Tabuteau, M.D.,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Dr. Tabuteau:</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constitutes the agreement between Axsome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H.C. Wainwright &amp; Co., LLC (“</w:t>
      </w:r>
      <w:r>
        <w:rPr>
          <w:rFonts w:ascii="Arial" w:cs="Arial" w:eastAsia="Arial" w:hAnsi="Arial"/>
          <w:sz w:val="16"/>
          <w:szCs w:val="16"/>
          <w:u w:val="single" w:color="auto"/>
          <w:color w:val="auto"/>
        </w:rPr>
        <w:t>Wainwright</w:t>
      </w:r>
      <w:r>
        <w:rPr>
          <w:rFonts w:ascii="Arial" w:cs="Arial" w:eastAsia="Arial" w:hAnsi="Arial"/>
          <w:sz w:val="16"/>
          <w:szCs w:val="16"/>
          <w:color w:val="auto"/>
        </w:rPr>
        <w:t>”), that Wainwright shall serve as the exclusive agent, advisor or underwriter in any offering (each, an “</w:t>
      </w:r>
      <w:r>
        <w:rPr>
          <w:rFonts w:ascii="Arial" w:cs="Arial" w:eastAsia="Arial" w:hAnsi="Arial"/>
          <w:sz w:val="16"/>
          <w:szCs w:val="16"/>
          <w:u w:val="single" w:color="auto"/>
          <w:color w:val="auto"/>
        </w:rPr>
        <w:t>Offering</w:t>
      </w:r>
      <w:r>
        <w:rPr>
          <w:rFonts w:ascii="Arial" w:cs="Arial" w:eastAsia="Arial" w:hAnsi="Arial"/>
          <w:sz w:val="16"/>
          <w:szCs w:val="16"/>
          <w:color w:val="auto"/>
        </w:rPr>
        <w:t>”) of securities of the Company (the “</w:t>
      </w:r>
      <w:r>
        <w:rPr>
          <w:rFonts w:ascii="Arial" w:cs="Arial" w:eastAsia="Arial" w:hAnsi="Arial"/>
          <w:sz w:val="16"/>
          <w:szCs w:val="16"/>
          <w:u w:val="single" w:color="auto"/>
          <w:color w:val="auto"/>
        </w:rPr>
        <w:t>Securities</w:t>
      </w:r>
      <w:r>
        <w:rPr>
          <w:rFonts w:ascii="Arial" w:cs="Arial" w:eastAsia="Arial" w:hAnsi="Arial"/>
          <w:sz w:val="16"/>
          <w:szCs w:val="16"/>
          <w:color w:val="auto"/>
        </w:rPr>
        <w:t>”) during the Term (as hereinafter defined) of this Agreement. The terms of each Offering and the Securities issued in connection therewith shall be mutually agreed upon by the Company and Wainwright and nothing herein implies that Wainwright would have the power or authority to bind the Company and nothing herein implies that the Company shall have an obligation to issue any Securities. It is understood that Wainwright’s assistance in an Offering will be subject to the satisfactory completion of such investigation and inquiry into the affairs of the Company as Wainwright deems appropriate under the circumstances and to the receipt of all internal approvals of Wainwright in connection with the transaction. The Company expressly acknowledges and agrees that Wainwright’s involvement in an Offering is strictly on a reasonable best efforts basis and that the consummation of an Offering will be subject to, among other things, market conditions. The execution of this Agreement does not constitute a commitment by Wainwright to purchase the Securities and does not ensure a successful Offering of the Securities or the success of Wainwright with respect to securing any other financing on behalf of the Company. Wainwright may retain other brokers, dealers, agents or underwriters on its behalf in connection with an Offering.</w:t>
      </w:r>
    </w:p>
    <w:p>
      <w:pPr>
        <w:spacing w:after="0" w:line="173"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Compensation; Reimbursement</w:t>
      </w:r>
      <w:r>
        <w:rPr>
          <w:rFonts w:ascii="Arial" w:cs="Arial" w:eastAsia="Arial" w:hAnsi="Arial"/>
          <w:sz w:val="17"/>
          <w:szCs w:val="17"/>
          <w:color w:val="auto"/>
        </w:rPr>
        <w:t>. At the closing of each Offering (each, a “</w:t>
      </w:r>
      <w:r>
        <w:rPr>
          <w:rFonts w:ascii="Arial" w:cs="Arial" w:eastAsia="Arial" w:hAnsi="Arial"/>
          <w:sz w:val="17"/>
          <w:szCs w:val="17"/>
          <w:u w:val="single" w:color="auto"/>
          <w:color w:val="auto"/>
        </w:rPr>
        <w:t>Closing</w:t>
      </w:r>
      <w:r>
        <w:rPr>
          <w:rFonts w:ascii="Arial" w:cs="Arial" w:eastAsia="Arial" w:hAnsi="Arial"/>
          <w:sz w:val="17"/>
          <w:szCs w:val="17"/>
          <w:color w:val="auto"/>
        </w:rPr>
        <w:t>”), the Company shall compensate Wainwright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980" w:right="320" w:hanging="324"/>
        <w:spacing w:after="0" w:line="277" w:lineRule="auto"/>
        <w:tabs>
          <w:tab w:leader="none" w:pos="982"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Cash Fee</w:t>
      </w:r>
      <w:r>
        <w:rPr>
          <w:rFonts w:ascii="Arial" w:cs="Arial" w:eastAsia="Arial" w:hAnsi="Arial"/>
          <w:sz w:val="18"/>
          <w:szCs w:val="18"/>
          <w:color w:val="auto"/>
        </w:rPr>
        <w:t>. The Company shall pay to Wainwright a cash fee, or as to an underwritten Offering an underwriter discount, equal to 6.0%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gross proceeds raised in each Offering.</w:t>
      </w:r>
    </w:p>
    <w:p>
      <w:pPr>
        <w:spacing w:after="0" w:line="170" w:lineRule="exact"/>
        <w:rPr>
          <w:rFonts w:ascii="Arial" w:cs="Arial" w:eastAsia="Arial" w:hAnsi="Arial"/>
          <w:sz w:val="18"/>
          <w:szCs w:val="18"/>
          <w:color w:val="auto"/>
        </w:rPr>
      </w:pPr>
    </w:p>
    <w:p>
      <w:pPr>
        <w:ind w:left="980" w:right="60" w:hanging="324"/>
        <w:spacing w:after="0" w:line="257" w:lineRule="auto"/>
        <w:tabs>
          <w:tab w:leader="none" w:pos="982"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 Coverage</w:t>
      </w:r>
      <w:r>
        <w:rPr>
          <w:rFonts w:ascii="Arial" w:cs="Arial" w:eastAsia="Arial" w:hAnsi="Arial"/>
          <w:sz w:val="18"/>
          <w:szCs w:val="18"/>
          <w:color w:val="auto"/>
        </w:rPr>
        <w:t>. The Company shall issue to Wainwright or its designees at each Closing, warrants (the “</w:t>
      </w:r>
      <w:r>
        <w:rPr>
          <w:rFonts w:ascii="Arial" w:cs="Arial" w:eastAsia="Arial" w:hAnsi="Arial"/>
          <w:sz w:val="18"/>
          <w:szCs w:val="18"/>
          <w:u w:val="single" w:color="auto"/>
          <w:color w:val="auto"/>
        </w:rPr>
        <w:t>Wainwright Warrants</w:t>
      </w:r>
      <w:r>
        <w:rPr>
          <w:rFonts w:ascii="Arial" w:cs="Arial" w:eastAsia="Arial" w:hAnsi="Arial"/>
          <w:sz w:val="18"/>
          <w:szCs w:val="18"/>
          <w:color w:val="auto"/>
        </w:rPr>
        <w:t>”)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that number of shares of common stock of the Company equal to 6.0% of the aggregate number of shares of common stock placed in each Offering (and if an Offering includes a “greenshoe” or “additional investment” option component, such number of shares of common stock underlying such additional option component, with the Wainwright Warrants issuable upon the exercise of such option). If the Securities included in an Offering 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430 Park Avenue | New York, New York 10022 | 212.356.0500 | www.hcwco.com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 FINRA/SIPC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80" w:right="200"/>
        <w:spacing w:after="0" w:line="293" w:lineRule="auto"/>
        <w:rPr>
          <w:sz w:val="20"/>
          <w:szCs w:val="20"/>
          <w:color w:val="auto"/>
        </w:rPr>
      </w:pPr>
      <w:r>
        <w:rPr>
          <w:rFonts w:ascii="Arial" w:cs="Arial" w:eastAsia="Arial" w:hAnsi="Arial"/>
          <w:sz w:val="16"/>
          <w:szCs w:val="16"/>
          <w:color w:val="auto"/>
        </w:rPr>
        <w:t>convertible, the Wainwright Warrants shall be determined by dividing the gross proceeds raised in such Offering divided by the Offering Price (as defined hereunder). The Wainwright Warrants shall have the same terms as the warrants issued to investors in the applicable Offering, except that such Wainwright Warrants shall have an exercise price equal to 125% of the offering price per share (or unit, if applicable) in the applicable Offering and if such offering price is not available, the market price of the common stock on the date an Offering is commenced (such price, the “</w:t>
      </w:r>
      <w:r>
        <w:rPr>
          <w:rFonts w:ascii="Arial" w:cs="Arial" w:eastAsia="Arial" w:hAnsi="Arial"/>
          <w:sz w:val="16"/>
          <w:szCs w:val="16"/>
          <w:u w:val="single" w:color="auto"/>
          <w:color w:val="auto"/>
        </w:rPr>
        <w:t>Offering Price</w:t>
      </w:r>
      <w:r>
        <w:rPr>
          <w:rFonts w:ascii="Arial" w:cs="Arial" w:eastAsia="Arial" w:hAnsi="Arial"/>
          <w:sz w:val="16"/>
          <w:szCs w:val="16"/>
          <w:color w:val="auto"/>
        </w:rPr>
        <w:t>”). If no warrants are issued to investors in an Offering, the Wainwright Warrants shall be in a customary form reasonably acceptable to Wainwright, have a term of five (5) years and an exercise price equal to 125% of the Offering Price.</w:t>
      </w:r>
    </w:p>
    <w:p>
      <w:pPr>
        <w:spacing w:after="0" w:line="165" w:lineRule="exact"/>
        <w:rPr>
          <w:sz w:val="20"/>
          <w:szCs w:val="20"/>
          <w:color w:val="auto"/>
        </w:rPr>
      </w:pPr>
    </w:p>
    <w:p>
      <w:pPr>
        <w:ind w:left="980" w:right="80" w:hanging="324"/>
        <w:spacing w:after="0" w:line="259" w:lineRule="auto"/>
        <w:tabs>
          <w:tab w:leader="none" w:pos="98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Expense Allowance</w:t>
      </w:r>
      <w:r>
        <w:rPr>
          <w:rFonts w:ascii="Arial" w:cs="Arial" w:eastAsia="Arial" w:hAnsi="Arial"/>
          <w:sz w:val="18"/>
          <w:szCs w:val="18"/>
          <w:color w:val="auto"/>
        </w:rPr>
        <w:t>. Out of the proceeds of each Closing, the Company also agrees to pay Wainwright (a) $35,000 for non-accountable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(b) up to $50,000 for fees and expenses of legal counsel and other out-of-pocket expenses; plus the additional reimbursable amount payable by the Company pursuant to Paragraph D.3 hereunder; provided, however, that such reimbursement amount in no way limits or impairs the indemnification and contribution provisions of this Agreement.</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[Intentionally Reserved]</w:t>
      </w:r>
    </w:p>
    <w:p>
      <w:pPr>
        <w:spacing w:after="0" w:line="225" w:lineRule="exact"/>
        <w:rPr>
          <w:rFonts w:ascii="Arial" w:cs="Arial" w:eastAsia="Arial" w:hAnsi="Arial"/>
          <w:sz w:val="18"/>
          <w:szCs w:val="18"/>
          <w:color w:val="auto"/>
        </w:rPr>
      </w:pPr>
    </w:p>
    <w:p>
      <w:pPr>
        <w:ind w:left="660" w:firstLine="648"/>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Term and Termination of Engagement; Exclusivity</w:t>
      </w:r>
      <w:r>
        <w:rPr>
          <w:rFonts w:ascii="Arial" w:cs="Arial" w:eastAsia="Arial" w:hAnsi="Arial"/>
          <w:sz w:val="17"/>
          <w:szCs w:val="17"/>
          <w:color w:val="auto"/>
        </w:rPr>
        <w:t>. The term of Wainwright’s exclusive engagement will begin on the date hereof and end ninety (90) days thereafter (the “</w:t>
      </w:r>
      <w:r>
        <w:rPr>
          <w:rFonts w:ascii="Arial" w:cs="Arial" w:eastAsia="Arial" w:hAnsi="Arial"/>
          <w:sz w:val="17"/>
          <w:szCs w:val="17"/>
          <w:u w:val="single" w:color="auto"/>
          <w:color w:val="auto"/>
        </w:rPr>
        <w:t>Term</w:t>
      </w:r>
      <w:r>
        <w:rPr>
          <w:rFonts w:ascii="Arial" w:cs="Arial" w:eastAsia="Arial" w:hAnsi="Arial"/>
          <w:sz w:val="17"/>
          <w:szCs w:val="17"/>
          <w:color w:val="auto"/>
        </w:rPr>
        <w:t>”). Notwithstanding anything to the contrary contained herein, the Company agrees that the provisions relating to the payment of fees, reimbursement of expenses, tail, indemnification and contribution, confidentiality, conflicts, independent contractor and waiver of the right to trial by jury will survive any termination of this Agreement. Notwithstanding anything to the contrary contained in this Agreement, in the event that an Offering pursuant to this Agreement shall not be carried out for any reason whatsoever during the Term, the Company shall be obligated to pay to Wainwright its actual and accountable out-of-pocket expenses related to an Offering (including the fees and disbursements of Wainwright’s legal counsel). During Wainwright’s engagement hereunder: (i) the Company will not, and will not permit its representatives to, other than in coordination with Wainwright, contact or solicit institutions, corporations or other entities or individuals as potential purchasers of the Securities and (ii) the Company will not pursue any financing transaction which would be in lieu of an Offering. Furthermore, the Company agrees that during Wainwright’s engagement hereunder, all inquiries, whether direct or indirect, from prospective investors will be referred to Wainwright and will be deemed to have been contacted by Wainwright in connection with an Offering. Additionally, except as set forth hereunder, the Company represents, warrants and covenants that no brokerage or finder’s fees or commissions are or will be payable by the Company or any subsidiary of the Company to any broker, financial advisor or consultant, finder, placement agent, investment banker, bank or other third-party with respect to any Offering.</w:t>
      </w:r>
    </w:p>
    <w:p>
      <w:pPr>
        <w:sectPr>
          <w:pgSz w:w="11900" w:h="16838" w:orient="portrait"/>
          <w:cols w:equalWidth="0" w:num="1">
            <w:col w:w="11420"/>
          </w:cols>
          <w:pgMar w:left="240" w:top="121" w:right="239" w:bottom="19" w:gutter="0" w:footer="0" w:header="0"/>
        </w:sectPr>
      </w:pPr>
    </w:p>
    <w:bookmarkStart w:id="4" w:name="page5"/>
    <w:bookmarkEnd w:id="4"/>
    <w:p>
      <w:pPr>
        <w:ind w:left="4" w:right="640" w:firstLine="645"/>
        <w:spacing w:after="0" w:line="264" w:lineRule="auto"/>
        <w:tabs>
          <w:tab w:leader="none" w:pos="127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Information; Reliance</w:t>
      </w:r>
      <w:r>
        <w:rPr>
          <w:rFonts w:ascii="Arial" w:cs="Arial" w:eastAsia="Arial" w:hAnsi="Arial"/>
          <w:sz w:val="18"/>
          <w:szCs w:val="18"/>
          <w:color w:val="auto"/>
        </w:rPr>
        <w:t>. The Company shall furnish, or cause to be furnished, to Wainwright all information requested by Wainwright for the purpose of rendering services hereunder and conducting due diligence (all such information being the “</w:t>
      </w:r>
      <w:r>
        <w:rPr>
          <w:rFonts w:ascii="Arial" w:cs="Arial" w:eastAsia="Arial" w:hAnsi="Arial"/>
          <w:sz w:val="18"/>
          <w:szCs w:val="18"/>
          <w:u w:val="single" w:color="auto"/>
          <w:color w:val="auto"/>
        </w:rPr>
        <w:t>Information</w:t>
      </w:r>
      <w:r>
        <w:rPr>
          <w:rFonts w:ascii="Arial" w:cs="Arial" w:eastAsia="Arial" w:hAnsi="Arial"/>
          <w:sz w:val="18"/>
          <w:szCs w:val="18"/>
          <w:color w:val="auto"/>
        </w:rPr>
        <w:t>”). In addition, the Company agrees to make available to Wainwright upon request from time to</w:t>
      </w: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7"/>
          <w:szCs w:val="17"/>
          <w:color w:val="auto"/>
        </w:rPr>
        <w:t>time the officers, directors, accountants, counsel and other advisors of the Company. The Company recognizes and confirms that Wainwright</w:t>
      </w:r>
    </w:p>
    <w:p>
      <w:pPr>
        <w:spacing w:after="0" w:line="35" w:lineRule="exact"/>
        <w:rPr>
          <w:sz w:val="20"/>
          <w:szCs w:val="20"/>
          <w:color w:val="auto"/>
        </w:rPr>
      </w:pPr>
    </w:p>
    <w:p>
      <w:pPr>
        <w:ind w:left="4" w:right="20" w:hanging="4"/>
        <w:spacing w:after="0" w:line="267"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will use and rely on the Information, including any documents provided to investors in each Offering (the “</w:t>
      </w:r>
      <w:r>
        <w:rPr>
          <w:rFonts w:ascii="Arial" w:cs="Arial" w:eastAsia="Arial" w:hAnsi="Arial"/>
          <w:sz w:val="17"/>
          <w:szCs w:val="17"/>
          <w:u w:val="single" w:color="auto"/>
          <w:color w:val="auto"/>
        </w:rPr>
        <w:t>Offering Documents</w:t>
      </w:r>
      <w:r>
        <w:rPr>
          <w:rFonts w:ascii="Arial" w:cs="Arial" w:eastAsia="Arial" w:hAnsi="Arial"/>
          <w:sz w:val="17"/>
          <w:szCs w:val="17"/>
          <w:color w:val="auto"/>
        </w:rPr>
        <w:t>”) which shall include any Purchase Agreement (as defined hereunder), and on information available from generally recognized public sources in performing the services contemplated by this Agreement without having independently verified the same; (b) does not assume responsibility for the accuracy or completeness of the Offering Documents or the Information and such other information; and (c) will not make an appraisal of any of the assets or liabilities of the Company. Upon reasonable request, the Company will meet with Wainwright or its representatives to discuss all information relevant for disclosure in the Offering Documents and will cooperate in any investigation undertaken by Wainwright thereof, including any document included or incorporated by reference therein. At each Offering, at the request of Wainwright, the Company shall deliver such legal letters (including, without limitation, negative assurance letters), opinions, comfort letters, officers’ and secretary certificates and good standing certificates, all in form and substance satisfactory to Wainwright and its counsel as is customary for such Offering. Wainwright shall be a third party beneficiary of any representations, warranties, covenants and closing conditions made by the Company in any Offering Documents, including representations, warranties, covenants and closing conditions made to any investor in an Offering.</w:t>
      </w:r>
    </w:p>
    <w:p>
      <w:pPr>
        <w:spacing w:after="0" w:line="186" w:lineRule="exact"/>
        <w:rPr>
          <w:rFonts w:ascii="Arial" w:cs="Arial" w:eastAsia="Arial" w:hAnsi="Arial"/>
          <w:sz w:val="17"/>
          <w:szCs w:val="17"/>
          <w:color w:val="auto"/>
        </w:rPr>
      </w:pPr>
    </w:p>
    <w:p>
      <w:pPr>
        <w:ind w:left="1284" w:hanging="635"/>
        <w:spacing w:after="0"/>
        <w:tabs>
          <w:tab w:leader="none" w:pos="1284"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Related Agreements</w:t>
      </w:r>
      <w:r>
        <w:rPr>
          <w:rFonts w:ascii="Arial" w:cs="Arial" w:eastAsia="Arial" w:hAnsi="Arial"/>
          <w:sz w:val="18"/>
          <w:szCs w:val="18"/>
          <w:color w:val="auto"/>
        </w:rPr>
        <w:t>. At each Offering, the Company shall enter into the following additional agreements:</w:t>
      </w:r>
    </w:p>
    <w:p>
      <w:pPr>
        <w:spacing w:after="0" w:line="225" w:lineRule="exact"/>
        <w:rPr>
          <w:rFonts w:ascii="Arial" w:cs="Arial" w:eastAsia="Arial" w:hAnsi="Arial"/>
          <w:sz w:val="18"/>
          <w:szCs w:val="18"/>
          <w:color w:val="auto"/>
        </w:rPr>
      </w:pPr>
    </w:p>
    <w:p>
      <w:pPr>
        <w:ind w:left="1304" w:right="420" w:hanging="331"/>
        <w:spacing w:after="0" w:line="277" w:lineRule="auto"/>
        <w:tabs>
          <w:tab w:leader="none" w:pos="1306" w:val="left"/>
        </w:tabs>
        <w:numPr>
          <w:ilvl w:val="2"/>
          <w:numId w:val="6"/>
        </w:numPr>
        <w:rPr>
          <w:rFonts w:ascii="Arial" w:cs="Arial" w:eastAsia="Arial" w:hAnsi="Arial"/>
          <w:sz w:val="18"/>
          <w:szCs w:val="18"/>
          <w:color w:val="auto"/>
        </w:rPr>
      </w:pPr>
      <w:r>
        <w:rPr>
          <w:rFonts w:ascii="Arial" w:cs="Arial" w:eastAsia="Arial" w:hAnsi="Arial"/>
          <w:sz w:val="18"/>
          <w:szCs w:val="18"/>
          <w:i w:val="1"/>
          <w:iCs w:val="1"/>
          <w:color w:val="auto"/>
        </w:rPr>
        <w:t>Underwritten Offering</w:t>
      </w:r>
      <w:r>
        <w:rPr>
          <w:rFonts w:ascii="Arial" w:cs="Arial" w:eastAsia="Arial" w:hAnsi="Arial"/>
          <w:sz w:val="18"/>
          <w:szCs w:val="18"/>
          <w:color w:val="auto"/>
        </w:rPr>
        <w:t>. If an Offering is an underwritten Offering, the Company and Wainwright shall enter into a customary</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agreement in form and substance satisfactory to Wainwright and its counsel.</w:t>
      </w:r>
    </w:p>
    <w:p>
      <w:pPr>
        <w:spacing w:after="0" w:line="170" w:lineRule="exact"/>
        <w:rPr>
          <w:rFonts w:ascii="Arial" w:cs="Arial" w:eastAsia="Arial" w:hAnsi="Arial"/>
          <w:sz w:val="18"/>
          <w:szCs w:val="18"/>
          <w:color w:val="auto"/>
        </w:rPr>
      </w:pPr>
    </w:p>
    <w:p>
      <w:pPr>
        <w:ind w:left="1304" w:right="80" w:hanging="331"/>
        <w:spacing w:after="0" w:line="297" w:lineRule="auto"/>
        <w:tabs>
          <w:tab w:leader="none" w:pos="1306" w:val="left"/>
        </w:tabs>
        <w:numPr>
          <w:ilvl w:val="2"/>
          <w:numId w:val="6"/>
        </w:numPr>
        <w:rPr>
          <w:rFonts w:ascii="Arial" w:cs="Arial" w:eastAsia="Arial" w:hAnsi="Arial"/>
          <w:sz w:val="16"/>
          <w:szCs w:val="16"/>
          <w:color w:val="auto"/>
        </w:rPr>
      </w:pPr>
      <w:r>
        <w:rPr>
          <w:rFonts w:ascii="Arial" w:cs="Arial" w:eastAsia="Arial" w:hAnsi="Arial"/>
          <w:sz w:val="16"/>
          <w:szCs w:val="16"/>
          <w:i w:val="1"/>
          <w:iCs w:val="1"/>
          <w:color w:val="auto"/>
        </w:rPr>
        <w:t>Best Efforts Offering</w:t>
      </w:r>
      <w:r>
        <w:rPr>
          <w:rFonts w:ascii="Arial" w:cs="Arial" w:eastAsia="Arial" w:hAnsi="Arial"/>
          <w:sz w:val="16"/>
          <w:szCs w:val="16"/>
          <w:color w:val="auto"/>
        </w:rPr>
        <w:t>. If an Offering is on a best efforts basis, the sale of Securities to the investors in the Offering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evidenced by a purchase agreement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between the Company and such investors in a form reasonably satisfactory to the Company and Wainwright. Wainwright shall be a third party beneficiary with respect to the representations and warranties included in the Purchase Agreement. Prior to the signing of any Purchase Agreement, officers of the Company with responsibility for financial affairs will be available to answer inquiries from prospective investors.</w:t>
      </w:r>
    </w:p>
    <w:p>
      <w:pPr>
        <w:spacing w:after="0" w:line="158" w:lineRule="exact"/>
        <w:rPr>
          <w:rFonts w:ascii="Arial" w:cs="Arial" w:eastAsia="Arial" w:hAnsi="Arial"/>
          <w:sz w:val="16"/>
          <w:szCs w:val="16"/>
          <w:color w:val="auto"/>
        </w:rPr>
      </w:pPr>
    </w:p>
    <w:p>
      <w:pPr>
        <w:ind w:left="1304" w:right="80" w:hanging="331"/>
        <w:spacing w:after="0" w:line="273" w:lineRule="auto"/>
        <w:tabs>
          <w:tab w:leader="none" w:pos="1306" w:val="left"/>
        </w:tabs>
        <w:numPr>
          <w:ilvl w:val="2"/>
          <w:numId w:val="6"/>
        </w:numPr>
        <w:rPr>
          <w:rFonts w:ascii="Arial" w:cs="Arial" w:eastAsia="Arial" w:hAnsi="Arial"/>
          <w:sz w:val="17"/>
          <w:szCs w:val="17"/>
          <w:color w:val="auto"/>
        </w:rPr>
      </w:pPr>
      <w:r>
        <w:rPr>
          <w:rFonts w:ascii="Arial" w:cs="Arial" w:eastAsia="Arial" w:hAnsi="Arial"/>
          <w:sz w:val="17"/>
          <w:szCs w:val="17"/>
          <w:i w:val="1"/>
          <w:iCs w:val="1"/>
          <w:color w:val="auto"/>
        </w:rPr>
        <w:t>Escrow and Settlement</w:t>
      </w:r>
      <w:r>
        <w:rPr>
          <w:rFonts w:ascii="Arial" w:cs="Arial" w:eastAsia="Arial" w:hAnsi="Arial"/>
          <w:sz w:val="17"/>
          <w:szCs w:val="17"/>
          <w:color w:val="auto"/>
        </w:rPr>
        <w:t>. In respect of each Offering, the Company and Wainwright shall enter into an escrow agreement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party escrow agent, which may also be Wainwright’s clearing agent, pursuant to which Wainwright’s compensation and expenses shall be paid from the gross proceeds of the Securities sold. If the Offering is settled in whole or in part via delivery versus payment (“</w:t>
      </w:r>
      <w:r>
        <w:rPr>
          <w:rFonts w:ascii="Arial" w:cs="Arial" w:eastAsia="Arial" w:hAnsi="Arial"/>
          <w:sz w:val="17"/>
          <w:szCs w:val="17"/>
          <w:u w:val="single" w:color="auto"/>
          <w:color w:val="auto"/>
        </w:rPr>
        <w:t>DVP</w:t>
      </w:r>
      <w:r>
        <w:rPr>
          <w:rFonts w:ascii="Arial" w:cs="Arial" w:eastAsia="Arial" w:hAnsi="Arial"/>
          <w:sz w:val="17"/>
          <w:szCs w:val="17"/>
          <w:color w:val="auto"/>
        </w:rPr>
        <w:t>”), Wainwright shall arrange for its clearing agent to provide the funds to facilitate such settlement. The Company shall bear the cost of the escrow agent and shall reimburse Wainwright for the actual out-of-pocket cost of such clearing agent settlement and financing, if any, which cost shall not exceed $10,000.</w:t>
      </w:r>
    </w:p>
    <w:p>
      <w:pPr>
        <w:spacing w:after="0" w:line="17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4" w:right="120" w:hanging="331"/>
        <w:spacing w:after="0" w:line="257" w:lineRule="auto"/>
        <w:tabs>
          <w:tab w:leader="none" w:pos="1306"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FINRA Amendments</w:t>
      </w:r>
      <w:r>
        <w:rPr>
          <w:rFonts w:ascii="Arial" w:cs="Arial" w:eastAsia="Arial" w:hAnsi="Arial"/>
          <w:sz w:val="18"/>
          <w:szCs w:val="18"/>
          <w:color w:val="auto"/>
        </w:rPr>
        <w:t>. Notwithstanding anything herein to the contrary, in the event that Wainwright determines that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provided for hereunder shall not comply with a FINRA rule, including but not limited to FINRA Rule 5110, then the Company shall agree to amend this Agreement (or include such revisions in the final underwriting agreement) in writing upon the request of Wainwright to comply with any such rules; provided that any such amendments shall not provide for terms that are less favorable to the Company than are reflected in this Agreement.</w:t>
      </w:r>
    </w:p>
    <w:p>
      <w:pPr>
        <w:spacing w:after="0" w:line="188" w:lineRule="exact"/>
        <w:rPr>
          <w:rFonts w:ascii="Arial" w:cs="Arial" w:eastAsia="Arial" w:hAnsi="Arial"/>
          <w:sz w:val="18"/>
          <w:szCs w:val="18"/>
          <w:color w:val="auto"/>
        </w:rPr>
      </w:pPr>
    </w:p>
    <w:p>
      <w:pPr>
        <w:ind w:left="4" w:right="80" w:firstLine="645"/>
        <w:spacing w:after="0" w:line="264" w:lineRule="auto"/>
        <w:tabs>
          <w:tab w:leader="none" w:pos="126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In the event of the consummation or public announcement of any Offering, Wainwright shall have the right to disclose its participation in such Offering, including, without limitation, the Offering at its cost of “tombstone” advertisements in financial and other newspapers and journals.</w:t>
      </w:r>
    </w:p>
    <w:p>
      <w:pPr>
        <w:spacing w:after="0" w:line="181" w:lineRule="exact"/>
        <w:rPr>
          <w:rFonts w:ascii="Arial" w:cs="Arial" w:eastAsia="Arial" w:hAnsi="Arial"/>
          <w:sz w:val="18"/>
          <w:szCs w:val="18"/>
          <w:color w:val="auto"/>
        </w:rPr>
      </w:pPr>
    </w:p>
    <w:p>
      <w:pPr>
        <w:ind w:left="1284" w:hanging="635"/>
        <w:spacing w:after="0"/>
        <w:tabs>
          <w:tab w:leader="none" w:pos="128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hanging="331"/>
        <w:spacing w:after="0" w:line="268" w:lineRule="auto"/>
        <w:tabs>
          <w:tab w:leader="none" w:pos="1306"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connection with the Company’s engagement of Wainwright as Offering agent, the Company hereby agrees to indemnify and hold harmless Wainwright and its affiliates, and the respective controlling persons, directors, officers, members, shareholders, agents and employees of any of the foregoing (collectively the “</w:t>
      </w:r>
      <w:r>
        <w:rPr>
          <w:rFonts w:ascii="Arial" w:cs="Arial" w:eastAsia="Arial" w:hAnsi="Arial"/>
          <w:sz w:val="17"/>
          <w:szCs w:val="17"/>
          <w:u w:val="single" w:color="auto"/>
          <w:color w:val="auto"/>
        </w:rPr>
        <w:t>Indemnified Persons</w:t>
      </w:r>
      <w:r>
        <w:rPr>
          <w:rFonts w:ascii="Arial" w:cs="Arial" w:eastAsia="Arial" w:hAnsi="Arial"/>
          <w:sz w:val="17"/>
          <w:szCs w:val="17"/>
          <w:color w:val="auto"/>
        </w:rPr>
        <w:t>”), from and against any and all claims, actions, suits, proceedings (including those of shareholders), damages, liabilities and expenses incurred by any of them (including the reasonable fees and expenses of counsel), as incurred, (collectively a “</w:t>
      </w:r>
      <w:r>
        <w:rPr>
          <w:rFonts w:ascii="Arial" w:cs="Arial" w:eastAsia="Arial" w:hAnsi="Arial"/>
          <w:sz w:val="17"/>
          <w:szCs w:val="17"/>
          <w:u w:val="single" w:color="auto"/>
          <w:color w:val="auto"/>
        </w:rPr>
        <w:t>Claim</w:t>
      </w:r>
      <w:r>
        <w:rPr>
          <w:rFonts w:ascii="Arial" w:cs="Arial" w:eastAsia="Arial" w:hAnsi="Arial"/>
          <w:sz w:val="17"/>
          <w:szCs w:val="17"/>
          <w:color w:val="auto"/>
        </w:rPr>
        <w:t>”), that are (A) related to or arise out of (i) any actions taken or omitted to be taken (including any untrue statements made or any statements omitted to be made) by the Company, or (ii) any actions taken or omitted to be taken by any Indemnified Person in connection with the Company’s engagement of Wainwright, or (B) otherwise relate to or arise out of Wainwright’s activities on the Company’s behalf under Wainwright’s engagement, and the Company shall reimburse any Indemnified Person for all expenses (including the reasonable fees and expenses of counsel) as incurred by such Indemnified Person in connection with investigating, preparing or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the gross negligence or willful misconduct of any person seeking indemnification for such Claim. The Company further agrees that no Indemnified Person shall have any liability to the Company for or in connection with the Company’s engagement of Wainwright except for any Claim incurred by the Company as a result of such Indemnified Person’s gross negligence or willful misconduct.</w:t>
      </w:r>
    </w:p>
    <w:p>
      <w:pPr>
        <w:spacing w:after="0" w:line="180" w:lineRule="exact"/>
        <w:rPr>
          <w:rFonts w:ascii="Arial" w:cs="Arial" w:eastAsia="Arial" w:hAnsi="Arial"/>
          <w:sz w:val="17"/>
          <w:szCs w:val="17"/>
          <w:color w:val="auto"/>
        </w:rPr>
      </w:pPr>
    </w:p>
    <w:p>
      <w:pPr>
        <w:jc w:val="both"/>
        <w:ind w:left="1384" w:right="40" w:hanging="330"/>
        <w:spacing w:after="0" w:line="264" w:lineRule="auto"/>
        <w:tabs>
          <w:tab w:leader="none" w:pos="1386"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Company further agrees that it will not, without the prior written consent of Wainwright, settle, compromise or consent to the entry of any judgment in any pending or threatened Claim in respect of which indemnification may be sought hereunder (whether or not any Indemnified Person is an actual or</w:t>
      </w:r>
    </w:p>
    <w:p>
      <w:pPr>
        <w:sectPr>
          <w:pgSz w:w="11900" w:h="16838" w:orient="portrait"/>
          <w:cols w:equalWidth="0" w:num="1">
            <w:col w:w="10764"/>
          </w:cols>
          <w:pgMar w:left="896" w:top="125" w:right="239" w:bottom="0" w:gutter="0" w:footer="0" w:header="0"/>
        </w:sectPr>
      </w:pPr>
    </w:p>
    <w:bookmarkStart w:id="5" w:name="page6"/>
    <w:bookmarkEnd w:id="5"/>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320"/>
        <w:spacing w:after="0" w:line="277" w:lineRule="auto"/>
        <w:rPr>
          <w:sz w:val="20"/>
          <w:szCs w:val="20"/>
          <w:color w:val="auto"/>
        </w:rPr>
      </w:pPr>
      <w:r>
        <w:rPr>
          <w:rFonts w:ascii="Arial" w:cs="Arial" w:eastAsia="Arial" w:hAnsi="Arial"/>
          <w:sz w:val="18"/>
          <w:szCs w:val="18"/>
          <w:color w:val="auto"/>
        </w:rPr>
        <w:t>potential party to such Claim), unless such settlement, compromise or consent includes an unconditional, irrevocable release of each Indemnified Person from any and all liability arising out of such Claim.</w:t>
      </w:r>
    </w:p>
    <w:p>
      <w:pPr>
        <w:spacing w:after="0" w:line="170" w:lineRule="exact"/>
        <w:rPr>
          <w:sz w:val="20"/>
          <w:szCs w:val="20"/>
          <w:color w:val="auto"/>
        </w:rPr>
      </w:pPr>
    </w:p>
    <w:p>
      <w:pPr>
        <w:ind w:left="760" w:right="20" w:hanging="331"/>
        <w:spacing w:after="0" w:line="285" w:lineRule="auto"/>
        <w:tabs>
          <w:tab w:leader="none" w:pos="762"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requested by such Indemnified Person, the Company will assume the defense of such Claim, including the employment of counsel reasonably satisfactory to such Indemnified Person and the payment of the fees and expenses of such counsel. In the event, however, that legal counsel to such Indemnified Person reasonably determines that having common counsel would present such counsel with a conflict of interest or if the defendant in, or target of, any such Claim, includes an Indemnified Person and the Company, and legal counsel to such Indemnified Person reasonably concludes that there may be legal defenses available to it or other Indemnified Persons different from or in addition to those available to the Company, then such Indemnified Person may employ its own separate counsel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Person shall have the right, but not the obligation, to defend, contest, compromise, settle, assert crossclaims, or counterclaims or otherwise protect against the same, and shall be fully indemnified by the Company therefor, including without limitation, for the reasonable fees and expenses of its counsel and all amounts paid as a result of such Claim or the compromise or settlement thereof. In addition, with respect to any Claim in which the Company assumes the defense, the Indemnified Person shall have the right to participate in such Claim and to retain his, her or its own counsel therefor at his, her or its own expense.</w:t>
      </w:r>
    </w:p>
    <w:p>
      <w:pPr>
        <w:spacing w:after="0" w:line="172" w:lineRule="exact"/>
        <w:rPr>
          <w:rFonts w:ascii="Arial" w:cs="Arial" w:eastAsia="Arial" w:hAnsi="Arial"/>
          <w:sz w:val="16"/>
          <w:szCs w:val="16"/>
          <w:color w:val="auto"/>
        </w:rPr>
      </w:pPr>
    </w:p>
    <w:p>
      <w:pPr>
        <w:ind w:left="760" w:right="20" w:hanging="331"/>
        <w:spacing w:after="0" w:line="291" w:lineRule="auto"/>
        <w:tabs>
          <w:tab w:leader="none" w:pos="76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agrees that if any indemnity sought by an Indemnified Person hereunder is held by a court to be unavailable for any reason then (whether or not Wainwright is the Indemnified Person), the Company and Wainwright shall contribute to the Claim for which such indemnity is held unavailable in such proportion as is appropriate to reflect the relative benefits to the Company, on the one hand, and Wainwright on the other, in connection with Wainwright’s engagement referred to above, subject to the limitation that in no event shall the amount of Wainwright’s contribution to such Claim exceed the amount of fees actually received by Wainwright from the Company pursuant to Wainwright’s engagement. The Company hereby agrees that the relative benefits to the Company, on the one hand, and Wainwright on the other, with respect to Wainwright’s engagement shall be deemed to be in the</w:t>
      </w:r>
    </w:p>
    <w:p>
      <w:pPr>
        <w:spacing w:after="0" w:line="1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760" w:right="100"/>
        <w:spacing w:after="0" w:line="264" w:lineRule="auto"/>
        <w:rPr>
          <w:sz w:val="20"/>
          <w:szCs w:val="20"/>
          <w:color w:val="auto"/>
        </w:rPr>
      </w:pPr>
      <w:r>
        <w:rPr>
          <w:rFonts w:ascii="Arial" w:cs="Arial" w:eastAsia="Arial" w:hAnsi="Arial"/>
          <w:sz w:val="18"/>
          <w:szCs w:val="18"/>
          <w:color w:val="auto"/>
        </w:rPr>
        <w:t>same proportion as (a) the total value paid or proposed to be paid or received by the Company pursuant to the applicable Offering (whether or not consummated) for which Wainwright is engaged to render services bears to (b) the fee paid or proposed to be paid to Wainwright in connection with such engagement.</w:t>
      </w:r>
    </w:p>
    <w:p>
      <w:pPr>
        <w:spacing w:after="0" w:line="181" w:lineRule="exact"/>
        <w:rPr>
          <w:sz w:val="20"/>
          <w:szCs w:val="20"/>
          <w:color w:val="auto"/>
        </w:rPr>
      </w:pPr>
    </w:p>
    <w:p>
      <w:pPr>
        <w:jc w:val="both"/>
        <w:ind w:left="760" w:right="120" w:hanging="331"/>
        <w:spacing w:after="0" w:line="264" w:lineRule="auto"/>
        <w:tabs>
          <w:tab w:leader="none" w:pos="76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Company’s indemnity, reimbursement and contribution obligations under this Agreement (a) shall be in addition to, and shall in no way limit or otherwise adversely affect any rights that any Indemnified Person may have at law or at equity and (b) shall be effective whether or not the Company is at fault in any way.</w:t>
      </w:r>
    </w:p>
    <w:p>
      <w:pPr>
        <w:spacing w:after="0" w:line="181" w:lineRule="exact"/>
        <w:rPr>
          <w:rFonts w:ascii="Arial" w:cs="Arial" w:eastAsia="Arial" w:hAnsi="Arial"/>
          <w:sz w:val="18"/>
          <w:szCs w:val="18"/>
          <w:color w:val="auto"/>
        </w:rPr>
      </w:pPr>
    </w:p>
    <w:p>
      <w:pPr>
        <w:ind w:left="-540" w:right="40" w:firstLine="645"/>
        <w:spacing w:after="0" w:line="287" w:lineRule="auto"/>
        <w:tabs>
          <w:tab w:leader="none" w:pos="74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Limitation of Engagement to the Company</w:t>
      </w:r>
      <w:r>
        <w:rPr>
          <w:rFonts w:ascii="Arial" w:cs="Arial" w:eastAsia="Arial" w:hAnsi="Arial"/>
          <w:sz w:val="16"/>
          <w:szCs w:val="16"/>
          <w:color w:val="auto"/>
        </w:rPr>
        <w:t>. The Company acknowledges that Wainwright has been retained only by the Company, that Wainwright is providing services hereunder as an independent contractor (and not in any fiduciary or agency capacity) and that the Company’s engagement of Wainwright is not deemed to be on behalf of, and is not intended to confer rights upon, any shareholder, owner or partner of the Company or any other person not a party hereto as against Wainwright or any of its affiliates, or any of its or their respective officers, directors, controlling persons (within the meaning of Section 15 of the Securities Act or Section 20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employees or agents. Unless otherwise expressly agreed in writing by Wainwright, no one other than the Company is authorized to rely upon this Agreement or any other statements or conduct of Wainwright, and no one other than the Company is intended to be a beneficiary of this Agreement. The Company acknowledges that any recommendation or advice, written or oral, given by Wainwright to the Company in connection with Wainwright’s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Wainwright shall not have the authority to make any commitment binding on the Company. The Company, in its sole discretion, shall have the right to reject any investor introduced to it by Wainwright.</w:t>
      </w:r>
    </w:p>
    <w:p>
      <w:pPr>
        <w:spacing w:after="0" w:line="168" w:lineRule="exact"/>
        <w:rPr>
          <w:rFonts w:ascii="Arial" w:cs="Arial" w:eastAsia="Arial" w:hAnsi="Arial"/>
          <w:sz w:val="16"/>
          <w:szCs w:val="16"/>
          <w:color w:val="auto"/>
        </w:rPr>
      </w:pPr>
    </w:p>
    <w:p>
      <w:pPr>
        <w:ind w:left="-540" w:firstLine="645"/>
        <w:spacing w:after="0" w:line="272" w:lineRule="auto"/>
        <w:tabs>
          <w:tab w:leader="none" w:pos="742"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Limitation of Wainwright’s Liability to the Company</w:t>
      </w:r>
      <w:r>
        <w:rPr>
          <w:rFonts w:ascii="Arial" w:cs="Arial" w:eastAsia="Arial" w:hAnsi="Arial"/>
          <w:sz w:val="17"/>
          <w:szCs w:val="17"/>
          <w:color w:val="auto"/>
        </w:rPr>
        <w:t>. Wainwright and the Company further agree that neither Wainwright nor any of its affiliates or any of its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Wainwright and that are finally judicially determined to have resulted solely from the gross negligence or willful misconduct of Wainwright.</w:t>
      </w:r>
    </w:p>
    <w:p>
      <w:pPr>
        <w:spacing w:after="0" w:line="177" w:lineRule="exact"/>
        <w:rPr>
          <w:rFonts w:ascii="Arial" w:cs="Arial" w:eastAsia="Arial" w:hAnsi="Arial"/>
          <w:sz w:val="17"/>
          <w:szCs w:val="17"/>
          <w:color w:val="auto"/>
        </w:rPr>
      </w:pPr>
    </w:p>
    <w:p>
      <w:pPr>
        <w:ind w:left="-540" w:right="600" w:firstLine="645"/>
        <w:spacing w:after="0" w:line="308" w:lineRule="auto"/>
        <w:tabs>
          <w:tab w:leader="none" w:pos="71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New York applicable to agreements made and to be fully performed therein. Any disputes that arise under this Agreement, even after the</w:t>
      </w:r>
    </w:p>
    <w:p>
      <w:pPr>
        <w:spacing w:after="0" w:line="14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680" w:gutter="0" w:footer="0" w:header="0"/>
        </w:sectPr>
      </w:pPr>
    </w:p>
    <w:bookmarkStart w:id="6" w:name="page7"/>
    <w:bookmarkEnd w:id="6"/>
    <w:p>
      <w:pPr>
        <w:ind w:left="660" w:right="200"/>
        <w:spacing w:after="0" w:line="255" w:lineRule="auto"/>
        <w:rPr>
          <w:sz w:val="20"/>
          <w:szCs w:val="20"/>
          <w:color w:val="auto"/>
        </w:rPr>
      </w:pPr>
      <w:r>
        <w:rPr>
          <w:rFonts w:ascii="Arial" w:cs="Arial" w:eastAsia="Arial" w:hAnsi="Arial"/>
          <w:sz w:val="18"/>
          <w:szCs w:val="18"/>
          <w:color w:val="auto"/>
        </w:rPr>
        <w:t>termination of this Agreement, will be heard only in the state or federal courts located in the City of New York, State of New York. The parties hereto expressly agree to submit themselves to the jurisdiction of the foregoing courts in the City of New York, State of New York. The parties hereto expressly waive any rights they may have to contest the jurisdiction, venue or authority of any court sitting in the City and State of New York. In the event Wainwright or any Indemnified Person is successful in any action, or suit against the Company, arising out of or relating to this Agreement, the final judgment or award entered shall be entitled to have and recover from the Company the costs and expenses incurred in connection therewith, including its reasonable attorneys’ fees. Any rights to trial by jury with respect to any such action, proceeding or suit are hereby waived by Wainwright and the Company.</w:t>
      </w:r>
    </w:p>
    <w:p>
      <w:pPr>
        <w:spacing w:after="0" w:line="189" w:lineRule="exact"/>
        <w:rPr>
          <w:sz w:val="20"/>
          <w:szCs w:val="20"/>
          <w:color w:val="auto"/>
        </w:rPr>
      </w:pPr>
    </w:p>
    <w:p>
      <w:pPr>
        <w:ind w:left="660" w:right="100" w:firstLine="645"/>
        <w:spacing w:after="0" w:line="291" w:lineRule="auto"/>
        <w:tabs>
          <w:tab w:leader="none" w:pos="192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hereunder will be in writing and sent by certified mail, hand delivery, overnight delivery or fax, if sent to Wainwright, at the address set forth on the first page hereof, e-mail: notices@hcwco.com, Attention: Head of Investment Banking, and if sent to the</w:t>
      </w:r>
    </w:p>
    <w:p>
      <w:pPr>
        <w:ind w:left="660" w:right="160"/>
        <w:spacing w:after="0" w:line="254" w:lineRule="auto"/>
        <w:rPr>
          <w:sz w:val="20"/>
          <w:szCs w:val="20"/>
          <w:color w:val="auto"/>
        </w:rPr>
      </w:pPr>
      <w:r>
        <w:rPr>
          <w:rFonts w:ascii="Arial" w:cs="Arial" w:eastAsia="Arial" w:hAnsi="Arial"/>
          <w:sz w:val="18"/>
          <w:szCs w:val="18"/>
          <w:color w:val="auto"/>
        </w:rPr>
        <w:t>Company, to the address set forth on the first page hereof, e-mail: , Attention: Chief Executive Officer. Notices sent by certified mail shall be deemed received five days thereafter, notices sent by hand delivery or overnight delivery shall be deemed received on the date of the relevant written record of receipt, notices delivered by fax shall be deemed received as of the date and time printed thereon by the fax machine and notices sent by e-mail shall be deemed received as of the date and time they were sent.</w:t>
      </w:r>
    </w:p>
    <w:p>
      <w:pPr>
        <w:spacing w:after="0" w:line="190" w:lineRule="exact"/>
        <w:rPr>
          <w:sz w:val="20"/>
          <w:szCs w:val="20"/>
          <w:color w:val="auto"/>
        </w:rPr>
      </w:pPr>
    </w:p>
    <w:p>
      <w:pPr>
        <w:ind w:left="660" w:right="80" w:firstLine="645"/>
        <w:spacing w:after="0" w:line="259" w:lineRule="auto"/>
        <w:tabs>
          <w:tab w:leader="none" w:pos="194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The Company acknowledges that Wainwright and its affiliates may have and may continue to have investment banking and other relationships with parties other than the Company pursuant to which Wainwright may acquire information of interest to the Company. Wainwright shall have no obligation to disclose such information to the Company or to use such information in connection with any contemplated transaction.</w:t>
      </w:r>
    </w:p>
    <w:p>
      <w:pPr>
        <w:spacing w:after="0" w:line="186" w:lineRule="exact"/>
        <w:rPr>
          <w:rFonts w:ascii="Arial" w:cs="Arial" w:eastAsia="Arial" w:hAnsi="Arial"/>
          <w:sz w:val="18"/>
          <w:szCs w:val="18"/>
          <w:color w:val="auto"/>
        </w:rPr>
      </w:pPr>
    </w:p>
    <w:p>
      <w:pPr>
        <w:ind w:left="660" w:right="160" w:firstLine="645"/>
        <w:spacing w:after="0" w:line="297" w:lineRule="auto"/>
        <w:tabs>
          <w:tab w:leader="none" w:pos="192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Anti-Money Laundering</w:t>
      </w:r>
      <w:r>
        <w:rPr>
          <w:rFonts w:ascii="Arial" w:cs="Arial" w:eastAsia="Arial" w:hAnsi="Arial"/>
          <w:sz w:val="16"/>
          <w:szCs w:val="16"/>
          <w:color w:val="auto"/>
        </w:rPr>
        <w:t>. To help the United States government fight the funding of terrorism and money laundering, the federal laws of the United States require all financial institutions to obtain, verify and record information that identifies each person with whom they do business. This means Wainwright must ask the Company for certain identifying information, including a government-issued identification number (e.g., a U.S. taxpayer identification number) and such other information or documents that Wainwright considers appropriate to verify the Company’s identity, such as certified articles of incorporation, a government-issued business license, a partnership agreement or a trust instrument.</w:t>
      </w:r>
    </w:p>
    <w:p>
      <w:pPr>
        <w:spacing w:after="0" w:line="158" w:lineRule="exact"/>
        <w:rPr>
          <w:rFonts w:ascii="Arial" w:cs="Arial" w:eastAsia="Arial" w:hAnsi="Arial"/>
          <w:sz w:val="16"/>
          <w:szCs w:val="16"/>
          <w:color w:val="auto"/>
        </w:rPr>
      </w:pPr>
    </w:p>
    <w:p>
      <w:pPr>
        <w:ind w:left="660" w:right="220" w:firstLine="645"/>
        <w:spacing w:after="0" w:line="255" w:lineRule="auto"/>
        <w:tabs>
          <w:tab w:leader="none" w:pos="193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The Company represents and warrants that it has all requisite power and authority to enter into and carry out the terms and provisions of this Agreement and the execution, delivery and performance of this Agreement does not breach or conflict with any agreement, document or instrument to which it is a party or bound. This Agreement shall not be modified or amended except in writing signed by Wainwright and the Company. This Agreement shall be binding upon and inure to the benefit of both Wainwright and the Company and their respective assigns, successors, and legal representatives. This Agreement constitutes the entire agreement of Wainwright and the Company with respect to the subject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matter hereof and supersedes any prior agreements with respect to the subject matter hereof.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facsimile or electronic counterparts), each of which shall be deemed an original but all of which together shall constitute one and the same instrument.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acknowledgment that the foregoing correctly sets forth the understanding reached by Wainwright and the Company, please sign in the space provided below, whereupon this letter shall constitute a binding Agreement as of the date indicated above.</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H.C. WAINWRIGHT &amp; CO., LLC</w:t>
      </w:r>
    </w:p>
    <w:p>
      <w:pPr>
        <w:sectPr>
          <w:pgSz w:w="11900" w:h="16838" w:orient="portrait"/>
          <w:cols w:equalWidth="0" w:num="1">
            <w:col w:w="11400"/>
          </w:cols>
          <w:pgMar w:left="240" w:top="125" w:right="259" w:bottom="6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THERAPEUTICS,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Herriot Tabuteau</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1642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Edward D. Silvera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-130810</wp:posOffset>
            </wp:positionV>
            <wp:extent cx="31559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Title: Chief Operating Officer</w:t>
      </w:r>
    </w:p>
    <w:p>
      <w:pPr>
        <w:spacing w:after="0" w:line="2385" w:lineRule="exact"/>
        <w:rPr>
          <w:sz w:val="20"/>
          <w:szCs w:val="20"/>
          <w:color w:val="auto"/>
        </w:rPr>
      </w:pPr>
    </w:p>
    <w:p>
      <w:pPr>
        <w:sectPr>
          <w:pgSz w:w="11900" w:h="16838" w:orient="portrait"/>
          <w:cols w:equalWidth="0" w:num="2">
            <w:col w:w="5240" w:space="720"/>
            <w:col w:w="5440"/>
          </w:cols>
          <w:pgMar w:left="240" w:top="125" w:right="259" w:bottom="665" w:gutter="0" w:footer="0" w:header="0"/>
          <w:type w:val="continuous"/>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65" w:gutter="0" w:footer="0" w:header="0"/>
          <w:type w:val="continuous"/>
        </w:sectPr>
      </w:pPr>
    </w:p>
    <w:bookmarkStart w:id="7" w:name="page8"/>
    <w:bookmarkEnd w:id="7"/>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20" w:type="dxa"/>
            <w:vAlign w:val="bottom"/>
            <w:gridSpan w:val="3"/>
          </w:tcPr>
          <w:p>
            <w:pPr>
              <w:ind w:left="1380"/>
              <w:spacing w:after="0"/>
              <w:rPr>
                <w:sz w:val="20"/>
                <w:szCs w:val="20"/>
                <w:color w:val="auto"/>
              </w:rPr>
            </w:pPr>
            <w:r>
              <w:rPr>
                <w:rFonts w:ascii="Arial" w:cs="Arial" w:eastAsia="Arial" w:hAnsi="Arial"/>
                <w:sz w:val="18"/>
                <w:szCs w:val="18"/>
                <w:b w:val="1"/>
                <w:bCs w:val="1"/>
                <w:color w:val="auto"/>
                <w:w w:val="91"/>
              </w:rPr>
              <w:t>Exhibit 4.1</w:t>
            </w:r>
          </w:p>
        </w:tc>
      </w:tr>
      <w:tr>
        <w:trPr>
          <w:trHeight w:val="432"/>
        </w:trPr>
        <w:tc>
          <w:tcPr>
            <w:tcW w:w="1240" w:type="dxa"/>
            <w:vAlign w:val="bottom"/>
          </w:tcPr>
          <w:p>
            <w:pPr>
              <w:spacing w:after="0"/>
              <w:rPr>
                <w:sz w:val="24"/>
                <w:szCs w:val="24"/>
                <w:color w:val="auto"/>
              </w:rPr>
            </w:pPr>
          </w:p>
        </w:tc>
        <w:tc>
          <w:tcPr>
            <w:tcW w:w="79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9"/>
              </w:rPr>
              <w:t>COMMON STOCK PURCHASE WARRANT</w:t>
            </w: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79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rPr>
              <w:t>AXSOME THERAPEUTICS, INC.</w:t>
            </w: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w w:val="93"/>
              </w:rPr>
              <w:t>Warrant Shares:</w:t>
            </w:r>
          </w:p>
        </w:tc>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40" w:type="dxa"/>
            <w:vAlign w:val="bottom"/>
          </w:tcPr>
          <w:p>
            <w:pPr>
              <w:ind w:left="2100"/>
              <w:spacing w:after="0"/>
              <w:rPr>
                <w:sz w:val="20"/>
                <w:szCs w:val="20"/>
                <w:color w:val="auto"/>
              </w:rPr>
            </w:pPr>
            <w:r>
              <w:rPr>
                <w:rFonts w:ascii="Arial" w:cs="Arial" w:eastAsia="Arial" w:hAnsi="Arial"/>
                <w:sz w:val="18"/>
                <w:szCs w:val="18"/>
                <w:color w:val="auto"/>
              </w:rPr>
              <w:t>Issue Date:</w:t>
            </w:r>
          </w:p>
        </w:tc>
        <w:tc>
          <w:tcPr>
            <w:tcW w:w="1520" w:type="dxa"/>
            <w:vAlign w:val="bottom"/>
          </w:tcPr>
          <w:p>
            <w:pPr>
              <w:ind w:left="140"/>
              <w:spacing w:after="0"/>
              <w:rPr>
                <w:sz w:val="20"/>
                <w:szCs w:val="20"/>
                <w:color w:val="auto"/>
              </w:rPr>
            </w:pPr>
            <w:r>
              <w:rPr>
                <w:rFonts w:ascii="Arial" w:cs="Arial" w:eastAsia="Arial" w:hAnsi="Arial"/>
                <w:sz w:val="18"/>
                <w:szCs w:val="18"/>
                <w:color w:val="auto"/>
              </w:rPr>
              <w:t>, 2017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60" w:type="dxa"/>
            <w:vAlign w:val="bottom"/>
            <w:gridSpan w:val="4"/>
          </w:tcPr>
          <w:p>
            <w:pPr>
              <w:ind w:left="2100"/>
              <w:spacing w:after="0"/>
              <w:rPr>
                <w:sz w:val="20"/>
                <w:szCs w:val="20"/>
                <w:color w:val="auto"/>
              </w:rPr>
            </w:pPr>
            <w:r>
              <w:rPr>
                <w:rFonts w:ascii="Arial" w:cs="Arial" w:eastAsia="Arial" w:hAnsi="Arial"/>
                <w:sz w:val="18"/>
                <w:szCs w:val="18"/>
                <w:color w:val="auto"/>
                <w:w w:val="91"/>
              </w:rPr>
              <w:t>Initial Exercise Date:, 2017</w:t>
            </w:r>
          </w:p>
        </w:tc>
      </w:tr>
      <w:tr>
        <w:trPr>
          <w:trHeight w:val="392"/>
        </w:trPr>
        <w:tc>
          <w:tcPr>
            <w:tcW w:w="1240" w:type="dxa"/>
            <w:vAlign w:val="bottom"/>
          </w:tcPr>
          <w:p>
            <w:pPr>
              <w:spacing w:after="0"/>
              <w:rPr>
                <w:sz w:val="24"/>
                <w:szCs w:val="24"/>
                <w:color w:val="auto"/>
              </w:rPr>
            </w:pPr>
          </w:p>
        </w:tc>
        <w:tc>
          <w:tcPr>
            <w:tcW w:w="7960" w:type="dxa"/>
            <w:vAlign w:val="bottom"/>
            <w:gridSpan w:val="3"/>
          </w:tcPr>
          <w:p>
            <w:pPr>
              <w:ind w:left="60"/>
              <w:spacing w:after="0"/>
              <w:rPr>
                <w:sz w:val="20"/>
                <w:szCs w:val="20"/>
                <w:color w:val="auto"/>
              </w:rPr>
            </w:pPr>
            <w:r>
              <w:rPr>
                <w:rFonts w:ascii="Arial" w:cs="Arial" w:eastAsia="Arial" w:hAnsi="Arial"/>
                <w:sz w:val="18"/>
                <w:szCs w:val="18"/>
                <w:color w:val="auto"/>
              </w:rPr>
              <w:t>THIS COMMON STOCK PURCHASE WARRANT (the “Warrant”) certifies that, for value received,</w:t>
            </w:r>
          </w:p>
        </w:tc>
        <w:tc>
          <w:tcPr>
            <w:tcW w:w="2220" w:type="dxa"/>
            <w:vAlign w:val="bottom"/>
            <w:gridSpan w:val="3"/>
          </w:tcPr>
          <w:p>
            <w:pPr>
              <w:ind w:left="140"/>
              <w:spacing w:after="0"/>
              <w:rPr>
                <w:sz w:val="20"/>
                <w:szCs w:val="20"/>
                <w:color w:val="auto"/>
              </w:rPr>
            </w:pPr>
            <w:r>
              <w:rPr>
                <w:rFonts w:ascii="Arial" w:cs="Arial" w:eastAsia="Arial" w:hAnsi="Arial"/>
                <w:sz w:val="18"/>
                <w:szCs w:val="18"/>
                <w:color w:val="auto"/>
                <w:w w:val="94"/>
              </w:rPr>
              <w:t>or its assigns (the “Holder”)</w:t>
            </w:r>
          </w:p>
        </w:tc>
      </w:tr>
      <w:tr>
        <w:trPr>
          <w:trHeight w:val="20"/>
        </w:trPr>
        <w:tc>
          <w:tcPr>
            <w:tcW w:w="1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is entitled, upon the terms and subject to the limitations on exercise and the conditions hereinafter set forth, at any time on or after the date hereof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 Date</w:t>
      </w:r>
      <w:r>
        <w:rPr>
          <w:rFonts w:ascii="Arial" w:cs="Arial" w:eastAsia="Arial" w:hAnsi="Arial"/>
          <w:sz w:val="16"/>
          <w:szCs w:val="16"/>
          <w:color w:val="auto"/>
        </w:rPr>
        <w:t>”) and on or prior to 5:00 p.m. (New York City time) on December 11, 2018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w:t>
      </w:r>
    </w:p>
    <w:p>
      <w:pPr>
        <w:ind w:right="40"/>
        <w:spacing w:after="0" w:line="255" w:lineRule="auto"/>
        <w:rPr>
          <w:sz w:val="20"/>
          <w:szCs w:val="20"/>
          <w:color w:val="auto"/>
        </w:rPr>
      </w:pPr>
      <w:r>
        <w:rPr>
          <w:rFonts w:ascii="Arial" w:cs="Arial" w:eastAsia="Arial" w:hAnsi="Arial"/>
          <w:sz w:val="18"/>
          <w:szCs w:val="18"/>
          <w:color w:val="auto"/>
        </w:rPr>
        <w:t>purchase from Axsome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up to shares (as subject to adjustment hereunder,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stock (the “Common Stock”). The purchase price of one share of Common Stock under this Warrant shall be equal to the Exercise Price, as defined in Section 2(b).</w:t>
      </w:r>
    </w:p>
    <w:p>
      <w:pPr>
        <w:spacing w:after="0" w:line="19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November 30, 2017, among the Company and the purchasers signatory thereto.</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ind w:left="660" w:right="20" w:firstLine="645"/>
        <w:spacing w:after="0" w:line="288" w:lineRule="auto"/>
        <w:tabs>
          <w:tab w:leader="none" w:pos="1948"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Within the earlier of (i) two (2) Trading Days and</w:t>
      </w:r>
    </w:p>
    <w:p>
      <w:pPr>
        <w:ind w:left="660" w:right="40" w:hanging="4"/>
        <w:spacing w:after="0" w:line="287" w:lineRule="auto"/>
        <w:tabs>
          <w:tab w:leader="none" w:pos="9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100"/>
        <w:spacing w:after="0" w:line="297" w:lineRule="auto"/>
        <w:rPr>
          <w:sz w:val="20"/>
          <w:szCs w:val="20"/>
          <w:color w:val="auto"/>
        </w:rPr>
      </w:pPr>
      <w:r>
        <w:rPr>
          <w:rFonts w:ascii="Arial" w:cs="Arial" w:eastAsia="Arial" w:hAnsi="Arial"/>
          <w:sz w:val="16"/>
          <w:szCs w:val="16"/>
          <w:color w:val="auto"/>
        </w:rPr>
        <w:t xml:space="preserve">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54" w:lineRule="exact"/>
        <w:rPr>
          <w:sz w:val="20"/>
          <w:szCs w:val="20"/>
          <w:color w:val="auto"/>
        </w:rPr>
      </w:pPr>
    </w:p>
    <w:p>
      <w:pPr>
        <w:ind w:left="660" w:right="100" w:firstLine="645"/>
        <w:spacing w:after="0" w:line="282" w:lineRule="auto"/>
        <w:tabs>
          <w:tab w:leader="none" w:pos="195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Warrant shall be </w:t>
      </w:r>
      <w:r>
        <w:rPr>
          <w:rFonts w:ascii="Arial" w:cs="Arial" w:eastAsia="Arial" w:hAnsi="Arial"/>
          <w:sz w:val="18"/>
          <w:szCs w:val="18"/>
          <w:b w:val="1"/>
          <w:bCs w:val="1"/>
          <w:color w:val="auto"/>
        </w:rPr>
        <w:t>$</w:t>
      </w:r>
      <w:r>
        <w:rPr>
          <w:rFonts w:ascii="Arial" w:cs="Arial" w:eastAsia="Arial" w:hAnsi="Arial"/>
          <w:sz w:val="18"/>
          <w:szCs w:val="18"/>
          <w:color w:val="auto"/>
        </w:rPr>
        <w:t>5.25,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right="80" w:firstLine="645"/>
        <w:spacing w:after="0" w:line="259" w:lineRule="auto"/>
        <w:tabs>
          <w:tab w:leader="none" w:pos="196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or resale of the Warrant Shares to or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1760" w:right="20" w:hanging="455"/>
        <w:spacing w:after="0" w:line="288" w:lineRule="auto"/>
        <w:tabs>
          <w:tab w:leader="none" w:pos="16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w:t>
      </w:r>
    </w:p>
    <w:p>
      <w:pPr>
        <w:ind w:left="1760" w:right="180"/>
        <w:spacing w:after="0" w:line="268" w:lineRule="auto"/>
        <w:rPr>
          <w:rFonts w:ascii="Arial" w:cs="Arial" w:eastAsia="Arial" w:hAnsi="Arial"/>
          <w:sz w:val="16"/>
          <w:szCs w:val="16"/>
          <w:color w:val="auto"/>
        </w:rPr>
      </w:pPr>
      <w:r>
        <w:rPr>
          <w:rFonts w:ascii="Arial" w:cs="Arial" w:eastAsia="Arial" w:hAnsi="Arial"/>
          <w:sz w:val="17"/>
          <w:szCs w:val="17"/>
          <w:color w:val="auto"/>
        </w:rPr>
        <w:t>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4" w:lineRule="exact"/>
        <w:rPr>
          <w:rFonts w:ascii="Arial" w:cs="Arial" w:eastAsia="Arial" w:hAnsi="Arial"/>
          <w:sz w:val="16"/>
          <w:szCs w:val="16"/>
          <w:color w:val="auto"/>
        </w:rPr>
      </w:pPr>
    </w:p>
    <w:p>
      <w:pPr>
        <w:ind w:left="1580" w:hanging="275"/>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1760" w:right="320" w:hanging="455"/>
        <w:spacing w:after="0" w:line="277" w:lineRule="auto"/>
        <w:tabs>
          <w:tab w:leader="none" w:pos="16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8"/>
        <w:spacing w:after="0" w:line="312" w:lineRule="auto"/>
        <w:rPr>
          <w:sz w:val="20"/>
          <w:szCs w:val="20"/>
          <w:color w:val="auto"/>
        </w:rPr>
      </w:pP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w:t>
      </w:r>
    </w:p>
    <w:p>
      <w:pPr>
        <w:sectPr>
          <w:pgSz w:w="11900" w:h="16952" w:orient="portrait"/>
          <w:cols w:equalWidth="0" w:num="1">
            <w:col w:w="11420"/>
          </w:cols>
          <w:pgMar w:left="240" w:top="121" w:right="239" w:bottom="0" w:gutter="0" w:footer="0" w:header="0"/>
        </w:sectPr>
      </w:pPr>
    </w:p>
    <w:bookmarkStart w:id="8" w:name="page9"/>
    <w:bookmarkEnd w:id="8"/>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81" w:lineRule="exact"/>
        <w:rPr>
          <w:sz w:val="20"/>
          <w:szCs w:val="20"/>
          <w:color w:val="auto"/>
        </w:rPr>
      </w:pPr>
    </w:p>
    <w:p>
      <w:pPr>
        <w:ind w:left="1300" w:hanging="65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right="40" w:firstLine="641"/>
        <w:spacing w:after="0" w:line="286" w:lineRule="auto"/>
        <w:tabs>
          <w:tab w:leader="none" w:pos="2286"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Delivery of Warrant Shares Upon Exercise</w:t>
      </w:r>
      <w:r>
        <w:rPr>
          <w:rFonts w:ascii="Arial" w:cs="Arial" w:eastAsia="Arial" w:hAnsi="Arial"/>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7"/>
          <w:szCs w:val="17"/>
          <w:u w:val="single" w:color="auto"/>
          <w:color w:val="auto"/>
        </w:rPr>
        <w:t>DWAC</w:t>
      </w:r>
      <w:r>
        <w:rPr>
          <w:rFonts w:ascii="Arial" w:cs="Arial" w:eastAsia="Arial" w:hAnsi="Arial"/>
          <w:sz w:val="17"/>
          <w:szCs w:val="17"/>
          <w:color w:val="auto"/>
        </w:rPr>
        <w:t>”) if the</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84" w:lineRule="auto"/>
        <w:rPr>
          <w:sz w:val="20"/>
          <w:szCs w:val="20"/>
          <w:color w:val="auto"/>
        </w:rPr>
      </w:pPr>
      <w:r>
        <w:rPr>
          <w:rFonts w:ascii="Arial" w:cs="Arial" w:eastAsia="Arial" w:hAnsi="Arial"/>
          <w:sz w:val="16"/>
          <w:szCs w:val="16"/>
          <w:color w:val="auto"/>
        </w:rPr>
        <w:t>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w:t>
      </w:r>
    </w:p>
    <w:p>
      <w:pPr>
        <w:spacing w:after="0" w:line="5" w:lineRule="exact"/>
        <w:rPr>
          <w:sz w:val="20"/>
          <w:szCs w:val="20"/>
          <w:color w:val="auto"/>
        </w:rPr>
      </w:pPr>
    </w:p>
    <w:p>
      <w:pPr>
        <w:ind w:left="1300" w:right="20" w:hanging="7"/>
        <w:spacing w:after="0" w:line="285" w:lineRule="auto"/>
        <w:tabs>
          <w:tab w:leader="none" w:pos="15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Trading Day after delivery of the aggregate Exercise Price to the Company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170" w:lineRule="exact"/>
        <w:rPr>
          <w:rFonts w:ascii="Arial" w:cs="Arial" w:eastAsia="Arial" w:hAnsi="Arial"/>
          <w:sz w:val="16"/>
          <w:szCs w:val="16"/>
          <w:color w:val="auto"/>
        </w:rPr>
      </w:pPr>
    </w:p>
    <w:p>
      <w:pPr>
        <w:jc w:val="both"/>
        <w:ind w:left="1300" w:right="240" w:firstLine="641"/>
        <w:spacing w:after="0" w:line="279" w:lineRule="auto"/>
        <w:tabs>
          <w:tab w:leader="none" w:pos="2296"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ind w:left="1300" w:right="300" w:firstLine="641"/>
        <w:spacing w:after="0" w:line="342" w:lineRule="auto"/>
        <w:tabs>
          <w:tab w:leader="none" w:pos="2305"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firstLine="641"/>
        <w:spacing w:after="0" w:line="287" w:lineRule="auto"/>
        <w:tabs>
          <w:tab w:leader="none" w:pos="227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w:t>
      </w:r>
    </w:p>
    <w:p>
      <w:pPr>
        <w:sectPr>
          <w:pgSz w:w="11900" w:h="16926" w:orient="portrait"/>
          <w:cols w:equalWidth="0" w:num="1">
            <w:col w:w="10760"/>
          </w:cols>
          <w:pgMar w:left="900" w:top="125" w:right="239" w:bottom="0" w:gutter="0" w:footer="0" w:header="0"/>
        </w:sectPr>
      </w:pPr>
    </w:p>
    <w:bookmarkStart w:id="9" w:name="page10"/>
    <w:bookmarkEnd w:id="9"/>
    <w:p>
      <w:pPr>
        <w:ind w:left="1300"/>
        <w:spacing w:after="0" w:line="289" w:lineRule="auto"/>
        <w:rPr>
          <w:sz w:val="20"/>
          <w:szCs w:val="20"/>
          <w:color w:val="auto"/>
        </w:rPr>
      </w:pPr>
      <w:r>
        <w:rPr>
          <w:rFonts w:ascii="Arial" w:cs="Arial" w:eastAsia="Arial" w:hAnsi="Arial"/>
          <w:sz w:val="16"/>
          <w:szCs w:val="16"/>
          <w:color w:val="auto"/>
        </w:rPr>
        <w:t>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7" w:lineRule="exact"/>
        <w:rPr>
          <w:sz w:val="20"/>
          <w:szCs w:val="20"/>
          <w:color w:val="auto"/>
        </w:rPr>
      </w:pPr>
    </w:p>
    <w:p>
      <w:pPr>
        <w:ind w:left="1300" w:right="260" w:firstLine="641"/>
        <w:spacing w:after="0" w:line="279" w:lineRule="auto"/>
        <w:tabs>
          <w:tab w:leader="none" w:pos="2261"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Arial" w:cs="Arial" w:eastAsia="Arial" w:hAnsi="Arial"/>
          <w:sz w:val="17"/>
          <w:szCs w:val="17"/>
          <w:color w:val="auto"/>
        </w:rPr>
      </w:pPr>
    </w:p>
    <w:p>
      <w:pPr>
        <w:ind w:left="1300" w:right="160" w:firstLine="641"/>
        <w:spacing w:after="0" w:line="277" w:lineRule="auto"/>
        <w:tabs>
          <w:tab w:leader="none" w:pos="228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Charges, Taxes and Expenses</w:t>
      </w:r>
      <w:r>
        <w:rPr>
          <w:rFonts w:ascii="Arial" w:cs="Arial" w:eastAsia="Arial" w:hAnsi="Arial"/>
          <w:sz w:val="18"/>
          <w:szCs w:val="18"/>
          <w:color w:val="auto"/>
        </w:rPr>
        <w:t>. Issuance of Warrant Shares shall be made without charge to the Holder for any issue or transfer tax or other incidental expense in respect of the issuance of such Warrant Shares,</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spacing w:after="0" w:line="291" w:lineRule="auto"/>
        <w:rPr>
          <w:sz w:val="20"/>
          <w:szCs w:val="20"/>
          <w:color w:val="auto"/>
        </w:rPr>
      </w:pPr>
      <w:r>
        <w:rPr>
          <w:rFonts w:ascii="Arial" w:cs="Arial" w:eastAsia="Arial" w:hAnsi="Arial"/>
          <w:sz w:val="16"/>
          <w:szCs w:val="16"/>
          <w:color w:val="auto"/>
        </w:rPr>
        <w:t xml:space="preserve">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7" w:lineRule="exact"/>
        <w:rPr>
          <w:sz w:val="20"/>
          <w:szCs w:val="20"/>
          <w:color w:val="auto"/>
        </w:rPr>
      </w:pPr>
    </w:p>
    <w:p>
      <w:pPr>
        <w:ind w:left="1300" w:right="220" w:firstLine="641"/>
        <w:spacing w:after="0" w:line="277" w:lineRule="auto"/>
        <w:tabs>
          <w:tab w:leader="none" w:pos="2291"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rFonts w:ascii="Arial" w:cs="Arial" w:eastAsia="Arial" w:hAnsi="Arial"/>
          <w:sz w:val="18"/>
          <w:szCs w:val="18"/>
          <w:color w:val="auto"/>
        </w:rPr>
      </w:pPr>
    </w:p>
    <w:p>
      <w:pPr>
        <w:ind w:right="40" w:firstLine="645"/>
        <w:spacing w:after="0" w:line="285" w:lineRule="auto"/>
        <w:tabs>
          <w:tab w:leader="none" w:pos="130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by the Holder together with any Affiliates and Attribution Parties) and of which portion of this Warrant is exercisable, in each case subject to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Beneficial Ownership Limitation, and the Company shall have no obligation to verify or confirm the accuracy of such determination.  In addition,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determination as to any group status as contemplated above shall be determined in accordance with Section 13(d) of the Exchange Act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rules and regulations promulgated thereunder. For purposes of this Section 2(e), in determining the number of outstanding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Holder may rely on the number of outstanding shares of Common Stock as reflected in (A) the Company’s most recent periodic or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the case may be, (B) a more recent public announcement by the Company or (C) a more recent written notice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or the Transfer Agent setting forth the number of shares of Common Stock outstanding. Upon the written or oral request of a Holder,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within one (1) Trading Day confirm orally and in writing to the Holder the number of shares of Common Stock then outstanding.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case, the number of outstanding shares of Common Stock shall be determined after giving effect to the conversion or exercise of securities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including this Warrant, by the Holder or its Affiliates or Attribution Parties since the date as of which such number of outstanding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immediately after giving effect to the issuance of shares of Common Stock issuable upon exercise of this Warrant. The Holder, upon notice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may increase or decrease the Beneficial Ownership Limitation provisions of this Section 2(e), provided that the Beneficial Ownership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 in no event exceeds 9.99% of the number of shares of the Common Stock outstanding immediately after giving effect to the issuance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upon exercise of this Warrant held by the Holder and the provisions of this Section 2(e) shall continue to apply. 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Beneficial Ownership Limitation will not be effective until the 61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after such notice is delivered to the Company. The provisions</w:t>
      </w:r>
    </w:p>
    <w:p>
      <w:pPr>
        <w:spacing w:after="0"/>
        <w:rPr>
          <w:sz w:val="20"/>
          <w:szCs w:val="20"/>
          <w:color w:val="auto"/>
        </w:rPr>
      </w:pPr>
      <w:r>
        <w:rPr>
          <w:rFonts w:ascii="Arial" w:cs="Arial" w:eastAsia="Arial" w:hAnsi="Arial"/>
          <w:sz w:val="16"/>
          <w:szCs w:val="16"/>
          <w:color w:val="auto"/>
        </w:rPr>
        <w:t>of this paragraph shall be construed and implemented in a manner otherwise than in strict conformity with the terms of this Section 2(e) to correct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this paragraph (or any portion hereof) which may be defective or inconsistent with the intended Beneficial Ownership Limitation herein contained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make changes or supplements necessary or desirable to properly give effect to such limitation. The limitations contained in this paragraph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apply to a successor holder of this Warrant.</w:t>
      </w:r>
    </w:p>
    <w:p>
      <w:pPr>
        <w:sectPr>
          <w:pgSz w:w="11900" w:h="16838" w:orient="portrait"/>
          <w:cols w:equalWidth="0" w:num="1">
            <w:col w:w="10760"/>
          </w:cols>
          <w:pgMar w:left="900" w:top="125" w:right="239" w:bottom="0" w:gutter="0" w:footer="0" w:header="0"/>
        </w:sectPr>
      </w:pPr>
    </w:p>
    <w:bookmarkStart w:id="10" w:name="page11"/>
    <w:bookmarkEnd w:id="10"/>
    <w:p>
      <w:pPr>
        <w:ind w:left="4"/>
        <w:spacing w:after="0"/>
        <w:tabs>
          <w:tab w:leader="none" w:pos="1283"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ind w:left="4" w:right="40" w:firstLine="645"/>
        <w:spacing w:after="0" w:line="288" w:lineRule="auto"/>
        <w:tabs>
          <w:tab w:leader="none" w:pos="1292"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w:t>
      </w:r>
    </w:p>
    <w:p>
      <w:pPr>
        <w:ind w:left="4" w:right="40" w:hanging="4"/>
        <w:spacing w:after="0" w:line="254"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w:t>
      </w:r>
    </w:p>
    <w:p>
      <w:pPr>
        <w:spacing w:after="0" w:line="1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8" w:lineRule="exact"/>
        <w:rPr>
          <w:sz w:val="20"/>
          <w:szCs w:val="20"/>
          <w:color w:val="auto"/>
        </w:rPr>
      </w:pPr>
    </w:p>
    <w:p>
      <w:pPr>
        <w:ind w:left="4" w:right="60" w:firstLine="645"/>
        <w:spacing w:after="0" w:line="287" w:lineRule="auto"/>
        <w:tabs>
          <w:tab w:leader="none" w:pos="130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2" w:lineRule="exact"/>
        <w:rPr>
          <w:rFonts w:ascii="Arial" w:cs="Arial" w:eastAsia="Arial" w:hAnsi="Arial"/>
          <w:sz w:val="16"/>
          <w:szCs w:val="16"/>
          <w:color w:val="auto"/>
        </w:rPr>
      </w:pPr>
    </w:p>
    <w:p>
      <w:pPr>
        <w:ind w:left="4" w:right="40" w:firstLine="645"/>
        <w:spacing w:after="0" w:line="287" w:lineRule="auto"/>
        <w:tabs>
          <w:tab w:leader="none" w:pos="130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w:t>
      </w:r>
    </w:p>
    <w:p>
      <w:pPr>
        <w:spacing w:after="0" w:line="17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portion of such Distribution shall be held in abeyance for the benefit of the Holder until such time, if ever, as its right thereto would not result in the Holder exceeding the Beneficial Ownership Limitation).</w:t>
      </w:r>
    </w:p>
    <w:p>
      <w:pPr>
        <w:spacing w:after="0" w:line="170" w:lineRule="exact"/>
        <w:rPr>
          <w:sz w:val="20"/>
          <w:szCs w:val="20"/>
          <w:color w:val="auto"/>
        </w:rPr>
      </w:pPr>
    </w:p>
    <w:p>
      <w:pPr>
        <w:ind w:left="4" w:right="20" w:firstLine="645"/>
        <w:spacing w:after="0" w:line="284" w:lineRule="auto"/>
        <w:tabs>
          <w:tab w:leader="none" w:pos="130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w:t>
      </w:r>
    </w:p>
    <w:p>
      <w:pPr>
        <w:sectPr>
          <w:pgSz w:w="11900" w:h="16838" w:orient="portrait"/>
          <w:cols w:equalWidth="0" w:num="1">
            <w:col w:w="10744"/>
          </w:cols>
          <w:pgMar w:left="896" w:top="125" w:right="259" w:bottom="0" w:gutter="0" w:footer="0" w:header="0"/>
        </w:sectPr>
      </w:pPr>
    </w:p>
    <w:bookmarkStart w:id="11" w:name="page12"/>
    <w:bookmarkEnd w:id="11"/>
    <w:p>
      <w:pPr>
        <w:ind w:right="220"/>
        <w:spacing w:after="0" w:line="277" w:lineRule="auto"/>
        <w:rPr>
          <w:sz w:val="20"/>
          <w:szCs w:val="20"/>
          <w:color w:val="auto"/>
        </w:rPr>
      </w:pPr>
      <w:r>
        <w:rPr>
          <w:rFonts w:ascii="Arial" w:cs="Arial" w:eastAsia="Arial" w:hAnsi="Arial"/>
          <w:sz w:val="18"/>
          <w:szCs w:val="18"/>
          <w:color w:val="auto"/>
        </w:rPr>
        <w:t>which the Company is not the survivor (the “</w:t>
      </w:r>
      <w:r>
        <w:rPr>
          <w:rFonts w:ascii="Arial" w:cs="Arial" w:eastAsia="Arial" w:hAnsi="Arial"/>
          <w:sz w:val="18"/>
          <w:szCs w:val="18"/>
          <w:u w:val="single" w:color="auto"/>
          <w:color w:val="auto"/>
        </w:rPr>
        <w:t>Successor Entity</w:t>
      </w:r>
      <w:r>
        <w:rPr>
          <w:rFonts w:ascii="Arial" w:cs="Arial" w:eastAsia="Arial" w:hAnsi="Arial"/>
          <w:sz w:val="18"/>
          <w:szCs w:val="18"/>
          <w:color w:val="auto"/>
        </w:rPr>
        <w:t>”) to assume in writing all of the obligations of the Company under this Warrant and the other Transaction Documents in accordance with the provisions of this Section 3(e) pursuant to</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175" w:lineRule="exact"/>
        <w:rPr>
          <w:sz w:val="20"/>
          <w:szCs w:val="20"/>
          <w:color w:val="auto"/>
        </w:rPr>
      </w:pPr>
    </w:p>
    <w:p>
      <w:pPr>
        <w:ind w:right="160" w:firstLine="645"/>
        <w:spacing w:after="0" w:line="286" w:lineRule="auto"/>
        <w:tabs>
          <w:tab w:leader="none" w:pos="130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1300" w:hanging="65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140" w:firstLine="641"/>
        <w:spacing w:after="0" w:line="259" w:lineRule="auto"/>
        <w:tabs>
          <w:tab w:leader="none" w:pos="228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ind w:left="1300" w:firstLine="641"/>
        <w:spacing w:after="0" w:line="255" w:lineRule="auto"/>
        <w:tabs>
          <w:tab w:leader="none" w:pos="229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Notice to Allow Exercise by Holder</w:t>
      </w:r>
      <w:r>
        <w:rPr>
          <w:rFonts w:ascii="Arial" w:cs="Arial" w:eastAsia="Arial" w:hAnsi="Arial"/>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line="267" w:lineRule="auto"/>
        <w:rPr>
          <w:sz w:val="20"/>
          <w:szCs w:val="20"/>
          <w:color w:val="auto"/>
        </w:rPr>
      </w:pPr>
      <w:r>
        <w:rPr>
          <w:rFonts w:ascii="Arial" w:cs="Arial" w:eastAsia="Arial" w:hAnsi="Arial"/>
          <w:sz w:val="17"/>
          <w:szCs w:val="17"/>
          <w:color w:val="auto"/>
        </w:rPr>
        <w:t>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225" w:lineRule="exact"/>
        <w:rPr>
          <w:sz w:val="20"/>
          <w:szCs w:val="20"/>
          <w:color w:val="auto"/>
        </w:rPr>
      </w:pPr>
    </w:p>
    <w:p>
      <w:pPr>
        <w:ind w:right="80" w:firstLine="645"/>
        <w:spacing w:after="0" w:line="289" w:lineRule="auto"/>
        <w:tabs>
          <w:tab w:leader="none" w:pos="128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two (2) Trading Days of the date on which the Holder delivers an assignment form to the Company assigning this Warrant in full. The Warrant,</w:t>
      </w:r>
    </w:p>
    <w:p>
      <w:pPr>
        <w:sectPr>
          <w:pgSz w:w="11900" w:h="16838" w:orient="portrait"/>
          <w:cols w:equalWidth="0" w:num="1">
            <w:col w:w="10740"/>
          </w:cols>
          <w:pgMar w:left="900" w:top="125" w:right="259" w:bottom="55" w:gutter="0" w:footer="0" w:header="0"/>
        </w:sectPr>
      </w:pPr>
    </w:p>
    <w:p>
      <w:pPr>
        <w:spacing w:after="0" w:line="16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95885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125" w:right="259" w:bottom="55" w:gutter="0" w:footer="0" w:header="0"/>
          <w:type w:val="continuous"/>
        </w:sectPr>
      </w:pPr>
    </w:p>
    <w:bookmarkStart w:id="12" w:name="page13"/>
    <w:bookmarkEnd w:id="12"/>
    <w:p>
      <w:pPr>
        <w:ind w:right="320"/>
        <w:spacing w:after="0" w:line="277" w:lineRule="auto"/>
        <w:rPr>
          <w:sz w:val="20"/>
          <w:szCs w:val="20"/>
          <w:color w:val="auto"/>
        </w:rPr>
      </w:pPr>
      <w:r>
        <w:rPr>
          <w:rFonts w:ascii="Arial" w:cs="Arial" w:eastAsia="Arial" w:hAnsi="Arial"/>
          <w:sz w:val="18"/>
          <w:szCs w:val="18"/>
          <w:color w:val="auto"/>
        </w:rPr>
        <w:t>if properly assigned in accordance herewith, may be exercised by a new holder for the purchase of Warrant Shares without having a new Warrant issued.</w:t>
      </w:r>
    </w:p>
    <w:p>
      <w:pPr>
        <w:spacing w:after="0" w:line="170" w:lineRule="exact"/>
        <w:rPr>
          <w:sz w:val="20"/>
          <w:szCs w:val="20"/>
          <w:color w:val="auto"/>
        </w:rPr>
      </w:pPr>
    </w:p>
    <w:p>
      <w:pPr>
        <w:ind w:right="120" w:firstLine="645"/>
        <w:spacing w:after="0" w:line="273" w:lineRule="auto"/>
        <w:tabs>
          <w:tab w:leader="none" w:pos="1298"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78" w:lineRule="exact"/>
        <w:rPr>
          <w:rFonts w:ascii="Arial" w:cs="Arial" w:eastAsia="Arial" w:hAnsi="Arial"/>
          <w:sz w:val="17"/>
          <w:szCs w:val="17"/>
          <w:color w:val="auto"/>
        </w:rPr>
      </w:pPr>
    </w:p>
    <w:p>
      <w:pPr>
        <w:ind w:right="220" w:firstLine="645"/>
        <w:spacing w:after="0" w:line="259" w:lineRule="auto"/>
        <w:tabs>
          <w:tab w:leader="none" w:pos="130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right="20" w:firstLine="645"/>
        <w:spacing w:after="0" w:line="308" w:lineRule="auto"/>
        <w:tabs>
          <w:tab w:leader="none" w:pos="1288"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146" w:lineRule="exact"/>
        <w:rPr>
          <w:rFonts w:ascii="Arial" w:cs="Arial" w:eastAsia="Arial" w:hAnsi="Arial"/>
          <w:sz w:val="17"/>
          <w:szCs w:val="17"/>
          <w:color w:val="auto"/>
        </w:rPr>
      </w:pPr>
    </w:p>
    <w:p>
      <w:pPr>
        <w:ind w:right="20" w:firstLine="645"/>
        <w:spacing w:after="0" w:line="276" w:lineRule="auto"/>
        <w:tabs>
          <w:tab w:leader="none" w:pos="1298"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2" w:lineRule="exact"/>
        <w:rPr>
          <w:rFonts w:ascii="Arial" w:cs="Arial" w:eastAsia="Arial" w:hAnsi="Arial"/>
          <w:sz w:val="17"/>
          <w:szCs w:val="17"/>
          <w:color w:val="auto"/>
        </w:rPr>
      </w:pPr>
    </w:p>
    <w:p>
      <w:pPr>
        <w:jc w:val="both"/>
        <w:ind w:right="180" w:firstLine="645"/>
        <w:spacing w:after="0" w:line="342" w:lineRule="auto"/>
        <w:tabs>
          <w:tab w:leader="none" w:pos="130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1300" w:hanging="65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ind w:left="640" w:right="660" w:firstLine="1296"/>
        <w:spacing w:after="0" w:line="308" w:lineRule="auto"/>
        <w:rPr>
          <w:sz w:val="20"/>
          <w:szCs w:val="20"/>
          <w:color w:val="auto"/>
        </w:rPr>
      </w:pPr>
      <w:r>
        <w:rPr>
          <w:rFonts w:ascii="Arial" w:cs="Arial" w:eastAsia="Arial" w:hAnsi="Arial"/>
          <w:sz w:val="17"/>
          <w:szCs w:val="17"/>
          <w:color w:val="auto"/>
        </w:rPr>
        <w:t>The Company covenants that, during the period the Warrant is outstanding, it will reserve from its authorized and unissued Common Stock a sufficient number of shares to provide for the issuance of the Warrant Shares</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7" w:lineRule="exact"/>
        <w:rPr>
          <w:sz w:val="20"/>
          <w:szCs w:val="20"/>
          <w:color w:val="auto"/>
        </w:rPr>
      </w:pPr>
    </w:p>
    <w:p>
      <w:pPr>
        <w:ind w:left="640" w:right="60" w:firstLine="648"/>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8" w:lineRule="exact"/>
        <w:rPr>
          <w:sz w:val="20"/>
          <w:szCs w:val="20"/>
          <w:color w:val="auto"/>
        </w:rPr>
      </w:pPr>
    </w:p>
    <w:p>
      <w:pPr>
        <w:ind w:left="640" w:right="100" w:firstLine="648"/>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1" w:lineRule="exact"/>
        <w:rPr>
          <w:sz w:val="20"/>
          <w:szCs w:val="20"/>
          <w:color w:val="auto"/>
        </w:rPr>
      </w:pPr>
    </w:p>
    <w:p>
      <w:pPr>
        <w:ind w:right="20" w:firstLine="645"/>
        <w:spacing w:after="0" w:line="277" w:lineRule="auto"/>
        <w:tabs>
          <w:tab w:leader="none" w:pos="130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Purchase Agreement.</w:t>
      </w:r>
    </w:p>
    <w:p>
      <w:pPr>
        <w:spacing w:after="0" w:line="170" w:lineRule="exact"/>
        <w:rPr>
          <w:rFonts w:ascii="Arial" w:cs="Arial" w:eastAsia="Arial" w:hAnsi="Arial"/>
          <w:sz w:val="18"/>
          <w:szCs w:val="18"/>
          <w:color w:val="auto"/>
        </w:rPr>
      </w:pPr>
    </w:p>
    <w:p>
      <w:pPr>
        <w:ind w:right="200" w:firstLine="645"/>
        <w:spacing w:after="0" w:line="308" w:lineRule="auto"/>
        <w:tabs>
          <w:tab w:leader="none" w:pos="1295"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584" w:right="239" w:bottom="505" w:gutter="0" w:footer="0" w:header="0"/>
        </w:sectPr>
      </w:pPr>
    </w:p>
    <w:bookmarkStart w:id="13" w:name="page14"/>
    <w:bookmarkEnd w:id="13"/>
    <w:p>
      <w:pPr>
        <w:ind w:left="660" w:right="60" w:firstLine="645"/>
        <w:spacing w:after="0" w:line="255" w:lineRule="auto"/>
        <w:tabs>
          <w:tab w:leader="none" w:pos="197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9" w:lineRule="exact"/>
        <w:rPr>
          <w:rFonts w:ascii="Arial" w:cs="Arial" w:eastAsia="Arial" w:hAnsi="Arial"/>
          <w:sz w:val="18"/>
          <w:szCs w:val="18"/>
          <w:color w:val="auto"/>
        </w:rPr>
      </w:pPr>
    </w:p>
    <w:p>
      <w:pPr>
        <w:ind w:left="660" w:right="40" w:firstLine="645"/>
        <w:spacing w:after="0" w:line="277" w:lineRule="auto"/>
        <w:tabs>
          <w:tab w:leader="none" w:pos="195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70" w:lineRule="exact"/>
        <w:rPr>
          <w:rFonts w:ascii="Arial" w:cs="Arial" w:eastAsia="Arial" w:hAnsi="Arial"/>
          <w:sz w:val="18"/>
          <w:szCs w:val="18"/>
          <w:color w:val="auto"/>
        </w:rPr>
      </w:pPr>
    </w:p>
    <w:p>
      <w:pPr>
        <w:jc w:val="both"/>
        <w:ind w:left="660" w:right="200" w:firstLine="645"/>
        <w:spacing w:after="0" w:line="259" w:lineRule="auto"/>
        <w:tabs>
          <w:tab w:leader="none" w:pos="197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ind w:left="660" w:right="40" w:firstLine="645"/>
        <w:spacing w:after="0" w:line="257" w:lineRule="auto"/>
        <w:tabs>
          <w:tab w:leader="none" w:pos="195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The liquidated damages provisions set forth in this Warrant shall be subject to a maximum liability of 3% of the Holder’s Subscription Amount.</w:t>
      </w:r>
    </w:p>
    <w:p>
      <w:pPr>
        <w:spacing w:after="0" w:line="188" w:lineRule="exact"/>
        <w:rPr>
          <w:rFonts w:ascii="Arial" w:cs="Arial" w:eastAsia="Arial" w:hAnsi="Arial"/>
          <w:sz w:val="18"/>
          <w:szCs w:val="18"/>
          <w:color w:val="auto"/>
        </w:rPr>
      </w:pPr>
    </w:p>
    <w:p>
      <w:pPr>
        <w:ind w:left="660" w:right="40" w:firstLine="645"/>
        <w:spacing w:after="0" w:line="259" w:lineRule="auto"/>
        <w:tabs>
          <w:tab w:leader="none" w:pos="195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 the Holder.</w:t>
      </w:r>
    </w:p>
    <w:p>
      <w:pPr>
        <w:spacing w:after="0" w:line="210" w:lineRule="exact"/>
        <w:rPr>
          <w:rFonts w:ascii="Arial" w:cs="Arial" w:eastAsia="Arial" w:hAnsi="Arial"/>
          <w:sz w:val="16"/>
          <w:szCs w:val="16"/>
          <w:color w:val="auto"/>
        </w:rPr>
      </w:pPr>
    </w:p>
    <w:p>
      <w:pPr>
        <w:ind w:left="660" w:firstLine="645"/>
        <w:spacing w:after="0" w:line="312" w:lineRule="auto"/>
        <w:tabs>
          <w:tab w:leader="none" w:pos="1954"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7" w:lineRule="auto"/>
        <w:tabs>
          <w:tab w:leader="none" w:pos="195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Company has caused this Warrant to be executed by its officer thereunto duly authorized as of the date first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 indicated.</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AXSOME THERAPEUTICS, INC.</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EXERCISE</w:t>
      </w:r>
    </w:p>
    <w:p>
      <w:pPr>
        <w:sectPr>
          <w:pgSz w:w="11900" w:h="16838" w:orient="portrait"/>
          <w:cols w:equalWidth="0" w:num="1">
            <w:col w:w="11400"/>
          </w:cols>
          <w:pgMar w:left="240" w:top="125" w:right="25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AXSOME THERAPEUTICS, INC.</w:t>
      </w:r>
    </w:p>
    <w:p>
      <w:pPr>
        <w:spacing w:after="0" w:line="200" w:lineRule="exact"/>
        <w:rPr>
          <w:sz w:val="20"/>
          <w:szCs w:val="20"/>
          <w:color w:val="auto"/>
        </w:rPr>
      </w:pPr>
    </w:p>
    <w:p>
      <w:pPr>
        <w:sectPr>
          <w:pgSz w:w="11900" w:h="16838" w:orient="portrait"/>
          <w:cols w:equalWidth="0" w:num="2">
            <w:col w:w="300" w:space="360"/>
            <w:col w:w="10740"/>
          </w:cols>
          <w:pgMar w:left="240" w:top="125" w:right="259" w:bottom="0" w:gutter="0" w:footer="0" w:header="0"/>
          <w:type w:val="continuous"/>
        </w:sectPr>
      </w:pPr>
    </w:p>
    <w:p>
      <w:pPr>
        <w:spacing w:after="0" w:line="37" w:lineRule="exact"/>
        <w:rPr>
          <w:sz w:val="20"/>
          <w:szCs w:val="20"/>
          <w:color w:val="auto"/>
        </w:rPr>
      </w:pPr>
    </w:p>
    <w:p>
      <w:pPr>
        <w:ind w:left="1300"/>
        <w:spacing w:after="0"/>
        <w:tabs>
          <w:tab w:leader="none" w:pos="5120" w:val="left"/>
        </w:tabs>
        <w:rPr>
          <w:sz w:val="20"/>
          <w:szCs w:val="20"/>
          <w:color w:val="auto"/>
        </w:rPr>
      </w:pPr>
      <w:r>
        <w:rPr>
          <w:rFonts w:ascii="Arial" w:cs="Arial" w:eastAsia="Arial" w:hAnsi="Arial"/>
          <w:sz w:val="18"/>
          <w:szCs w:val="18"/>
          <w:color w:val="auto"/>
        </w:rPr>
        <w:t>(1)  The undersigned hereby elects to purchase</w:t>
      </w:r>
      <w:r>
        <w:rPr>
          <w:sz w:val="20"/>
          <w:szCs w:val="20"/>
          <w:color w:val="auto"/>
        </w:rPr>
        <w:tab/>
      </w:r>
      <w:r>
        <w:rPr>
          <w:rFonts w:ascii="Arial" w:cs="Arial" w:eastAsia="Arial" w:hAnsi="Arial"/>
          <w:sz w:val="16"/>
          <w:szCs w:val="16"/>
          <w:color w:val="auto"/>
        </w:rPr>
        <w:t>Warrant Shares of the Company pursuant to the terms of the attached Warrant (only if</w:t>
      </w:r>
    </w:p>
    <w:p>
      <w:pPr>
        <w:sectPr>
          <w:pgSz w:w="11900" w:h="16838" w:orient="portrait"/>
          <w:cols w:equalWidth="0" w:num="1">
            <w:col w:w="11400"/>
          </w:cols>
          <w:pgMar w:left="240" w:top="125" w:right="259"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exercised in full), and tenders herewith payment of the exercise price in full, together with all applicable transfer taxes, if any.</w:t>
      </w:r>
    </w:p>
    <w:p>
      <w:pPr>
        <w:spacing w:after="0" w:line="234" w:lineRule="exact"/>
        <w:rPr>
          <w:sz w:val="20"/>
          <w:szCs w:val="20"/>
          <w:color w:val="auto"/>
        </w:rPr>
      </w:pPr>
    </w:p>
    <w:p>
      <w:pPr>
        <w:ind w:left="1960" w:right="5820" w:hanging="655"/>
        <w:spacing w:after="0" w:line="573" w:lineRule="auto"/>
        <w:tabs>
          <w:tab w:leader="none" w:pos="1643" w:val="left"/>
        </w:tabs>
        <w:numPr>
          <w:ilvl w:val="0"/>
          <w:numId w:val="36"/>
        </w:numPr>
        <w:rPr>
          <w:rFonts w:ascii="Arial" w:cs="Arial" w:eastAsia="Arial" w:hAnsi="Arial"/>
          <w:sz w:val="17"/>
          <w:szCs w:val="17"/>
          <w:color w:val="auto"/>
        </w:rPr>
      </w:pPr>
      <w:r>
        <w:rPr>
          <w:rFonts w:ascii="Arial" w:cs="Arial" w:eastAsia="Arial" w:hAnsi="Arial"/>
          <w:sz w:val="17"/>
          <w:szCs w:val="17"/>
          <w:color w:val="auto"/>
        </w:rPr>
        <w:t>Payment shall take the form of (check applicable box): [ ] in lawful money of the United States; or</w:t>
      </w:r>
    </w:p>
    <w:p>
      <w:pPr>
        <w:sectPr>
          <w:pgSz w:w="11900" w:h="16838" w:orient="portrait"/>
          <w:cols w:equalWidth="0" w:num="1">
            <w:col w:w="11400"/>
          </w:cols>
          <w:pgMar w:left="240" w:top="125" w:right="259" w:bottom="0" w:gutter="0" w:footer="0" w:header="0"/>
          <w:type w:val="continuous"/>
        </w:sectPr>
      </w:pPr>
    </w:p>
    <w:bookmarkStart w:id="14" w:name="page15"/>
    <w:bookmarkEnd w:id="14"/>
    <w:p>
      <w:pPr>
        <w:jc w:val="both"/>
        <w:ind w:left="1960" w:hanging="7"/>
        <w:spacing w:after="0" w:line="264" w:lineRule="auto"/>
        <w:tabs>
          <w:tab w:leader="none" w:pos="21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rFonts w:ascii="Arial" w:cs="Arial" w:eastAsia="Arial" w:hAnsi="Arial"/>
          <w:sz w:val="18"/>
          <w:szCs w:val="18"/>
          <w:color w:val="auto"/>
        </w:rPr>
      </w:pPr>
    </w:p>
    <w:p>
      <w:pPr>
        <w:ind w:left="1640" w:hanging="335"/>
        <w:spacing w:after="0"/>
        <w:tabs>
          <w:tab w:leader="none" w:pos="1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7111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-130810</wp:posOffset>
            </wp:positionV>
            <wp:extent cx="19380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5715</wp:posOffset>
            </wp:positionV>
            <wp:extent cx="68179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-130810</wp:posOffset>
            </wp:positionV>
            <wp:extent cx="43224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224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 assign the foregoing Warrant, execute this form and supply required information. Do not use this form to purchase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-130175</wp:posOffset>
            </wp:positionV>
            <wp:extent cx="36017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6017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6017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14605</wp:posOffset>
            </wp:positionV>
            <wp:extent cx="2400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14605</wp:posOffset>
            </wp:positionV>
            <wp:extent cx="24009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240" w:top="125" w:right="6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Broadway,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Axsome Therapeutics, Inc. Registration Statement on Form S-3 (File No. 333-214859)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acted as counsel to Axsome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its registration statement on Form S-3, as amended (File No. 333-214859) (the “Registration Statement”), filed with the Securities and Exchange Commission (the “SEC”) under the Securities Act of 1933, as amended (the “Act”), relating to the proposed public offering of: (i) 1,783,587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all of which are to be sold pursuant to the Securities Purchase Agreement among the Company and the purchasers identified on the signature pages thereto (the “Purchase Agreement”); (ii) warrants to purchase up to 1,783,587 of shares of Common Stock evidenced by Warrants in the form filed by the Company as Exhibit 4.1 to its Current Report on Form 8-K on December 1, 2017 (the “</w:t>
      </w:r>
      <w:r>
        <w:rPr>
          <w:rFonts w:ascii="Arial" w:cs="Arial" w:eastAsia="Arial" w:hAnsi="Arial"/>
          <w:sz w:val="17"/>
          <w:szCs w:val="17"/>
          <w:u w:val="single" w:color="auto"/>
          <w:color w:val="auto"/>
        </w:rPr>
        <w:t>Warrants</w:t>
      </w:r>
      <w:r>
        <w:rPr>
          <w:rFonts w:ascii="Arial" w:cs="Arial" w:eastAsia="Arial" w:hAnsi="Arial"/>
          <w:sz w:val="17"/>
          <w:szCs w:val="17"/>
          <w:color w:val="auto"/>
        </w:rPr>
        <w:t>”); (iii) 1,783,587 shares of Common Stock issuable upon exercise of the Warrants (the “</w:t>
      </w:r>
      <w:r>
        <w:rPr>
          <w:rFonts w:ascii="Arial" w:cs="Arial" w:eastAsia="Arial" w:hAnsi="Arial"/>
          <w:sz w:val="17"/>
          <w:szCs w:val="17"/>
          <w:u w:val="single" w:color="auto"/>
          <w:color w:val="auto"/>
        </w:rPr>
        <w:t>Warrant Shares</w:t>
      </w:r>
      <w:r>
        <w:rPr>
          <w:rFonts w:ascii="Arial" w:cs="Arial" w:eastAsia="Arial" w:hAnsi="Arial"/>
          <w:sz w:val="17"/>
          <w:szCs w:val="17"/>
          <w:color w:val="auto"/>
        </w:rPr>
        <w:t>”); (iv) warrants to purchase up to 107,016 shares of Common Stock in substantially the same form as the Warrants (the “</w:t>
      </w:r>
      <w:r>
        <w:rPr>
          <w:rFonts w:ascii="Arial" w:cs="Arial" w:eastAsia="Arial" w:hAnsi="Arial"/>
          <w:sz w:val="17"/>
          <w:szCs w:val="17"/>
          <w:u w:val="single" w:color="auto"/>
          <w:color w:val="auto"/>
        </w:rPr>
        <w:t>Wainwright Warrants</w:t>
      </w:r>
      <w:r>
        <w:rPr>
          <w:rFonts w:ascii="Arial" w:cs="Arial" w:eastAsia="Arial" w:hAnsi="Arial"/>
          <w:sz w:val="17"/>
          <w:szCs w:val="17"/>
          <w:color w:val="auto"/>
        </w:rPr>
        <w:t>”) pursuant to the Engagement Letter between the Company and H.C. Wainwright &amp; Co., LLC (the “</w:t>
      </w:r>
      <w:r>
        <w:rPr>
          <w:rFonts w:ascii="Arial" w:cs="Arial" w:eastAsia="Arial" w:hAnsi="Arial"/>
          <w:sz w:val="17"/>
          <w:szCs w:val="17"/>
          <w:u w:val="single" w:color="auto"/>
          <w:color w:val="auto"/>
        </w:rPr>
        <w:t>Engagement Letter</w:t>
      </w:r>
      <w:r>
        <w:rPr>
          <w:rFonts w:ascii="Arial" w:cs="Arial" w:eastAsia="Arial" w:hAnsi="Arial"/>
          <w:sz w:val="17"/>
          <w:szCs w:val="17"/>
          <w:color w:val="auto"/>
        </w:rPr>
        <w:t>”); and (v) 107,016 shares of Common Stock issuable upon exercise of the Wainwright Warrants (the “</w:t>
      </w:r>
      <w:r>
        <w:rPr>
          <w:rFonts w:ascii="Arial" w:cs="Arial" w:eastAsia="Arial" w:hAnsi="Arial"/>
          <w:sz w:val="17"/>
          <w:szCs w:val="17"/>
          <w:u w:val="single" w:color="auto"/>
          <w:color w:val="auto"/>
        </w:rPr>
        <w:t>Wainwright Warrant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as set forth in the base prospectus, dated December 16, 2016 (as amended, the “Base Prospectus”), which forms a part of the Registration Statement, as supplemented by the prospectus supplement, dated November 30, 2017 (together with the Base Prospectus, the “Prospectus”), filed with the SEC pursuant to Rule 424(b) under the Act. The Shares, Warrants, Warrant Shares, Wainwright Warrants and Wainwright Warrant Shares are collectively referred to as the “Securities.”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this opinion letter, we have examined the Registration Statement, the Prospectus, the Purchase Agreement and the Engagement Letter (together,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Based upon, subject to and limited by the foregoing, we are of the opinion that the Securities have been duly authorized by the Company and, when issued and sold by the Company and delivered by the Company against receipt of the purchase price therefor, in the manner contemplated by the Transaction Documents, will be validly issued,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limited to Delaware General Corporation Law.</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hereby consent to the use of this opinion as Exhibit 5.1 to the Registration Statement and to the reference to us under the caption “Legal Matters” in the prospectus included in the Registration Statement. In giving such consent, we do not hereby admit that we are acting within the category of persons whose consent is required under Section 7 of the Act or the rules or regulations of the SEC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MORGAN, LEWIS &amp; BOCKIUS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November 30, 2017, between Axsome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WHEREAS, subject to the terms and conditions set forth in this Agreement and pursuant to an effective registration statement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Company desires to issue and sell to each Purchaser, and each Purchaser, severally and not jointly, desires to purchase from the Company, securities of the Company as more fully described in this Agreement.</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right="2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ind w:left="660" w:right="1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Trading Day following the date 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$0.0001 per share, and any other class of securities into which such securities may hereafter be reclassified or changed.</w:t>
      </w:r>
    </w:p>
    <w:p>
      <w:pPr>
        <w:spacing w:after="0" w:line="170" w:lineRule="exact"/>
        <w:rPr>
          <w:sz w:val="20"/>
          <w:szCs w:val="20"/>
          <w:color w:val="auto"/>
        </w:rPr>
      </w:pPr>
    </w:p>
    <w:p>
      <w:pPr>
        <w:ind w:left="660"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Counsel</w:t>
      </w:r>
      <w:r>
        <w:rPr>
          <w:rFonts w:ascii="Arial" w:cs="Arial" w:eastAsia="Arial" w:hAnsi="Arial"/>
          <w:sz w:val="17"/>
          <w:szCs w:val="17"/>
          <w:color w:val="auto"/>
        </w:rPr>
        <w:t>” means Morgan, Lewis &amp; Bockius LLP, with offices located at 502 Carnegie Center, Princeton, NJ 08540-6289.</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660" w:right="2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Exempt Issuance</w:t>
      </w:r>
      <w:r>
        <w:rPr>
          <w:rFonts w:ascii="Arial" w:cs="Arial" w:eastAsia="Arial" w:hAnsi="Arial"/>
          <w:sz w:val="17"/>
          <w:szCs w:val="17"/>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3.1(hh).</w:t>
      </w:r>
    </w:p>
    <w:p>
      <w:pPr>
        <w:sectPr>
          <w:pgSz w:w="11900" w:h="16838" w:orient="portrait"/>
          <w:cols w:equalWidth="0" w:num="1">
            <w:col w:w="11420"/>
          </w:cols>
          <w:pgMar w:left="240" w:top="121" w:right="239" w:bottom="0" w:gutter="0" w:footer="0" w:header="0"/>
        </w:sectPr>
      </w:pPr>
    </w:p>
    <w:bookmarkStart w:id="17" w:name="page18"/>
    <w:bookmarkEnd w:id="17"/>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$5.325,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base prospectus filed for the Registration Statement.</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333-214859 which registers the sale of the Shares, the Warrants and the Warrant Shares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similar rule or regulation hereafter adopted by the Commission having substantially the same purpose and effect as such Rule.</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ind w:right="1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w:t>
      </w:r>
    </w:p>
    <w:p>
      <w:pPr>
        <w:spacing w:after="0" w:line="181" w:lineRule="exact"/>
        <w:rPr>
          <w:sz w:val="20"/>
          <w:szCs w:val="20"/>
          <w:color w:val="auto"/>
        </w:rPr>
      </w:pPr>
    </w:p>
    <w:p>
      <w:pPr>
        <w:ind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ectPr>
          <w:pgSz w:w="11900" w:h="16874" w:orient="portrait"/>
          <w:cols w:equalWidth="0" w:num="1">
            <w:col w:w="10600"/>
          </w:cols>
          <w:pgMar w:left="900" w:top="341" w:right="399" w:bottom="0" w:gutter="0" w:footer="0" w:header="0"/>
        </w:sectPr>
      </w:pPr>
    </w:p>
    <w:bookmarkStart w:id="18" w:name="page19"/>
    <w:bookmarkEnd w:id="18"/>
    <w:p>
      <w:pPr>
        <w:spacing w:after="0" w:line="137" w:lineRule="exact"/>
        <w:rPr>
          <w:sz w:val="20"/>
          <w:szCs w:val="20"/>
          <w:color w:val="auto"/>
        </w:rPr>
      </w:pPr>
    </w:p>
    <w:p>
      <w:pPr>
        <w:ind w:left="660"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ind w:left="660"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ind w:left="660"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American Stock Transfer &amp; Trust Company, LLC, the current transfer agent of the Company, with a mailing address of 6201 Fifteenth Avenue, Brooklyn, NY 11219 and a facsimile number of 718-765-8782, and any successor transfer agent of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collectively, the Common Stock purchase warrants delivered to the Purchasers at the Closing in accordance with Section 2.2(a) hereof, which Warrants shall be exercisable immediately upon issuance and have a term of exercise equal to one year and one week following the issuance date, in the form of Exhibit A attached hereto.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shares of Common Stock issuable upon exercise of the Warrants.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Closing</w:t>
      </w:r>
      <w:r>
        <w:rPr>
          <w:rFonts w:ascii="Arial" w:cs="Arial" w:eastAsia="Arial" w:hAnsi="Arial"/>
          <w:sz w:val="17"/>
          <w:szCs w:val="17"/>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$9.5 million of Shares and Warrants. Each Purchaser’s Subscription Amount as set forth on the signature page hereto executed by such Purchaser shall be made available for “Delivery Versus Payment” settlement with the Company or its designees. The Company shall deliver to each Purchaser its respective Shares and a Warrant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“Delivery Versus Payment” (“</w:t>
      </w:r>
      <w:r>
        <w:rPr>
          <w:rFonts w:ascii="Arial" w:cs="Arial" w:eastAsia="Arial" w:hAnsi="Arial"/>
          <w:sz w:val="17"/>
          <w:szCs w:val="17"/>
          <w:u w:val="single" w:color="auto"/>
          <w:color w:val="auto"/>
        </w:rPr>
        <w:t>DVP</w:t>
      </w:r>
      <w:r>
        <w:rPr>
          <w:rFonts w:ascii="Arial" w:cs="Arial" w:eastAsia="Arial" w:hAnsi="Arial"/>
          <w:sz w:val="17"/>
          <w:szCs w:val="17"/>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8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 legal opinion of Company Counsel, in a form reasonably acceptable to the Placement Agent and Purchasers;</w:t>
      </w:r>
    </w:p>
    <w:p>
      <w:pPr>
        <w:spacing w:after="0" w:line="236" w:lineRule="exact"/>
        <w:rPr>
          <w:rFonts w:ascii="Arial" w:cs="Arial" w:eastAsia="Arial" w:hAnsi="Arial"/>
          <w:sz w:val="17"/>
          <w:szCs w:val="17"/>
          <w:color w:val="auto"/>
        </w:rPr>
      </w:pPr>
    </w:p>
    <w:p>
      <w:pPr>
        <w:ind w:left="1300" w:right="360" w:firstLine="653"/>
        <w:spacing w:after="0" w:line="277" w:lineRule="auto"/>
        <w:tabs>
          <w:tab w:leader="none" w:pos="26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shall have provided each Purchaser with the Company’s wire instructions, on Company letterhead and executed by the Chief Executive Officer or Chief Financial Officer;</w:t>
      </w:r>
    </w:p>
    <w:p>
      <w:pPr>
        <w:spacing w:after="0" w:line="170" w:lineRule="exact"/>
        <w:rPr>
          <w:rFonts w:ascii="Arial" w:cs="Arial" w:eastAsia="Arial" w:hAnsi="Arial"/>
          <w:sz w:val="18"/>
          <w:szCs w:val="18"/>
          <w:color w:val="auto"/>
        </w:rPr>
      </w:pPr>
    </w:p>
    <w:p>
      <w:pPr>
        <w:ind w:left="1300" w:right="60" w:firstLine="653"/>
        <w:spacing w:after="0" w:line="264" w:lineRule="auto"/>
        <w:tabs>
          <w:tab w:leader="none" w:pos="26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8"/>
          <w:szCs w:val="18"/>
          <w:u w:val="single" w:color="auto"/>
          <w:color w:val="auto"/>
        </w:rPr>
        <w:t>DWAC</w:t>
      </w:r>
      <w:r>
        <w:rPr>
          <w:rFonts w:ascii="Arial" w:cs="Arial" w:eastAsia="Arial" w:hAnsi="Arial"/>
          <w:sz w:val="18"/>
          <w:szCs w:val="18"/>
          <w:color w:val="auto"/>
        </w:rPr>
        <w:t>”) Shares equal to such Purchaser’s Subscription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Amount divided by the Per Share Purchase Price, registered in the name of such Purchaser;</w:t>
      </w:r>
    </w:p>
    <w:p>
      <w:pPr>
        <w:spacing w:after="0" w:line="225" w:lineRule="exact"/>
        <w:rPr>
          <w:sz w:val="20"/>
          <w:szCs w:val="20"/>
          <w:color w:val="auto"/>
        </w:rPr>
      </w:pPr>
    </w:p>
    <w:p>
      <w:pPr>
        <w:ind w:right="400" w:firstLine="1953"/>
        <w:spacing w:after="0" w:line="277" w:lineRule="auto"/>
        <w:tabs>
          <w:tab w:leader="none" w:pos="26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Warrant registered in the name of such Purchaser to purchase up to a number of shares of Common Stock equal to 100% of such Purchaser’s Shares, with an exercise price equal to $5.25, subject to adjustment therein; and</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1300" w:right="240" w:firstLine="653"/>
        <w:spacing w:after="0" w:line="277" w:lineRule="auto"/>
        <w:tabs>
          <w:tab w:leader="none" w:pos="26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1300" w:right="580" w:firstLine="653"/>
        <w:spacing w:after="0" w:line="342" w:lineRule="auto"/>
        <w:tabs>
          <w:tab w:leader="none" w:pos="2658"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accuracy in all material respects (or, to the extent representations or warranties are qualified by materiality or Material Adverse Effect, in all respects) when made and on the Closing Date of the representations and warranties of the Purchasers</w:t>
      </w:r>
    </w:p>
    <w:p>
      <w:pPr>
        <w:sectPr>
          <w:pgSz w:w="11900" w:h="16975" w:orient="portrait"/>
          <w:cols w:equalWidth="0" w:num="1">
            <w:col w:w="11400"/>
          </w:cols>
          <w:pgMar w:left="240" w:top="341" w:right="259" w:bottom="0" w:gutter="0" w:footer="0" w:header="0"/>
        </w:sectPr>
      </w:pPr>
    </w:p>
    <w:bookmarkStart w:id="19" w:name="page20"/>
    <w:bookmarkEnd w:id="19"/>
    <w:p>
      <w:pPr>
        <w:ind w:left="1300"/>
        <w:spacing w:after="0"/>
        <w:rPr>
          <w:sz w:val="20"/>
          <w:szCs w:val="20"/>
          <w:color w:val="auto"/>
        </w:rPr>
      </w:pPr>
      <w:r>
        <w:rPr>
          <w:rFonts w:ascii="Arial" w:cs="Arial" w:eastAsia="Arial" w:hAnsi="Arial"/>
          <w:sz w:val="18"/>
          <w:szCs w:val="18"/>
          <w:color w:val="auto"/>
        </w:rPr>
        <w:t>contained herein (unless as of a specific date therein in which case they shall be accurate as of such date);</w:t>
      </w:r>
    </w:p>
    <w:p>
      <w:pPr>
        <w:spacing w:after="0" w:line="225" w:lineRule="exact"/>
        <w:rPr>
          <w:sz w:val="20"/>
          <w:szCs w:val="20"/>
          <w:color w:val="auto"/>
        </w:rPr>
      </w:pPr>
    </w:p>
    <w:p>
      <w:pPr>
        <w:ind w:left="1300" w:right="340" w:firstLine="653"/>
        <w:spacing w:after="0" w:line="277" w:lineRule="auto"/>
        <w:tabs>
          <w:tab w:leader="none" w:pos="2663"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respective obligations of the Purchasers hereunder in connection with the Closing are subject to the following conditions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being met:</w:t>
      </w:r>
    </w:p>
    <w:p>
      <w:pPr>
        <w:spacing w:after="0" w:line="210" w:lineRule="exact"/>
        <w:rPr>
          <w:rFonts w:ascii="Arial" w:cs="Arial" w:eastAsia="Arial" w:hAnsi="Arial"/>
          <w:sz w:val="17"/>
          <w:szCs w:val="17"/>
          <w:color w:val="auto"/>
        </w:rPr>
      </w:pPr>
    </w:p>
    <w:p>
      <w:pPr>
        <w:jc w:val="both"/>
        <w:ind w:left="1300" w:right="600" w:firstLine="653"/>
        <w:spacing w:after="0" w:line="312" w:lineRule="auto"/>
        <w:tabs>
          <w:tab w:leader="none" w:pos="2658"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46" w:lineRule="exact"/>
        <w:rPr>
          <w:rFonts w:ascii="Arial" w:cs="Arial" w:eastAsia="Arial" w:hAnsi="Arial"/>
          <w:sz w:val="16"/>
          <w:szCs w:val="16"/>
          <w:color w:val="auto"/>
        </w:rPr>
      </w:pPr>
    </w:p>
    <w:p>
      <w:pPr>
        <w:ind w:left="1300" w:right="80" w:firstLine="653"/>
        <w:spacing w:after="0" w:line="277" w:lineRule="auto"/>
        <w:tabs>
          <w:tab w:leader="none" w:pos="266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80" w:hanging="727"/>
        <w:spacing w:after="0"/>
        <w:tabs>
          <w:tab w:leader="none" w:pos="2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ind w:left="1300" w:right="40" w:firstLine="653"/>
        <w:spacing w:after="0" w:line="291" w:lineRule="auto"/>
        <w:tabs>
          <w:tab w:leader="none" w:pos="2653" w:val="left"/>
        </w:tabs>
        <w:numPr>
          <w:ilvl w:val="0"/>
          <w:numId w:val="44"/>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each Purchaser that the statements contained in this Article III are true and correct except as set forth in the Company’s SEC Reports:</w:t>
      </w:r>
    </w:p>
    <w:p>
      <w:pPr>
        <w:spacing w:after="0" w:line="170" w:lineRule="exact"/>
        <w:rPr>
          <w:sz w:val="20"/>
          <w:szCs w:val="20"/>
          <w:color w:val="auto"/>
        </w:rPr>
      </w:pPr>
    </w:p>
    <w:p>
      <w:pPr>
        <w:ind w:left="660" w:right="40" w:firstLine="645"/>
        <w:spacing w:after="0" w:line="257" w:lineRule="auto"/>
        <w:tabs>
          <w:tab w:leader="none" w:pos="200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8" w:lineRule="exact"/>
        <w:rPr>
          <w:rFonts w:ascii="Arial" w:cs="Arial" w:eastAsia="Arial" w:hAnsi="Arial"/>
          <w:sz w:val="18"/>
          <w:szCs w:val="18"/>
          <w:color w:val="auto"/>
        </w:rPr>
      </w:pPr>
    </w:p>
    <w:p>
      <w:pPr>
        <w:ind w:left="660" w:firstLine="645"/>
        <w:spacing w:after="0" w:line="291" w:lineRule="auto"/>
        <w:tabs>
          <w:tab w:leader="none" w:pos="2013"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Adverse Effect</w:t>
      </w:r>
      <w:r>
        <w:rPr>
          <w:rFonts w:ascii="Arial" w:cs="Arial" w:eastAsia="Arial" w:hAnsi="Arial"/>
          <w:sz w:val="18"/>
          <w:szCs w:val="18"/>
          <w:color w:val="auto"/>
        </w:rPr>
        <w:t>”) and no Proceeding has been instituted in any such jurisdiction revoking, limiting or curtailing or seeking to revoke, limit or curtail such power and authority or qualification.</w:t>
      </w:r>
    </w:p>
    <w:p>
      <w:pPr>
        <w:spacing w:after="0" w:line="188" w:lineRule="exact"/>
        <w:rPr>
          <w:sz w:val="20"/>
          <w:szCs w:val="20"/>
          <w:color w:val="auto"/>
        </w:rPr>
      </w:pPr>
    </w:p>
    <w:p>
      <w:pPr>
        <w:ind w:left="660" w:right="20" w:firstLine="645"/>
        <w:spacing w:after="0" w:line="283" w:lineRule="auto"/>
        <w:tabs>
          <w:tab w:leader="none" w:pos="2003"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insofar as indemnification and contribution provisions may be limited by applicable law.</w:t>
      </w:r>
    </w:p>
    <w:p>
      <w:pPr>
        <w:sectPr>
          <w:pgSz w:w="11900" w:h="16838" w:orient="portrait"/>
          <w:cols w:equalWidth="0" w:num="1">
            <w:col w:w="11380"/>
          </w:cols>
          <w:pgMar w:left="240" w:top="125" w:right="279" w:bottom="18" w:gutter="0" w:footer="0" w:header="0"/>
        </w:sectPr>
      </w:pPr>
    </w:p>
    <w:bookmarkStart w:id="20" w:name="page21"/>
    <w:bookmarkEnd w:id="20"/>
    <w:p>
      <w:pPr>
        <w:spacing w:after="0" w:line="103" w:lineRule="exact"/>
        <w:rPr>
          <w:sz w:val="20"/>
          <w:szCs w:val="20"/>
          <w:color w:val="auto"/>
        </w:rPr>
      </w:pPr>
    </w:p>
    <w:p>
      <w:pPr>
        <w:ind w:right="40" w:firstLine="645"/>
        <w:spacing w:after="0" w:line="287" w:lineRule="auto"/>
        <w:tabs>
          <w:tab w:leader="none" w:pos="1353"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w:t>
      </w:r>
    </w:p>
    <w:p>
      <w:pPr>
        <w:spacing w:after="0" w:line="17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each of clauses (ii) and (iii), such as could not have or reasonably be expected to result in a Material Adverse Effect.</w:t>
      </w:r>
    </w:p>
    <w:p>
      <w:pPr>
        <w:spacing w:after="0" w:line="225" w:lineRule="exact"/>
        <w:rPr>
          <w:sz w:val="20"/>
          <w:szCs w:val="20"/>
          <w:color w:val="auto"/>
        </w:rPr>
      </w:pPr>
    </w:p>
    <w:p>
      <w:pPr>
        <w:ind w:right="20" w:firstLine="645"/>
        <w:spacing w:after="0" w:line="273" w:lineRule="auto"/>
        <w:tabs>
          <w:tab w:leader="none" w:pos="1343"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 w:firstLine="645"/>
        <w:spacing w:after="0" w:line="285" w:lineRule="auto"/>
        <w:tabs>
          <w:tab w:leader="none" w:pos="136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December 16, 2016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as set forth in General Instruction I.B.1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85" w:lineRule="auto"/>
        <w:tabs>
          <w:tab w:leader="none" w:pos="1353"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is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84" w:lineRule="exact"/>
        <w:rPr>
          <w:rFonts w:ascii="Arial" w:cs="Arial" w:eastAsia="Arial" w:hAnsi="Arial"/>
          <w:sz w:val="16"/>
          <w:szCs w:val="16"/>
          <w:color w:val="auto"/>
        </w:rPr>
      </w:pPr>
    </w:p>
    <w:p>
      <w:pPr>
        <w:ind w:right="40" w:firstLine="645"/>
        <w:spacing w:after="0" w:line="297" w:lineRule="auto"/>
        <w:tabs>
          <w:tab w:leader="none" w:pos="1353"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w:t>
      </w:r>
    </w:p>
    <w:p>
      <w:pPr>
        <w:sectPr>
          <w:pgSz w:w="11900" w:h="16941" w:orient="portrait"/>
          <w:cols w:equalWidth="0" w:num="1">
            <w:col w:w="10760"/>
          </w:cols>
          <w:pgMar w:left="900" w:top="125" w:right="239" w:bottom="0" w:gutter="0" w:footer="0" w:header="0"/>
        </w:sectPr>
      </w:pPr>
    </w:p>
    <w:bookmarkStart w:id="21" w:name="page22"/>
    <w:bookmarkEnd w:id="21"/>
    <w:p>
      <w:pPr>
        <w:ind w:right="120"/>
        <w:spacing w:after="0" w:line="277" w:lineRule="auto"/>
        <w:rPr>
          <w:sz w:val="20"/>
          <w:szCs w:val="20"/>
          <w:color w:val="auto"/>
        </w:rPr>
      </w:pPr>
      <w:r>
        <w:rPr>
          <w:rFonts w:ascii="Arial" w:cs="Arial" w:eastAsia="Arial" w:hAnsi="Arial"/>
          <w:sz w:val="18"/>
          <w:szCs w:val="18"/>
          <w:color w:val="auto"/>
        </w:rPr>
        <w:t>has filed any such SEC Reports prior to the expiration of any such extension. As of their respective dates, the SEC Reports complied in all material respects with the requirements of the Securities Act and the Exchange Act, as applicable, and</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67" w:lineRule="exact"/>
        <w:rPr>
          <w:sz w:val="20"/>
          <w:szCs w:val="20"/>
          <w:color w:val="auto"/>
        </w:rPr>
      </w:pPr>
    </w:p>
    <w:p>
      <w:pPr>
        <w:ind w:right="20" w:firstLine="645"/>
        <w:spacing w:after="0" w:line="268" w:lineRule="auto"/>
        <w:tabs>
          <w:tab w:leader="none" w:pos="135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Since the date of the latest audited financial statements included within the SEC Reports, except as set forth in the SEC Reports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5" w:lineRule="exact"/>
        <w:rPr>
          <w:rFonts w:ascii="Arial" w:cs="Arial" w:eastAsia="Arial" w:hAnsi="Arial"/>
          <w:sz w:val="17"/>
          <w:szCs w:val="17"/>
          <w:color w:val="auto"/>
        </w:rPr>
      </w:pPr>
    </w:p>
    <w:p>
      <w:pPr>
        <w:ind w:right="40" w:firstLine="645"/>
        <w:spacing w:after="0" w:line="257" w:lineRule="auto"/>
        <w:tabs>
          <w:tab w:leader="none" w:pos="135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8"/>
          <w:szCs w:val="18"/>
          <w:u w:val="single" w:color="auto"/>
          <w:color w:val="auto"/>
        </w:rPr>
        <w:t>Action</w:t>
      </w:r>
      <w:r>
        <w:rPr>
          <w:rFonts w:ascii="Arial" w:cs="Arial" w:eastAsia="Arial" w:hAnsi="Arial"/>
          <w:sz w:val="18"/>
          <w:szCs w:val="18"/>
          <w:color w:val="auto"/>
        </w:rPr>
        <w:t>”) which (i) adversely affects or challenges the legality, validity or enforceability of any of the Transaction Documents or the Securities or (ii) could, if there were an unfavorable decision, have or</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58" w:lineRule="exact"/>
        <w:rPr>
          <w:sz w:val="20"/>
          <w:szCs w:val="20"/>
          <w:color w:val="auto"/>
        </w:rPr>
      </w:pPr>
    </w:p>
    <w:p>
      <w:pPr>
        <w:ind w:right="60" w:firstLine="645"/>
        <w:spacing w:after="0" w:line="269" w:lineRule="auto"/>
        <w:tabs>
          <w:tab w:leader="none" w:pos="135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82" w:lineRule="exact"/>
        <w:rPr>
          <w:rFonts w:ascii="Arial" w:cs="Arial" w:eastAsia="Arial" w:hAnsi="Arial"/>
          <w:sz w:val="17"/>
          <w:szCs w:val="17"/>
          <w:color w:val="auto"/>
        </w:rPr>
      </w:pPr>
    </w:p>
    <w:p>
      <w:pPr>
        <w:ind w:firstLine="645"/>
        <w:spacing w:after="0" w:line="271" w:lineRule="auto"/>
        <w:tabs>
          <w:tab w:leader="none" w:pos="135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78" w:lineRule="exact"/>
        <w:rPr>
          <w:rFonts w:ascii="Arial" w:cs="Arial" w:eastAsia="Arial" w:hAnsi="Arial"/>
          <w:sz w:val="17"/>
          <w:szCs w:val="17"/>
          <w:color w:val="auto"/>
        </w:rPr>
      </w:pPr>
    </w:p>
    <w:p>
      <w:pPr>
        <w:ind w:right="80" w:firstLine="645"/>
        <w:spacing w:after="0" w:line="264" w:lineRule="auto"/>
        <w:tabs>
          <w:tab w:leader="none" w:pos="135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w:t>
      </w:r>
    </w:p>
    <w:p>
      <w:pPr>
        <w:sectPr>
          <w:pgSz w:w="11900" w:h="16838" w:orient="portrait"/>
          <w:cols w:equalWidth="0" w:num="1">
            <w:col w:w="10760"/>
          </w:cols>
          <w:pgMar w:left="900" w:top="125" w:right="239" w:bottom="55" w:gutter="0" w:footer="0" w:header="0"/>
        </w:sectPr>
      </w:pP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95885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25" w:right="239" w:bottom="55" w:gutter="0" w:footer="0" w:header="0"/>
          <w:type w:val="continuous"/>
        </w:sectPr>
      </w:pPr>
    </w:p>
    <w:bookmarkStart w:id="22" w:name="page23"/>
    <w:bookmarkEnd w:id="22"/>
    <w:p>
      <w:pPr>
        <w:ind w:left="4"/>
        <w:spacing w:after="0"/>
        <w:rPr>
          <w:sz w:val="20"/>
          <w:szCs w:val="20"/>
          <w:color w:val="auto"/>
        </w:rPr>
      </w:pPr>
      <w:r>
        <w:rPr>
          <w:rFonts w:ascii="Arial" w:cs="Arial" w:eastAsia="Arial" w:hAnsi="Arial"/>
          <w:sz w:val="17"/>
          <w:szCs w:val="17"/>
          <w:color w:val="auto"/>
        </w:rPr>
        <w:t>discharges, releases or threatened releases of chemicals, pollutants, contaminants, or toxic or hazardous substances or wastes (collectively,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into the environment, or otherwise relating to the manufacture, processing, distribution, use, treatment, storage, disposal,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transport or handling of Hazardous Materials, as well as all authorizations, codes, decrees, demands, or demand letters, injunctions, judgments,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licenses, notices or notice letters, orders, permits, plans or regulations, issued, entered, promulgated or approved thereunder (“</w:t>
      </w:r>
      <w:r>
        <w:rPr>
          <w:rFonts w:ascii="Arial" w:cs="Arial" w:eastAsia="Arial" w:hAnsi="Arial"/>
          <w:sz w:val="17"/>
          <w:szCs w:val="17"/>
          <w:u w:val="single" w:color="auto"/>
          <w:color w:val="auto"/>
        </w:rPr>
        <w:t>Environmental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Laws</w:t>
      </w:r>
      <w:r>
        <w:rPr>
          <w:rFonts w:ascii="Arial" w:cs="Arial" w:eastAsia="Arial" w:hAnsi="Arial"/>
          <w:sz w:val="16"/>
          <w:szCs w:val="16"/>
          <w:color w:val="auto"/>
        </w:rPr>
        <w:t>”); (ii) have received all permits licenses or other approvals required of them under applicable Environmental Laws to conduct their respective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businesses; and (iii) are in compliance with all terms and conditions of any such permit, license or approval where in each clause (i), (ii) and (iii),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failure to so comply could be reasonably expected to have, individually or in the aggregate, a Material Adverse Effect.</w:t>
      </w:r>
    </w:p>
    <w:p>
      <w:pPr>
        <w:spacing w:after="0" w:line="211" w:lineRule="exact"/>
        <w:rPr>
          <w:sz w:val="20"/>
          <w:szCs w:val="20"/>
          <w:color w:val="auto"/>
        </w:rPr>
      </w:pPr>
    </w:p>
    <w:p>
      <w:pPr>
        <w:ind w:left="4" w:right="260" w:firstLine="645"/>
        <w:spacing w:after="0" w:line="302" w:lineRule="auto"/>
        <w:tabs>
          <w:tab w:leader="none" w:pos="135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4" w:lineRule="exact"/>
        <w:rPr>
          <w:rFonts w:ascii="Arial" w:cs="Arial" w:eastAsia="Arial" w:hAnsi="Arial"/>
          <w:sz w:val="16"/>
          <w:szCs w:val="16"/>
          <w:color w:val="auto"/>
        </w:rPr>
      </w:pPr>
    </w:p>
    <w:p>
      <w:pPr>
        <w:ind w:left="4" w:firstLine="645"/>
        <w:spacing w:after="0" w:line="272" w:lineRule="auto"/>
        <w:tabs>
          <w:tab w:leader="none" w:pos="135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7" w:lineRule="exact"/>
        <w:rPr>
          <w:rFonts w:ascii="Arial" w:cs="Arial" w:eastAsia="Arial" w:hAnsi="Arial"/>
          <w:sz w:val="17"/>
          <w:szCs w:val="17"/>
          <w:color w:val="auto"/>
        </w:rPr>
      </w:pPr>
    </w:p>
    <w:p>
      <w:pPr>
        <w:ind w:left="4" w:right="100" w:firstLine="645"/>
        <w:spacing w:after="0" w:line="290" w:lineRule="auto"/>
        <w:tabs>
          <w:tab w:leader="none" w:pos="135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165" w:lineRule="exact"/>
        <w:rPr>
          <w:sz w:val="20"/>
          <w:szCs w:val="20"/>
          <w:color w:val="auto"/>
        </w:rPr>
      </w:pPr>
    </w:p>
    <w:p>
      <w:pPr>
        <w:ind w:left="4" w:right="20" w:firstLine="645"/>
        <w:spacing w:after="0" w:line="297" w:lineRule="auto"/>
        <w:tabs>
          <w:tab w:leader="none" w:pos="1357"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58" w:lineRule="exact"/>
        <w:rPr>
          <w:rFonts w:ascii="Arial" w:cs="Arial" w:eastAsia="Arial" w:hAnsi="Arial"/>
          <w:sz w:val="16"/>
          <w:szCs w:val="16"/>
          <w:color w:val="auto"/>
        </w:rPr>
      </w:pPr>
    </w:p>
    <w:p>
      <w:pPr>
        <w:ind w:left="4" w:right="40" w:firstLine="645"/>
        <w:spacing w:after="0" w:line="284" w:lineRule="auto"/>
        <w:tabs>
          <w:tab w:leader="none" w:pos="1372"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w:t>
      </w:r>
    </w:p>
    <w:p>
      <w:pPr>
        <w:spacing w:after="0" w:line="2" w:lineRule="exact"/>
        <w:rPr>
          <w:rFonts w:ascii="Arial" w:cs="Arial" w:eastAsia="Arial" w:hAnsi="Arial"/>
          <w:sz w:val="16"/>
          <w:szCs w:val="16"/>
          <w:color w:val="auto"/>
        </w:rPr>
      </w:pPr>
    </w:p>
    <w:p>
      <w:pPr>
        <w:ind w:left="4" w:right="180" w:hanging="4"/>
        <w:spacing w:after="0" w:line="261" w:lineRule="auto"/>
        <w:tabs>
          <w:tab w:leader="none" w:pos="2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reimbursement for expenses incurred on behalf of the Company and (iii) other employee benefits, including stock option agreements under any stock option plan of the Company.</w:t>
      </w:r>
    </w:p>
    <w:p>
      <w:pPr>
        <w:spacing w:after="0" w:line="183" w:lineRule="exact"/>
        <w:rPr>
          <w:rFonts w:ascii="Arial" w:cs="Arial" w:eastAsia="Arial" w:hAnsi="Arial"/>
          <w:sz w:val="18"/>
          <w:szCs w:val="18"/>
          <w:color w:val="auto"/>
        </w:rPr>
      </w:pPr>
    </w:p>
    <w:p>
      <w:pPr>
        <w:ind w:left="4" w:right="40" w:firstLine="645"/>
        <w:spacing w:after="0" w:line="272" w:lineRule="auto"/>
        <w:tabs>
          <w:tab w:leader="none" w:pos="1382"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Sarbanes-Oxley; Internal Accounting Controls</w:t>
      </w:r>
      <w:r>
        <w:rPr>
          <w:rFonts w:ascii="Arial" w:cs="Arial" w:eastAsia="Arial" w:hAnsi="Arial"/>
          <w:sz w:val="17"/>
          <w:szCs w:val="17"/>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0"/>
        <w:spacing w:after="0" w:line="302" w:lineRule="auto"/>
        <w:rPr>
          <w:sz w:val="20"/>
          <w:szCs w:val="20"/>
          <w:color w:val="auto"/>
        </w:rPr>
      </w:pPr>
      <w:r>
        <w:rPr>
          <w:rFonts w:ascii="Arial" w:cs="Arial" w:eastAsia="Arial" w:hAnsi="Arial"/>
          <w:sz w:val="16"/>
          <w:szCs w:val="16"/>
          <w:color w:val="auto"/>
        </w:rPr>
        <w:t>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w:t>
      </w:r>
    </w:p>
    <w:p>
      <w:pPr>
        <w:sectPr>
          <w:pgSz w:w="11900" w:h="16838" w:orient="portrait"/>
          <w:cols w:equalWidth="0" w:num="1">
            <w:col w:w="10764"/>
          </w:cols>
          <w:pgMar w:left="896" w:top="584" w:right="239" w:bottom="0" w:gutter="0" w:footer="0" w:header="0"/>
        </w:sectPr>
      </w:pPr>
    </w:p>
    <w:bookmarkStart w:id="23" w:name="page24"/>
    <w:bookmarkEnd w:id="23"/>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forms. The Company’s certifying officers have evaluated the effectiveness of the disclosure controls and procedures of the Company and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Subsidiaries as of the end of the period covered by the most recently filed periodic report under the Exchange Act (such date, the “</w:t>
      </w:r>
      <w:r>
        <w:rPr>
          <w:rFonts w:ascii="Arial" w:cs="Arial" w:eastAsia="Arial" w:hAnsi="Arial"/>
          <w:sz w:val="17"/>
          <w:szCs w:val="17"/>
          <w:u w:val="single" w:color="auto"/>
          <w:color w:val="auto"/>
        </w:rPr>
        <w:t>Evaluation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Date</w:t>
      </w:r>
      <w:r>
        <w:rPr>
          <w:rFonts w:ascii="Arial" w:cs="Arial" w:eastAsia="Arial" w:hAnsi="Arial"/>
          <w:sz w:val="16"/>
          <w:szCs w:val="16"/>
          <w:color w:val="auto"/>
        </w:rPr>
        <w:t>”). The Company presented in its most recently filed periodic report under the Exchange Act the conclusions of the certifying officers about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effectiveness of the disclosure controls and procedures based on their evaluations as of the Evaluation Date. Since the Evaluation Date, there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no changes in the internal control over financial reporting (as such term is defined in the Exchange Act) of the Company and its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have materially affected, or is reasonably likely to materially affect, the internal control over financial reporting of the Company and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11" w:lineRule="exact"/>
        <w:rPr>
          <w:sz w:val="20"/>
          <w:szCs w:val="20"/>
          <w:color w:val="auto"/>
        </w:rPr>
      </w:pPr>
    </w:p>
    <w:p>
      <w:pPr>
        <w:ind w:firstLine="645"/>
        <w:spacing w:after="0" w:line="257" w:lineRule="auto"/>
        <w:tabs>
          <w:tab w:leader="none" w:pos="135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8" w:lineRule="exact"/>
        <w:rPr>
          <w:rFonts w:ascii="Arial" w:cs="Arial" w:eastAsia="Arial" w:hAnsi="Arial"/>
          <w:sz w:val="18"/>
          <w:szCs w:val="18"/>
          <w:color w:val="auto"/>
        </w:rPr>
      </w:pPr>
    </w:p>
    <w:p>
      <w:pPr>
        <w:jc w:val="both"/>
        <w:ind w:right="40" w:firstLine="645"/>
        <w:spacing w:after="0" w:line="259" w:lineRule="auto"/>
        <w:tabs>
          <w:tab w:leader="none" w:pos="135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right="720" w:firstLine="645"/>
        <w:spacing w:after="0" w:line="277" w:lineRule="auto"/>
        <w:tabs>
          <w:tab w:leader="none" w:pos="135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ind w:right="20" w:firstLine="645"/>
        <w:spacing w:after="0" w:line="255" w:lineRule="auto"/>
        <w:tabs>
          <w:tab w:leader="none" w:pos="134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Listing and Maintenance Requirements</w:t>
      </w:r>
      <w:r>
        <w:rPr>
          <w:rFonts w:ascii="Arial" w:cs="Arial" w:eastAsia="Arial" w:hAnsi="Arial"/>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7" w:lineRule="exact"/>
        <w:rPr>
          <w:sz w:val="20"/>
          <w:szCs w:val="20"/>
          <w:color w:val="auto"/>
        </w:rPr>
      </w:pPr>
    </w:p>
    <w:p>
      <w:pPr>
        <w:ind w:right="60" w:firstLine="645"/>
        <w:spacing w:after="0" w:line="255" w:lineRule="auto"/>
        <w:tabs>
          <w:tab w:leader="none" w:pos="135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93" w:lineRule="exact"/>
        <w:rPr>
          <w:rFonts w:ascii="Arial" w:cs="Arial" w:eastAsia="Arial" w:hAnsi="Arial"/>
          <w:sz w:val="18"/>
          <w:szCs w:val="18"/>
          <w:color w:val="auto"/>
        </w:rPr>
      </w:pPr>
    </w:p>
    <w:p>
      <w:pPr>
        <w:ind w:firstLine="645"/>
        <w:spacing w:after="0" w:line="269" w:lineRule="auto"/>
        <w:tabs>
          <w:tab w:leader="none" w:pos="135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79" w:lineRule="exact"/>
        <w:rPr>
          <w:rFonts w:ascii="Arial" w:cs="Arial" w:eastAsia="Arial" w:hAnsi="Arial"/>
          <w:sz w:val="17"/>
          <w:szCs w:val="17"/>
          <w:color w:val="auto"/>
        </w:rPr>
      </w:pPr>
    </w:p>
    <w:p>
      <w:pPr>
        <w:ind w:right="100" w:firstLine="645"/>
        <w:spacing w:after="0" w:line="257" w:lineRule="auto"/>
        <w:tabs>
          <w:tab w:leader="none" w:pos="134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5"/>
        <w:spacing w:after="0" w:line="290" w:lineRule="auto"/>
        <w:tabs>
          <w:tab w:leader="none" w:pos="1333"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w:t>
      </w:r>
    </w:p>
    <w:p>
      <w:pPr>
        <w:sectPr>
          <w:pgSz w:w="11900" w:h="16933" w:orient="portrait"/>
          <w:cols w:equalWidth="0" w:num="1">
            <w:col w:w="10760"/>
          </w:cols>
          <w:pgMar w:left="900" w:top="125" w:right="239" w:bottom="0" w:gutter="0" w:footer="0" w:header="0"/>
        </w:sectPr>
      </w:pPr>
    </w:p>
    <w:bookmarkStart w:id="24" w:name="page25"/>
    <w:bookmarkEnd w:id="24"/>
    <w:p>
      <w:pPr>
        <w:spacing w:after="0" w:line="96" w:lineRule="exact"/>
        <w:rPr>
          <w:sz w:val="20"/>
          <w:szCs w:val="20"/>
          <w:color w:val="auto"/>
        </w:rPr>
      </w:pPr>
    </w:p>
    <w:p>
      <w:pPr>
        <w:ind w:left="4" w:right="80"/>
        <w:spacing w:after="0" w:line="270" w:lineRule="auto"/>
        <w:rPr>
          <w:sz w:val="20"/>
          <w:szCs w:val="20"/>
          <w:color w:val="auto"/>
        </w:rPr>
      </w:pPr>
      <w:r>
        <w:rPr>
          <w:rFonts w:ascii="Arial" w:cs="Arial" w:eastAsia="Arial" w:hAnsi="Arial"/>
          <w:sz w:val="17"/>
          <w:szCs w:val="17"/>
          <w:color w:val="auto"/>
        </w:rPr>
        <w:t>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7"/>
          <w:szCs w:val="17"/>
          <w:u w:val="single" w:color="auto"/>
          <w:color w:val="auto"/>
        </w:rPr>
        <w:t>Indebtedness</w:t>
      </w:r>
      <w:r>
        <w:rPr>
          <w:rFonts w:ascii="Arial" w:cs="Arial" w:eastAsia="Arial" w:hAnsi="Arial"/>
          <w:sz w:val="17"/>
          <w:szCs w:val="17"/>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78" w:lineRule="exact"/>
        <w:rPr>
          <w:sz w:val="20"/>
          <w:szCs w:val="20"/>
          <w:color w:val="auto"/>
        </w:rPr>
      </w:pPr>
    </w:p>
    <w:p>
      <w:pPr>
        <w:ind w:left="4" w:right="120" w:firstLine="645"/>
        <w:spacing w:after="0" w:line="286" w:lineRule="auto"/>
        <w:tabs>
          <w:tab w:leader="none" w:pos="1357"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have or reasonably be expected to result in a Material Adverse Effect, the Company and its Subsidiaries each (i) has made or filed all United States federal,state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1" w:lineRule="exact"/>
        <w:rPr>
          <w:rFonts w:ascii="Arial" w:cs="Arial" w:eastAsia="Arial" w:hAnsi="Arial"/>
          <w:sz w:val="16"/>
          <w:szCs w:val="16"/>
          <w:color w:val="auto"/>
        </w:rPr>
      </w:pPr>
    </w:p>
    <w:p>
      <w:pPr>
        <w:jc w:val="both"/>
        <w:ind w:left="4" w:hanging="4"/>
        <w:spacing w:after="0" w:line="255" w:lineRule="auto"/>
        <w:tabs>
          <w:tab w:leader="none" w:pos="3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90" w:lineRule="exact"/>
        <w:rPr>
          <w:rFonts w:ascii="Arial" w:cs="Arial" w:eastAsia="Arial" w:hAnsi="Arial"/>
          <w:sz w:val="18"/>
          <w:szCs w:val="18"/>
          <w:color w:val="auto"/>
        </w:rPr>
      </w:pPr>
    </w:p>
    <w:p>
      <w:pPr>
        <w:ind w:left="4" w:right="20" w:firstLine="645"/>
        <w:spacing w:after="0" w:line="308" w:lineRule="auto"/>
        <w:tabs>
          <w:tab w:leader="none" w:pos="1337"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w:t>
      </w:r>
    </w:p>
    <w:p>
      <w:pPr>
        <w:ind w:left="4" w:right="520" w:hanging="4"/>
        <w:spacing w:after="0" w:line="261" w:lineRule="auto"/>
        <w:tabs>
          <w:tab w:leader="none" w:pos="3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3" w:lineRule="exact"/>
        <w:rPr>
          <w:rFonts w:ascii="Arial" w:cs="Arial" w:eastAsia="Arial" w:hAnsi="Arial"/>
          <w:sz w:val="18"/>
          <w:szCs w:val="18"/>
          <w:color w:val="auto"/>
        </w:rPr>
      </w:pPr>
    </w:p>
    <w:p>
      <w:pPr>
        <w:ind w:left="4" w:right="160" w:firstLine="645"/>
        <w:spacing w:after="0" w:line="312" w:lineRule="auto"/>
        <w:tabs>
          <w:tab w:leader="none" w:pos="1357"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Accountants</w:t>
      </w:r>
      <w:r>
        <w:rPr>
          <w:rFonts w:ascii="Arial" w:cs="Arial" w:eastAsia="Arial" w:hAnsi="Arial"/>
          <w:sz w:val="16"/>
          <w:szCs w:val="16"/>
          <w:color w:val="auto"/>
        </w:rPr>
        <w:t>. The Company’s independent public accounting firm is ERNST &amp; YOUNG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2017.</w:t>
      </w:r>
    </w:p>
    <w:p>
      <w:pPr>
        <w:spacing w:after="0" w:line="146" w:lineRule="exact"/>
        <w:rPr>
          <w:rFonts w:ascii="Arial" w:cs="Arial" w:eastAsia="Arial" w:hAnsi="Arial"/>
          <w:sz w:val="16"/>
          <w:szCs w:val="16"/>
          <w:color w:val="auto"/>
        </w:rPr>
      </w:pPr>
    </w:p>
    <w:p>
      <w:pPr>
        <w:ind w:left="4" w:right="40" w:firstLine="645"/>
        <w:spacing w:after="0" w:line="254" w:lineRule="auto"/>
        <w:tabs>
          <w:tab w:leader="none" w:pos="1337"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Purchasers’ Purchase of Securities</w:t>
      </w:r>
      <w:r>
        <w:rPr>
          <w:rFonts w:ascii="Arial" w:cs="Arial" w:eastAsia="Arial" w:hAnsi="Arial"/>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rFonts w:ascii="Arial" w:cs="Arial" w:eastAsia="Arial" w:hAnsi="Arial"/>
          <w:sz w:val="18"/>
          <w:szCs w:val="18"/>
          <w:color w:val="auto"/>
        </w:rPr>
      </w:pPr>
    </w:p>
    <w:p>
      <w:pPr>
        <w:ind w:left="4" w:right="20" w:firstLine="645"/>
        <w:spacing w:after="0" w:line="284" w:lineRule="auto"/>
        <w:tabs>
          <w:tab w:leader="none" w:pos="1339"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Acknowledgement Regarding Purchaser’s Trading Activity</w:t>
      </w:r>
      <w:r>
        <w:rPr>
          <w:rFonts w:ascii="Arial" w:cs="Arial" w:eastAsia="Arial" w:hAnsi="Arial"/>
          <w:sz w:val="16"/>
          <w:szCs w:val="16"/>
          <w:color w:val="auto"/>
        </w:rPr>
        <w:t>. Anything in this Agreement or elsewhere herein to the contrary notwithstanding (except for Sections 3.2(e)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w:t>
      </w:r>
    </w:p>
    <w:p>
      <w:pPr>
        <w:spacing w:after="0" w:line="4" w:lineRule="exact"/>
        <w:rPr>
          <w:rFonts w:ascii="Arial" w:cs="Arial" w:eastAsia="Arial" w:hAnsi="Arial"/>
          <w:sz w:val="16"/>
          <w:szCs w:val="16"/>
          <w:color w:val="auto"/>
        </w:rPr>
      </w:pPr>
    </w:p>
    <w:p>
      <w:pPr>
        <w:ind w:left="4" w:right="120" w:hanging="4"/>
        <w:spacing w:after="0" w:line="252" w:lineRule="auto"/>
        <w:tabs>
          <w:tab w:leader="none" w:pos="31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w:t>
      </w:r>
    </w:p>
    <w:p>
      <w:pPr>
        <w:spacing w:after="0" w:line="19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interests in the Company at and after the time that the hedging activities are being conducted. The Company acknowledges that such aforementioned hedging activities do not constitute a breach of any of the Transaction Documents.</w:t>
      </w:r>
    </w:p>
    <w:p>
      <w:pPr>
        <w:spacing w:after="0" w:line="170" w:lineRule="exact"/>
        <w:rPr>
          <w:sz w:val="20"/>
          <w:szCs w:val="20"/>
          <w:color w:val="auto"/>
        </w:rPr>
      </w:pPr>
    </w:p>
    <w:p>
      <w:pPr>
        <w:ind w:left="4" w:right="240" w:firstLine="645"/>
        <w:spacing w:after="0" w:line="288" w:lineRule="auto"/>
        <w:tabs>
          <w:tab w:leader="none" w:pos="1357"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ind w:left="4" w:right="180" w:hanging="4"/>
        <w:spacing w:after="0" w:line="323" w:lineRule="auto"/>
        <w:tabs>
          <w:tab w:leader="none" w:pos="319" w:val="left"/>
        </w:tabs>
        <w:numPr>
          <w:ilvl w:val="0"/>
          <w:numId w:val="64"/>
        </w:numPr>
        <w:rPr>
          <w:rFonts w:ascii="Arial" w:cs="Arial" w:eastAsia="Arial" w:hAnsi="Arial"/>
          <w:sz w:val="16"/>
          <w:szCs w:val="16"/>
          <w:color w:val="auto"/>
        </w:rPr>
      </w:pPr>
      <w:r>
        <w:rPr>
          <w:rFonts w:ascii="Arial" w:cs="Arial" w:eastAsia="Arial" w:hAnsi="Arial"/>
          <w:sz w:val="16"/>
          <w:szCs w:val="16"/>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38" w:lineRule="exact"/>
        <w:rPr>
          <w:rFonts w:ascii="Arial" w:cs="Arial" w:eastAsia="Arial" w:hAnsi="Arial"/>
          <w:sz w:val="16"/>
          <w:szCs w:val="16"/>
          <w:color w:val="auto"/>
        </w:rPr>
      </w:pPr>
    </w:p>
    <w:p>
      <w:pPr>
        <w:ind w:left="4" w:right="140" w:firstLine="645"/>
        <w:spacing w:after="0" w:line="293" w:lineRule="auto"/>
        <w:tabs>
          <w:tab w:leader="none" w:pos="1357"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w:t>
      </w:r>
    </w:p>
    <w:p>
      <w:pPr>
        <w:sectPr>
          <w:pgSz w:w="11900" w:h="16934" w:orient="portrait"/>
          <w:cols w:equalWidth="0" w:num="1">
            <w:col w:w="10764"/>
          </w:cols>
          <w:pgMar w:left="896" w:top="125" w:right="239" w:bottom="0" w:gutter="0" w:footer="0" w:header="0"/>
        </w:sectPr>
      </w:pPr>
    </w:p>
    <w:bookmarkStart w:id="25" w:name="page26"/>
    <w:bookmarkEnd w:id="25"/>
    <w:p>
      <w:pPr>
        <w:spacing w:after="0" w:line="137"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Company nor has the FDA expressed any concern as to approving or clearing for marketing any product being developed or proposed to be developed by the Company.</w:t>
      </w:r>
    </w:p>
    <w:p>
      <w:pPr>
        <w:spacing w:after="0" w:line="170" w:lineRule="exact"/>
        <w:rPr>
          <w:sz w:val="20"/>
          <w:szCs w:val="20"/>
          <w:color w:val="auto"/>
        </w:rPr>
      </w:pPr>
    </w:p>
    <w:p>
      <w:pPr>
        <w:ind w:left="660" w:right="60" w:firstLine="645"/>
        <w:spacing w:after="0" w:line="273" w:lineRule="auto"/>
        <w:tabs>
          <w:tab w:leader="none" w:pos="202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8" w:lineRule="exact"/>
        <w:rPr>
          <w:rFonts w:ascii="Arial" w:cs="Arial" w:eastAsia="Arial" w:hAnsi="Arial"/>
          <w:sz w:val="17"/>
          <w:szCs w:val="17"/>
          <w:color w:val="auto"/>
        </w:rPr>
      </w:pPr>
    </w:p>
    <w:p>
      <w:pPr>
        <w:ind w:left="660" w:right="480" w:firstLine="645"/>
        <w:spacing w:after="0" w:line="264" w:lineRule="auto"/>
        <w:tabs>
          <w:tab w:leader="none" w:pos="202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2013"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23" w:lineRule="exact"/>
        <w:rPr>
          <w:rFonts w:ascii="Arial" w:cs="Arial" w:eastAsia="Arial" w:hAnsi="Arial"/>
          <w:sz w:val="16"/>
          <w:szCs w:val="16"/>
          <w:color w:val="auto"/>
        </w:rPr>
      </w:pPr>
    </w:p>
    <w:p>
      <w:pPr>
        <w:ind w:left="660" w:right="20" w:firstLine="645"/>
        <w:spacing w:after="0" w:line="273" w:lineRule="auto"/>
        <w:tabs>
          <w:tab w:leader="none" w:pos="202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8" w:lineRule="exact"/>
        <w:rPr>
          <w:rFonts w:ascii="Arial" w:cs="Arial" w:eastAsia="Arial" w:hAnsi="Arial"/>
          <w:sz w:val="17"/>
          <w:szCs w:val="17"/>
          <w:color w:val="auto"/>
        </w:rPr>
      </w:pPr>
    </w:p>
    <w:p>
      <w:pPr>
        <w:jc w:val="both"/>
        <w:ind w:left="660" w:firstLine="645"/>
        <w:spacing w:after="0" w:line="276" w:lineRule="auto"/>
        <w:tabs>
          <w:tab w:leader="none" w:pos="197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to the Company as follows (unless as of a specific date therein, in which case they shall be accurate as of such date):</w:t>
      </w:r>
    </w:p>
    <w:p>
      <w:pPr>
        <w:spacing w:after="0" w:line="225" w:lineRule="exact"/>
        <w:rPr>
          <w:sz w:val="20"/>
          <w:szCs w:val="20"/>
          <w:color w:val="auto"/>
        </w:rPr>
      </w:pPr>
    </w:p>
    <w:p>
      <w:pPr>
        <w:ind w:left="380" w:right="40" w:firstLine="925"/>
        <w:spacing w:after="0" w:line="269" w:lineRule="auto"/>
        <w:tabs>
          <w:tab w:leader="none" w:pos="1944"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rFonts w:ascii="Arial" w:cs="Arial" w:eastAsia="Arial" w:hAnsi="Arial"/>
          <w:sz w:val="17"/>
          <w:szCs w:val="17"/>
          <w:color w:val="auto"/>
        </w:rPr>
      </w:pPr>
    </w:p>
    <w:p>
      <w:pPr>
        <w:ind w:left="380" w:right="120" w:firstLine="654"/>
        <w:spacing w:after="0" w:line="279" w:lineRule="auto"/>
        <w:tabs>
          <w:tab w:leader="none" w:pos="125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Understandings or Arrangements</w:t>
      </w:r>
      <w:r>
        <w:rPr>
          <w:rFonts w:ascii="Arial" w:cs="Arial" w:eastAsia="Arial" w:hAnsi="Arial"/>
          <w:sz w:val="17"/>
          <w:szCs w:val="17"/>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1" w:lineRule="exact"/>
        <w:rPr>
          <w:rFonts w:ascii="Arial" w:cs="Arial" w:eastAsia="Arial" w:hAnsi="Arial"/>
          <w:sz w:val="17"/>
          <w:szCs w:val="17"/>
          <w:color w:val="auto"/>
        </w:rPr>
      </w:pPr>
    </w:p>
    <w:p>
      <w:pPr>
        <w:jc w:val="both"/>
        <w:ind w:left="380" w:right="140" w:firstLine="654"/>
        <w:spacing w:after="0" w:line="342" w:lineRule="auto"/>
        <w:tabs>
          <w:tab w:leader="none" w:pos="124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such Purchaser was offered the Securities, it was, and as of the date hereof it is, and on each date on which it exercises any Warrants, it will be either: (i) an “accredited investor” as defined in Rule 501(a)(1), (a)(2), (a)(3), (a)(7) or (a)(8) under the Securities Act</w:t>
      </w:r>
    </w:p>
    <w:p>
      <w:pPr>
        <w:sectPr>
          <w:pgSz w:w="11900" w:h="16975" w:orient="portrait"/>
          <w:cols w:equalWidth="0" w:num="1">
            <w:col w:w="11420"/>
          </w:cols>
          <w:pgMar w:left="240" w:top="125" w:right="239" w:bottom="0" w:gutter="0" w:footer="0" w:header="0"/>
        </w:sectPr>
      </w:pPr>
    </w:p>
    <w:bookmarkStart w:id="26" w:name="page27"/>
    <w:bookmarkEnd w:id="26"/>
    <w:p>
      <w:pPr>
        <w:spacing w:after="0" w:line="1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or (ii) a “qualified institutional buyer” as defined in Rule 144A(a) under the Securities Act.</w:t>
      </w:r>
    </w:p>
    <w:p>
      <w:pPr>
        <w:spacing w:after="0" w:line="225" w:lineRule="exact"/>
        <w:rPr>
          <w:sz w:val="20"/>
          <w:szCs w:val="20"/>
          <w:color w:val="auto"/>
        </w:rPr>
      </w:pPr>
    </w:p>
    <w:p>
      <w:pPr>
        <w:ind w:left="380" w:right="60" w:firstLine="925"/>
        <w:spacing w:after="0" w:line="259" w:lineRule="auto"/>
        <w:tabs>
          <w:tab w:leader="none" w:pos="195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ind w:left="380" w:right="420" w:firstLine="925"/>
        <w:spacing w:after="0" w:line="264" w:lineRule="auto"/>
        <w:tabs>
          <w:tab w:leader="none" w:pos="195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right="60"/>
        <w:spacing w:after="0" w:line="289" w:lineRule="auto"/>
        <w:rPr>
          <w:sz w:val="20"/>
          <w:szCs w:val="20"/>
          <w:color w:val="auto"/>
        </w:rPr>
      </w:pPr>
      <w:r>
        <w:rPr>
          <w:rFonts w:ascii="Arial" w:cs="Arial" w:eastAsia="Arial" w:hAnsi="Arial"/>
          <w:sz w:val="16"/>
          <w:szCs w:val="16"/>
          <w:color w:val="auto"/>
        </w:rPr>
        <w:t>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67" w:lineRule="exact"/>
        <w:rPr>
          <w:sz w:val="20"/>
          <w:szCs w:val="20"/>
          <w:color w:val="auto"/>
        </w:rPr>
      </w:pPr>
    </w:p>
    <w:p>
      <w:pPr>
        <w:ind w:left="380" w:right="20" w:firstLine="925"/>
        <w:spacing w:after="0" w:line="286" w:lineRule="auto"/>
        <w:tabs>
          <w:tab w:leader="none" w:pos="195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Purchaser (or its broker or other financial representative) to effect Short Sales or similar transactions in the future.</w:t>
      </w:r>
    </w:p>
    <w:p>
      <w:pPr>
        <w:spacing w:after="0" w:line="172"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Warrant Shares</w:t>
      </w:r>
      <w:r>
        <w:rPr>
          <w:rFonts w:ascii="Arial" w:cs="Arial" w:eastAsia="Arial" w:hAnsi="Arial"/>
          <w:sz w:val="17"/>
          <w:szCs w:val="17"/>
          <w:color w:val="auto"/>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w:t>
      </w:r>
    </w:p>
    <w:p>
      <w:pPr>
        <w:spacing w:after="0" w:line="225" w:lineRule="exact"/>
        <w:rPr>
          <w:sz w:val="20"/>
          <w:szCs w:val="20"/>
          <w:color w:val="auto"/>
        </w:rPr>
      </w:pPr>
    </w:p>
    <w:p>
      <w:pPr>
        <w:ind w:left="660" w:right="220" w:firstLine="645"/>
        <w:spacing w:after="0" w:line="312" w:lineRule="auto"/>
        <w:tabs>
          <w:tab w:leader="none" w:pos="1954"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Until the earliest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4:00 p.m. (New York City time) on the Trading Day immediately</w:t>
      </w:r>
    </w:p>
    <w:p>
      <w:pPr>
        <w:spacing w:after="0" w:line="2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following the date hereof,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w:t>
      </w:r>
    </w:p>
    <w:p>
      <w:pPr>
        <w:sectPr>
          <w:pgSz w:w="11900" w:h="16960" w:orient="portrait"/>
          <w:cols w:equalWidth="0" w:num="1">
            <w:col w:w="11420"/>
          </w:cols>
          <w:pgMar w:left="240" w:top="125" w:right="239" w:bottom="0" w:gutter="0" w:footer="0" w:header="0"/>
        </w:sectPr>
      </w:pPr>
    </w:p>
    <w:bookmarkStart w:id="27" w:name="page28"/>
    <w:bookmarkEnd w:id="27"/>
    <w:p>
      <w:pPr>
        <w:spacing w:after="0" w:line="8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w:t>
      </w:r>
    </w:p>
    <w:p>
      <w:pPr>
        <w:spacing w:after="0" w:line="5" w:lineRule="exact"/>
        <w:rPr>
          <w:sz w:val="20"/>
          <w:szCs w:val="20"/>
          <w:color w:val="auto"/>
        </w:rPr>
      </w:pPr>
    </w:p>
    <w:p>
      <w:pPr>
        <w:ind w:right="560" w:firstLine="8"/>
        <w:spacing w:after="0" w:line="261" w:lineRule="auto"/>
        <w:tabs>
          <w:tab w:leader="none" w:pos="2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understands and confirms that each Purchaser shall be relying on the foregoing covenant in effecting transactions in securities of the Company.</w:t>
      </w:r>
    </w:p>
    <w:p>
      <w:pPr>
        <w:spacing w:after="0" w:line="184"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Except as set forth in the Prospectus Supplement, the Company shall use the net proceeds from the sale of the Securities hereunder for working capital purposes and shall not use such proceeds: (a) for the satisfaction of any portion of the Company’s debt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4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willful misconduct), or (c) in connection with any registration statement of the Company providing for the resale by the Purchasers of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furnished in writing to the Company by such Purchaser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w:t>
      </w:r>
    </w:p>
    <w:p>
      <w:pPr>
        <w:sectPr>
          <w:pgSz w:w="11900" w:h="16924" w:orient="portrait"/>
          <w:cols w:equalWidth="0" w:num="1">
            <w:col w:w="11420"/>
          </w:cols>
          <w:pgMar w:left="240" w:top="125" w:right="239" w:bottom="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defense thereof, but the fees and expenses of such counsel shall be at the expense of such Purchaser Party except to the extent that (x) the employment thereof has been specifically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u w:val="single" w:color="auto"/>
          <w:color w:val="auto"/>
        </w:rPr>
        <w:t>Subsequent Equity Sales</w:t>
      </w:r>
      <w:r>
        <w:rPr>
          <w:rFonts w:ascii="Arial" w:cs="Arial" w:eastAsia="Arial" w:hAnsi="Arial"/>
          <w:sz w:val="15"/>
          <w:szCs w:val="15"/>
          <w:color w:val="auto"/>
        </w:rPr>
        <w:t>.</w:t>
      </w:r>
    </w:p>
    <w:p>
      <w:pPr>
        <w:spacing w:after="0" w:line="225" w:lineRule="exact"/>
        <w:rPr>
          <w:sz w:val="20"/>
          <w:szCs w:val="20"/>
          <w:color w:val="auto"/>
        </w:rPr>
      </w:pPr>
    </w:p>
    <w:p>
      <w:pPr>
        <w:ind w:left="660" w:right="460" w:firstLine="645"/>
        <w:spacing w:after="0" w:line="342" w:lineRule="auto"/>
        <w:tabs>
          <w:tab w:leader="none" w:pos="1954" w:val="left"/>
        </w:tabs>
        <w:numPr>
          <w:ilvl w:val="0"/>
          <w:numId w:val="72"/>
        </w:numPr>
        <w:rPr>
          <w:rFonts w:ascii="Arial" w:cs="Arial" w:eastAsia="Arial" w:hAnsi="Arial"/>
          <w:sz w:val="16"/>
          <w:szCs w:val="16"/>
          <w:color w:val="auto"/>
        </w:rPr>
      </w:pPr>
      <w:r>
        <w:rPr>
          <w:rFonts w:ascii="Arial" w:cs="Arial" w:eastAsia="Arial" w:hAnsi="Arial"/>
          <w:sz w:val="16"/>
          <w:szCs w:val="16"/>
          <w:color w:val="auto"/>
        </w:rPr>
        <w:t>From the date hereof until 90 days after the Closing Date, neither the Company nor any Subsidiary shall issue, enter into any agreement to issue or announce the issuance or proposed issuance of any shares of Common Stock or Common Stock Equivalents.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the foregoing, this Section 4.12 shall not apply in respect of an Exempt Issuance.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Equal Treatment of Purchasers</w:t>
      </w:r>
      <w:r>
        <w:rPr>
          <w:rFonts w:ascii="Arial" w:cs="Arial" w:eastAsia="Arial" w:hAnsi="Arial"/>
          <w:sz w:val="16"/>
          <w:szCs w:val="16"/>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58"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w:t>
      </w:r>
    </w:p>
    <w:p>
      <w:pPr>
        <w:spacing w:after="0" w:line="5" w:lineRule="exact"/>
        <w:rPr>
          <w:sz w:val="20"/>
          <w:szCs w:val="20"/>
          <w:color w:val="auto"/>
        </w:rPr>
      </w:pPr>
    </w:p>
    <w:p>
      <w:pPr>
        <w:ind w:right="40" w:firstLine="8"/>
        <w:spacing w:after="0" w:line="292" w:lineRule="auto"/>
        <w:tabs>
          <w:tab w:leader="none" w:pos="3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63"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Exercise Procedures</w:t>
      </w:r>
      <w:r>
        <w:rPr>
          <w:rFonts w:ascii="Arial" w:cs="Arial" w:eastAsia="Arial" w:hAnsi="Arial"/>
          <w:sz w:val="17"/>
          <w:szCs w:val="17"/>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w:t>
      </w:r>
    </w:p>
    <w:p>
      <w:pPr>
        <w:sectPr>
          <w:pgSz w:w="11900" w:h="16838" w:orient="portrait"/>
          <w:cols w:equalWidth="0" w:num="1">
            <w:col w:w="11400"/>
          </w:cols>
          <w:pgMar w:left="240" w:top="125" w:right="259" w:bottom="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9" w:name="page30"/>
    <w:bookmarkEnd w:id="29"/>
    <w:p>
      <w:pPr>
        <w:ind w:right="340"/>
        <w:spacing w:after="0" w:line="277" w:lineRule="auto"/>
        <w:rPr>
          <w:sz w:val="20"/>
          <w:szCs w:val="20"/>
          <w:color w:val="auto"/>
        </w:rPr>
      </w:pPr>
      <w:r>
        <w:rPr>
          <w:rFonts w:ascii="Arial" w:cs="Arial" w:eastAsia="Arial" w:hAnsi="Arial"/>
          <w:sz w:val="18"/>
          <w:szCs w:val="18"/>
          <w:color w:val="auto"/>
        </w:rPr>
        <w:t>Company shall honor exercises of the Warrants and shall deliver Warrant Shares in accordance with the terms, conditions and time periods set forth in the Transaction Documents.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December 6, 2017;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Arial" w:cs="Arial" w:eastAsia="Arial" w:hAnsi="Arial"/>
          <w:sz w:val="20"/>
          <w:szCs w:val="20"/>
          <w:color w:val="auto"/>
          <w:vertAlign w:val="superscript"/>
        </w:rPr>
        <w:t>nd</w:t>
      </w:r>
      <w:r>
        <w:rPr>
          <w:rFonts w:ascii="Arial" w:cs="Arial" w:eastAsia="Arial" w:hAnsi="Arial"/>
          <w:sz w:val="16"/>
          <w:szCs w:val="16"/>
          <w:color w:val="auto"/>
        </w:rPr>
        <w:t>)Trading Day following the date of mailing, if sent by U.S. nationally recognized overnight courier service or</w:t>
      </w:r>
    </w:p>
    <w:p>
      <w:pPr>
        <w:spacing w:after="0" w:line="4" w:lineRule="exact"/>
        <w:rPr>
          <w:sz w:val="20"/>
          <w:szCs w:val="20"/>
          <w:color w:val="auto"/>
        </w:rPr>
      </w:pPr>
    </w:p>
    <w:p>
      <w:pPr>
        <w:ind w:right="40" w:firstLine="8"/>
        <w:spacing w:after="0" w:line="253"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Waivers</w:t>
      </w:r>
      <w:r>
        <w:rPr>
          <w:rFonts w:ascii="Arial" w:cs="Arial" w:eastAsia="Arial" w:hAnsi="Arial"/>
          <w:sz w:val="18"/>
          <w:szCs w:val="18"/>
          <w:color w:val="auto"/>
        </w:rPr>
        <w:t>. No provision of this Agreement may be waived, modified, supplemented or amended except in a written instrument signed, in the case of an amendment, by the Company and Purchasers which purchased at least 50.1% in interest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6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30" w:name="page31"/>
    <w:bookmarkEnd w:id="30"/>
    <w:p>
      <w:pPr>
        <w:ind w:right="120"/>
        <w:spacing w:after="0" w:line="291" w:lineRule="auto"/>
        <w:rPr>
          <w:sz w:val="20"/>
          <w:szCs w:val="20"/>
          <w:color w:val="auto"/>
        </w:rPr>
      </w:pPr>
      <w:r>
        <w:rPr>
          <w:rFonts w:ascii="Arial" w:cs="Arial" w:eastAsia="Arial" w:hAnsi="Arial"/>
          <w:sz w:val="16"/>
          <w:szCs w:val="16"/>
          <w:color w:val="auto"/>
        </w:rPr>
        <w:t>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Securities.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Purchaser’s Warrant (including, issuance of a replacement warrant certificate evidencing such restored right).</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w:t>
      </w:r>
    </w:p>
    <w:p>
      <w:pPr>
        <w:sectPr>
          <w:pgSz w:w="11900" w:h="16838" w:orient="portrait"/>
          <w:cols w:equalWidth="0" w:num="1">
            <w:col w:w="11400"/>
          </w:cols>
          <w:pgMar w:left="240" w:top="584" w:right="259" w:bottom="0" w:gutter="0" w:footer="0" w:header="0"/>
        </w:sectPr>
      </w:pPr>
    </w:p>
    <w:bookmarkStart w:id="31" w:name="page32"/>
    <w:bookmarkEnd w:id="31"/>
    <w:p>
      <w:pPr>
        <w:ind w:right="180"/>
        <w:spacing w:after="0" w:line="277" w:lineRule="auto"/>
        <w:rPr>
          <w:sz w:val="20"/>
          <w:szCs w:val="20"/>
          <w:color w:val="auto"/>
        </w:rPr>
      </w:pPr>
      <w:r>
        <w:rPr>
          <w:rFonts w:ascii="Arial" w:cs="Arial" w:eastAsia="Arial" w:hAnsi="Arial"/>
          <w:sz w:val="18"/>
          <w:szCs w:val="18"/>
          <w:color w:val="auto"/>
        </w:rPr>
        <w:t>each provision contained in this Agreement and in each other Transaction Document is between the Company and a Purchaser, solely, and not between the Company and the Purchasers collectively and not between and among the Purchasers.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69" w:lineRule="exact"/>
        <w:rPr>
          <w:sz w:val="20"/>
          <w:szCs w:val="20"/>
          <w:color w:val="auto"/>
        </w:rPr>
      </w:pPr>
    </w:p>
    <w:p>
      <w:pPr>
        <w:jc w:val="both"/>
        <w:ind w:right="460" w:firstLine="648"/>
        <w:spacing w:after="0" w:line="261"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AXSOME THERAPEUTICS, INC.</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Address for Notice:</w:t>
            </w:r>
          </w:p>
        </w:tc>
      </w:tr>
      <w:tr>
        <w:trPr>
          <w:trHeight w:val="669"/>
        </w:trPr>
        <w:tc>
          <w:tcPr>
            <w:tcW w:w="5720" w:type="dxa"/>
            <w:vAlign w:val="bottom"/>
            <w:gridSpan w:val="2"/>
          </w:tcPr>
          <w:p>
            <w:pPr>
              <w:spacing w:after="0"/>
              <w:rPr>
                <w:sz w:val="20"/>
                <w:szCs w:val="20"/>
                <w:color w:val="auto"/>
              </w:rPr>
            </w:pPr>
            <w:r>
              <w:rPr>
                <w:rFonts w:ascii="Arial" w:cs="Arial" w:eastAsia="Arial" w:hAnsi="Arial"/>
                <w:sz w:val="18"/>
                <w:szCs w:val="18"/>
                <w:color w:val="auto"/>
              </w:rPr>
              <w:t>By:</w:t>
            </w:r>
          </w:p>
        </w:tc>
        <w:tc>
          <w:tcPr>
            <w:tcW w:w="1420" w:type="dxa"/>
            <w:vAlign w:val="bottom"/>
          </w:tcPr>
          <w:p>
            <w:pPr>
              <w:spacing w:after="0"/>
              <w:rPr>
                <w:sz w:val="20"/>
                <w:szCs w:val="20"/>
                <w:color w:val="auto"/>
              </w:rPr>
            </w:pPr>
            <w:r>
              <w:rPr>
                <w:rFonts w:ascii="Arial" w:cs="Arial" w:eastAsia="Arial" w:hAnsi="Arial"/>
                <w:sz w:val="18"/>
                <w:szCs w:val="18"/>
                <w:color w:val="auto"/>
              </w:rPr>
              <w:t>Fax:</w:t>
            </w:r>
          </w:p>
        </w:tc>
      </w:tr>
      <w:tr>
        <w:trPr>
          <w:trHeight w:val="195"/>
        </w:trPr>
        <w:tc>
          <w:tcPr>
            <w:tcW w:w="46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Herriot Tabuteau</w:t>
            </w:r>
          </w:p>
        </w:tc>
        <w:tc>
          <w:tcPr>
            <w:tcW w:w="1420" w:type="dxa"/>
            <w:vAlign w:val="bottom"/>
          </w:tcPr>
          <w:p>
            <w:pPr>
              <w:spacing w:after="0" w:line="195" w:lineRule="exact"/>
              <w:rPr>
                <w:sz w:val="20"/>
                <w:szCs w:val="20"/>
                <w:color w:val="auto"/>
              </w:rPr>
            </w:pPr>
            <w:r>
              <w:rPr>
                <w:rFonts w:ascii="Arial" w:cs="Arial" w:eastAsia="Arial" w:hAnsi="Arial"/>
                <w:sz w:val="18"/>
                <w:szCs w:val="18"/>
                <w:color w:val="auto"/>
              </w:rPr>
              <w:t>E-mail:</w:t>
            </w:r>
          </w:p>
        </w:tc>
      </w:tr>
      <w:tr>
        <w:trPr>
          <w:trHeight w:val="230"/>
        </w:trPr>
        <w:tc>
          <w:tcPr>
            <w:tcW w:w="5720" w:type="dxa"/>
            <w:vAlign w:val="bottom"/>
            <w:gridSpan w:val="2"/>
          </w:tcPr>
          <w:p>
            <w:pPr>
              <w:ind w:left="460"/>
              <w:spacing w:after="0"/>
              <w:rPr>
                <w:sz w:val="20"/>
                <w:szCs w:val="20"/>
                <w:color w:val="auto"/>
              </w:rPr>
            </w:pPr>
            <w:r>
              <w:rPr>
                <w:rFonts w:ascii="Arial" w:cs="Arial" w:eastAsia="Arial" w:hAnsi="Arial"/>
                <w:sz w:val="18"/>
                <w:szCs w:val="18"/>
                <w:color w:val="auto"/>
              </w:rPr>
              <w:t>Title: Chief Executive Officer</w:t>
            </w: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FOR PURCHASER FOLLOWS]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[PURCHASER SIGNATURE PAGES TO AXSM SECURITIES PURCHASE AGREEMENT]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14605</wp:posOffset>
            </wp:positionV>
            <wp:extent cx="55397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0441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49136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49136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3858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14605</wp:posOffset>
            </wp:positionV>
            <wp:extent cx="33445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Warrants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DWAC for Shares:</w:t>
      </w:r>
    </w:p>
    <w:p>
      <w:pPr>
        <w:sectPr>
          <w:pgSz w:w="11900" w:h="16838" w:orient="portrait"/>
          <w:cols w:equalWidth="0" w:num="1">
            <w:col w:w="11320"/>
          </w:cols>
          <w:pgMar w:left="240" w:top="125" w:right="339" w:bottom="167"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Subscription Amount: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w:t>
      </w:r>
    </w:p>
    <w:p>
      <w:pPr>
        <w:spacing w:after="0" w:line="225" w:lineRule="exact"/>
        <w:rPr>
          <w:sz w:val="20"/>
          <w:szCs w:val="20"/>
          <w:color w:val="auto"/>
        </w:rPr>
      </w:pPr>
    </w:p>
    <w:p>
      <w:pPr>
        <w:ind w:firstLine="8"/>
        <w:spacing w:after="0" w:line="272" w:lineRule="auto"/>
        <w:tabs>
          <w:tab w:leader="none" w:pos="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PAGES CONTINUE]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$9.5 Million Registered Direct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Priced At-the-Market</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NEW YORK, December 1, 2017 (Globe Newswire) — Axsome Therapeutics, Inc. (NASDAQ: AXSM), a clinical-stage biopharmaceutical company developing novel therapies for the management of central nervous system (CNS) disorders, today announced that it has entered into definitive purchase agreements with certain institutional accredited investors to purchase in a registered direct offering priced at-the-market 1,783,587 shares of its common stock and warrants to purchase up to an aggregate of 1,783,587 shares of its common stock at a combined purchase price of $5.325 per share and related warrant.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offering.</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warrants will have an exercise price of $5.25 per share, a term of 53 weeks and are immediately exercisable on the date of issuance. The offering is expected to close on or about December 4, 2017, subject to the satisfaction of customary closing conditions.</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gross proceeds of the offering are expected to be approximately $9.5 million. Axsome intends to use the net proceeds from this offering to fund the clinical development of our next product candidate, AXS-07, our ongoing clinical programs, and for working capital and general corporate purposes.</w:t>
      </w:r>
    </w:p>
    <w:p>
      <w:pPr>
        <w:spacing w:after="0" w:line="124"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The securities are being offered by Axsome pursuant to a “shelf” registration statement on Form S-3 that was filed and declared effective by the Securities and Exchange Commission (“SEC”) and the base prospectus contained therein (File No. 333-214859). The offering of the securities will be made only by means of a prospectus. A prospectus supplement and accompanying base prospectus relating to the securities being offered will be filed with the SEC.</w:t>
      </w:r>
    </w:p>
    <w:p>
      <w:pPr>
        <w:ind w:right="160"/>
        <w:spacing w:after="0" w:line="255" w:lineRule="auto"/>
        <w:rPr>
          <w:sz w:val="20"/>
          <w:szCs w:val="20"/>
          <w:color w:val="auto"/>
        </w:rPr>
      </w:pPr>
      <w:r>
        <w:rPr>
          <w:rFonts w:ascii="Arial" w:cs="Arial" w:eastAsia="Arial" w:hAnsi="Arial"/>
          <w:sz w:val="18"/>
          <w:szCs w:val="18"/>
          <w:color w:val="auto"/>
        </w:rPr>
        <w:t>Copies of the final prospectus supplement and accompanying base prospectus may be obtained, when available, on the SEC’s website at http://www.sec.gov or by contacting H.C. Wainwright &amp; Co., LLC at 430 Park Avenue, 4th Floor, New York, NY 10022, by phone at 646-975-6996 or e-mail at placements@hcwco.com.</w:t>
      </w:r>
    </w:p>
    <w:p>
      <w:pPr>
        <w:spacing w:after="0" w:line="19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product candidate portfolio includes four clinical-stage candidates, AXS-02, AXS-05, AXS-06, and AXS-07. AXS-05 is currently in a Phase 3 trial in treatment resistant depression (TRD) and a Phase 2/3 trial in agitation in patients with Alzheimer’s disease (AD). AXS-02 is currently in Phase 3 trials in complex regional pain syndrome (CRPS) and knee osteoarthritis (OA) associated with bone marrow lesions (BMLs) with an additional Phase 3 trial planned in chronic low back pain (CLBP) associated with Modic changes (MCs). AXS-02, AXS-05, AXS-06, and AXS-07 are investigational drug products not approved by the FDA. For more information, please visit the company website at www.axsome.com. The company may occasionally disseminate material, nonpublic information on the company website.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risks associated with market conditions, the satisfaction of customary closing conditions related to the offering,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ectPr>
          <w:pgSz w:w="11900" w:h="16838" w:orient="portrait"/>
          <w:cols w:equalWidth="0" w:num="1">
            <w:col w:w="11420"/>
          </w:cols>
          <w:pgMar w:left="240" w:top="121" w:right="239" w:bottom="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o"/>
      <w:numFmt w:val="bullet"/>
      <w:start w:val="1"/>
    </w:lvl>
  </w:abstractNum>
  <w:abstractNum w:abstractNumId="1">
    <w:nsid w:val="5E884ADC"/>
    <w:multiLevelType w:val="hybridMultilevel"/>
    <w:lvl w:ilvl="0">
      <w:lvlJc w:val="left"/>
      <w:lvlText w:val="%1."/>
      <w:numFmt w:val="upperLetter"/>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3"/>
    </w:lvl>
    <w:lvl w:ilvl="1">
      <w:lvlJc w:val="left"/>
      <w:lvlText w:val="%2"/>
      <w:numFmt w:val="upperLetter"/>
      <w:start w:val="1"/>
    </w:lvl>
  </w:abstractNum>
  <w:abstractNum w:abstractNumId="4">
    <w:nsid w:val="580BD78F"/>
    <w:multiLevelType w:val="hybridMultilevel"/>
    <w:lvl w:ilvl="0">
      <w:lvlJc w:val="left"/>
      <w:lvlText w:val="%1."/>
      <w:numFmt w:val="upperLetter"/>
      <w:start w:val="3"/>
    </w:lvl>
  </w:abstractNum>
  <w:abstractNum w:abstractNumId="5">
    <w:nsid w:val="153EA438"/>
    <w:multiLevelType w:val="hybridMultilevel"/>
    <w:lvl w:ilvl="0">
      <w:lvlJc w:val="left"/>
      <w:lvlText w:val="(%1)"/>
      <w:numFmt w:val="lowerLetter"/>
      <w:start w:val="1"/>
    </w:lvl>
    <w:lvl w:ilvl="1">
      <w:lvlJc w:val="left"/>
      <w:lvlText w:val="%2."/>
      <w:numFmt w:val="upperLetter"/>
      <w:start w:val="4"/>
    </w:lvl>
    <w:lvl w:ilvl="2">
      <w:lvlJc w:val="left"/>
      <w:lvlText w:val="%3."/>
      <w:numFmt w:val="decimal"/>
      <w:start w:val="1"/>
    </w:lvl>
  </w:abstractNum>
  <w:abstractNum w:abstractNumId="6">
    <w:nsid w:val="3855585C"/>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abstractNum>
  <w:abstractNum w:abstractNumId="7">
    <w:nsid w:val="70A64E2A"/>
    <w:multiLevelType w:val="hybridMultilevel"/>
    <w:lvl w:ilvl="0">
      <w:lvlJc w:val="left"/>
      <w:lvlText w:val="%1."/>
      <w:numFmt w:val="upperLetter"/>
      <w:start w:val="5"/>
    </w:lvl>
    <w:lvl w:ilvl="1">
      <w:lvlJc w:val="left"/>
      <w:lvlText w:val="%2."/>
      <w:numFmt w:val="decimal"/>
      <w:start w:val="1"/>
    </w:lvl>
    <w:lvl w:ilvl="2">
      <w:lvlJc w:val="left"/>
      <w:lvlText w:val="%3."/>
      <w:numFmt w:val="decimal"/>
      <w:start w:val="2"/>
    </w:lvl>
  </w:abstractNum>
  <w:abstractNum w:abstractNumId="8">
    <w:nsid w:val="6A2342EC"/>
    <w:multiLevelType w:val="hybridMultilevel"/>
    <w:lvl w:ilvl="0">
      <w:lvlJc w:val="left"/>
      <w:lvlText w:val="%1."/>
      <w:numFmt w:val="decimal"/>
      <w:start w:val="3"/>
    </w:lvl>
  </w:abstractNum>
  <w:abstractNum w:abstractNumId="9">
    <w:nsid w:val="2A487CB0"/>
    <w:multiLevelType w:val="hybridMultilevel"/>
    <w:lvl w:ilvl="0">
      <w:lvlJc w:val="left"/>
      <w:lvlText w:val="%1"/>
      <w:numFmt w:val="upperLetter"/>
      <w:start w:val="1"/>
    </w:lvl>
    <w:lvl w:ilvl="1">
      <w:lvlJc w:val="left"/>
      <w:lvlText w:val="%2."/>
      <w:numFmt w:val="decimal"/>
      <w:start w:val="5"/>
    </w:lvl>
  </w:abstractNum>
  <w:abstractNum w:abstractNumId="10">
    <w:nsid w:val="1D4ED43B"/>
    <w:multiLevelType w:val="hybridMultilevel"/>
    <w:lvl w:ilvl="0">
      <w:lvlJc w:val="left"/>
      <w:lvlText w:val="%1."/>
      <w:numFmt w:val="upperLetter"/>
      <w:start w:val="7"/>
    </w:lvl>
    <w:lvl w:ilvl="1">
      <w:lvlJc w:val="left"/>
      <w:lvlText w:val="%2"/>
      <w:numFmt w:val="decimal"/>
      <w:start w:val="1"/>
    </w:lvl>
  </w:abstractNum>
  <w:abstractNum w:abstractNumId="11">
    <w:nsid w:val="725A06FB"/>
    <w:multiLevelType w:val="hybridMultilevel"/>
    <w:lvl w:ilvl="0">
      <w:lvlJc w:val="left"/>
      <w:lvlText w:val="%1."/>
      <w:numFmt w:val="upperLetter"/>
      <w:start w:val="10"/>
    </w:lvl>
  </w:abstractNum>
  <w:abstractNum w:abstractNumId="12">
    <w:nsid w:val="2CD89A32"/>
    <w:multiLevelType w:val="hybridMultilevel"/>
    <w:lvl w:ilvl="0">
      <w:lvlJc w:val="left"/>
      <w:lvlText w:val="%1."/>
      <w:numFmt w:val="upperLetter"/>
      <w:start w:val="11"/>
    </w:lvl>
  </w:abstractNum>
  <w:abstractNum w:abstractNumId="13">
    <w:nsid w:val="57E4CCAF"/>
    <w:multiLevelType w:val="hybridMultilevel"/>
    <w:lvl w:ilvl="0">
      <w:lvlJc w:val="left"/>
      <w:lvlText w:val="%1"/>
      <w:numFmt w:val="lowerRoman"/>
      <w:start w:val="1"/>
    </w:lvl>
    <w:lvl w:ilvl="1">
      <w:lvlJc w:val="left"/>
      <w:lvlText w:val="%2)"/>
      <w:numFmt w:val="lowerLetter"/>
      <w:start w:val="1"/>
    </w:lvl>
  </w:abstractNum>
  <w:abstractNum w:abstractNumId="14">
    <w:nsid w:val="7A6D8D3C"/>
    <w:multiLevelType w:val="hybridMultilevel"/>
    <w:lvl w:ilvl="0">
      <w:lvlJc w:val="left"/>
      <w:lvlText w:val="(%1)"/>
      <w:numFmt w:val="lowerRoman"/>
      <w:start w:val="2"/>
    </w:lvl>
    <w:lvl w:ilvl="1">
      <w:lvlJc w:val="left"/>
      <w:lvlText w:val="%2"/>
      <w:numFmt w:val="lowerLetter"/>
      <w:start w:val="1"/>
    </w:lvl>
  </w:abstractNum>
  <w:abstractNum w:abstractNumId="15">
    <w:nsid w:val="4B588F54"/>
    <w:multiLevelType w:val="hybridMultilevel"/>
    <w:lvl w:ilvl="0">
      <w:lvlJc w:val="left"/>
      <w:lvlText w:val="%1)"/>
      <w:numFmt w:val="lowerLetter"/>
      <w:start w:val="2"/>
    </w:lvl>
  </w:abstractNum>
  <w:abstractNum w:abstractNumId="16">
    <w:nsid w:val="542289EC"/>
    <w:multiLevelType w:val="hybridMultilevel"/>
    <w:lvl w:ilvl="0">
      <w:lvlJc w:val="left"/>
      <w:lvlText w:val="(%1)"/>
      <w:numFmt w:val="upperLetter"/>
      <w:start w:val="1"/>
    </w:lvl>
  </w:abstractNum>
  <w:abstractNum w:abstractNumId="17">
    <w:nsid w:val="6DE91B18"/>
    <w:multiLevelType w:val="hybridMultilevel"/>
    <w:lvl w:ilvl="0">
      <w:lvlJc w:val="left"/>
      <w:lvlText w:val="(%1)"/>
      <w:numFmt w:val="upperLetter"/>
      <w:start w:val="24"/>
    </w:lvl>
  </w:abstractNum>
  <w:abstractNum w:abstractNumId="18">
    <w:nsid w:val="38437FDB"/>
    <w:multiLevelType w:val="hybridMultilevel"/>
    <w:lvl w:ilvl="0">
      <w:lvlJc w:val="left"/>
      <w:lvlText w:val="%1)"/>
      <w:numFmt w:val="lowerLetter"/>
      <w:start w:val="4"/>
    </w:lvl>
    <w:lvl w:ilvl="1">
      <w:lvlJc w:val="left"/>
      <w:lvlText w:val="%2."/>
      <w:numFmt w:val="lowerRoman"/>
      <w:start w:val="1"/>
    </w:lvl>
  </w:abstractNum>
  <w:abstractNum w:abstractNumId="19">
    <w:nsid w:val="7644A45C"/>
    <w:multiLevelType w:val="hybridMultilevel"/>
    <w:lvl w:ilvl="0">
      <w:lvlJc w:val="left"/>
      <w:lvlText w:val="(%1)"/>
      <w:numFmt w:val="decimal"/>
      <w:start w:val="1"/>
    </w:lvl>
    <w:lvl w:ilvl="1">
      <w:lvlJc w:val="left"/>
      <w:lvlText w:val="%2."/>
      <w:numFmt w:val="lowerRoman"/>
      <w:start w:val="2"/>
    </w:lvl>
  </w:abstractNum>
  <w:abstractNum w:abstractNumId="20">
    <w:nsid w:val="32FFF902"/>
    <w:multiLevelType w:val="hybridMultilevel"/>
    <w:lvl w:ilvl="0">
      <w:lvlJc w:val="left"/>
      <w:lvlText w:val="%1."/>
      <w:numFmt w:val="lowerRoman"/>
      <w:start w:val="4"/>
    </w:lvl>
  </w:abstractNum>
  <w:abstractNum w:abstractNumId="21">
    <w:nsid w:val="684A481A"/>
    <w:multiLevelType w:val="hybridMultilevel"/>
    <w:lvl w:ilvl="0">
      <w:lvlJc w:val="left"/>
      <w:lvlText w:val="%1."/>
      <w:numFmt w:val="lowerRoman"/>
      <w:start w:val="5"/>
    </w:lvl>
  </w:abstractNum>
  <w:abstractNum w:abstractNumId="22">
    <w:nsid w:val="579478FE"/>
    <w:multiLevelType w:val="hybridMultilevel"/>
    <w:lvl w:ilvl="0">
      <w:lvlJc w:val="left"/>
      <w:lvlText w:val="%1"/>
      <w:numFmt w:val="lowerLetter"/>
      <w:start w:val="1"/>
    </w:lvl>
    <w:lvl w:ilvl="1">
      <w:lvlJc w:val="left"/>
      <w:lvlText w:val="%2."/>
      <w:numFmt w:val="lowerRoman"/>
      <w:start w:val="7"/>
    </w:lvl>
  </w:abstractNum>
  <w:abstractNum w:abstractNumId="23">
    <w:nsid w:val="749ABB43"/>
    <w:multiLevelType w:val="hybridMultilevel"/>
    <w:lvl w:ilvl="0">
      <w:lvlJc w:val="left"/>
      <w:lvlText w:val="%1)"/>
      <w:numFmt w:val="lowerLetter"/>
      <w:start w:val="5"/>
    </w:lvl>
    <w:lvl w:ilvl="1">
      <w:lvlJc w:val="left"/>
      <w:lvlText w:val="%2"/>
      <w:numFmt w:val="lowerRoman"/>
      <w:start w:val="1"/>
    </w:lvl>
  </w:abstractNum>
  <w:abstractNum w:abstractNumId="24">
    <w:nsid w:val="3DC240FB"/>
    <w:multiLevelType w:val="hybridMultilevel"/>
    <w:lvl w:ilvl="0">
      <w:lvlJc w:val="left"/>
      <w:lvlText w:val="%1"/>
      <w:numFmt w:val="lowerRoman"/>
      <w:start w:val="1"/>
    </w:lvl>
    <w:lvl w:ilvl="1">
      <w:lvlJc w:val="left"/>
      <w:lvlText w:val="%2)"/>
      <w:numFmt w:val="lowerLetter"/>
      <w:start w:val="1"/>
    </w:lvl>
  </w:abstractNum>
  <w:abstractNum w:abstractNumId="25">
    <w:nsid w:val="1BA026FA"/>
    <w:multiLevelType w:val="hybridMultilevel"/>
    <w:lvl w:ilvl="0">
      <w:lvlJc w:val="left"/>
      <w:lvlText w:val="(%1)"/>
      <w:numFmt w:val="lowerRoman"/>
      <w:start w:val="2"/>
    </w:lvl>
    <w:lvl w:ilvl="1">
      <w:lvlJc w:val="left"/>
      <w:lvlText w:val="%2"/>
      <w:numFmt w:val="lowerLetter"/>
      <w:start w:val="1"/>
    </w:lvl>
  </w:abstractNum>
  <w:abstractNum w:abstractNumId="26">
    <w:nsid w:val="79A1DEAA"/>
    <w:multiLevelType w:val="hybridMultilevel"/>
    <w:lvl w:ilvl="0">
      <w:lvlJc w:val="left"/>
      <w:lvlText w:val="%1)"/>
      <w:numFmt w:val="lowerLetter"/>
      <w:start w:val="2"/>
    </w:lvl>
  </w:abstractNum>
  <w:abstractNum w:abstractNumId="27">
    <w:nsid w:val="75C6C33A"/>
    <w:multiLevelType w:val="hybridMultilevel"/>
    <w:lvl w:ilvl="0">
      <w:lvlJc w:val="left"/>
      <w:lvlText w:val="%1)"/>
      <w:numFmt w:val="lowerLetter"/>
      <w:start w:val="4"/>
    </w:lvl>
  </w:abstractNum>
  <w:abstractNum w:abstractNumId="28">
    <w:nsid w:val="12E685FB"/>
    <w:multiLevelType w:val="hybridMultilevel"/>
    <w:lvl w:ilvl="0">
      <w:lvlJc w:val="left"/>
      <w:lvlText w:val="%1)"/>
      <w:numFmt w:val="lowerLetter"/>
      <w:start w:val="5"/>
    </w:lvl>
    <w:lvl w:ilvl="1">
      <w:lvlJc w:val="left"/>
      <w:lvlText w:val="%2."/>
      <w:numFmt w:val="lowerRoman"/>
      <w:start w:val="1"/>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lowerLetter"/>
      <w:start w:val="2"/>
    </w:lvl>
  </w:abstractNum>
  <w:abstractNum w:abstractNumId="31">
    <w:nsid w:val="374A3FE6"/>
    <w:multiLevelType w:val="hybridMultilevel"/>
    <w:lvl w:ilvl="0">
      <w:lvlJc w:val="left"/>
      <w:lvlText w:val="%1)"/>
      <w:numFmt w:val="lowerLetter"/>
      <w:start w:val="1"/>
    </w:lvl>
  </w:abstractNum>
  <w:abstractNum w:abstractNumId="32">
    <w:nsid w:val="4F4EF005"/>
    <w:multiLevelType w:val="hybridMultilevel"/>
    <w:lvl w:ilvl="0">
      <w:lvlJc w:val="left"/>
      <w:lvlText w:val="%1)"/>
      <w:numFmt w:val="lowerLetter"/>
      <w:start w:val="5"/>
    </w:lvl>
  </w:abstractNum>
  <w:abstractNum w:abstractNumId="33">
    <w:nsid w:val="23F9C13C"/>
    <w:multiLevelType w:val="hybridMultilevel"/>
    <w:lvl w:ilvl="0">
      <w:lvlJc w:val="left"/>
      <w:lvlText w:val="%1)"/>
      <w:numFmt w:val="lowerLetter"/>
      <w:start w:val="7"/>
    </w:lvl>
  </w:abstractNum>
  <w:abstractNum w:abstractNumId="34">
    <w:nsid w:val="649BB77C"/>
    <w:multiLevelType w:val="hybridMultilevel"/>
    <w:lvl w:ilvl="0">
      <w:lvlJc w:val="left"/>
      <w:lvlText w:val="%1)"/>
      <w:numFmt w:val="lowerLetter"/>
      <w:start w:val="14"/>
    </w:lvl>
  </w:abstractNum>
  <w:abstractNum w:abstractNumId="35">
    <w:nsid w:val="275AC794"/>
    <w:multiLevelType w:val="hybridMultilevel"/>
    <w:lvl w:ilvl="0">
      <w:lvlJc w:val="left"/>
      <w:lvlText w:val="(%1)"/>
      <w:numFmt w:val="decimal"/>
      <w:start w:val="2"/>
    </w:lvl>
  </w:abstractNum>
  <w:abstractNum w:abstractNumId="36">
    <w:nsid w:val="39386575"/>
    <w:multiLevelType w:val="hybridMultilevel"/>
    <w:lvl w:ilvl="0">
      <w:lvlJc w:val="left"/>
      <w:lvlText w:val="(%1)"/>
      <w:numFmt w:val="decimal"/>
      <w:start w:val="2"/>
    </w:lvl>
    <w:lvl w:ilvl="1">
      <w:lvlJc w:val="left"/>
      <w:lvlText w:val="["/>
      <w:numFmt w:val="bullet"/>
      <w:start w:val="1"/>
    </w:lvl>
  </w:abstractNum>
  <w:abstractNum w:abstractNumId="37">
    <w:nsid w:val="1CF10FD8"/>
    <w:multiLevelType w:val="hybridMultilevel"/>
    <w:lvl w:ilvl="0">
      <w:lvlJc w:val="left"/>
      <w:lvlText w:val="(%1)"/>
      <w:numFmt w:val="lowerLetter"/>
      <w:start w:val="1"/>
    </w:lvl>
    <w:lvl w:ilvl="1">
      <w:lvlJc w:val="left"/>
      <w:lvlText w:val="(%2)"/>
      <w:numFmt w:val="lowerRoman"/>
      <w:start w:val="1"/>
    </w:lvl>
  </w:abstractNum>
  <w:abstractNum w:abstractNumId="38">
    <w:nsid w:val="180115BE"/>
    <w:multiLevelType w:val="hybridMultilevel"/>
    <w:lvl w:ilvl="0">
      <w:lvlJc w:val="left"/>
      <w:lvlText w:val="%1"/>
      <w:numFmt w:val="lowerLetter"/>
      <w:start w:val="1"/>
    </w:lvl>
    <w:lvl w:ilvl="1">
      <w:lvlJc w:val="left"/>
      <w:lvlText w:val="(%2)"/>
      <w:numFmt w:val="lowerRoman"/>
      <w:start w:val="5"/>
    </w:lvl>
  </w:abstractNum>
  <w:abstractNum w:abstractNumId="39">
    <w:nsid w:val="235BA861"/>
    <w:multiLevelType w:val="hybridMultilevel"/>
    <w:lvl w:ilvl="0">
      <w:lvlJc w:val="left"/>
      <w:lvlText w:val="(%1)"/>
      <w:numFmt w:val="lowerLetter"/>
      <w:start w:val="2"/>
    </w:lvl>
    <w:lvl w:ilvl="1">
      <w:lvlJc w:val="left"/>
      <w:lvlText w:val="(%2)"/>
      <w:numFmt w:val="lowerRoman"/>
      <w:start w:val="1"/>
    </w:lvl>
  </w:abstractNum>
  <w:abstractNum w:abstractNumId="40">
    <w:nsid w:val="47398C89"/>
    <w:multiLevelType w:val="hybridMultilevel"/>
    <w:lvl w:ilvl="0">
      <w:lvlJc w:val="left"/>
      <w:lvlText w:val="(%1)"/>
      <w:numFmt w:val="lowerLetter"/>
      <w:start w:val="1"/>
    </w:lvl>
    <w:lvl w:ilvl="1">
      <w:lvlJc w:val="left"/>
      <w:lvlText w:val="(%2)"/>
      <w:numFmt w:val="lowerLetter"/>
      <w:start w:val="9"/>
    </w:lvl>
  </w:abstractNum>
  <w:abstractNum w:abstractNumId="41">
    <w:nsid w:val="354FE9F9"/>
    <w:multiLevelType w:val="hybridMultilevel"/>
    <w:lvl w:ilvl="0">
      <w:lvlJc w:val="left"/>
      <w:lvlText w:val="%1"/>
      <w:numFmt w:val="lowerLetter"/>
      <w:start w:val="1"/>
    </w:lvl>
    <w:lvl w:ilvl="1">
      <w:lvlJc w:val="left"/>
      <w:lvlText w:val="(%2)"/>
      <w:numFmt w:val="lowerRoman"/>
      <w:start w:val="2"/>
    </w:lvl>
  </w:abstractNum>
  <w:abstractNum w:abstractNumId="42">
    <w:nsid w:val="15B5AF5C"/>
    <w:multiLevelType w:val="hybridMultilevel"/>
    <w:lvl w:ilvl="0">
      <w:lvlJc w:val="left"/>
      <w:lvlText w:val="(%1)"/>
      <w:numFmt w:val="lowerLetter"/>
      <w:start w:val="2"/>
    </w:lvl>
    <w:lvl w:ilvl="1">
      <w:lvlJc w:val="left"/>
      <w:lvlText w:val="(%2)"/>
      <w:numFmt w:val="lowerRoman"/>
      <w:start w:val="1"/>
    </w:lvl>
  </w:abstractNum>
  <w:abstractNum w:abstractNumId="43">
    <w:nsid w:val="741226BB"/>
    <w:multiLevelType w:val="hybridMultilevel"/>
    <w:lvl w:ilvl="0">
      <w:lvlJc w:val="left"/>
      <w:lvlText w:val="(%1)"/>
      <w:numFmt w:val="lowerRoman"/>
      <w:start w:val="3"/>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lowerLetter"/>
      <w:start w:val="1"/>
    </w:lvl>
    <w:lvl w:ilvl="1">
      <w:lvlJc w:val="left"/>
      <w:lvlText w:val="(%2)"/>
      <w:numFmt w:val="lowerLetter"/>
      <w:start w:val="3"/>
    </w:lvl>
  </w:abstractNum>
  <w:abstractNum w:abstractNumId="46">
    <w:nsid w:val="3F6AB60F"/>
    <w:multiLevelType w:val="hybridMultilevel"/>
    <w:lvl w:ilvl="0">
      <w:lvlJc w:val="left"/>
      <w:lvlText w:val="(%1)"/>
      <w:numFmt w:val="lowerLetter"/>
      <w:start w:val="61"/>
    </w:lvl>
    <w:lvl w:ilvl="1">
      <w:lvlJc w:val="left"/>
      <w:lvlText w:val="%2"/>
      <w:numFmt w:val="lowerLetter"/>
      <w:start w:val="1"/>
    </w:lvl>
  </w:abstractNum>
  <w:abstractNum w:abstractNumId="47">
    <w:nsid w:val="61574095"/>
    <w:multiLevelType w:val="hybridMultilevel"/>
    <w:lvl w:ilvl="0">
      <w:lvlJc w:val="left"/>
      <w:lvlText w:val="(%1)"/>
      <w:numFmt w:val="lowerLetter"/>
      <w:start w:val="4"/>
    </w:lvl>
  </w:abstractNum>
  <w:abstractNum w:abstractNumId="48">
    <w:nsid w:val="7E0C57B1"/>
    <w:multiLevelType w:val="hybridMultilevel"/>
    <w:lvl w:ilvl="0">
      <w:lvlJc w:val="left"/>
      <w:lvlText w:val="(%1)"/>
      <w:numFmt w:val="lowerLetter"/>
      <w:start w:val="5"/>
    </w:lvl>
  </w:abstractNum>
  <w:abstractNum w:abstractNumId="49">
    <w:nsid w:val="77AE35EB"/>
    <w:multiLevelType w:val="hybridMultilevel"/>
    <w:lvl w:ilvl="0">
      <w:lvlJc w:val="left"/>
      <w:lvlText w:val="(%1)"/>
      <w:numFmt w:val="lowerLetter"/>
      <w:start w:val="7"/>
    </w:lvl>
  </w:abstractNum>
  <w:abstractNum w:abstractNumId="50">
    <w:nsid w:val="579BE4F1"/>
    <w:multiLevelType w:val="hybridMultilevel"/>
    <w:lvl w:ilvl="0">
      <w:lvlJc w:val="left"/>
      <w:lvlText w:val="(%1)"/>
      <w:numFmt w:val="lowerLetter"/>
      <w:start w:val="9"/>
    </w:lvl>
  </w:abstractNum>
  <w:abstractNum w:abstractNumId="51">
    <w:nsid w:val="310C50B3"/>
    <w:multiLevelType w:val="hybridMultilevel"/>
    <w:lvl w:ilvl="0">
      <w:lvlJc w:val="left"/>
      <w:lvlText w:val="(%1)"/>
      <w:numFmt w:val="lowerLetter"/>
      <w:start w:val="11"/>
    </w:lvl>
  </w:abstractNum>
  <w:abstractNum w:abstractNumId="52">
    <w:nsid w:val="5FF87E05"/>
    <w:multiLevelType w:val="hybridMultilevel"/>
    <w:lvl w:ilvl="0">
      <w:lvlJc w:val="left"/>
      <w:lvlText w:val="(%1)"/>
      <w:numFmt w:val="lowerLetter"/>
      <w:start w:val="14"/>
    </w:lvl>
  </w:abstractNum>
  <w:abstractNum w:abstractNumId="53">
    <w:nsid w:val="2F305DEF"/>
    <w:multiLevelType w:val="hybridMultilevel"/>
    <w:lvl w:ilvl="0">
      <w:lvlJc w:val="left"/>
      <w:lvlText w:val="%1"/>
      <w:numFmt w:val="lowerLetter"/>
      <w:start w:val="1"/>
    </w:lvl>
    <w:lvl w:ilvl="1">
      <w:lvlJc w:val="left"/>
      <w:lvlText w:val="(%2)"/>
      <w:numFmt w:val="lowerLetter"/>
      <w:start w:val="17"/>
    </w:lvl>
  </w:abstractNum>
  <w:abstractNum w:abstractNumId="54">
    <w:nsid w:val="25A70BF7"/>
    <w:multiLevelType w:val="hybridMultilevel"/>
    <w:lvl w:ilvl="0">
      <w:lvlJc w:val="left"/>
      <w:lvlText w:val="(%1)"/>
      <w:numFmt w:val="lowerLetter"/>
      <w:start w:val="35"/>
    </w:lvl>
    <w:lvl w:ilvl="1">
      <w:lvlJc w:val="left"/>
      <w:lvlText w:val="(%2)"/>
      <w:numFmt w:val="lowerLetter"/>
      <w:start w:val="19"/>
    </w:lvl>
  </w:abstractNum>
  <w:abstractNum w:abstractNumId="55">
    <w:nsid w:val="1DBABF00"/>
    <w:multiLevelType w:val="hybridMultilevel"/>
    <w:lvl w:ilvl="0">
      <w:lvlJc w:val="left"/>
      <w:lvlText w:val="(%1)"/>
      <w:numFmt w:val="lowerLetter"/>
      <w:start w:val="20"/>
    </w:lvl>
  </w:abstractNum>
  <w:abstractNum w:abstractNumId="56">
    <w:nsid w:val="4AD084E9"/>
    <w:multiLevelType w:val="hybridMultilevel"/>
    <w:lvl w:ilvl="0">
      <w:lvlJc w:val="left"/>
      <w:lvlText w:val="(%1)"/>
      <w:numFmt w:val="lowerLetter"/>
      <w:start w:val="24"/>
    </w:lvl>
  </w:abstractNum>
  <w:abstractNum w:abstractNumId="57">
    <w:nsid w:val="1F48EAA1"/>
    <w:multiLevelType w:val="hybridMultilevel"/>
    <w:lvl w:ilvl="0">
      <w:lvlJc w:val="left"/>
      <w:lvlText w:val="(%1)"/>
      <w:numFmt w:val="lowerLetter"/>
      <w:start w:val="27"/>
    </w:lvl>
  </w:abstractNum>
  <w:abstractNum w:abstractNumId="58">
    <w:nsid w:val="1381823A"/>
    <w:multiLevelType w:val="hybridMultilevel"/>
    <w:lvl w:ilvl="0">
      <w:lvlJc w:val="left"/>
      <w:lvlText w:val="%1"/>
      <w:numFmt w:val="lowerLetter"/>
      <w:start w:val="1"/>
    </w:lvl>
    <w:lvl w:ilvl="1">
      <w:lvlJc w:val="left"/>
      <w:lvlText w:val="(%2)"/>
      <w:numFmt w:val="lowerLetter"/>
      <w:start w:val="28"/>
    </w:lvl>
  </w:abstractNum>
  <w:abstractNum w:abstractNumId="59">
    <w:nsid w:val="5DB70AE5"/>
    <w:multiLevelType w:val="hybridMultilevel"/>
    <w:lvl w:ilvl="0">
      <w:lvlJc w:val="left"/>
      <w:lvlText w:val="(%1)"/>
      <w:numFmt w:val="lowerLetter"/>
      <w:start w:val="61"/>
    </w:lvl>
    <w:lvl w:ilvl="1">
      <w:lvlJc w:val="left"/>
      <w:lvlText w:val="(%2)"/>
      <w:numFmt w:val="lowerLetter"/>
      <w:start w:val="29"/>
    </w:lvl>
  </w:abstractNum>
  <w:abstractNum w:abstractNumId="60">
    <w:nsid w:val="100F8FCA"/>
    <w:multiLevelType w:val="hybridMultilevel"/>
    <w:lvl w:ilvl="0">
      <w:lvlJc w:val="left"/>
      <w:lvlText w:val="(%1)"/>
      <w:numFmt w:val="lowerLetter"/>
      <w:start w:val="61"/>
    </w:lvl>
    <w:lvl w:ilvl="1">
      <w:lvlJc w:val="left"/>
      <w:lvlText w:val="(%2)"/>
      <w:numFmt w:val="lowerLetter"/>
      <w:start w:val="30"/>
    </w:lvl>
  </w:abstractNum>
  <w:abstractNum w:abstractNumId="61">
    <w:nsid w:val="6590700B"/>
    <w:multiLevelType w:val="hybridMultilevel"/>
    <w:lvl w:ilvl="0">
      <w:lvlJc w:val="left"/>
      <w:lvlText w:val="(%1)"/>
      <w:numFmt w:val="lowerLetter"/>
      <w:start w:val="61"/>
    </w:lvl>
    <w:lvl w:ilvl="1">
      <w:lvlJc w:val="left"/>
      <w:lvlText w:val="%2"/>
      <w:numFmt w:val="lowerLetter"/>
      <w:start w:val="1"/>
    </w:lvl>
  </w:abstractNum>
  <w:abstractNum w:abstractNumId="62">
    <w:nsid w:val="15014ACB"/>
    <w:multiLevelType w:val="hybridMultilevel"/>
    <w:lvl w:ilvl="0">
      <w:lvlJc w:val="left"/>
      <w:lvlText w:val="%1"/>
      <w:numFmt w:val="lowerLetter"/>
      <w:start w:val="1"/>
    </w:lvl>
    <w:lvl w:ilvl="1">
      <w:lvlJc w:val="left"/>
      <w:lvlText w:val="(%2)"/>
      <w:numFmt w:val="lowerLetter"/>
      <w:start w:val="33"/>
    </w:lvl>
  </w:abstractNum>
  <w:abstractNum w:abstractNumId="63">
    <w:nsid w:val="5F5E7FD0"/>
    <w:multiLevelType w:val="hybridMultilevel"/>
    <w:lvl w:ilvl="0">
      <w:lvlJc w:val="left"/>
      <w:lvlText w:val="(%1)"/>
      <w:numFmt w:val="lowerLetter"/>
      <w:start w:val="61"/>
    </w:lvl>
    <w:lvl w:ilvl="1">
      <w:lvlJc w:val="left"/>
      <w:lvlText w:val="(%2)"/>
      <w:numFmt w:val="lowerLetter"/>
      <w:start w:val="34"/>
    </w:lvl>
  </w:abstractNum>
  <w:abstractNum w:abstractNumId="64">
    <w:nsid w:val="98A3148"/>
    <w:multiLevelType w:val="hybridMultilevel"/>
    <w:lvl w:ilvl="0">
      <w:lvlJc w:val="left"/>
      <w:lvlText w:val="(%1)"/>
      <w:numFmt w:val="lowerLetter"/>
      <w:start w:val="35"/>
    </w:lvl>
  </w:abstractNum>
  <w:abstractNum w:abstractNumId="65">
    <w:nsid w:val="799D0247"/>
    <w:multiLevelType w:val="hybridMultilevel"/>
    <w:lvl w:ilvl="0">
      <w:lvlJc w:val="left"/>
      <w:lvlText w:val="%1"/>
      <w:numFmt w:val="lowerLetter"/>
      <w:start w:val="1"/>
    </w:lvl>
    <w:lvl w:ilvl="1">
      <w:lvlJc w:val="left"/>
      <w:lvlText w:val="(%2)"/>
      <w:numFmt w:val="lowerLetter"/>
      <w:start w:val="1"/>
    </w:lvl>
  </w:abstractNum>
  <w:abstractNum w:abstractNumId="66">
    <w:nsid w:val="6B94764"/>
    <w:multiLevelType w:val="hybridMultilevel"/>
    <w:lvl w:ilvl="0">
      <w:lvlJc w:val="left"/>
      <w:lvlText w:val="(%1)"/>
      <w:numFmt w:val="lowerLetter"/>
      <w:start w:val="2"/>
    </w:lvl>
    <w:lvl w:ilvl="1">
      <w:lvlJc w:val="left"/>
      <w:lvlText w:val="%2"/>
      <w:numFmt w:val="lowerLetter"/>
      <w:start w:val="1"/>
    </w:lvl>
  </w:abstractNum>
  <w:abstractNum w:abstractNumId="67">
    <w:nsid w:val="42C296BD"/>
    <w:multiLevelType w:val="hybridMultilevel"/>
    <w:lvl w:ilvl="0">
      <w:lvlJc w:val="left"/>
      <w:lvlText w:val="(%1)"/>
      <w:numFmt w:val="lowerLetter"/>
      <w:start w:val="4"/>
    </w:lvl>
  </w:abstractNum>
  <w:abstractNum w:abstractNumId="68">
    <w:nsid w:val="168E121F"/>
    <w:multiLevelType w:val="hybridMultilevel"/>
    <w:lvl w:ilvl="0">
      <w:lvlJc w:val="left"/>
      <w:lvlText w:val="(%1)"/>
      <w:numFmt w:val="lowerLetter"/>
      <w:start w:val="6"/>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upperLetter"/>
      <w:start w:val="1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lowerLetter"/>
      <w:start w:val="2"/>
    </w:lvl>
  </w:abstractNum>
  <w:abstractNum w:abstractNumId="73">
    <w:nsid w:val="7BD3EE7B"/>
    <w:multiLevelType w:val="hybridMultilevel"/>
    <w:lvl w:ilvl="0">
      <w:lvlJc w:val="left"/>
      <w:lvlText w:val="(%1)"/>
      <w:numFmt w:val="lowerRoman"/>
      <w:start w:val="3"/>
    </w:lvl>
  </w:abstractNum>
  <w:abstractNum w:abstractNumId="74">
    <w:nsid w:val="51D9C564"/>
    <w:multiLevelType w:val="hybridMultilevel"/>
    <w:lvl w:ilvl="0">
      <w:lvlJc w:val="left"/>
      <w:lvlText w:val="(%1)"/>
      <w:numFmt w:val="lowerLetter"/>
      <w:start w:val="4"/>
    </w:lvl>
  </w:abstractNum>
  <w:abstractNum w:abstractNumId="75">
    <w:nsid w:val="613EFDC5"/>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2019-12-29T02:32:26Z</dcterms:created>
  <dcterms:modified xsi:type="dcterms:W3CDTF">2019-12-29T02:32:26Z</dcterms:modified>
</cp:coreProperties>
</file>