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February 10,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225425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Axsome Therapeutics,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20" w:type="dxa"/>
        <w:tblCellMar>
          <w:top w:w="0" w:type="dxa"/>
          <w:left w:w="0" w:type="dxa"/>
          <w:bottom w:w="0" w:type="dxa"/>
          <w:right w:w="0" w:type="dxa"/>
        </w:tblCellMar>
      </w:tblPr>
      <w:tr>
        <w:trPr>
          <w:trHeight w:val="235"/>
        </w:trPr>
        <w:tc>
          <w:tcPr>
            <w:tcW w:w="3060" w:type="dxa"/>
            <w:vAlign w:val="bottom"/>
          </w:tcPr>
          <w:p>
            <w:pPr>
              <w:jc w:val="center"/>
              <w:ind w:right="58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4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001-37635</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45-4241907</w:t>
            </w:r>
          </w:p>
        </w:tc>
      </w:tr>
      <w:tr>
        <w:trPr>
          <w:trHeight w:val="148"/>
        </w:trPr>
        <w:tc>
          <w:tcPr>
            <w:tcW w:w="3060" w:type="dxa"/>
            <w:vAlign w:val="bottom"/>
          </w:tcPr>
          <w:p>
            <w:pPr>
              <w:jc w:val="center"/>
              <w:ind w:right="58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40" w:type="dxa"/>
            <w:vAlign w:val="bottom"/>
          </w:tcPr>
          <w:p>
            <w:pPr>
              <w:jc w:val="center"/>
              <w:ind w:right="26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60" w:type="dxa"/>
            <w:vAlign w:val="bottom"/>
          </w:tcPr>
          <w:p>
            <w:pPr>
              <w:jc w:val="center"/>
              <w:ind w:right="58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4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437"/>
        </w:trPr>
        <w:tc>
          <w:tcPr>
            <w:tcW w:w="306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9"/>
              </w:rPr>
              <w:t>22 Cortlandt Street, 16th Floor</w:t>
            </w:r>
          </w:p>
        </w:tc>
        <w:tc>
          <w:tcPr>
            <w:tcW w:w="324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35"/>
        </w:trPr>
        <w:tc>
          <w:tcPr>
            <w:tcW w:w="306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7"/>
              </w:rPr>
              <w:t>New York, New York</w:t>
            </w:r>
          </w:p>
        </w:tc>
        <w:tc>
          <w:tcPr>
            <w:tcW w:w="3240" w:type="dxa"/>
            <w:vAlign w:val="bottom"/>
          </w:tcPr>
          <w:p>
            <w:pPr>
              <w:spacing w:after="0"/>
              <w:rPr>
                <w:sz w:val="20"/>
                <w:szCs w:val="20"/>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10007</w:t>
            </w:r>
          </w:p>
        </w:tc>
      </w:tr>
      <w:tr>
        <w:trPr>
          <w:trHeight w:val="178"/>
        </w:trPr>
        <w:tc>
          <w:tcPr>
            <w:tcW w:w="3060" w:type="dxa"/>
            <w:vAlign w:val="bottom"/>
          </w:tcPr>
          <w:p>
            <w:pPr>
              <w:jc w:val="center"/>
              <w:ind w:right="58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4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2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(212) 332-3241</w:t>
      </w: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08"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45"/>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1"/>
                <w:szCs w:val="21"/>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1"/>
                <w:szCs w:val="21"/>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12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AXSM</w:t>
            </w:r>
          </w:p>
        </w:tc>
        <w:tc>
          <w:tcPr>
            <w:tcW w:w="12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Market</w:t>
            </w:r>
          </w:p>
        </w:tc>
      </w:tr>
    </w:tbl>
    <w:p>
      <w:pPr>
        <w:spacing w:after="0" w:line="193"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79"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00"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1"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121" w:lineRule="exact"/>
        <w:rPr>
          <w:sz w:val="20"/>
          <w:szCs w:val="20"/>
          <w:color w:val="auto"/>
        </w:rPr>
      </w:pPr>
    </w:p>
    <w:p>
      <w:pPr>
        <w:ind w:right="300" w:firstLine="749"/>
        <w:spacing w:after="0" w:line="261" w:lineRule="auto"/>
        <w:rPr>
          <w:sz w:val="20"/>
          <w:szCs w:val="20"/>
          <w:color w:val="auto"/>
        </w:rPr>
      </w:pPr>
      <w:r>
        <w:rPr>
          <w:rFonts w:ascii="Times New Roman" w:cs="Times New Roman" w:eastAsia="Times New Roman" w:hAnsi="Times New Roman"/>
          <w:sz w:val="18"/>
          <w:szCs w:val="18"/>
          <w:color w:val="auto"/>
        </w:rPr>
        <w:t>On February 10, 2023, Axsome Therapeutics, Inc. (the “Company”) received a Paragraph IV Certification Notice Letter (the “Notice Letter”) from Teva Pharmaceuticals, Inc. (“Teva”), providing notification to the Company that Teva has submitted an Abbreviated New Drug Application (“ANDA”) to the U.S. Food and Drug Administration (“FDA”) seeking approval to manufacture, use, or sell a generic version of Auvelity® (dextromethorphan HBr-bupropion HCl).</w:t>
      </w:r>
    </w:p>
    <w:p>
      <w:pPr>
        <w:spacing w:after="0" w:line="180" w:lineRule="exact"/>
        <w:rPr>
          <w:sz w:val="20"/>
          <w:szCs w:val="20"/>
          <w:color w:val="auto"/>
        </w:rPr>
      </w:pPr>
    </w:p>
    <w:p>
      <w:pPr>
        <w:ind w:right="100" w:firstLine="749"/>
        <w:spacing w:after="0" w:line="266" w:lineRule="auto"/>
        <w:rPr>
          <w:sz w:val="20"/>
          <w:szCs w:val="20"/>
          <w:color w:val="auto"/>
        </w:rPr>
      </w:pPr>
      <w:r>
        <w:rPr>
          <w:rFonts w:ascii="Times New Roman" w:cs="Times New Roman" w:eastAsia="Times New Roman" w:hAnsi="Times New Roman"/>
          <w:sz w:val="18"/>
          <w:szCs w:val="18"/>
          <w:color w:val="auto"/>
        </w:rPr>
        <w:t>In the Notice Letter, Teva alleges that four of the patents listed in the FDA Orange Book for Auvelity, U.S. Patent Numbers 10,780,064; 10,925,842; 10,940,124; and 10,966,942, each of which expires in 2040, are invalid, unenforceable, or will not be infringed by Teva's manufacture, use, or sale of the generic product described in its ANDA submission.</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Paragraph IV Certification does not challenge any of the remaining Orange Book listed patents for Auvelity which have expirations out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2034.</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760" w:type="dxa"/>
            <w:vAlign w:val="bottom"/>
          </w:tcPr>
          <w:p>
            <w:pPr>
              <w:spacing w:after="0"/>
              <w:rPr>
                <w:sz w:val="21"/>
                <w:szCs w:val="21"/>
                <w:color w:val="auto"/>
              </w:rPr>
            </w:pPr>
          </w:p>
        </w:tc>
        <w:tc>
          <w:tcPr>
            <w:tcW w:w="9400" w:type="dxa"/>
            <w:vAlign w:val="bottom"/>
            <w:tcBorders>
              <w:bottom w:val="single" w:sz="8" w:color="auto"/>
            </w:tcBorders>
          </w:tcPr>
          <w:p>
            <w:pPr>
              <w:ind w:left="426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445"/>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760" w:type="dxa"/>
            <w:vAlign w:val="bottom"/>
          </w:tcPr>
          <w:p>
            <w:pPr>
              <w:spacing w:after="0"/>
              <w:rPr>
                <w:sz w:val="24"/>
                <w:szCs w:val="24"/>
                <w:color w:val="auto"/>
              </w:rPr>
            </w:pPr>
          </w:p>
        </w:tc>
        <w:tc>
          <w:tcPr>
            <w:tcW w:w="9400" w:type="dxa"/>
            <w:vAlign w:val="bottom"/>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777"/>
        </w:trPr>
        <w:tc>
          <w:tcPr>
            <w:tcW w:w="10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9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Axsome Therapeutics, Inc.</w:t>
            </w:r>
          </w:p>
        </w:tc>
      </w:tr>
      <w:tr>
        <w:trPr>
          <w:trHeight w:val="614"/>
        </w:trPr>
        <w:tc>
          <w:tcPr>
            <w:tcW w:w="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w:t>
            </w:r>
          </w:p>
        </w:tc>
        <w:tc>
          <w:tcPr>
            <w:tcW w:w="3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February 13, 2023</w:t>
            </w:r>
          </w:p>
        </w:tc>
        <w:tc>
          <w:tcPr>
            <w:tcW w:w="246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Herriot Tabuteau, M.D.</w:t>
            </w:r>
          </w:p>
        </w:tc>
      </w:tr>
      <w:tr>
        <w:trPr>
          <w:trHeight w:val="198"/>
        </w:trPr>
        <w:tc>
          <w:tcPr>
            <w:tcW w:w="56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2460" w:type="dxa"/>
            <w:vAlign w:val="bottom"/>
          </w:tcPr>
          <w:p>
            <w:pPr>
              <w:ind w:left="182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Herriot Tabuteau, M.D.</w:t>
            </w:r>
          </w:p>
        </w:tc>
      </w:tr>
      <w:tr>
        <w:trPr>
          <w:trHeight w:val="248"/>
        </w:trPr>
        <w:tc>
          <w:tcPr>
            <w:tcW w:w="560" w:type="dxa"/>
            <w:vAlign w:val="bottom"/>
          </w:tcPr>
          <w:p>
            <w:pPr>
              <w:spacing w:after="0"/>
              <w:rPr>
                <w:sz w:val="21"/>
                <w:szCs w:val="21"/>
                <w:color w:val="auto"/>
              </w:rPr>
            </w:pPr>
          </w:p>
        </w:tc>
        <w:tc>
          <w:tcPr>
            <w:tcW w:w="3280" w:type="dxa"/>
            <w:vAlign w:val="bottom"/>
          </w:tcPr>
          <w:p>
            <w:pPr>
              <w:spacing w:after="0"/>
              <w:rPr>
                <w:sz w:val="21"/>
                <w:szCs w:val="21"/>
                <w:color w:val="auto"/>
              </w:rPr>
            </w:pPr>
          </w:p>
        </w:tc>
        <w:tc>
          <w:tcPr>
            <w:tcW w:w="246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938"/>
        </w:trPr>
        <w:tc>
          <w:tcPr>
            <w:tcW w:w="560" w:type="dxa"/>
            <w:vAlign w:val="bottom"/>
            <w:tcBorders>
              <w:bottom w:val="single" w:sz="8" w:color="9A9A9A"/>
            </w:tcBorders>
          </w:tcPr>
          <w:p>
            <w:pPr>
              <w:spacing w:after="0"/>
              <w:rPr>
                <w:sz w:val="24"/>
                <w:szCs w:val="24"/>
                <w:color w:val="auto"/>
              </w:rPr>
            </w:pPr>
          </w:p>
        </w:tc>
        <w:tc>
          <w:tcPr>
            <w:tcW w:w="328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c>
          <w:tcPr>
            <w:tcW w:w="4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2023-02-13T06:03:46Z</dcterms:created>
  <dcterms:modified xsi:type="dcterms:W3CDTF">2023-02-13T06:03:46Z</dcterms:modified>
</cp:coreProperties>
</file>