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(Commission</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of incorporation)</w:t>
            </w:r>
          </w:p>
        </w:tc>
        <w:tc>
          <w:tcPr>
            <w:tcW w:w="2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File Number)</w:t>
            </w: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3"/>
        </w:trPr>
        <w:tc>
          <w:tcPr>
            <w:tcW w:w="36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234"/>
        </w:trPr>
        <w:tc>
          <w:tcPr>
            <w:tcW w:w="36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151130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March 1, 2021, Axsome Therapeutics, Inc. (the “Company”) issued a press release announcing its financial results for the three months and fiscal year ended December 31, 2020 and provided an update on the Company’s operations. The Company is furnishing a copy of the press release, which is attached hereto as Exhibit 99.1.</w:t>
      </w:r>
    </w:p>
    <w:p>
      <w:pPr>
        <w:spacing w:after="0" w:line="14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0" w:type="dxa"/>
            <w:vAlign w:val="bottom"/>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000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March 1, 2021.</w:t>
              </w:r>
            </w:hyperlink>
          </w:p>
        </w:tc>
      </w:tr>
    </w:tbl>
    <w:p>
      <w:pPr>
        <w:ind w:left="5580" w:right="4160" w:hanging="5572"/>
        <w:spacing w:after="0" w:line="79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6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 2021</w:t>
            </w:r>
          </w:p>
        </w:tc>
        <w:tc>
          <w:tcPr>
            <w:tcW w:w="29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1"/>
        </w:trPr>
        <w:tc>
          <w:tcPr>
            <w:tcW w:w="3580" w:type="dxa"/>
            <w:vAlign w:val="bottom"/>
          </w:tcPr>
          <w:p>
            <w:pPr>
              <w:spacing w:after="0"/>
              <w:rPr>
                <w:sz w:val="18"/>
                <w:szCs w:val="18"/>
                <w:color w:val="auto"/>
              </w:rPr>
            </w:pPr>
          </w:p>
        </w:tc>
        <w:tc>
          <w:tcPr>
            <w:tcW w:w="29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580" w:type="dxa"/>
            <w:vAlign w:val="bottom"/>
          </w:tcPr>
          <w:p>
            <w:pPr>
              <w:spacing w:after="0"/>
              <w:rPr>
                <w:sz w:val="20"/>
                <w:szCs w:val="20"/>
                <w:color w:val="auto"/>
              </w:rPr>
            </w:pPr>
          </w:p>
        </w:tc>
        <w:tc>
          <w:tcPr>
            <w:tcW w:w="29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80" w:type="dxa"/>
            <w:vAlign w:val="bottom"/>
          </w:tcPr>
          <w:p>
            <w:pPr>
              <w:spacing w:after="0"/>
              <w:rPr>
                <w:sz w:val="24"/>
                <w:szCs w:val="24"/>
                <w:color w:val="auto"/>
              </w:rPr>
            </w:pPr>
          </w:p>
        </w:tc>
        <w:tc>
          <w:tcPr>
            <w:tcW w:w="29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4401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line="447" w:lineRule="auto"/>
        <w:rPr>
          <w:sz w:val="20"/>
          <w:szCs w:val="20"/>
          <w:color w:val="auto"/>
        </w:rPr>
      </w:pPr>
      <w:r>
        <w:rPr>
          <w:rFonts w:ascii="Arial" w:cs="Arial" w:eastAsia="Arial" w:hAnsi="Arial"/>
          <w:sz w:val="18"/>
          <w:szCs w:val="18"/>
          <w:b w:val="1"/>
          <w:bCs w:val="1"/>
          <w:color w:val="auto"/>
        </w:rPr>
        <w:t xml:space="preserve">Axsome Therapeutics Reports Fourth Quarter and Full Year 2020 Financial Results and Provides Business Update </w:t>
      </w:r>
      <w:r>
        <w:rPr>
          <w:rFonts w:ascii="Arial" w:cs="Arial" w:eastAsia="Arial" w:hAnsi="Arial"/>
          <w:sz w:val="18"/>
          <w:szCs w:val="18"/>
          <w:i w:val="1"/>
          <w:iCs w:val="1"/>
          <w:color w:val="auto"/>
        </w:rPr>
        <w:t>Company to host conference call today at 8:00 AM Eastern</w:t>
      </w:r>
    </w:p>
    <w:p>
      <w:pPr>
        <w:jc w:val="both"/>
        <w:ind w:right="240"/>
        <w:spacing w:after="0" w:line="255" w:lineRule="auto"/>
        <w:rPr>
          <w:sz w:val="20"/>
          <w:szCs w:val="20"/>
          <w:color w:val="auto"/>
        </w:rPr>
      </w:pPr>
      <w:r>
        <w:rPr>
          <w:rFonts w:ascii="Arial" w:cs="Arial" w:eastAsia="Arial" w:hAnsi="Arial"/>
          <w:sz w:val="18"/>
          <w:szCs w:val="18"/>
          <w:color w:val="auto"/>
        </w:rPr>
        <w:t>NEW YORK, March 1, 2021 (Globe Newswire) – Axsome Therapeutics, Inc. (NASDAQ: AXSM), a biopharmaceutical company developing novel therapies for the management of central nervous system (CNS) disorders, today reported financial results for the fourth quarter and year ended December 31, 2020.</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focused execution of the Axsome team made 2020 a year of significant accomplishments. We had successful pre-NDA meetings with the FDA for AXS-05 in major depressive disorder and for AXS-07 in migraine, reported positive results from the pivotal ADVANCE-1 trial of AXS-05 in Alzheimer’s disease agitation, initiated the second pivotal trial of AXS-05 in this indication, received two new FDA Breakthrough Therapy designations, and built out our commercialization infrastructure,” said Herriot Tabuteau, MD, Chief Executive Officer of Axsome. “So far this year, we have submitted to the FDA the NDA for AXS-05 in major depressive disorder, and are nearing submission of the NDA for AXS-07 in the acute treatment of migraine, which is expected early in the second quarter. Our focus for the remainder of the year will be on the regulatory activities surrounding these NDAs, launch readiness to ensure a successful transition to commercialization, assuming product approvals, and continued advancement of the rest of our differentiated late-stage CNS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 the many people living with serious CNS disorders, Axsome accelerates the invention and development of life-changing medicines. The Company is developing a portfolio of differentiated, patent-protected, CNS product candidates with four in active clinical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CNS Pipeline</w:t>
      </w:r>
    </w:p>
    <w:p>
      <w:pPr>
        <w:spacing w:after="0" w:line="23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AXS-05: </w:t>
      </w:r>
      <w:r>
        <w:rPr>
          <w:rFonts w:ascii="Arial" w:cs="Arial" w:eastAsia="Arial" w:hAnsi="Arial"/>
          <w:sz w:val="18"/>
          <w:szCs w:val="18"/>
          <w:color w:val="auto"/>
        </w:rPr>
        <w:t>AXS-05 (dextromethorphan-bupropion) is Axsome’s novel, oral, investigational NMDA receptor antagonist with multimodal</w:t>
      </w:r>
    </w:p>
    <w:p>
      <w:pPr>
        <w:spacing w:after="0" w:line="18" w:lineRule="exact"/>
        <w:rPr>
          <w:rFonts w:ascii="Times New Roman" w:cs="Times New Roman" w:eastAsia="Times New Roman" w:hAnsi="Times New Roman"/>
          <w:sz w:val="18"/>
          <w:szCs w:val="18"/>
          <w:color w:val="auto"/>
        </w:rPr>
      </w:pPr>
    </w:p>
    <w:p>
      <w:pPr>
        <w:ind w:left="400" w:right="140"/>
        <w:spacing w:after="0" w:line="242" w:lineRule="auto"/>
        <w:rPr>
          <w:rFonts w:ascii="Times New Roman" w:cs="Times New Roman" w:eastAsia="Times New Roman" w:hAnsi="Times New Roman"/>
          <w:sz w:val="18"/>
          <w:szCs w:val="18"/>
          <w:color w:val="auto"/>
        </w:rPr>
      </w:pPr>
      <w:r>
        <w:rPr>
          <w:rFonts w:ascii="Arial" w:cs="Arial" w:eastAsia="Arial" w:hAnsi="Arial"/>
          <w:sz w:val="18"/>
          <w:szCs w:val="18"/>
          <w:color w:val="auto"/>
        </w:rPr>
        <w:t>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146" w:lineRule="exact"/>
        <w:rPr>
          <w:rFonts w:ascii="Times New Roman" w:cs="Times New Roman" w:eastAsia="Times New Roman" w:hAnsi="Times New Roman"/>
          <w:sz w:val="18"/>
          <w:szCs w:val="18"/>
          <w:color w:val="auto"/>
        </w:rPr>
      </w:pPr>
    </w:p>
    <w:p>
      <w:pPr>
        <w:ind w:left="400" w:right="340"/>
        <w:spacing w:after="0" w:line="278"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 has submitted a New Drug Application (NDA) to the FDA for AXS-05 for the treatment of MDD.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intends to issue a press release following the FDA’s decision on the filing of the application.</w:t>
      </w:r>
    </w:p>
    <w:p>
      <w:pPr>
        <w:spacing w:after="0" w:line="102" w:lineRule="exact"/>
        <w:rPr>
          <w:rFonts w:ascii="Times New Roman" w:cs="Times New Roman" w:eastAsia="Times New Roman" w:hAnsi="Times New Roman"/>
          <w:sz w:val="18"/>
          <w:szCs w:val="18"/>
          <w:color w:val="auto"/>
        </w:rPr>
      </w:pPr>
    </w:p>
    <w:p>
      <w:pPr>
        <w:ind w:left="400"/>
        <w:spacing w:after="0" w:line="243"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December 2020, Axsome announced positive results from the COMET Phase 3 long-term trial in patients with MDD and the three Phase 2 open-label MDD efficacy trials in patients who had failed one prior antidepressant (COMET-AU), patients who had failed two prior antidepressants (COMET-TRD), and patients with suicidal ideation. Patients treated with AXS-05 in these trials experienced rapid, substantial, and durable improvement in depressive symptoms and functional impairment that was sustained over the 12-month treatment period. AXS-05 was well tolerated over the long-term treatment period with a safety profile consistent with that observed in the previously reported controlled trials.</w:t>
      </w:r>
    </w:p>
    <w:p>
      <w:pPr>
        <w:spacing w:after="0" w:line="131" w:lineRule="exact"/>
        <w:rPr>
          <w:rFonts w:ascii="Times New Roman" w:cs="Times New Roman" w:eastAsia="Times New Roman" w:hAnsi="Times New Roman"/>
          <w:sz w:val="18"/>
          <w:szCs w:val="18"/>
          <w:color w:val="auto"/>
        </w:rPr>
      </w:pPr>
    </w:p>
    <w:p>
      <w:pPr>
        <w:jc w:val="both"/>
        <w:ind w:left="400" w:right="480"/>
        <w:spacing w:after="0" w:line="256"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In December 2020, Axsome initiated the ACCORD study, a Phase 3, randomized,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withdrawal trial to evaluate the efficacy and safety of AXS-05 in the treatment of Alzheimer’s disease (AD) agitation.</w:t>
      </w:r>
    </w:p>
    <w:p>
      <w:pPr>
        <w:spacing w:after="0" w:line="134" w:lineRule="exact"/>
        <w:rPr>
          <w:rFonts w:ascii="Times New Roman" w:cs="Times New Roman" w:eastAsia="Times New Roman" w:hAnsi="Times New Roman"/>
          <w:sz w:val="18"/>
          <w:szCs w:val="18"/>
          <w:color w:val="auto"/>
        </w:rPr>
      </w:pPr>
    </w:p>
    <w:p>
      <w:pPr>
        <w:ind w:left="400"/>
        <w:spacing w:after="0" w:line="256"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is scheduled to meet with the FDA in the third quarter of 2021 to discuss the continued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AXS-05 as an aid to smoking cessation treatment. Axsome previously announced positive results from a Phase 2 trial of AXS-05 for smoking cessation treatment conducted under a research collaboration between Axsome and Duke University.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ind w:left="400" w:right="620" w:hanging="392"/>
        <w:spacing w:after="0" w:line="277" w:lineRule="auto"/>
        <w:tabs>
          <w:tab w:leader="none" w:pos="4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AXS-07 (MoSEIC™ meloxicam-rizatriptan) is Axsome’s novel, oral, rapidly absorbed, multi-mechanistic, investigational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for the acute treatment of migraine.</w:t>
      </w:r>
    </w:p>
    <w:p>
      <w:pPr>
        <w:spacing w:after="0" w:line="101" w:lineRule="exact"/>
        <w:rPr>
          <w:rFonts w:ascii="Times New Roman" w:cs="Times New Roman" w:eastAsia="Times New Roman" w:hAnsi="Times New Roman"/>
          <w:sz w:val="18"/>
          <w:szCs w:val="18"/>
          <w:color w:val="auto"/>
        </w:rPr>
      </w:pPr>
    </w:p>
    <w:p>
      <w:pPr>
        <w:ind w:left="400" w:right="260"/>
        <w:spacing w:after="0" w:line="278"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is compiling the NDA for AXS-07 for the acute treatment of migraine. Submission of this NDA is expected in early</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w:t>
      </w:r>
    </w:p>
    <w:p>
      <w:pPr>
        <w:spacing w:after="0" w:line="116" w:lineRule="exact"/>
        <w:rPr>
          <w:rFonts w:ascii="Times New Roman" w:cs="Times New Roman" w:eastAsia="Times New Roman" w:hAnsi="Times New Roman"/>
          <w:sz w:val="18"/>
          <w:szCs w:val="18"/>
          <w:color w:val="auto"/>
        </w:rPr>
      </w:pPr>
    </w:p>
    <w:p>
      <w:pPr>
        <w:ind w:left="400" w:right="80"/>
        <w:spacing w:after="0" w:line="248" w:lineRule="auto"/>
        <w:rPr>
          <w:rFonts w:ascii="Times New Roman" w:cs="Times New Roman" w:eastAsia="Times New Roman" w:hAnsi="Times New Roman"/>
          <w:sz w:val="18"/>
          <w:szCs w:val="18"/>
          <w:color w:val="auto"/>
        </w:rPr>
      </w:pPr>
      <w:r>
        <w:rPr>
          <w:rFonts w:ascii="Arial" w:cs="Arial" w:eastAsia="Arial" w:hAnsi="Arial"/>
          <w:sz w:val="18"/>
          <w:szCs w:val="18"/>
          <w:color w:val="auto"/>
        </w:rPr>
        <w:t>In December 2020, Axsome announced positive results from the MOVEMENT Phase 3 long-term trial of AXS 07 in the acute treatment of migraine. In this trial, treatment with AXS-07 resulted in rapid, substantial, and durable relief of migraine pain and associated symptoms. AXS-07 was well tolerated over the 12-month treatment period with a safety profile consistent with that observed in the previously reported controlled trials.</w:t>
      </w:r>
    </w:p>
    <w:p>
      <w:pPr>
        <w:spacing w:after="0" w:line="195" w:lineRule="exact"/>
        <w:rPr>
          <w:rFonts w:ascii="Times New Roman" w:cs="Times New Roman" w:eastAsia="Times New Roman" w:hAnsi="Times New Roman"/>
          <w:sz w:val="18"/>
          <w:szCs w:val="18"/>
          <w:color w:val="auto"/>
        </w:rPr>
      </w:pPr>
    </w:p>
    <w:p>
      <w:pPr>
        <w:ind w:left="400" w:right="20" w:hanging="392"/>
        <w:spacing w:after="0" w:line="256" w:lineRule="auto"/>
        <w:tabs>
          <w:tab w:leader="none" w:pos="4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AXS-12: </w:t>
      </w:r>
      <w:r>
        <w:rPr>
          <w:rFonts w:ascii="Arial" w:cs="Arial" w:eastAsia="Arial" w:hAnsi="Arial"/>
          <w:sz w:val="18"/>
          <w:szCs w:val="18"/>
          <w:color w:val="auto"/>
        </w:rPr>
        <w:t>AXS-12 (reboxetine) is Axsome’s novel, oral, potent, and highly selective norepinephrine reuptake inhibitor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AXS-12 has been granted FDA Orphan Drug designation for the treatment of narcolepsy as well as Breakthrough Therapy designation for the treatment of cataplexy in patients with narcolepsy.</w:t>
      </w:r>
    </w:p>
    <w:p>
      <w:pPr>
        <w:spacing w:after="0" w:line="119" w:lineRule="exact"/>
        <w:rPr>
          <w:rFonts w:ascii="Times New Roman" w:cs="Times New Roman" w:eastAsia="Times New Roman" w:hAnsi="Times New Roman"/>
          <w:sz w:val="18"/>
          <w:szCs w:val="18"/>
          <w:color w:val="auto"/>
        </w:rPr>
      </w:pPr>
    </w:p>
    <w:p>
      <w:pPr>
        <w:ind w:left="400" w:right="60"/>
        <w:spacing w:after="0" w:line="278"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planning to initiate a Phase 3 trial of AXS-12 in the treatment of narcolepsy in the second quarter. The planned</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trial will be a randomized, double-blind, placebo-controlled, parallel-group study.</w:t>
      </w:r>
    </w:p>
    <w:p>
      <w:pPr>
        <w:spacing w:after="0" w:line="100" w:lineRule="exact"/>
        <w:rPr>
          <w:rFonts w:ascii="Times New Roman" w:cs="Times New Roman" w:eastAsia="Times New Roman" w:hAnsi="Times New Roman"/>
          <w:sz w:val="18"/>
          <w:szCs w:val="18"/>
          <w:color w:val="auto"/>
        </w:rPr>
      </w:pPr>
    </w:p>
    <w:p>
      <w:pPr>
        <w:ind w:left="400" w:right="40" w:hanging="392"/>
        <w:spacing w:after="0" w:line="277" w:lineRule="auto"/>
        <w:tabs>
          <w:tab w:leader="none" w:pos="4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AXS-14: </w:t>
      </w:r>
      <w:r>
        <w:rPr>
          <w:rFonts w:ascii="Arial" w:cs="Arial" w:eastAsia="Arial" w:hAnsi="Arial"/>
          <w:sz w:val="18"/>
          <w:szCs w:val="18"/>
          <w:color w:val="auto"/>
        </w:rPr>
        <w:t>AXS-14 (esreboxetine) is Axsome’s novel, oral, potent, and highly selective norepinephrine reuptake inhibitor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fibromyalgia. Esreboxetine, the SS-enantiomer of reboxetine, is more potent and selective than racemic reboxetine.</w:t>
      </w:r>
    </w:p>
    <w:p>
      <w:pPr>
        <w:spacing w:after="0" w:line="101" w:lineRule="exact"/>
        <w:rPr>
          <w:rFonts w:ascii="Times New Roman" w:cs="Times New Roman" w:eastAsia="Times New Roman" w:hAnsi="Times New Roman"/>
          <w:sz w:val="18"/>
          <w:szCs w:val="18"/>
          <w:color w:val="auto"/>
        </w:rPr>
      </w:pPr>
    </w:p>
    <w:p>
      <w:pPr>
        <w:ind w:left="400" w:right="100"/>
        <w:spacing w:after="0" w:line="256"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Axsome is scheduled to meet with the FDA in the second quarter, to discuss the further clinical development of AXS-14</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fibromyalgia. AXS-14 has previously met the primary endpoints and demonstrated positive and statistically significant results in a Phase 3 and in a Phase 2 trial for the treatment of fibromyalgia.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239" w:lineRule="exact"/>
        <w:rPr>
          <w:sz w:val="20"/>
          <w:szCs w:val="20"/>
          <w:color w:val="auto"/>
        </w:rPr>
      </w:pPr>
    </w:p>
    <w:p>
      <w:pPr>
        <w:ind w:left="400" w:hanging="392"/>
        <w:spacing w:after="0" w:line="248" w:lineRule="auto"/>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Launch readiness activities continue to advance and all functional commercial leadership is in place. Sales force structure and design have been finalized and the hiring of sales managers and representatives is expected to commence in the coming months. The infrastructure for Axsome’s proprietary DCC™, or digital centric commercialization, platform is in place, and payer engagement activities have started.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39" w:lineRule="exact"/>
        <w:rPr>
          <w:sz w:val="20"/>
          <w:szCs w:val="20"/>
          <w:color w:val="auto"/>
        </w:rPr>
      </w:pPr>
    </w:p>
    <w:p>
      <w:pPr>
        <w:ind w:left="400" w:right="80" w:hanging="392"/>
        <w:spacing w:after="0" w:line="244" w:lineRule="auto"/>
        <w:tabs>
          <w:tab w:leader="none" w:pos="4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January 2021, Axsome appointed Kevin Laliberte, PharmD, as Executive Vice President, Product Strategy. Prior to Axsome, Dr. Laliberte was Senior Vice President, Product Development at Dova Pharmaceuticals. Prior to Dova, he was Senior Vice President, Product Development and Clinical Operations at United Therapeutics, where he was responsible for all development activities for small molecules. Dr. Laliberte earned his Doctor of Pharmacy degree from the University of Michigan, Ann Arbor and completed his post doctorate fellowship at the University of North Carolina, Chapel Hill and GlaxoSmithKline.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71"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NDA Submissions:</w:t>
      </w:r>
    </w:p>
    <w:p>
      <w:pPr>
        <w:spacing w:after="0" w:line="17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AXS-07 for the acute treatment of migraine, submission (early 2Q 2021)</w:t>
      </w:r>
    </w:p>
    <w:p>
      <w:pPr>
        <w:spacing w:after="0" w:line="17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7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Phase 2 MERIT trial of AXS-05 in TRD, topline data (2H 2021)</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5" w:name="page6"/>
    <w:bookmarkEnd w:id="5"/>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75"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Phase 3 trial of AXS-12 in the treatment of narcolepsy (2Q 2021)</w:t>
      </w:r>
    </w:p>
    <w:p>
      <w:pPr>
        <w:spacing w:after="0" w:line="24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FDA Meetings:</w:t>
      </w:r>
    </w:p>
    <w:p>
      <w:pPr>
        <w:spacing w:after="0" w:line="242"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AXS-14 for fibromyalgia (2Q 2021)</w:t>
      </w:r>
    </w:p>
    <w:p>
      <w:pPr>
        <w:spacing w:after="0" w:line="236"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AXS-05 for smoking cessation (3Q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Financial Results</w:t>
      </w:r>
    </w:p>
    <w:p>
      <w:pPr>
        <w:spacing w:after="0" w:line="171" w:lineRule="exact"/>
        <w:rPr>
          <w:sz w:val="20"/>
          <w:szCs w:val="20"/>
          <w:color w:val="auto"/>
        </w:rPr>
      </w:pPr>
    </w:p>
    <w:p>
      <w:pPr>
        <w:ind w:left="400" w:right="40" w:hanging="392"/>
        <w:spacing w:after="0" w:line="245" w:lineRule="auto"/>
        <w:tabs>
          <w:tab w:leader="none" w:pos="4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$17.4 million for the quarter ended December 31, 2020 and $19.2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2019. The decrease was due to the completion of our Phase 3 efficacy and safety trials for AXS-05 and AXS-07. R&amp;D expenses for the year ended December 31, 2020 were $70.2 million, compared to $53.6 million for the comparable period in 2019. The increase was primarily due to a one-time upfront charge related to our licensing agreement with Pfizer along with costs associated with NDA preparations.</w:t>
      </w:r>
    </w:p>
    <w:p>
      <w:pPr>
        <w:spacing w:after="0" w:line="130" w:lineRule="exact"/>
        <w:rPr>
          <w:rFonts w:ascii="Times New Roman" w:cs="Times New Roman" w:eastAsia="Times New Roman" w:hAnsi="Times New Roman"/>
          <w:sz w:val="18"/>
          <w:szCs w:val="18"/>
          <w:color w:val="auto"/>
        </w:rPr>
      </w:pPr>
    </w:p>
    <w:p>
      <w:pPr>
        <w:ind w:left="400" w:hanging="392"/>
        <w:spacing w:after="0" w:line="245" w:lineRule="auto"/>
        <w:tabs>
          <w:tab w:leader="none" w:pos="4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$10.4 million for the quarter ended December 31, 2020 and $5.2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2019. The increase was primarily due to increased personnel costs, mainly associated with stock compensation expense, along with the build-out of the commercial function. G&amp;A expenses for the year ended December 31, 2020 were $28.9 million, compared to $13.6 million for the comparable period in 2019. The increase was primarily due to an increase in stock compensation expense along with the build-out of the commercial function.</w:t>
      </w:r>
    </w:p>
    <w:p>
      <w:pPr>
        <w:spacing w:after="0" w:line="130" w:lineRule="exact"/>
        <w:rPr>
          <w:rFonts w:ascii="Times New Roman" w:cs="Times New Roman" w:eastAsia="Times New Roman" w:hAnsi="Times New Roman"/>
          <w:sz w:val="18"/>
          <w:szCs w:val="18"/>
          <w:color w:val="auto"/>
        </w:rPr>
      </w:pPr>
    </w:p>
    <w:p>
      <w:pPr>
        <w:ind w:left="400" w:right="220" w:hanging="392"/>
        <w:spacing w:after="0" w:line="245" w:lineRule="auto"/>
        <w:tabs>
          <w:tab w:leader="none" w:pos="4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$29.2 million, or $(0.78) per share for the quarter ended December 31, 2020 compared to a net loss of $24.8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$(0.71) per share for the comparable period in 2019. Net loss for the year ended December 31, 2020 was $102.9 million, or $(2.77) per share, of which $22.3 million were non-cash charges including stock compensation expense. Net loss for the year ended December 31, 2019 was $68.3 million, or $(2.01) per share, of which $6.1 million were non-cash charges consisting of stock compensation expense.</w:t>
      </w:r>
    </w:p>
    <w:p>
      <w:pPr>
        <w:spacing w:after="0" w:line="13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December 31, 2020, Axsome had $183.9 million of cash compared to $220.0 million at December 31, 2019.</w:t>
      </w:r>
    </w:p>
    <w:p>
      <w:pPr>
        <w:spacing w:after="0" w:line="18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December 31, 2020, Axsome had 37,374,088 shares of common stock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7" w:lineRule="exact"/>
        <w:rPr>
          <w:sz w:val="20"/>
          <w:szCs w:val="20"/>
          <w:color w:val="auto"/>
        </w:rPr>
      </w:pPr>
    </w:p>
    <w:p>
      <w:pPr>
        <w:ind w:left="400" w:right="120" w:hanging="392"/>
        <w:spacing w:after="0" w:line="239" w:lineRule="auto"/>
        <w:tabs>
          <w:tab w:leader="none" w:pos="4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Axsome expects that its operating expenses will increase year over year in 2021 to support continued pipeline advancement and build-out of the commercial function.</w:t>
      </w:r>
    </w:p>
    <w:p>
      <w:pPr>
        <w:ind w:left="400" w:right="40" w:hanging="392"/>
        <w:spacing w:after="0" w:line="242" w:lineRule="auto"/>
        <w:tabs>
          <w:tab w:leader="none" w:pos="4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cash at December 31, 2020, along with the remaining committed capital from the $225 million term loan facility, is sufficient to fund anticipated operations, based on the current operating plan which includes costs for the commercial launch of AXS-05 in MDD and AXS-07 in migraine, into at least 2024.</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Axsome will host a conference call and webcast today at 8:00 AM Eastern to discuss fourth quarter and full year 2020 financial results as well as to provide a corporate update. To participate in the live conference call, please dial (866) 393-4306 (toll-free domestic) or (734) 385-2616 (international), and use the conference ID 3782547. The live webcast can be accessed on the "Webcasts &amp; Presentations" page of the "Investors" section of the Company's website at axsome.com. A replay of the webcast will be available for approximately 30 days following the live event.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41" w:lineRule="exact"/>
        <w:rPr>
          <w:sz w:val="20"/>
          <w:szCs w:val="20"/>
          <w:color w:val="auto"/>
        </w:rPr>
      </w:pPr>
    </w:p>
    <w:p>
      <w:pPr>
        <w:ind w:right="20"/>
        <w:spacing w:after="0" w:line="207" w:lineRule="exact"/>
        <w:rPr>
          <w:sz w:val="20"/>
          <w:szCs w:val="20"/>
          <w:color w:val="auto"/>
        </w:rPr>
      </w:pPr>
      <w:r>
        <w:rPr>
          <w:rFonts w:ascii="Arial" w:cs="Arial" w:eastAsia="Arial" w:hAnsi="Arial"/>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w:t>
      </w:r>
      <w:r>
        <w:rPr>
          <w:rFonts w:ascii="MS PGothic" w:cs="MS PGothic" w:eastAsia="MS PGothic" w:hAnsi="MS PGothic"/>
          <w:sz w:val="18"/>
          <w:szCs w:val="18"/>
          <w:color w:val="auto"/>
        </w:rPr>
        <w:t>‑</w:t>
      </w:r>
      <w:r>
        <w:rPr>
          <w:rFonts w:ascii="Arial" w:cs="Arial" w:eastAsia="Arial" w:hAnsi="Arial"/>
          <w:sz w:val="18"/>
          <w:szCs w:val="18"/>
          <w:color w:val="auto"/>
        </w:rPr>
        <w:t>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the FDA will accept and subsequently approve of the Company’s NDA submission for AXS-05 in MDD and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as well as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0"/>
                <w:szCs w:val="20"/>
                <w:color w:val="auto"/>
              </w:rPr>
            </w:pPr>
            <w:r>
              <w:rPr>
                <w:rFonts w:ascii="Arial" w:cs="Arial" w:eastAsia="Arial" w:hAnsi="Arial"/>
                <w:sz w:val="18"/>
                <w:szCs w:val="18"/>
                <w:b w:val="1"/>
                <w:bCs w:val="1"/>
                <w:color w:val="auto"/>
              </w:rPr>
              <w:t>Statements of Operations Information:</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261"/>
              <w:spacing w:after="0"/>
              <w:rPr>
                <w:sz w:val="20"/>
                <w:szCs w:val="20"/>
                <w:color w:val="auto"/>
              </w:rPr>
            </w:pPr>
            <w:r>
              <w:rPr>
                <w:rFonts w:ascii="Arial" w:cs="Arial" w:eastAsia="Arial" w:hAnsi="Arial"/>
                <w:sz w:val="20"/>
                <w:szCs w:val="20"/>
                <w:b w:val="1"/>
                <w:bCs w:val="1"/>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8"/>
          </w:tcPr>
          <w:p>
            <w:pPr>
              <w:jc w:val="center"/>
              <w:ind w:right="178"/>
              <w:spacing w:after="0"/>
              <w:rPr>
                <w:sz w:val="20"/>
                <w:szCs w:val="20"/>
                <w:color w:val="auto"/>
              </w:rPr>
            </w:pPr>
            <w:r>
              <w:rPr>
                <w:rFonts w:ascii="Arial" w:cs="Arial" w:eastAsia="Arial" w:hAnsi="Arial"/>
                <w:sz w:val="20"/>
                <w:szCs w:val="20"/>
                <w:b w:val="1"/>
                <w:bCs w:val="1"/>
                <w:color w:val="auto"/>
                <w:w w:val="98"/>
              </w:rPr>
              <w:t>Twelve months ended</w:t>
            </w:r>
          </w:p>
        </w:tc>
        <w:tc>
          <w:tcPr>
            <w:tcW w:w="0" w:type="dxa"/>
            <w:vAlign w:val="bottom"/>
          </w:tcPr>
          <w:p>
            <w:pPr>
              <w:spacing w:after="0"/>
              <w:rPr>
                <w:sz w:val="1"/>
                <w:szCs w:val="1"/>
                <w:color w:val="auto"/>
              </w:rPr>
            </w:pPr>
          </w:p>
        </w:tc>
      </w:tr>
      <w:tr>
        <w:trPr>
          <w:trHeight w:val="248"/>
        </w:trPr>
        <w:tc>
          <w:tcPr>
            <w:tcW w:w="5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jc w:val="right"/>
              <w:ind w:right="601"/>
              <w:spacing w:after="0"/>
              <w:rPr>
                <w:sz w:val="20"/>
                <w:szCs w:val="20"/>
                <w:color w:val="auto"/>
              </w:rPr>
            </w:pPr>
            <w:r>
              <w:rPr>
                <w:rFonts w:ascii="Arial" w:cs="Arial" w:eastAsia="Arial" w:hAnsi="Arial"/>
                <w:sz w:val="20"/>
                <w:szCs w:val="20"/>
                <w:b w:val="1"/>
                <w:bCs w:val="1"/>
                <w:color w:val="auto"/>
              </w:rPr>
              <w:t>December 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8"/>
          </w:tcPr>
          <w:p>
            <w:pPr>
              <w:jc w:val="center"/>
              <w:ind w:right="158"/>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Arial" w:cs="Arial" w:eastAsia="Arial" w:hAnsi="Arial"/>
                <w:sz w:val="20"/>
                <w:szCs w:val="20"/>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81"/>
              <w:spacing w:after="0" w:line="223" w:lineRule="exact"/>
              <w:rPr>
                <w:sz w:val="20"/>
                <w:szCs w:val="20"/>
                <w:color w:val="auto"/>
              </w:rPr>
            </w:pPr>
            <w:r>
              <w:rPr>
                <w:rFonts w:ascii="Arial" w:cs="Arial" w:eastAsia="Arial" w:hAnsi="Arial"/>
                <w:sz w:val="20"/>
                <w:szCs w:val="20"/>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2020</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1"/>
              <w:spacing w:after="0" w:line="223" w:lineRule="exact"/>
              <w:rPr>
                <w:sz w:val="20"/>
                <w:szCs w:val="20"/>
                <w:color w:val="auto"/>
              </w:rPr>
            </w:pPr>
            <w:r>
              <w:rPr>
                <w:rFonts w:ascii="Arial" w:cs="Arial" w:eastAsia="Arial" w:hAnsi="Arial"/>
                <w:sz w:val="20"/>
                <w:szCs w:val="20"/>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Operating expenses: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20"/>
                <w:szCs w:val="20"/>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17,384,729</w:t>
            </w:r>
          </w:p>
        </w:tc>
        <w:tc>
          <w:tcPr>
            <w:tcW w:w="2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$ 19,205,271</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gridSpan w:val="4"/>
          </w:tcPr>
          <w:p>
            <w:pPr>
              <w:jc w:val="right"/>
              <w:spacing w:after="0"/>
              <w:rPr>
                <w:sz w:val="20"/>
                <w:szCs w:val="20"/>
                <w:color w:val="auto"/>
              </w:rPr>
            </w:pPr>
            <w:r>
              <w:rPr>
                <w:rFonts w:ascii="Arial" w:cs="Arial" w:eastAsia="Arial" w:hAnsi="Arial"/>
                <w:sz w:val="20"/>
                <w:szCs w:val="20"/>
                <w:color w:val="auto"/>
              </w:rPr>
              <w:t>70,244,579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53,647,067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10,359,507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5,222,899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28,896,749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13,598,030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operating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27,744,236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24,428,170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line="223" w:lineRule="exact"/>
              <w:rPr>
                <w:sz w:val="20"/>
                <w:szCs w:val="20"/>
                <w:color w:val="auto"/>
              </w:rPr>
            </w:pPr>
            <w:r>
              <w:rPr>
                <w:rFonts w:ascii="Arial" w:cs="Arial" w:eastAsia="Arial" w:hAnsi="Arial"/>
                <w:sz w:val="20"/>
                <w:szCs w:val="20"/>
                <w:color w:val="auto"/>
              </w:rPr>
              <w:t>99,141,328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67,245,097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Loss from operations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w w:val="93"/>
              </w:rPr>
              <w:t>(27,744,236)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line="223" w:lineRule="exact"/>
              <w:rPr>
                <w:sz w:val="20"/>
                <w:szCs w:val="20"/>
                <w:color w:val="auto"/>
              </w:rPr>
            </w:pPr>
            <w:r>
              <w:rPr>
                <w:rFonts w:ascii="Arial" w:cs="Arial" w:eastAsia="Arial" w:hAnsi="Arial"/>
                <w:sz w:val="20"/>
                <w:szCs w:val="20"/>
                <w:color w:val="auto"/>
                <w:w w:val="93"/>
              </w:rPr>
              <w:t>(24,428,170)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line="223" w:lineRule="exact"/>
              <w:rPr>
                <w:sz w:val="20"/>
                <w:szCs w:val="20"/>
                <w:color w:val="auto"/>
              </w:rPr>
            </w:pPr>
            <w:r>
              <w:rPr>
                <w:rFonts w:ascii="Arial" w:cs="Arial" w:eastAsia="Arial" w:hAnsi="Arial"/>
                <w:sz w:val="20"/>
                <w:szCs w:val="20"/>
                <w:color w:val="auto"/>
              </w:rPr>
              <w:t>(99,141,328)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w w:val="95"/>
              </w:rPr>
              <w:t>(67,245,097)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20"/>
                <w:szCs w:val="20"/>
                <w:color w:val="auto"/>
              </w:rPr>
              <w:t>Interest and amortization of debt discount (expense)</w:t>
            </w:r>
          </w:p>
        </w:tc>
        <w:tc>
          <w:tcPr>
            <w:tcW w:w="12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20"/>
                <w:szCs w:val="20"/>
                <w:color w:val="auto"/>
              </w:rPr>
              <w:t>(1,473,989)</w:t>
            </w: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(378,814)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5"/>
          </w:tcPr>
          <w:p>
            <w:pPr>
              <w:jc w:val="right"/>
              <w:ind w:right="81"/>
              <w:spacing w:after="0"/>
              <w:rPr>
                <w:sz w:val="20"/>
                <w:szCs w:val="20"/>
                <w:color w:val="auto"/>
              </w:rPr>
            </w:pPr>
            <w:r>
              <w:rPr>
                <w:rFonts w:ascii="Arial" w:cs="Arial" w:eastAsia="Arial" w:hAnsi="Arial"/>
                <w:sz w:val="20"/>
                <w:szCs w:val="20"/>
                <w:color w:val="auto"/>
              </w:rPr>
              <w:t>(2,565,838)</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(1,239,537)</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20"/>
                <w:szCs w:val="20"/>
                <w:color w:val="auto"/>
              </w:rPr>
              <w:t>Tax Credit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53,578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53,578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20"/>
                <w:szCs w:val="20"/>
                <w:color w:val="auto"/>
              </w:rPr>
              <w:t>Loss on extinguishment of debt</w:t>
            </w:r>
          </w:p>
        </w:tc>
        <w:tc>
          <w:tcPr>
            <w:tcW w:w="120" w:type="dxa"/>
            <w:vAlign w:val="bottom"/>
          </w:tcPr>
          <w:p>
            <w:pPr>
              <w:spacing w:after="0"/>
              <w:rPr>
                <w:sz w:val="19"/>
                <w:szCs w:val="19"/>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5"/>
          </w:tcPr>
          <w:p>
            <w:pPr>
              <w:jc w:val="right"/>
              <w:ind w:right="81"/>
              <w:spacing w:after="0"/>
              <w:rPr>
                <w:sz w:val="20"/>
                <w:szCs w:val="20"/>
                <w:color w:val="auto"/>
              </w:rPr>
            </w:pPr>
            <w:r>
              <w:rPr>
                <w:rFonts w:ascii="Arial" w:cs="Arial" w:eastAsia="Arial" w:hAnsi="Arial"/>
                <w:sz w:val="20"/>
                <w:szCs w:val="20"/>
                <w:color w:val="auto"/>
              </w:rPr>
              <w:t>(1,247,012)</w:t>
            </w:r>
          </w:p>
        </w:tc>
        <w:tc>
          <w:tcPr>
            <w:tcW w:w="120" w:type="dxa"/>
            <w:vAlign w:val="bottom"/>
          </w:tcPr>
          <w:p>
            <w:pPr>
              <w:spacing w:after="0"/>
              <w:rPr>
                <w:sz w:val="19"/>
                <w:szCs w:val="19"/>
                <w:color w:val="auto"/>
              </w:rPr>
            </w:pPr>
          </w:p>
        </w:tc>
        <w:tc>
          <w:tcPr>
            <w:tcW w:w="1200" w:type="dxa"/>
            <w:vAlign w:val="bottom"/>
            <w:gridSpan w:val="2"/>
          </w:tcPr>
          <w:p>
            <w:pPr>
              <w:jc w:val="right"/>
              <w:ind w:right="38"/>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line="223" w:lineRule="exact"/>
              <w:rPr>
                <w:sz w:val="20"/>
                <w:szCs w:val="20"/>
                <w:color w:val="auto"/>
              </w:rPr>
            </w:pPr>
            <w:r>
              <w:rPr>
                <w:rFonts w:ascii="Arial" w:cs="Arial" w:eastAsia="Arial" w:hAnsi="Arial"/>
                <w:sz w:val="20"/>
                <w:szCs w:val="20"/>
                <w:color w:val="auto"/>
              </w:rPr>
              <w:t>Net loss</w:t>
            </w:r>
          </w:p>
        </w:tc>
        <w:tc>
          <w:tcPr>
            <w:tcW w:w="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99"/>
              </w:rPr>
              <w:t>(29,164,647</w:t>
            </w:r>
          </w:p>
        </w:tc>
        <w:tc>
          <w:tcPr>
            <w:tcW w:w="260" w:type="dxa"/>
            <w:vAlign w:val="bottom"/>
            <w:tcBorders>
              <w:top w:val="single" w:sz="8" w:color="CFF0FC"/>
              <w:bottom w:val="single" w:sz="8" w:color="CFF0FC"/>
            </w:tcBorders>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gridSpan w:val="3"/>
            <w:shd w:val="clear" w:color="auto" w:fill="CFF0FC"/>
          </w:tcPr>
          <w:p>
            <w:pPr>
              <w:jc w:val="right"/>
              <w:spacing w:after="0" w:line="223" w:lineRule="exact"/>
              <w:rPr>
                <w:sz w:val="20"/>
                <w:szCs w:val="20"/>
                <w:color w:val="auto"/>
              </w:rPr>
            </w:pPr>
            <w:r>
              <w:rPr>
                <w:rFonts w:ascii="Arial" w:cs="Arial" w:eastAsia="Arial" w:hAnsi="Arial"/>
                <w:sz w:val="20"/>
                <w:szCs w:val="20"/>
                <w:color w:val="auto"/>
                <w:w w:val="95"/>
              </w:rPr>
              <w:t>$ (24,806,984</w:t>
            </w:r>
          </w:p>
        </w:tc>
        <w:tc>
          <w:tcPr>
            <w:tcW w:w="120" w:type="dxa"/>
            <w:vAlign w:val="bottom"/>
            <w:tcBorders>
              <w:top w:val="single" w:sz="8" w:color="CFF0FC"/>
              <w:bottom w:val="single" w:sz="8" w:color="CFF0FC"/>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89"/>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gridSpan w:val="4"/>
            <w:shd w:val="clear" w:color="auto" w:fill="CFF0FC"/>
          </w:tcPr>
          <w:p>
            <w:pPr>
              <w:jc w:val="right"/>
              <w:spacing w:after="0" w:line="223" w:lineRule="exact"/>
              <w:rPr>
                <w:sz w:val="20"/>
                <w:szCs w:val="20"/>
                <w:color w:val="auto"/>
              </w:rPr>
            </w:pPr>
            <w:r>
              <w:rPr>
                <w:rFonts w:ascii="Arial" w:cs="Arial" w:eastAsia="Arial" w:hAnsi="Arial"/>
                <w:sz w:val="20"/>
                <w:szCs w:val="20"/>
                <w:color w:val="auto"/>
                <w:w w:val="98"/>
              </w:rPr>
              <w:t>(102,900,600</w:t>
            </w:r>
          </w:p>
        </w:tc>
        <w:tc>
          <w:tcPr>
            <w:tcW w:w="240" w:type="dxa"/>
            <w:vAlign w:val="bottom"/>
            <w:tcBorders>
              <w:top w:val="single" w:sz="8" w:color="CFF0FC"/>
              <w:bottom w:val="single" w:sz="8" w:color="CFF0FC"/>
            </w:tcBorders>
            <w:shd w:val="clear" w:color="auto" w:fill="CFF0FC"/>
          </w:tcPr>
          <w:p>
            <w:pPr>
              <w:jc w:val="center"/>
              <w:ind w:right="81"/>
              <w:spacing w:after="0" w:line="223"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Arial" w:cs="Arial" w:eastAsia="Arial" w:hAnsi="Arial"/>
                <w:sz w:val="20"/>
                <w:szCs w:val="20"/>
                <w:color w:val="auto"/>
                <w:w w:val="99"/>
              </w:rPr>
              <w:t>(68,345,186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20"/>
                <w:szCs w:val="20"/>
                <w:color w:val="auto"/>
              </w:rPr>
              <w:t>Net loss per common share, basic and diluted</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(0.78)</w:t>
            </w:r>
          </w:p>
        </w:tc>
        <w:tc>
          <w:tcPr>
            <w:tcW w:w="2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gridSpan w:val="2"/>
          </w:tcPr>
          <w:p>
            <w:pPr>
              <w:jc w:val="right"/>
              <w:spacing w:after="0" w:line="210" w:lineRule="exact"/>
              <w:rPr>
                <w:sz w:val="20"/>
                <w:szCs w:val="20"/>
                <w:color w:val="auto"/>
              </w:rPr>
            </w:pPr>
            <w:r>
              <w:rPr>
                <w:rFonts w:ascii="Arial" w:cs="Arial" w:eastAsia="Arial" w:hAnsi="Arial"/>
                <w:sz w:val="20"/>
                <w:szCs w:val="20"/>
                <w:color w:val="auto"/>
              </w:rPr>
              <w:t>(0.71)</w:t>
            </w:r>
          </w:p>
        </w:tc>
        <w:tc>
          <w:tcPr>
            <w:tcW w:w="12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gridSpan w:val="4"/>
          </w:tcPr>
          <w:p>
            <w:pPr>
              <w:jc w:val="right"/>
              <w:spacing w:after="0" w:line="210" w:lineRule="exact"/>
              <w:rPr>
                <w:sz w:val="20"/>
                <w:szCs w:val="20"/>
                <w:color w:val="auto"/>
              </w:rPr>
            </w:pPr>
            <w:r>
              <w:rPr>
                <w:rFonts w:ascii="Arial" w:cs="Arial" w:eastAsia="Arial" w:hAnsi="Arial"/>
                <w:sz w:val="20"/>
                <w:szCs w:val="20"/>
                <w:color w:val="auto"/>
              </w:rPr>
              <w:t>(2.77)</w:t>
            </w:r>
          </w:p>
        </w:tc>
        <w:tc>
          <w:tcPr>
            <w:tcW w:w="24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(2.01)</w:t>
            </w:r>
          </w:p>
        </w:tc>
        <w:tc>
          <w:tcPr>
            <w:tcW w:w="10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FF0FC"/>
          </w:tcPr>
          <w:p>
            <w:pPr>
              <w:spacing w:after="0" w:line="181" w:lineRule="exact"/>
              <w:rPr>
                <w:sz w:val="20"/>
                <w:szCs w:val="20"/>
                <w:color w:val="auto"/>
              </w:rPr>
            </w:pPr>
            <w:r>
              <w:rPr>
                <w:rFonts w:ascii="Arial" w:cs="Arial" w:eastAsia="Arial" w:hAnsi="Arial"/>
                <w:sz w:val="20"/>
                <w:szCs w:val="20"/>
                <w:color w:val="auto"/>
              </w:rPr>
              <w:t>Weighted average common shares outstanding, basic and</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diluted</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37,351,117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34,757,910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37,206,928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34,020,257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20"/>
                <w:szCs w:val="20"/>
                <w:b w:val="1"/>
                <w:bCs w:val="1"/>
                <w:color w:val="auto"/>
              </w:rPr>
              <w:t>December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right"/>
              <w:ind w:right="178"/>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b w:val="1"/>
                <w:bCs w:val="1"/>
                <w:color w:val="auto"/>
              </w:rPr>
              <w:t>2020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Cash and cash equivalents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01"/>
              <w:spacing w:after="0" w:line="223" w:lineRule="exact"/>
              <w:rPr>
                <w:sz w:val="20"/>
                <w:szCs w:val="20"/>
                <w:color w:val="auto"/>
              </w:rPr>
            </w:pPr>
            <w:r>
              <w:rPr>
                <w:rFonts w:ascii="Arial" w:cs="Arial" w:eastAsia="Arial" w:hAnsi="Arial"/>
                <w:sz w:val="20"/>
                <w:szCs w:val="20"/>
                <w:color w:val="auto"/>
                <w:w w:val="89"/>
              </w:rPr>
              <w:t>$</w:t>
            </w:r>
          </w:p>
        </w:tc>
        <w:tc>
          <w:tcPr>
            <w:tcW w:w="1160" w:type="dxa"/>
            <w:vAlign w:val="bottom"/>
            <w:gridSpan w:val="4"/>
            <w:shd w:val="clear" w:color="auto" w:fill="CFF0FC"/>
          </w:tcPr>
          <w:p>
            <w:pPr>
              <w:jc w:val="right"/>
              <w:spacing w:after="0" w:line="223" w:lineRule="exact"/>
              <w:rPr>
                <w:sz w:val="20"/>
                <w:szCs w:val="20"/>
                <w:color w:val="auto"/>
              </w:rPr>
            </w:pPr>
            <w:r>
              <w:rPr>
                <w:rFonts w:ascii="Arial" w:cs="Arial" w:eastAsia="Arial" w:hAnsi="Arial"/>
                <w:sz w:val="20"/>
                <w:szCs w:val="20"/>
                <w:color w:val="auto"/>
              </w:rPr>
              <w:t>183,876,453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w w:val="71"/>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line="223" w:lineRule="exact"/>
              <w:rPr>
                <w:sz w:val="20"/>
                <w:szCs w:val="20"/>
                <w:color w:val="auto"/>
              </w:rPr>
            </w:pPr>
            <w:r>
              <w:rPr>
                <w:rFonts w:ascii="Arial" w:cs="Arial" w:eastAsia="Arial" w:hAnsi="Arial"/>
                <w:sz w:val="20"/>
                <w:szCs w:val="20"/>
                <w:color w:val="auto"/>
              </w:rPr>
              <w:t>219,966,167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20"/>
                <w:szCs w:val="20"/>
                <w:color w:val="auto"/>
              </w:rPr>
              <w:t>Total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20"/>
                <w:szCs w:val="20"/>
                <w:color w:val="auto"/>
              </w:rPr>
              <w:t>186,134,323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220,549,760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20"/>
                <w:szCs w:val="20"/>
                <w:color w:val="auto"/>
              </w:rPr>
              <w:t>Loan payable, current and long-term</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48,321,848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19,934,918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20"/>
                <w:szCs w:val="20"/>
                <w:color w:val="auto"/>
              </w:rPr>
              <w:t>Accumulated deficit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7"/>
          </w:tcPr>
          <w:p>
            <w:pPr>
              <w:jc w:val="right"/>
              <w:ind w:right="100"/>
              <w:spacing w:after="0"/>
              <w:rPr>
                <w:sz w:val="20"/>
                <w:szCs w:val="20"/>
                <w:color w:val="auto"/>
              </w:rPr>
            </w:pPr>
            <w:r>
              <w:rPr>
                <w:rFonts w:ascii="Arial" w:cs="Arial" w:eastAsia="Arial" w:hAnsi="Arial"/>
                <w:sz w:val="20"/>
                <w:szCs w:val="20"/>
                <w:color w:val="auto"/>
              </w:rPr>
              <w:t>(278,796,093)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(175,895,493)</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20"/>
                <w:szCs w:val="20"/>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113,792,909</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178,722,389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2021-03-01T07:01:02Z</dcterms:created>
  <dcterms:modified xsi:type="dcterms:W3CDTF">2021-03-01T07:01:02Z</dcterms:modified>
</cp:coreProperties>
</file>