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298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9844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Coleman Mark</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Axsome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AXSM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11/19/2024</w:t>
            </w:r>
          </w:p>
        </w:tc>
        <w:tc>
          <w:tcPr>
            <w:tcW w:w="1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380" w:type="dxa"/>
            <w:vAlign w:val="bottom"/>
            <w:gridSpan w:val="3"/>
            <w:vMerge w:val="continue"/>
          </w:tcPr>
          <w:p>
            <w:pPr>
              <w:spacing w:after="0"/>
              <w:rPr>
                <w:sz w:val="10"/>
                <w:szCs w:val="10"/>
                <w:color w:val="auto"/>
              </w:rPr>
            </w:pPr>
          </w:p>
        </w:tc>
        <w:tc>
          <w:tcPr>
            <w:tcW w:w="1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ONE WORLD TRADE CENTER, 22ND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10007</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6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11/19/2024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33,410</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5.94</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7"/>
                <w:szCs w:val="17"/>
                <w:color w:val="0000FF"/>
              </w:rPr>
              <w:t>48,010</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7"/>
                <w:szCs w:val="17"/>
                <w:color w:val="0000FF"/>
              </w:rPr>
              <w:t>403,856</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1"/>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5.94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11/19/2024</w:t>
            </w:r>
          </w:p>
        </w:tc>
        <w:tc>
          <w:tcPr>
            <w:tcW w:w="1140" w:type="dxa"/>
            <w:vAlign w:val="bottom"/>
          </w:tcPr>
          <w:p>
            <w:pPr>
              <w:spacing w:after="0"/>
              <w:rPr>
                <w:sz w:val="16"/>
                <w:szCs w:val="16"/>
                <w:color w:val="auto"/>
              </w:rPr>
            </w:pPr>
          </w:p>
        </w:tc>
        <w:tc>
          <w:tcPr>
            <w:tcW w:w="62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33,410</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06/29/2015</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06/29/2025</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33,410</w:t>
            </w:r>
          </w:p>
        </w:tc>
        <w:tc>
          <w:tcPr>
            <w:tcW w:w="60" w:type="dxa"/>
            <w:vAlign w:val="bottom"/>
          </w:tcPr>
          <w:p>
            <w:pPr>
              <w:spacing w:after="0"/>
              <w:rPr>
                <w:sz w:val="16"/>
                <w:szCs w:val="16"/>
                <w:color w:val="auto"/>
              </w:rPr>
            </w:pP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16"/>
                <w:szCs w:val="16"/>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exercise of stock options prior to expiration for cash and hold of underlying shares.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shares are held by an entity, of which the reporting person has voting and dispositive power, and therefore, the reporting person is deemed to be the indirect beneficial owner of such shares.</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Herriot Tabuteau, M.D.,</w:t>
            </w:r>
          </w:p>
        </w:tc>
        <w:tc>
          <w:tcPr>
            <w:tcW w:w="3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11/20/2024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58379"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2024-11-20T15:43:17Z</dcterms:created>
  <dcterms:modified xsi:type="dcterms:W3CDTF">2024-11-20T15:43:17Z</dcterms:modified>
</cp:coreProperties>
</file>