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22"/>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9"/>
              </w:rPr>
              <w:t>One World Trade Center, 29th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9"/>
              </w:rPr>
              <w:t>New York, New York</w:t>
            </w:r>
          </w:p>
        </w:tc>
        <w:tc>
          <w:tcPr>
            <w:tcW w:w="31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80" w:firstLine="749"/>
        <w:spacing w:after="0" w:line="245" w:lineRule="auto"/>
        <w:rPr>
          <w:sz w:val="20"/>
          <w:szCs w:val="20"/>
          <w:color w:val="auto"/>
        </w:rPr>
      </w:pPr>
      <w:r>
        <w:rPr>
          <w:rFonts w:ascii="Times New Roman" w:cs="Times New Roman" w:eastAsia="Times New Roman" w:hAnsi="Times New Roman"/>
          <w:sz w:val="18"/>
          <w:szCs w:val="18"/>
          <w:color w:val="auto"/>
        </w:rPr>
        <w:t>On May 27, 2025, Axsome Therapeutics, Inc. (the “Company”) issued a press release announcing that it has entered into a settlement agreement with Hetero Labs Ltd. and certain of its affiliates (Hetero) resolving patent litigation related to Axsome’s product SUNOSI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(solriamfetol). The litigation, which is pending in the United States District Court for the District of New Jersey, resulted from submission by Hetero of an Abbreviated New Drug Application to the U.S. Food and Drug Administration seeking approval to market a generic version of SUNOSI in the United States. Under the terms of the settlement agreement, Axsome will grant Hetero a license to sell its generic version of SUNOSI beginning on or after September 1, 2040, if pediatric exclusivity is granted for SUNOSI, or on or after March 1, 2040, if no pediatric exclusivity is granted, subject to FDA approval and conditions and exceptions customary for agreements of this type. Similar patent litigation brought by Axsome against other parties related to SUNOSI remains pending in the U.S. District Court for the District of New Jersey.</w:t>
      </w:r>
    </w:p>
    <w:p>
      <w:pPr>
        <w:spacing w:after="0" w:line="156"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The settlement agreement is subject to review by the U.S. Federal Trade Commission and the U.S. Department of Justice. The description of the settlement agreement contained herein does not purport to be complete.</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tcPr>
          <w:p>
            <w:pPr>
              <w:spacing w:after="0"/>
              <w:rPr>
                <w:sz w:val="15"/>
                <w:szCs w:val="15"/>
                <w:color w:val="auto"/>
              </w:rPr>
            </w:pPr>
          </w:p>
        </w:tc>
        <w:tc>
          <w:tcPr>
            <w:tcW w:w="2540" w:type="dxa"/>
            <w:vAlign w:val="bottom"/>
            <w:tcBorders>
              <w:bottom w:val="single" w:sz="8" w:color="auto"/>
            </w:tcBorders>
          </w:tcPr>
          <w:p>
            <w:pPr>
              <w:spacing w:after="0"/>
              <w:rPr>
                <w:sz w:val="15"/>
                <w:szCs w:val="15"/>
                <w:color w:val="auto"/>
              </w:rPr>
            </w:pPr>
          </w:p>
        </w:tc>
        <w:tc>
          <w:tcPr>
            <w:tcW w:w="746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9"/>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Press Release dated May 27, 2025.</w:t>
            </w: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Borders>
              <w:right w:val="single" w:sz="8" w:color="0000EE"/>
            </w:tcBorders>
            <w:shd w:val="clear" w:color="auto" w:fill="0000FF"/>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8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2025</w:t>
            </w:r>
          </w:p>
        </w:tc>
        <w:tc>
          <w:tcPr>
            <w:tcW w:w="28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1"/>
        </w:trPr>
        <w:tc>
          <w:tcPr>
            <w:tcW w:w="3600" w:type="dxa"/>
            <w:vAlign w:val="bottom"/>
          </w:tcPr>
          <w:p>
            <w:pPr>
              <w:spacing w:after="0"/>
              <w:rPr>
                <w:sz w:val="16"/>
                <w:szCs w:val="16"/>
                <w:color w:val="auto"/>
              </w:rPr>
            </w:pPr>
          </w:p>
        </w:tc>
        <w:tc>
          <w:tcPr>
            <w:tcW w:w="2820" w:type="dxa"/>
            <w:vAlign w:val="bottom"/>
          </w:tcPr>
          <w:p>
            <w:pPr>
              <w:ind w:left="20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600" w:type="dxa"/>
            <w:vAlign w:val="bottom"/>
          </w:tcPr>
          <w:p>
            <w:pPr>
              <w:spacing w:after="0"/>
              <w:rPr>
                <w:sz w:val="21"/>
                <w:szCs w:val="21"/>
                <w:color w:val="auto"/>
              </w:rPr>
            </w:pPr>
          </w:p>
        </w:tc>
        <w:tc>
          <w:tcPr>
            <w:tcW w:w="282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41"/>
        </w:trPr>
        <w:tc>
          <w:tcPr>
            <w:tcW w:w="36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99795"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99795" cy="514350"/>
                    </a:xfrm>
                    <a:prstGeom prst="rect">
                      <a:avLst/>
                    </a:prstGeom>
                    <a:noFill/>
                  </pic:spPr>
                </pic:pic>
              </a:graphicData>
            </a:graphic>
          </wp:anchor>
        </w:drawing>
      </w:r>
    </w:p>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Axsome Therapeutics Settles SUNOSI</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(solriamfetol) Patent Litigation with Hetero Labs Ltd.</w:t>
      </w:r>
    </w:p>
    <w:p>
      <w:pPr>
        <w:spacing w:after="0" w:line="61" w:lineRule="exact"/>
        <w:rPr>
          <w:sz w:val="20"/>
          <w:szCs w:val="20"/>
          <w:color w:val="auto"/>
        </w:rPr>
      </w:pPr>
    </w:p>
    <w:p>
      <w:pPr>
        <w:jc w:val="both"/>
        <w:spacing w:after="0" w:line="223" w:lineRule="auto"/>
        <w:rPr>
          <w:sz w:val="20"/>
          <w:szCs w:val="20"/>
          <w:color w:val="auto"/>
        </w:rPr>
      </w:pPr>
      <w:r>
        <w:rPr>
          <w:rFonts w:ascii="Arial" w:cs="Arial" w:eastAsia="Arial" w:hAnsi="Arial"/>
          <w:sz w:val="20"/>
          <w:szCs w:val="20"/>
          <w:color w:val="auto"/>
        </w:rPr>
        <w:t>NEW YORK, May 27, 2025 (GLOBE NEWSWIRE) -- Axsome Therapeutics, Inc. (NASDAQ: AXSM) (Axsome), a biopharmaceutical company leading a new era in the treatment of central nervous system (CNS) disorders, today announced that it has entered into a settlement agreement with Hetero Labs Ltd. and certain of its affiliates (Hetero) resolving patent litigation related to Axsome’s product SUNOSI</w:t>
      </w:r>
      <w:r>
        <w:rPr>
          <w:rFonts w:ascii="Arial" w:cs="Arial" w:eastAsia="Arial" w:hAnsi="Arial"/>
          <w:sz w:val="26"/>
          <w:szCs w:val="26"/>
          <w:color w:val="auto"/>
          <w:vertAlign w:val="superscript"/>
        </w:rPr>
        <w:t>®</w:t>
      </w:r>
      <w:r>
        <w:rPr>
          <w:rFonts w:ascii="Arial" w:cs="Arial" w:eastAsia="Arial" w:hAnsi="Arial"/>
          <w:sz w:val="20"/>
          <w:szCs w:val="20"/>
          <w:color w:val="auto"/>
        </w:rPr>
        <w:t xml:space="preserve"> (solriamfetol). The litigation, which is pending in the United States District Court for the District of New Jersey, resulted from submission by Hetero of an Abbreviated New Drug Application to the U.S. Food and Drug Administration seeking approval to market a generic version of SUNOSI in the United States. Under the terms of the settlement agreement, Axsome will grant Hetero a license to sell its generic version of SUNOSI beginning on or after September 1, 2040, if pediatric exclusivity is granted for SUNOSI, or on or after March 1, 2040, if no pediatric exclusivity is granted, subject to FDA approval and conditions and exceptions customary for agreements of this type.</w:t>
      </w:r>
    </w:p>
    <w:p>
      <w:pPr>
        <w:spacing w:after="0" w:line="11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As required by law, Axsome and Hetero will submit the settlement agreement to the U.S. Federal Trade Commission and the U.S. Department of Justice for review. Similar patent litigation brought by Axsome against other parties related to SUNOSI remains pending in the U.S. District Court for the District of New Jersey.</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Axsome Therapeutics</w:t>
      </w:r>
    </w:p>
    <w:p>
      <w:pPr>
        <w:spacing w:after="0" w:line="123"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Axsome Therapeutics is a biopharmaceutical company leading a new era in the treatment of central nervous system (CNS) conditions. We deliver scientific breakthroughs by identifying critical gaps in care and develop differentiated products with a focus on novel mechanisms of action that enable meaningful advancements in patient outcomes. Our industry-leading neuroscience portfolio includes FDA-approved treatments for major depressive disorder, excessive daytime sleepiness associated with narcolepsy and obstructive sleep apnea, and migraine, and multiple late-stage development programs addressing a broad range of serious neurological and psychiatric conditions that impact over 150 million people in the United States. Together, we are on a mission to solve some of the brain’s biggest problems so patients and their loved ones can flourish. For more information, please visit us at www.axsome.com and follow us on LinkedIn and X.</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Forward Looking Statements</w:t>
      </w:r>
    </w:p>
    <w:p>
      <w:pPr>
        <w:spacing w:after="0" w:line="137"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commercial success of the Company’s SUNOSI</w:t>
      </w:r>
      <w:r>
        <w:rPr>
          <w:rFonts w:ascii="Arial" w:cs="Arial" w:eastAsia="Arial" w:hAnsi="Arial"/>
          <w:sz w:val="26"/>
          <w:szCs w:val="26"/>
          <w:color w:val="auto"/>
          <w:vertAlign w:val="superscript"/>
        </w:rPr>
        <w:t>®</w:t>
      </w:r>
      <w:r>
        <w:rPr>
          <w:rFonts w:ascii="Arial" w:cs="Arial" w:eastAsia="Arial" w:hAnsi="Arial"/>
          <w:sz w:val="20"/>
          <w:szCs w:val="20"/>
          <w:color w:val="auto"/>
        </w:rPr>
        <w:t>, AUVELITY</w:t>
      </w:r>
      <w:r>
        <w:rPr>
          <w:rFonts w:ascii="Arial" w:cs="Arial" w:eastAsia="Arial" w:hAnsi="Arial"/>
          <w:sz w:val="26"/>
          <w:szCs w:val="26"/>
          <w:color w:val="auto"/>
          <w:vertAlign w:val="superscript"/>
        </w:rPr>
        <w:t>®</w:t>
      </w:r>
      <w:r>
        <w:rPr>
          <w:rFonts w:ascii="Arial" w:cs="Arial" w:eastAsia="Arial" w:hAnsi="Arial"/>
          <w:sz w:val="20"/>
          <w:szCs w:val="20"/>
          <w:color w:val="auto"/>
        </w:rPr>
        <w:t>, and SYMBRAVO</w:t>
      </w:r>
      <w:r>
        <w:rPr>
          <w:rFonts w:ascii="Arial" w:cs="Arial" w:eastAsia="Arial" w:hAnsi="Arial"/>
          <w:sz w:val="26"/>
          <w:szCs w:val="26"/>
          <w:color w:val="auto"/>
          <w:vertAlign w:val="superscript"/>
        </w:rPr>
        <w:t>®</w:t>
      </w:r>
      <w:r>
        <w:rPr>
          <w:rFonts w:ascii="Arial" w:cs="Arial" w:eastAsia="Arial" w:hAnsi="Arial"/>
          <w:sz w:val="20"/>
          <w:szCs w:val="20"/>
          <w:color w:val="auto"/>
        </w:rPr>
        <w:t xml:space="preserve">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the Company’s ability to successfully defend its intellectual property or obtain the necessary licenses at a cost acceptable to the Company, if at all; the Company’s ability to successfully resolve any intellectual property litigation, and even if such disputes are settled, whether the applicable federal agencies will approve of such settlements;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commercialization of SUNOSI, AUVELITY, and SYMBRAVO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Investors:</w:t>
      </w:r>
    </w:p>
    <w:p>
      <w:pPr>
        <w:spacing w:after="0" w:line="231" w:lineRule="auto"/>
        <w:rPr>
          <w:sz w:val="20"/>
          <w:szCs w:val="20"/>
          <w:color w:val="auto"/>
        </w:rPr>
      </w:pPr>
      <w:r>
        <w:rPr>
          <w:rFonts w:ascii="Arial" w:cs="Arial" w:eastAsia="Arial" w:hAnsi="Arial"/>
          <w:sz w:val="20"/>
          <w:szCs w:val="20"/>
          <w:color w:val="auto"/>
        </w:rPr>
        <w:t>Mark Jacobson</w:t>
      </w:r>
    </w:p>
    <w:p>
      <w:pPr>
        <w:spacing w:after="0" w:line="226" w:lineRule="auto"/>
        <w:rPr>
          <w:sz w:val="20"/>
          <w:szCs w:val="20"/>
          <w:color w:val="auto"/>
        </w:rPr>
      </w:pPr>
      <w:r>
        <w:rPr>
          <w:rFonts w:ascii="Arial" w:cs="Arial" w:eastAsia="Arial" w:hAnsi="Arial"/>
          <w:sz w:val="20"/>
          <w:szCs w:val="20"/>
          <w:color w:val="auto"/>
        </w:rPr>
        <w:t>Chief Operating Officer</w:t>
      </w:r>
    </w:p>
    <w:p>
      <w:pPr>
        <w:ind w:right="7859" w:firstLine="8"/>
        <w:spacing w:after="0" w:line="264" w:lineRule="auto"/>
        <w:tabs>
          <w:tab w:leader="none" w:pos="517"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332-3243 </w:t>
      </w:r>
      <w:r>
        <w:rPr>
          <w:rFonts w:ascii="Arial" w:cs="Arial" w:eastAsia="Arial" w:hAnsi="Arial"/>
          <w:sz w:val="19"/>
          <w:szCs w:val="19"/>
          <w:color w:val="467886"/>
        </w:rPr>
        <w:t>mjacobson@axsome.com</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231" w:lineRule="auto"/>
        <w:rPr>
          <w:sz w:val="20"/>
          <w:szCs w:val="20"/>
          <w:color w:val="auto"/>
        </w:rPr>
      </w:pPr>
      <w:r>
        <w:rPr>
          <w:rFonts w:ascii="Arial" w:cs="Arial" w:eastAsia="Arial" w:hAnsi="Arial"/>
          <w:sz w:val="20"/>
          <w:szCs w:val="20"/>
          <w:color w:val="auto"/>
        </w:rPr>
        <w:t>Darren Opland</w:t>
      </w:r>
    </w:p>
    <w:p>
      <w:pPr>
        <w:spacing w:after="0" w:line="226" w:lineRule="auto"/>
        <w:rPr>
          <w:sz w:val="20"/>
          <w:szCs w:val="20"/>
          <w:color w:val="auto"/>
        </w:rPr>
      </w:pPr>
      <w:r>
        <w:rPr>
          <w:rFonts w:ascii="Arial" w:cs="Arial" w:eastAsia="Arial" w:hAnsi="Arial"/>
          <w:sz w:val="20"/>
          <w:szCs w:val="20"/>
          <w:color w:val="auto"/>
        </w:rPr>
        <w:t>Director, Corporate Communications</w:t>
      </w:r>
    </w:p>
    <w:p>
      <w:pPr>
        <w:ind w:right="8099" w:firstLine="8"/>
        <w:spacing w:after="0" w:line="264" w:lineRule="auto"/>
        <w:tabs>
          <w:tab w:leader="none" w:pos="517"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837-1065 </w:t>
      </w:r>
      <w:r>
        <w:rPr>
          <w:rFonts w:ascii="Arial" w:cs="Arial" w:eastAsia="Arial" w:hAnsi="Arial"/>
          <w:sz w:val="19"/>
          <w:szCs w:val="19"/>
          <w:color w:val="467886"/>
        </w:rPr>
        <w:t>dopland@axsome.com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2" w:right="1440"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212"/>
    </w:lvl>
  </w:abstractNum>
  <w:abstractNum w:abstractNumId="2">
    <w:nsid w:val="19495CFF"/>
    <w:multiLevelType w:val="hybridMultilevel"/>
    <w:lvl w:ilvl="0">
      <w:lvlJc w:val="left"/>
      <w:lvlText w:val="(%1)"/>
      <w:numFmt w:val="decimal"/>
      <w:start w:val="9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2025-05-27T06:09:57Z</dcterms:created>
  <dcterms:modified xsi:type="dcterms:W3CDTF">2025-05-27T06:09:57Z</dcterms:modified>
</cp:coreProperties>
</file>