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05464T104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05464T104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2,922,729.00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2,922,729.00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2,922,729.00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 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05464T104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Roderick Wong, M.D.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2,922,729.00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2,922,729.00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2,922,729.00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World Trade Center, 22nd Floor, New York, NY 10007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This statement is filed by: (i) RTW Investments, LP ("RTW Investments"), a Delaware limited partnership and the investment adviser to certain funds (the "RTW Funds"), with respect to shares of Common Stock, par value $0.0001</w:t>
      </w:r>
    </w:p>
    <w:p>
      <w:pPr>
        <w:spacing w:after="0" w:line="1" w:lineRule="exact"/>
        <w:rPr>
          <w:sz w:val="20"/>
          <w:szCs w:val="20"/>
          <w:color w:val="auto"/>
        </w:rPr>
      </w:pPr>
    </w:p>
    <w:p>
      <w:pPr>
        <w:ind w:left="920" w:right="20" w:hanging="912"/>
        <w:spacing w:after="0" w:line="201"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 share (the "Shares") of Axsome Therapeutics, Inc. (the "Company") 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as amended, the beneficial owner of the Shares reported herein.</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each of the Reporting Persons is 40 10th Avenue, Floor 7, New York, New York 10014.</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RTW Investments is a Delaware limited partnership. Dr. Wong is a citizen of the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05464T104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080"/>
          </w:cols>
          <w:pgMar w:left="360" w:top="126" w:right="459" w:bottom="0" w:gutter="0" w:footer="0" w:header="0"/>
        </w:sectPr>
      </w:pPr>
    </w:p>
    <w:bookmarkStart w:id="3" w:name="page4"/>
    <w:bookmarkEnd w:id="3"/>
    <w:p>
      <w:pPr>
        <w:jc w:val="both"/>
        <w:ind w:left="920" w:right="180"/>
        <w:spacing w:after="0"/>
        <w:rPr>
          <w:sz w:val="20"/>
          <w:szCs w:val="20"/>
          <w:color w:val="auto"/>
        </w:rPr>
      </w:pPr>
      <w:r>
        <w:rPr>
          <w:rFonts w:ascii="Times New Roman" w:cs="Times New Roman" w:eastAsia="Times New Roman" w:hAnsi="Times New Roman"/>
          <w:sz w:val="22"/>
          <w:szCs w:val="22"/>
          <w:color w:val="auto"/>
        </w:rPr>
        <w:t>The information required by Item 4(a) is set forth in Rows 5 - 9 of the cover page for each of the Reporting Persons and is incorporated herein by reference. The percentages set forth in Row 11 of the cover pages are calculated based upon 48,765,403 Shares outstanding as of February 11, 2025 as reported in the Company's Annual Report on Form 10-K filed with the Securities and Exchange Commission on February 18,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RTW Investments: 6.0% Dr. Wong: 6.0 %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RTW Investments: 0 Dr. Wong: 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2,922,729 Shares Dr. Wong: 2,922,729 Shares</w:t>
      </w:r>
    </w:p>
    <w:p>
      <w:pPr>
        <w:spacing w:after="0" w:line="287" w:lineRule="exact"/>
        <w:rPr>
          <w:sz w:val="20"/>
          <w:szCs w:val="20"/>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RTW Investments: 0 Dr. Wong: 0</w:t>
      </w:r>
    </w:p>
    <w:p>
      <w:pPr>
        <w:spacing w:after="0" w:line="1" w:lineRule="exact"/>
        <w:rPr>
          <w:rFonts w:ascii="Times New Roman" w:cs="Times New Roman" w:eastAsia="Times New Roman" w:hAnsi="Times New Roman"/>
          <w:sz w:val="22"/>
          <w:szCs w:val="22"/>
          <w:color w:val="auto"/>
        </w:rPr>
      </w:pPr>
    </w:p>
    <w:p>
      <w:pPr>
        <w:ind w:right="454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RTW Investments: 2,922,729 Shares Dr. Wong: 2,922,729 Shares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See Item 2. The RTW Funds have the right to receive or the power to direct the receipt of dividends from, or the proceeds from the sale of, the Shares reported herein.</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152"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Roderick Wong, M.D., Managing Partner</w:t>
      </w:r>
    </w:p>
    <w:p>
      <w:pPr>
        <w:spacing w:after="0" w:line="44"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Roderick Wong, M.D.</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2380"/>
        <w:spacing w:after="0"/>
        <w:tabs>
          <w:tab w:leader="none" w:pos="3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Name/Title: Roderick Wong, M.D.</w:t>
      </w:r>
    </w:p>
    <w:p>
      <w:pPr>
        <w:spacing w:after="0" w:line="44" w:lineRule="exact"/>
        <w:rPr>
          <w:sz w:val="20"/>
          <w:szCs w:val="20"/>
          <w:color w:val="auto"/>
        </w:rPr>
      </w:pPr>
    </w:p>
    <w:p>
      <w:pPr>
        <w:ind w:left="2380"/>
        <w:spacing w:after="0"/>
        <w:tabs>
          <w:tab w:leader="none" w:pos="3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2025-05-15T07:19:27Z</dcterms:created>
  <dcterms:modified xsi:type="dcterms:W3CDTF">2025-05-15T07:19:27Z</dcterms:modified>
</cp:coreProperties>
</file>