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Axsome Therapeutics,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05464T104</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1, 2017</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2619" w:firstLine="737"/>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13d-1(b)</w:t>
      </w:r>
    </w:p>
    <w:p>
      <w:pPr>
        <w:spacing w:after="0" w:line="207" w:lineRule="exact"/>
        <w:rPr>
          <w:sz w:val="24"/>
          <w:szCs w:val="24"/>
          <w:color w:val="auto"/>
        </w:rPr>
      </w:pPr>
    </w:p>
    <w:p>
      <w:pPr>
        <w:jc w:val="both"/>
        <w:ind w:right="8319" w:firstLine="8"/>
        <w:spacing w:after="0" w:line="536" w:lineRule="auto"/>
        <w:tabs>
          <w:tab w:leader="none" w:pos="52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13d-1(c) [_] Rule 13d-1(d)</w:t>
      </w:r>
    </w:p>
    <w:p>
      <w:pPr>
        <w:spacing w:after="0" w:line="234" w:lineRule="auto"/>
        <w:rPr>
          <w:sz w:val="20"/>
          <w:szCs w:val="20"/>
          <w:color w:val="auto"/>
        </w:rPr>
      </w:pPr>
      <w:r>
        <w:rPr>
          <w:rFonts w:ascii="Courier New" w:cs="Courier New" w:eastAsia="Courier New" w:hAnsi="Courier New"/>
          <w:sz w:val="18"/>
          <w:szCs w:val="18"/>
          <w:color w:val="auto"/>
        </w:rPr>
        <w:t>__________</w:t>
      </w:r>
    </w:p>
    <w:p>
      <w:pPr>
        <w:spacing w:after="0" w:line="4" w:lineRule="exact"/>
        <w:rPr>
          <w:sz w:val="24"/>
          <w:szCs w:val="24"/>
          <w:color w:val="auto"/>
        </w:rPr>
      </w:pPr>
    </w:p>
    <w:p>
      <w:pPr>
        <w:ind w:right="2199" w:firstLine="737"/>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ind w:left="740"/>
        <w:spacing w:after="0" w:line="234" w:lineRule="auto"/>
        <w:rPr>
          <w:sz w:val="20"/>
          <w:szCs w:val="20"/>
          <w:color w:val="auto"/>
        </w:rPr>
      </w:pPr>
      <w:r>
        <w:rPr>
          <w:rFonts w:ascii="Courier New" w:cs="Courier New" w:eastAsia="Courier New" w:hAnsi="Courier New"/>
          <w:sz w:val="18"/>
          <w:szCs w:val="18"/>
          <w:color w:val="auto"/>
        </w:rPr>
        <w:t>The information required in the remainder of this cover page shall</w:t>
      </w:r>
    </w:p>
    <w:p>
      <w:pPr>
        <w:spacing w:after="0" w:line="238" w:lineRule="auto"/>
        <w:rPr>
          <w:sz w:val="20"/>
          <w:szCs w:val="20"/>
          <w:color w:val="auto"/>
        </w:rPr>
      </w:pPr>
      <w:r>
        <w:rPr>
          <w:rFonts w:ascii="Courier New" w:cs="Courier New" w:eastAsia="Courier New" w:hAnsi="Courier New"/>
          <w:sz w:val="18"/>
          <w:szCs w:val="18"/>
          <w:color w:val="auto"/>
        </w:rPr>
        <w:t>not be deemed to be filed for the purpose of Section 18 of the Securities</w:t>
      </w:r>
    </w:p>
    <w:p>
      <w:pPr>
        <w:spacing w:after="0"/>
        <w:rPr>
          <w:sz w:val="20"/>
          <w:szCs w:val="20"/>
          <w:color w:val="auto"/>
        </w:rPr>
      </w:pPr>
      <w:r>
        <w:rPr>
          <w:rFonts w:ascii="Courier New" w:cs="Courier New" w:eastAsia="Courier New" w:hAnsi="Courier New"/>
          <w:sz w:val="18"/>
          <w:szCs w:val="18"/>
          <w:color w:val="auto"/>
        </w:rPr>
        <w:t>Exchange Act of 1934 (Act) or otherwise subject to the liabilities of that</w:t>
      </w:r>
    </w:p>
    <w:p>
      <w:pPr>
        <w:spacing w:after="0" w:line="237" w:lineRule="auto"/>
        <w:rPr>
          <w:sz w:val="20"/>
          <w:szCs w:val="20"/>
          <w:color w:val="auto"/>
        </w:rPr>
      </w:pPr>
      <w:r>
        <w:rPr>
          <w:rFonts w:ascii="Courier New" w:cs="Courier New" w:eastAsia="Courier New" w:hAnsi="Courier New"/>
          <w:sz w:val="18"/>
          <w:szCs w:val="18"/>
          <w:color w:val="auto"/>
        </w:rPr>
        <w:t>section of the Act but shall be subject to all other provisions of the Act</w:t>
      </w:r>
    </w:p>
    <w:p>
      <w:pPr>
        <w:spacing w:after="0"/>
        <w:rPr>
          <w:sz w:val="20"/>
          <w:szCs w:val="20"/>
          <w:color w:val="auto"/>
        </w:rPr>
      </w:pPr>
      <w:r>
        <w:rPr>
          <w:rFonts w:ascii="Courier New" w:cs="Courier New" w:eastAsia="Courier New" w:hAnsi="Courier New"/>
          <w:sz w:val="18"/>
          <w:szCs w:val="18"/>
          <w:color w:val="auto"/>
        </w:rPr>
        <w:t>(however, see the Notes).</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No.</w:t>
      </w:r>
    </w:p>
    <w:p>
      <w:pPr>
        <w:spacing w:after="0"/>
        <w:rPr>
          <w:sz w:val="20"/>
          <w:szCs w:val="20"/>
          <w:color w:val="auto"/>
        </w:rPr>
      </w:pPr>
      <w:r>
        <w:rPr>
          <w:rFonts w:ascii="Courier New" w:cs="Courier New" w:eastAsia="Courier New" w:hAnsi="Courier New"/>
          <w:sz w:val="18"/>
          <w:szCs w:val="18"/>
          <w:color w:val="auto"/>
        </w:rPr>
        <w:t>05464T104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 OF REPORTING PERSONS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Sabby Healthcare Master Fund, Ltd.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38" w:lineRule="auto"/>
        <w:rPr>
          <w:sz w:val="20"/>
          <w:szCs w:val="20"/>
          <w:color w:val="auto"/>
        </w:rPr>
      </w:pPr>
      <w:r>
        <w:rPr>
          <w:rFonts w:ascii="Courier New" w:cs="Courier New" w:eastAsia="Courier New" w:hAnsi="Courier New"/>
          <w:sz w:val="18"/>
          <w:szCs w:val="18"/>
          <w:color w:val="auto"/>
        </w:rPr>
        <w:t>CHECK THE APPROPRIATE BOX IF A MEMBER OF A GROUP (SEE INSTRUCTIONS)</w:t>
      </w:r>
    </w:p>
    <w:p>
      <w:pPr>
        <w:spacing w:after="0" w:line="200" w:lineRule="exact"/>
        <w:rPr>
          <w:sz w:val="24"/>
          <w:szCs w:val="24"/>
          <w:color w:val="auto"/>
        </w:rPr>
      </w:pPr>
    </w:p>
    <w:p>
      <w:pPr>
        <w:spacing w:after="0" w:line="204"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ectPr>
          <w:pgSz w:w="11900" w:h="16855" w:orient="portrait"/>
          <w:cols w:equalWidth="0" w:num="1">
            <w:col w:w="10219"/>
          </w:cols>
          <w:pgMar w:left="240" w:top="244"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Cayman Islands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SHARED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704,000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38" w:lineRule="auto"/>
        <w:rPr>
          <w:sz w:val="20"/>
          <w:szCs w:val="20"/>
          <w:color w:val="auto"/>
        </w:rPr>
      </w:pPr>
      <w:r>
        <w:rPr>
          <w:rFonts w:ascii="Courier New" w:cs="Courier New" w:eastAsia="Courier New" w:hAnsi="Courier New"/>
          <w:sz w:val="18"/>
          <w:szCs w:val="18"/>
          <w:color w:val="auto"/>
        </w:rPr>
        <w:t>SOLE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38" w:lineRule="auto"/>
        <w:rPr>
          <w:sz w:val="20"/>
          <w:szCs w:val="20"/>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704,000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38" w:lineRule="auto"/>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704,000</w:t>
      </w:r>
    </w:p>
    <w:p>
      <w:pPr>
        <w:sectPr>
          <w:pgSz w:w="11900" w:h="16838" w:orient="portrait"/>
          <w:cols w:equalWidth="0" w:num="1">
            <w:col w:w="10219"/>
          </w:cols>
          <w:pgMar w:left="240" w:top="1440"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38" w:lineRule="auto"/>
        <w:rPr>
          <w:sz w:val="20"/>
          <w:szCs w:val="20"/>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2.76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38" w:lineRule="auto"/>
        <w:rPr>
          <w:sz w:val="20"/>
          <w:szCs w:val="20"/>
          <w:color w:val="auto"/>
        </w:rPr>
      </w:pPr>
      <w:r>
        <w:rPr>
          <w:rFonts w:ascii="Courier New" w:cs="Courier New" w:eastAsia="Courier New" w:hAnsi="Courier New"/>
          <w:sz w:val="18"/>
          <w:szCs w:val="18"/>
          <w:color w:val="auto"/>
        </w:rPr>
        <w:t>TYPE OF REPORTING PERSON (SEE INSTRUCTIONS)</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w:t>
      </w:r>
    </w:p>
    <w:p>
      <w:pPr>
        <w:spacing w:after="0" w:line="238" w:lineRule="auto"/>
        <w:rPr>
          <w:sz w:val="20"/>
          <w:szCs w:val="20"/>
          <w:color w:val="auto"/>
        </w:rPr>
      </w:pPr>
      <w:r>
        <w:rPr>
          <w:rFonts w:ascii="Courier New" w:cs="Courier New" w:eastAsia="Courier New" w:hAnsi="Courier New"/>
          <w:sz w:val="18"/>
          <w:szCs w:val="18"/>
          <w:color w:val="auto"/>
        </w:rPr>
        <w:t>CUSIP No.</w:t>
      </w:r>
    </w:p>
    <w:p>
      <w:pPr>
        <w:spacing w:after="0"/>
        <w:rPr>
          <w:sz w:val="20"/>
          <w:szCs w:val="20"/>
          <w:color w:val="auto"/>
        </w:rPr>
      </w:pPr>
      <w:r>
        <w:rPr>
          <w:rFonts w:ascii="Courier New" w:cs="Courier New" w:eastAsia="Courier New" w:hAnsi="Courier New"/>
          <w:sz w:val="18"/>
          <w:szCs w:val="18"/>
          <w:color w:val="auto"/>
        </w:rPr>
        <w:t>05464T104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 OF REPORTING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sectPr>
          <w:pgSz w:w="11900" w:h="16838" w:orient="portrait"/>
          <w:cols w:equalWidth="0" w:num="1">
            <w:col w:w="10219"/>
          </w:cols>
          <w:pgMar w:left="240" w:top="94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Cayman Islands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SHARED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704,000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38" w:lineRule="auto"/>
        <w:rPr>
          <w:sz w:val="20"/>
          <w:szCs w:val="20"/>
          <w:color w:val="auto"/>
        </w:rPr>
      </w:pPr>
      <w:r>
        <w:rPr>
          <w:rFonts w:ascii="Courier New" w:cs="Courier New" w:eastAsia="Courier New" w:hAnsi="Courier New"/>
          <w:sz w:val="18"/>
          <w:szCs w:val="18"/>
          <w:color w:val="auto"/>
        </w:rPr>
        <w:t>SOLE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38" w:lineRule="auto"/>
        <w:rPr>
          <w:sz w:val="20"/>
          <w:szCs w:val="20"/>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704,000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38" w:lineRule="auto"/>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704,000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sectPr>
          <w:pgSz w:w="11900" w:h="16838" w:orient="portrait"/>
          <w:cols w:equalWidth="0" w:num="1">
            <w:col w:w="10219"/>
          </w:cols>
          <w:pgMar w:left="240" w:top="946" w:right="1440" w:bottom="132"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11.</w:t>
      </w:r>
    </w:p>
    <w:p>
      <w:pPr>
        <w:spacing w:after="0" w:line="238" w:lineRule="auto"/>
        <w:rPr>
          <w:sz w:val="20"/>
          <w:szCs w:val="20"/>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2.76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38" w:lineRule="auto"/>
        <w:rPr>
          <w:sz w:val="20"/>
          <w:szCs w:val="20"/>
          <w:color w:val="auto"/>
        </w:rPr>
      </w:pPr>
      <w:r>
        <w:rPr>
          <w:rFonts w:ascii="Courier New" w:cs="Courier New" w:eastAsia="Courier New" w:hAnsi="Courier New"/>
          <w:sz w:val="18"/>
          <w:szCs w:val="18"/>
          <w:color w:val="auto"/>
        </w:rPr>
        <w:t>TYPE OF REPORTING PERSON (SEE INSTRUCTIONS)</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w:t>
      </w:r>
    </w:p>
    <w:p>
      <w:pPr>
        <w:spacing w:after="0" w:line="238" w:lineRule="auto"/>
        <w:rPr>
          <w:sz w:val="20"/>
          <w:szCs w:val="20"/>
          <w:color w:val="auto"/>
        </w:rPr>
      </w:pPr>
      <w:r>
        <w:rPr>
          <w:rFonts w:ascii="Courier New" w:cs="Courier New" w:eastAsia="Courier New" w:hAnsi="Courier New"/>
          <w:sz w:val="18"/>
          <w:szCs w:val="18"/>
          <w:color w:val="auto"/>
        </w:rPr>
        <w:t>05464T104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 OF REPORTING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Management,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Delaware, 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ectPr>
          <w:pgSz w:w="11900" w:h="16838" w:orient="portrait"/>
          <w:cols w:equalWidth="0" w:num="1">
            <w:col w:w="10219"/>
          </w:cols>
          <w:pgMar w:left="240" w:top="946" w:right="1440" w:bottom="132"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SHARED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1,408,000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38" w:lineRule="auto"/>
        <w:rPr>
          <w:sz w:val="20"/>
          <w:szCs w:val="20"/>
          <w:color w:val="auto"/>
        </w:rPr>
      </w:pPr>
      <w:r>
        <w:rPr>
          <w:rFonts w:ascii="Courier New" w:cs="Courier New" w:eastAsia="Courier New" w:hAnsi="Courier New"/>
          <w:sz w:val="18"/>
          <w:szCs w:val="18"/>
          <w:color w:val="auto"/>
        </w:rPr>
        <w:t>SOLE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38" w:lineRule="auto"/>
        <w:rPr>
          <w:sz w:val="20"/>
          <w:szCs w:val="20"/>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1,408,000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AGGREGATE AMOUNT BENEFICIALLY OWNED BY EACH REPORTING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1,408,000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38" w:lineRule="auto"/>
        <w:rPr>
          <w:sz w:val="20"/>
          <w:szCs w:val="20"/>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5.52</w:t>
      </w:r>
    </w:p>
    <w:p>
      <w:pPr>
        <w:sectPr>
          <w:pgSz w:w="11900" w:h="16838" w:orient="portrait"/>
          <w:cols w:equalWidth="0" w:num="1">
            <w:col w:w="10219"/>
          </w:cols>
          <w:pgMar w:left="240" w:top="339"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12.</w:t>
      </w:r>
    </w:p>
    <w:p>
      <w:pPr>
        <w:spacing w:after="0" w:line="238" w:lineRule="auto"/>
        <w:rPr>
          <w:sz w:val="20"/>
          <w:szCs w:val="20"/>
          <w:color w:val="auto"/>
        </w:rPr>
      </w:pPr>
      <w:r>
        <w:rPr>
          <w:rFonts w:ascii="Courier New" w:cs="Courier New" w:eastAsia="Courier New" w:hAnsi="Courier New"/>
          <w:sz w:val="18"/>
          <w:szCs w:val="18"/>
          <w:color w:val="auto"/>
        </w:rPr>
        <w:t>TYPE OF REPORTING PERSON (SEE INSTRUCTIONS)</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OO</w:t>
      </w:r>
    </w:p>
    <w:p>
      <w:pPr>
        <w:spacing w:after="0" w:line="238" w:lineRule="auto"/>
        <w:rPr>
          <w:sz w:val="20"/>
          <w:szCs w:val="20"/>
          <w:color w:val="auto"/>
        </w:rPr>
      </w:pPr>
      <w:r>
        <w:rPr>
          <w:rFonts w:ascii="Courier New" w:cs="Courier New" w:eastAsia="Courier New" w:hAnsi="Courier New"/>
          <w:sz w:val="18"/>
          <w:szCs w:val="18"/>
          <w:color w:val="auto"/>
        </w:rPr>
        <w:t>CUSIP No.</w:t>
      </w:r>
    </w:p>
    <w:p>
      <w:pPr>
        <w:spacing w:after="0"/>
        <w:rPr>
          <w:sz w:val="20"/>
          <w:szCs w:val="20"/>
          <w:color w:val="auto"/>
        </w:rPr>
      </w:pPr>
      <w:r>
        <w:rPr>
          <w:rFonts w:ascii="Courier New" w:cs="Courier New" w:eastAsia="Courier New" w:hAnsi="Courier New"/>
          <w:sz w:val="18"/>
          <w:szCs w:val="18"/>
          <w:color w:val="auto"/>
        </w:rPr>
        <w:t>05464T104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 OF REPORTING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Hal Mintz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ectPr>
          <w:pgSz w:w="11900" w:h="16838" w:orient="portrait"/>
          <w:cols w:equalWidth="0" w:num="1">
            <w:col w:w="10219"/>
          </w:cols>
          <w:pgMar w:left="240" w:top="946" w:right="1440" w:bottom="537"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SHARED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1,408,000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38" w:lineRule="auto"/>
        <w:rPr>
          <w:sz w:val="20"/>
          <w:szCs w:val="20"/>
          <w:color w:val="auto"/>
        </w:rPr>
      </w:pPr>
      <w:r>
        <w:rPr>
          <w:rFonts w:ascii="Courier New" w:cs="Courier New" w:eastAsia="Courier New" w:hAnsi="Courier New"/>
          <w:sz w:val="18"/>
          <w:szCs w:val="18"/>
          <w:color w:val="auto"/>
        </w:rPr>
        <w:t>SOLE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38" w:lineRule="auto"/>
        <w:rPr>
          <w:sz w:val="20"/>
          <w:szCs w:val="20"/>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1,408,000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AGGREGATE AMOUNT BENEFICIALLY OWNED BY EACH REPORTING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1,408,000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38" w:lineRule="auto"/>
        <w:rPr>
          <w:sz w:val="20"/>
          <w:szCs w:val="20"/>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38" w:lineRule="auto"/>
        <w:rPr>
          <w:sz w:val="20"/>
          <w:szCs w:val="20"/>
          <w:color w:val="auto"/>
        </w:rPr>
      </w:pPr>
      <w:r>
        <w:rPr>
          <w:rFonts w:ascii="Courier New" w:cs="Courier New" w:eastAsia="Courier New" w:hAnsi="Courier New"/>
          <w:sz w:val="18"/>
          <w:szCs w:val="18"/>
          <w:color w:val="auto"/>
        </w:rPr>
        <w:t>TYPE OF REPORTING PERSON (SEE INSTRUCTIONS)</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w:t>
      </w:r>
    </w:p>
    <w:p>
      <w:pPr>
        <w:spacing w:after="0" w:line="238" w:lineRule="auto"/>
        <w:rPr>
          <w:sz w:val="20"/>
          <w:szCs w:val="20"/>
          <w:color w:val="auto"/>
        </w:rPr>
      </w:pPr>
      <w:r>
        <w:rPr>
          <w:rFonts w:ascii="Courier New" w:cs="Courier New" w:eastAsia="Courier New" w:hAnsi="Courier New"/>
          <w:sz w:val="18"/>
          <w:szCs w:val="18"/>
          <w:color w:val="auto"/>
        </w:rPr>
        <w:t>05464T104</w:t>
      </w:r>
    </w:p>
    <w:p>
      <w:pPr>
        <w:sectPr>
          <w:pgSz w:w="11900" w:h="16838" w:orient="portrait"/>
          <w:cols w:equalWidth="0" w:num="1">
            <w:col w:w="10219"/>
          </w:cols>
          <w:pgMar w:left="240" w:top="136" w:right="1440" w:bottom="133"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Item 1.</w:t>
      </w:r>
    </w:p>
    <w:p>
      <w:pPr>
        <w:spacing w:after="0" w:line="238" w:lineRule="auto"/>
        <w:rPr>
          <w:sz w:val="20"/>
          <w:szCs w:val="20"/>
          <w:color w:val="auto"/>
        </w:rPr>
      </w:pPr>
      <w:r>
        <w:rPr>
          <w:rFonts w:ascii="Courier New" w:cs="Courier New" w:eastAsia="Courier New" w:hAnsi="Courier New"/>
          <w:sz w:val="18"/>
          <w:szCs w:val="18"/>
          <w:color w:val="auto"/>
        </w:rPr>
        <w:t>(a).</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Axsome Therapeutics,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38" w:lineRule="auto"/>
        <w:rPr>
          <w:sz w:val="20"/>
          <w:szCs w:val="20"/>
          <w:color w:val="auto"/>
        </w:rPr>
      </w:pPr>
      <w:r>
        <w:rPr>
          <w:rFonts w:ascii="Courier New" w:cs="Courier New" w:eastAsia="Courier New" w:hAnsi="Courier New"/>
          <w:sz w:val="18"/>
          <w:szCs w:val="18"/>
          <w:color w:val="auto"/>
        </w:rPr>
        <w:t>Address of issuer's principal executive offices: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 Broadway 9th Floor</w:t>
      </w:r>
    </w:p>
    <w:p>
      <w:pPr>
        <w:spacing w:after="0" w:line="238" w:lineRule="auto"/>
        <w:rPr>
          <w:sz w:val="20"/>
          <w:szCs w:val="20"/>
          <w:color w:val="auto"/>
        </w:rPr>
      </w:pPr>
      <w:r>
        <w:rPr>
          <w:rFonts w:ascii="Courier New" w:cs="Courier New" w:eastAsia="Courier New" w:hAnsi="Courier New"/>
          <w:sz w:val="18"/>
          <w:szCs w:val="18"/>
          <w:color w:val="auto"/>
        </w:rPr>
        <w:t>New York, NY 10004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38" w:lineRule="auto"/>
        <w:rPr>
          <w:sz w:val="20"/>
          <w:szCs w:val="20"/>
          <w:color w:val="auto"/>
        </w:rPr>
      </w:pPr>
      <w:r>
        <w:rPr>
          <w:rFonts w:ascii="Courier New" w:cs="Courier New" w:eastAsia="Courier New" w:hAnsi="Courier New"/>
          <w:sz w:val="18"/>
          <w:szCs w:val="18"/>
          <w:color w:val="auto"/>
        </w:rPr>
        <w:t>(a).</w:t>
      </w:r>
    </w:p>
    <w:p>
      <w:pPr>
        <w:spacing w:after="0"/>
        <w:rPr>
          <w:sz w:val="20"/>
          <w:szCs w:val="20"/>
          <w:color w:val="auto"/>
        </w:rPr>
      </w:pPr>
      <w:r>
        <w:rPr>
          <w:rFonts w:ascii="Courier New" w:cs="Courier New" w:eastAsia="Courier New" w:hAnsi="Courier New"/>
          <w:sz w:val="18"/>
          <w:szCs w:val="18"/>
          <w:color w:val="auto"/>
        </w:rPr>
        <w:t>Name of person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Healthcare Master Fund, Ltd.</w:t>
      </w:r>
    </w:p>
    <w:p>
      <w:pPr>
        <w:spacing w:after="0" w:line="238" w:lineRule="auto"/>
        <w:rPr>
          <w:sz w:val="20"/>
          <w:szCs w:val="20"/>
          <w:color w:val="auto"/>
        </w:rPr>
      </w:pPr>
      <w:r>
        <w:rPr>
          <w:rFonts w:ascii="Courier New" w:cs="Courier New" w:eastAsia="Courier New" w:hAnsi="Courier New"/>
          <w:sz w:val="18"/>
          <w:szCs w:val="18"/>
          <w:color w:val="auto"/>
        </w:rPr>
        <w:t>Sabby Volatility Warrant Master Fund, Ltd.</w:t>
      </w:r>
    </w:p>
    <w:p>
      <w:pPr>
        <w:spacing w:after="0"/>
        <w:rPr>
          <w:sz w:val="20"/>
          <w:szCs w:val="20"/>
          <w:color w:val="auto"/>
        </w:rPr>
      </w:pPr>
      <w:r>
        <w:rPr>
          <w:rFonts w:ascii="Courier New" w:cs="Courier New" w:eastAsia="Courier New" w:hAnsi="Courier New"/>
          <w:sz w:val="18"/>
          <w:szCs w:val="18"/>
          <w:color w:val="auto"/>
        </w:rPr>
        <w:t>Sabby Management, LLC</w:t>
      </w:r>
    </w:p>
    <w:p>
      <w:pPr>
        <w:spacing w:after="0" w:line="237" w:lineRule="auto"/>
        <w:rPr>
          <w:sz w:val="20"/>
          <w:szCs w:val="20"/>
          <w:color w:val="auto"/>
        </w:rPr>
      </w:pPr>
      <w:r>
        <w:rPr>
          <w:rFonts w:ascii="Courier New" w:cs="Courier New" w:eastAsia="Courier New" w:hAnsi="Courier New"/>
          <w:sz w:val="18"/>
          <w:szCs w:val="18"/>
          <w:color w:val="auto"/>
        </w:rPr>
        <w:t>Hal Mintz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or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Healthcare Master Fund, Ltd.</w:t>
      </w:r>
    </w:p>
    <w:p>
      <w:pPr>
        <w:spacing w:after="0" w:line="238" w:lineRule="auto"/>
        <w:rPr>
          <w:sz w:val="20"/>
          <w:szCs w:val="20"/>
          <w:color w:val="auto"/>
        </w:rPr>
      </w:pPr>
      <w:r>
        <w:rPr>
          <w:rFonts w:ascii="Courier New" w:cs="Courier New" w:eastAsia="Courier New" w:hAnsi="Courier New"/>
          <w:sz w:val="18"/>
          <w:szCs w:val="18"/>
          <w:color w:val="auto"/>
        </w:rPr>
        <w:t>c/o Ogier Fiduciary Services (Cayman) Limited</w:t>
      </w:r>
    </w:p>
    <w:p>
      <w:pPr>
        <w:spacing w:after="0"/>
        <w:rPr>
          <w:sz w:val="20"/>
          <w:szCs w:val="20"/>
          <w:color w:val="auto"/>
        </w:rPr>
      </w:pPr>
      <w:r>
        <w:rPr>
          <w:rFonts w:ascii="Courier New" w:cs="Courier New" w:eastAsia="Courier New" w:hAnsi="Courier New"/>
          <w:sz w:val="18"/>
          <w:szCs w:val="18"/>
          <w:color w:val="auto"/>
        </w:rPr>
        <w:t>89 Nexus Way, Camana Bay</w:t>
      </w:r>
    </w:p>
    <w:p>
      <w:pPr>
        <w:spacing w:after="0" w:line="237" w:lineRule="auto"/>
        <w:rPr>
          <w:sz w:val="20"/>
          <w:szCs w:val="20"/>
          <w:color w:val="auto"/>
        </w:rPr>
      </w:pPr>
      <w:r>
        <w:rPr>
          <w:rFonts w:ascii="Courier New" w:cs="Courier New" w:eastAsia="Courier New" w:hAnsi="Courier New"/>
          <w:sz w:val="18"/>
          <w:szCs w:val="18"/>
          <w:color w:val="auto"/>
        </w:rPr>
        <w:t>Grand Cayman KY1-9007</w:t>
      </w:r>
    </w:p>
    <w:p>
      <w:pPr>
        <w:spacing w:after="0" w:line="238" w:lineRule="auto"/>
        <w:rPr>
          <w:sz w:val="20"/>
          <w:szCs w:val="20"/>
          <w:color w:val="auto"/>
        </w:rPr>
      </w:pPr>
      <w:r>
        <w:rPr>
          <w:rFonts w:ascii="Courier New" w:cs="Courier New" w:eastAsia="Courier New" w:hAnsi="Courier New"/>
          <w:sz w:val="18"/>
          <w:szCs w:val="18"/>
          <w:color w:val="auto"/>
        </w:rPr>
        <w:t>Cayman Islands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w:t>
      </w:r>
    </w:p>
    <w:p>
      <w:pPr>
        <w:spacing w:after="0" w:line="238" w:lineRule="auto"/>
        <w:rPr>
          <w:sz w:val="20"/>
          <w:szCs w:val="20"/>
          <w:color w:val="auto"/>
        </w:rPr>
      </w:pPr>
      <w:r>
        <w:rPr>
          <w:rFonts w:ascii="Courier New" w:cs="Courier New" w:eastAsia="Courier New" w:hAnsi="Courier New"/>
          <w:sz w:val="18"/>
          <w:szCs w:val="18"/>
          <w:color w:val="auto"/>
        </w:rPr>
        <w:t>c/o Ogier Fiduciary Services (Cayman) Limited</w:t>
      </w:r>
    </w:p>
    <w:p>
      <w:pPr>
        <w:spacing w:after="0"/>
        <w:rPr>
          <w:sz w:val="20"/>
          <w:szCs w:val="20"/>
          <w:color w:val="auto"/>
        </w:rPr>
      </w:pPr>
      <w:r>
        <w:rPr>
          <w:rFonts w:ascii="Courier New" w:cs="Courier New" w:eastAsia="Courier New" w:hAnsi="Courier New"/>
          <w:sz w:val="18"/>
          <w:szCs w:val="18"/>
          <w:color w:val="auto"/>
        </w:rPr>
        <w:t>89 Nexus Way, Camana Bay</w:t>
      </w:r>
    </w:p>
    <w:p>
      <w:pPr>
        <w:spacing w:after="0" w:line="237" w:lineRule="auto"/>
        <w:rPr>
          <w:sz w:val="20"/>
          <w:szCs w:val="20"/>
          <w:color w:val="auto"/>
        </w:rPr>
      </w:pPr>
      <w:r>
        <w:rPr>
          <w:rFonts w:ascii="Courier New" w:cs="Courier New" w:eastAsia="Courier New" w:hAnsi="Courier New"/>
          <w:sz w:val="18"/>
          <w:szCs w:val="18"/>
          <w:color w:val="auto"/>
        </w:rPr>
        <w:t>Grand Cayman KY1-9007</w:t>
      </w:r>
    </w:p>
    <w:p>
      <w:pPr>
        <w:spacing w:after="0" w:line="238" w:lineRule="auto"/>
        <w:rPr>
          <w:sz w:val="20"/>
          <w:szCs w:val="20"/>
          <w:color w:val="auto"/>
        </w:rPr>
      </w:pPr>
      <w:r>
        <w:rPr>
          <w:rFonts w:ascii="Courier New" w:cs="Courier New" w:eastAsia="Courier New" w:hAnsi="Courier New"/>
          <w:sz w:val="18"/>
          <w:szCs w:val="18"/>
          <w:color w:val="auto"/>
        </w:rPr>
        <w:t>Cayman Islands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Management, LLC</w:t>
      </w:r>
    </w:p>
    <w:p>
      <w:pPr>
        <w:spacing w:after="0" w:line="238" w:lineRule="auto"/>
        <w:rPr>
          <w:sz w:val="20"/>
          <w:szCs w:val="20"/>
          <w:color w:val="auto"/>
        </w:rPr>
      </w:pPr>
      <w:r>
        <w:rPr>
          <w:rFonts w:ascii="Courier New" w:cs="Courier New" w:eastAsia="Courier New" w:hAnsi="Courier New"/>
          <w:sz w:val="18"/>
          <w:szCs w:val="18"/>
          <w:color w:val="auto"/>
        </w:rPr>
        <w:t>10 Mountainview Road, Suite 205</w:t>
      </w:r>
    </w:p>
    <w:p>
      <w:pPr>
        <w:spacing w:after="0"/>
        <w:rPr>
          <w:sz w:val="20"/>
          <w:szCs w:val="20"/>
          <w:color w:val="auto"/>
        </w:rPr>
      </w:pPr>
      <w:r>
        <w:rPr>
          <w:rFonts w:ascii="Courier New" w:cs="Courier New" w:eastAsia="Courier New" w:hAnsi="Courier New"/>
          <w:sz w:val="18"/>
          <w:szCs w:val="18"/>
          <w:color w:val="auto"/>
        </w:rPr>
        <w:t>Upper Saddle River, New Jersey 07458</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Hal Mintz</w:t>
      </w:r>
    </w:p>
    <w:p>
      <w:pPr>
        <w:spacing w:after="0" w:line="238" w:lineRule="auto"/>
        <w:rPr>
          <w:sz w:val="20"/>
          <w:szCs w:val="20"/>
          <w:color w:val="auto"/>
        </w:rPr>
      </w:pPr>
      <w:r>
        <w:rPr>
          <w:rFonts w:ascii="Courier New" w:cs="Courier New" w:eastAsia="Courier New" w:hAnsi="Courier New"/>
          <w:sz w:val="18"/>
          <w:szCs w:val="18"/>
          <w:color w:val="auto"/>
        </w:rPr>
        <w:t>c/o Sabby Management, LLC</w:t>
      </w:r>
    </w:p>
    <w:p>
      <w:pPr>
        <w:spacing w:after="0"/>
        <w:rPr>
          <w:sz w:val="20"/>
          <w:szCs w:val="20"/>
          <w:color w:val="auto"/>
        </w:rPr>
      </w:pPr>
      <w:r>
        <w:rPr>
          <w:rFonts w:ascii="Courier New" w:cs="Courier New" w:eastAsia="Courier New" w:hAnsi="Courier New"/>
          <w:sz w:val="18"/>
          <w:szCs w:val="18"/>
          <w:color w:val="auto"/>
        </w:rPr>
        <w:t>10 Mountainview Road, Suite 205</w:t>
      </w:r>
    </w:p>
    <w:p>
      <w:pPr>
        <w:spacing w:after="0" w:line="237" w:lineRule="auto"/>
        <w:rPr>
          <w:sz w:val="20"/>
          <w:szCs w:val="20"/>
          <w:color w:val="auto"/>
        </w:rPr>
      </w:pPr>
      <w:r>
        <w:rPr>
          <w:rFonts w:ascii="Courier New" w:cs="Courier New" w:eastAsia="Courier New" w:hAnsi="Courier New"/>
          <w:sz w:val="18"/>
          <w:szCs w:val="18"/>
          <w:color w:val="auto"/>
        </w:rPr>
        <w:t>Upper Saddle River, New Jersey 07458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w:t>
      </w:r>
    </w:p>
    <w:p>
      <w:pPr>
        <w:spacing w:after="0" w:line="238" w:lineRule="auto"/>
        <w:rPr>
          <w:sz w:val="20"/>
          <w:szCs w:val="20"/>
          <w:color w:val="auto"/>
        </w:rPr>
      </w:pPr>
      <w:r>
        <w:rPr>
          <w:rFonts w:ascii="Courier New" w:cs="Courier New" w:eastAsia="Courier New" w:hAnsi="Courier New"/>
          <w:sz w:val="18"/>
          <w:szCs w:val="18"/>
          <w:color w:val="auto"/>
        </w:rPr>
        <w:t>Citizenship:</w:t>
      </w:r>
    </w:p>
    <w:p>
      <w:pPr>
        <w:sectPr>
          <w:pgSz w:w="11900" w:h="16838" w:orient="portrait"/>
          <w:cols w:equalWidth="0" w:num="1">
            <w:col w:w="10219"/>
          </w:cols>
          <w:pgMar w:left="240" w:top="339" w:right="1440"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Sabby Healthcare Master Fund, Ltd. - Cayman Islands</w:t>
      </w:r>
    </w:p>
    <w:p>
      <w:pPr>
        <w:spacing w:after="0" w:line="4" w:lineRule="exact"/>
        <w:rPr>
          <w:sz w:val="20"/>
          <w:szCs w:val="20"/>
          <w:color w:val="auto"/>
        </w:rPr>
      </w:pPr>
    </w:p>
    <w:p>
      <w:pPr>
        <w:ind w:right="3999"/>
        <w:spacing w:after="0" w:line="236" w:lineRule="auto"/>
        <w:rPr>
          <w:sz w:val="20"/>
          <w:szCs w:val="20"/>
          <w:color w:val="auto"/>
        </w:rPr>
      </w:pPr>
      <w:r>
        <w:rPr>
          <w:rFonts w:ascii="Courier New" w:cs="Courier New" w:eastAsia="Courier New" w:hAnsi="Courier New"/>
          <w:sz w:val="18"/>
          <w:szCs w:val="18"/>
          <w:color w:val="auto"/>
        </w:rPr>
        <w:t>Sabby Volatility Warrant Master Fund, Ltd. - Cayman Islands Sabby Management, LLC - Delaware, USA Hal Mintz - 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 (the Common Stock), par value $0.001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w:t>
      </w:r>
    </w:p>
    <w:p>
      <w:pPr>
        <w:spacing w:after="0" w:line="238" w:lineRule="auto"/>
        <w:rPr>
          <w:sz w:val="20"/>
          <w:szCs w:val="20"/>
          <w:color w:val="auto"/>
        </w:rPr>
      </w:pPr>
      <w:r>
        <w:rPr>
          <w:rFonts w:ascii="Courier New" w:cs="Courier New" w:eastAsia="Courier New" w:hAnsi="Courier New"/>
          <w:sz w:val="18"/>
          <w:szCs w:val="18"/>
          <w:color w:val="auto"/>
        </w:rPr>
        <w:t>CUSIP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05464T104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If This Statement is filed pursuant to Section 240.13d-1(b) or 240.13d-2(b), or (c), check whether the person filing is a</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rPr>
          <w:sz w:val="20"/>
          <w:szCs w:val="20"/>
          <w:color w:val="auto"/>
        </w:rPr>
      </w:pPr>
      <w:r>
        <w:rPr>
          <w:rFonts w:ascii="Courier New" w:cs="Courier New" w:eastAsia="Courier New" w:hAnsi="Courier New"/>
          <w:sz w:val="18"/>
          <w:szCs w:val="18"/>
          <w:color w:val="auto"/>
        </w:rPr>
        <w:t>Broker or dealer registered under section 15 of the Act (15 U.S.C. 78o).</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rPr>
          <w:sz w:val="20"/>
          <w:szCs w:val="20"/>
          <w:color w:val="auto"/>
        </w:rPr>
      </w:pPr>
      <w:r>
        <w:rPr>
          <w:rFonts w:ascii="Courier New" w:cs="Courier New" w:eastAsia="Courier New" w:hAnsi="Courier New"/>
          <w:sz w:val="18"/>
          <w:szCs w:val="18"/>
          <w:color w:val="auto"/>
        </w:rPr>
        <w:t>Bank as defined in section 3(a)(6) of the Act (15 U.S.C. 78c).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Insurance company as defined in section 3(a)(19) of the Act (15 U.S.C. 78c).</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Investment company registered under section 8 of the Investment Company Act of 1940 (15 U.S.C. 80a-8).</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rPr>
          <w:sz w:val="20"/>
          <w:szCs w:val="20"/>
          <w:color w:val="auto"/>
        </w:rPr>
      </w:pPr>
      <w:r>
        <w:rPr>
          <w:rFonts w:ascii="Courier New" w:cs="Courier New" w:eastAsia="Courier New" w:hAnsi="Courier New"/>
          <w:sz w:val="18"/>
          <w:szCs w:val="18"/>
          <w:color w:val="auto"/>
        </w:rPr>
        <w:t>An investment adviser in accordance with Section 240.13d-1(b)(1)(ii)(E);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An employee benefit plan or endowment fund in accordance with Section 240.13d-1(b)(1)(ii)(F);</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A parent holding company or control person in accordance with Section 240.13d-1(b)(1)(ii)(G);</w:t>
      </w:r>
    </w:p>
    <w:p>
      <w:pPr>
        <w:sectPr>
          <w:pgSz w:w="11900" w:h="16838" w:orient="portrait"/>
          <w:cols w:equalWidth="0" w:num="1">
            <w:col w:w="10219"/>
          </w:cols>
          <w:pgMar w:left="240" w:top="744" w:right="1440" w:bottom="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(h)</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A savings association as defined in Section 3(b) of the Federal Deposit Insurance Act (12 U.S.C.1813);</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A church plan that is excluded from the definition of an investment company under section 3(c)(14) of the Investment Company Act of 1940 (15 U.S.C.</w:t>
      </w:r>
    </w:p>
    <w:p>
      <w:pPr>
        <w:spacing w:after="0" w:line="233" w:lineRule="auto"/>
        <w:rPr>
          <w:sz w:val="20"/>
          <w:szCs w:val="20"/>
          <w:color w:val="auto"/>
        </w:rPr>
      </w:pPr>
      <w:r>
        <w:rPr>
          <w:rFonts w:ascii="Courier New" w:cs="Courier New" w:eastAsia="Courier New" w:hAnsi="Courier New"/>
          <w:sz w:val="18"/>
          <w:szCs w:val="18"/>
          <w:color w:val="auto"/>
        </w:rPr>
        <w:t>80a-3);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rPr>
          <w:sz w:val="20"/>
          <w:szCs w:val="20"/>
          <w:color w:val="auto"/>
        </w:rPr>
      </w:pPr>
      <w:r>
        <w:rPr>
          <w:rFonts w:ascii="Courier New" w:cs="Courier New" w:eastAsia="Courier New" w:hAnsi="Courier New"/>
          <w:sz w:val="18"/>
          <w:szCs w:val="18"/>
          <w:color w:val="auto"/>
        </w:rPr>
        <w:t>A non-U.S. institution in accordance with Section 240.13d-1(b)(1)(ii)(J);</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Group, in accordance with Section 240.13d-1(b)(1)(ii)(K). If filing as a non-U.S. institution in accordance with Section 240.13d-1(b)(1)(ii)(J), please specify the type of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w:t>
      </w:r>
    </w:p>
    <w:p>
      <w:pPr>
        <w:spacing w:after="0" w:line="238" w:lineRule="auto"/>
        <w:rPr>
          <w:sz w:val="20"/>
          <w:szCs w:val="20"/>
          <w:color w:val="auto"/>
        </w:rPr>
      </w:pPr>
      <w:r>
        <w:rPr>
          <w:rFonts w:ascii="Courier New" w:cs="Courier New" w:eastAsia="Courier New" w:hAnsi="Courier New"/>
          <w:sz w:val="18"/>
          <w:szCs w:val="18"/>
          <w:color w:val="auto"/>
        </w:rPr>
        <w:t>Ownership.</w:t>
      </w:r>
    </w:p>
    <w:p>
      <w:pPr>
        <w:spacing w:after="0" w:line="200" w:lineRule="exact"/>
        <w:rPr>
          <w:sz w:val="20"/>
          <w:szCs w:val="20"/>
          <w:color w:val="auto"/>
        </w:rPr>
      </w:pPr>
    </w:p>
    <w:p>
      <w:pPr>
        <w:spacing w:after="0" w:line="210"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Amount beneficially owned:</w:t>
      </w:r>
    </w:p>
    <w:p>
      <w:pPr>
        <w:spacing w:after="0" w:line="202" w:lineRule="exact"/>
        <w:rPr>
          <w:sz w:val="20"/>
          <w:szCs w:val="20"/>
          <w:color w:val="auto"/>
        </w:rPr>
      </w:pPr>
    </w:p>
    <w:p>
      <w:pPr>
        <w:spacing w:after="0"/>
        <w:tabs>
          <w:tab w:leader="none" w:pos="4000" w:val="left"/>
        </w:tabs>
        <w:rPr>
          <w:sz w:val="20"/>
          <w:szCs w:val="20"/>
          <w:color w:val="auto"/>
        </w:rPr>
      </w:pPr>
      <w:r>
        <w:rPr>
          <w:rFonts w:ascii="Courier New" w:cs="Courier New" w:eastAsia="Courier New" w:hAnsi="Courier New"/>
          <w:sz w:val="18"/>
          <w:szCs w:val="18"/>
          <w:color w:val="auto"/>
        </w:rPr>
        <w:t>Sabby Healthcare Master Fund, Ltd. -</w:t>
      </w:r>
      <w:r>
        <w:rPr>
          <w:sz w:val="20"/>
          <w:szCs w:val="20"/>
          <w:color w:val="auto"/>
        </w:rPr>
        <w:tab/>
      </w:r>
      <w:r>
        <w:rPr>
          <w:rFonts w:ascii="Courier New" w:cs="Courier New" w:eastAsia="Courier New" w:hAnsi="Courier New"/>
          <w:sz w:val="16"/>
          <w:szCs w:val="16"/>
          <w:color w:val="auto"/>
        </w:rPr>
        <w:t>704,000</w:t>
      </w:r>
    </w:p>
    <w:p>
      <w:pPr>
        <w:spacing w:after="0" w:line="201" w:lineRule="exact"/>
        <w:rPr>
          <w:sz w:val="20"/>
          <w:szCs w:val="20"/>
          <w:color w:val="auto"/>
        </w:rPr>
      </w:pPr>
    </w:p>
    <w:p>
      <w:pPr>
        <w:spacing w:after="0"/>
        <w:tabs>
          <w:tab w:leader="none" w:pos="4840" w:val="left"/>
        </w:tabs>
        <w:rPr>
          <w:sz w:val="20"/>
          <w:szCs w:val="20"/>
          <w:color w:val="auto"/>
        </w:rPr>
      </w:pPr>
      <w:r>
        <w:rPr>
          <w:rFonts w:ascii="Courier New" w:cs="Courier New" w:eastAsia="Courier New" w:hAnsi="Courier New"/>
          <w:sz w:val="18"/>
          <w:szCs w:val="18"/>
          <w:color w:val="auto"/>
        </w:rPr>
        <w:t>Sabby Volatility Warrant Master Fund, Ltd. -</w:t>
      </w:r>
      <w:r>
        <w:rPr>
          <w:sz w:val="20"/>
          <w:szCs w:val="20"/>
          <w:color w:val="auto"/>
        </w:rPr>
        <w:tab/>
      </w:r>
      <w:r>
        <w:rPr>
          <w:rFonts w:ascii="Courier New" w:cs="Courier New" w:eastAsia="Courier New" w:hAnsi="Courier New"/>
          <w:sz w:val="16"/>
          <w:szCs w:val="16"/>
          <w:color w:val="auto"/>
        </w:rPr>
        <w:t>704,000</w:t>
      </w:r>
    </w:p>
    <w:p>
      <w:pPr>
        <w:spacing w:after="0" w:line="201" w:lineRule="exact"/>
        <w:rPr>
          <w:sz w:val="20"/>
          <w:szCs w:val="20"/>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Sabby Management, LLC -</w:t>
      </w:r>
      <w:r>
        <w:rPr>
          <w:sz w:val="20"/>
          <w:szCs w:val="20"/>
          <w:color w:val="auto"/>
        </w:rPr>
        <w:tab/>
      </w:r>
      <w:r>
        <w:rPr>
          <w:rFonts w:ascii="Courier New" w:cs="Courier New" w:eastAsia="Courier New" w:hAnsi="Courier New"/>
          <w:sz w:val="16"/>
          <w:szCs w:val="16"/>
          <w:color w:val="auto"/>
        </w:rPr>
        <w:t>1,408,000</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Hal Mintz -</w:t>
      </w:r>
      <w:r>
        <w:rPr>
          <w:sz w:val="20"/>
          <w:szCs w:val="20"/>
          <w:color w:val="auto"/>
        </w:rPr>
        <w:tab/>
      </w:r>
      <w:r>
        <w:rPr>
          <w:rFonts w:ascii="Courier New" w:cs="Courier New" w:eastAsia="Courier New" w:hAnsi="Courier New"/>
          <w:sz w:val="16"/>
          <w:szCs w:val="16"/>
          <w:color w:val="auto"/>
        </w:rPr>
        <w:t>1,408,000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38" w:lineRule="auto"/>
        <w:rPr>
          <w:sz w:val="20"/>
          <w:szCs w:val="20"/>
          <w:color w:val="auto"/>
        </w:rPr>
      </w:pPr>
      <w:r>
        <w:rPr>
          <w:rFonts w:ascii="Courier New" w:cs="Courier New" w:eastAsia="Courier New" w:hAnsi="Courier New"/>
          <w:sz w:val="18"/>
          <w:szCs w:val="18"/>
          <w:color w:val="auto"/>
        </w:rPr>
        <w:t>Percent of class: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Healthcare Master Fund, Ltd. - 2.76%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 - 2.76%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Management, LLC - 5.52%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Hal Mintz - 5.52%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w:t>
      </w:r>
    </w:p>
    <w:p>
      <w:pPr>
        <w:spacing w:after="0" w:line="238" w:lineRule="auto"/>
        <w:rPr>
          <w:sz w:val="20"/>
          <w:szCs w:val="20"/>
          <w:color w:val="auto"/>
        </w:rPr>
      </w:pPr>
      <w:r>
        <w:rPr>
          <w:rFonts w:ascii="Courier New" w:cs="Courier New" w:eastAsia="Courier New" w:hAnsi="Courier New"/>
          <w:sz w:val="18"/>
          <w:szCs w:val="18"/>
          <w:color w:val="auto"/>
        </w:rPr>
        <w:t>Number of shares as to which the person has: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Healthcare Master Fund,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w:t>
      </w:r>
    </w:p>
    <w:p>
      <w:pPr>
        <w:spacing w:after="0" w:line="238" w:lineRule="auto"/>
        <w:rPr>
          <w:sz w:val="20"/>
          <w:szCs w:val="20"/>
          <w:color w:val="auto"/>
        </w:rPr>
      </w:pPr>
      <w:r>
        <w:rPr>
          <w:rFonts w:ascii="Courier New" w:cs="Courier New" w:eastAsia="Courier New" w:hAnsi="Courier New"/>
          <w:sz w:val="18"/>
          <w:szCs w:val="18"/>
          <w:color w:val="auto"/>
        </w:rPr>
        <w:t>Sole power to vote or to direct the vote</w:t>
      </w:r>
    </w:p>
    <w:p>
      <w:pPr>
        <w:spacing w:after="0"/>
        <w:rPr>
          <w:sz w:val="20"/>
          <w:szCs w:val="20"/>
          <w:color w:val="auto"/>
        </w:rPr>
      </w:pPr>
      <w:r>
        <w:rPr>
          <w:rFonts w:ascii="Courier New" w:cs="Courier New" w:eastAsia="Courier New" w:hAnsi="Courier New"/>
          <w:sz w:val="18"/>
          <w:szCs w:val="18"/>
          <w:color w:val="auto"/>
        </w:rPr>
        <w:t>0</w:t>
      </w:r>
    </w:p>
    <w:p>
      <w:pPr>
        <w:spacing w:after="0" w:line="237"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541" w:right="1440" w:bottom="0" w:gutter="0" w:footer="0" w:header="0"/>
        </w:sectPr>
      </w:pPr>
    </w:p>
    <w:bookmarkStart w:id="11" w:name="page12"/>
    <w:bookmarkEnd w:id="11"/>
    <w:p>
      <w:pPr>
        <w:spacing w:after="0" w:line="1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w:t>
      </w:r>
    </w:p>
    <w:p>
      <w:pPr>
        <w:spacing w:after="0" w:line="238" w:lineRule="auto"/>
        <w:rPr>
          <w:sz w:val="20"/>
          <w:szCs w:val="20"/>
          <w:color w:val="auto"/>
        </w:rPr>
      </w:pPr>
      <w:r>
        <w:rPr>
          <w:rFonts w:ascii="Courier New" w:cs="Courier New" w:eastAsia="Courier New" w:hAnsi="Courier New"/>
          <w:sz w:val="18"/>
          <w:szCs w:val="18"/>
          <w:color w:val="auto"/>
        </w:rPr>
        <w:t>Shared power to vote or to direct the vote</w:t>
      </w:r>
    </w:p>
    <w:p>
      <w:pPr>
        <w:ind w:left="120"/>
        <w:spacing w:after="0"/>
        <w:rPr>
          <w:sz w:val="20"/>
          <w:szCs w:val="20"/>
          <w:color w:val="auto"/>
        </w:rPr>
      </w:pPr>
      <w:r>
        <w:rPr>
          <w:rFonts w:ascii="Courier New" w:cs="Courier New" w:eastAsia="Courier New" w:hAnsi="Courier New"/>
          <w:sz w:val="18"/>
          <w:szCs w:val="18"/>
          <w:color w:val="auto"/>
        </w:rPr>
        <w:t>704,000</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(iii)</w:t>
      </w:r>
    </w:p>
    <w:p>
      <w:pPr>
        <w:spacing w:after="0" w:line="238" w:lineRule="auto"/>
        <w:rPr>
          <w:sz w:val="20"/>
          <w:szCs w:val="20"/>
          <w:color w:val="auto"/>
        </w:rPr>
      </w:pPr>
      <w:r>
        <w:rPr>
          <w:rFonts w:ascii="Courier New" w:cs="Courier New" w:eastAsia="Courier New" w:hAnsi="Courier New"/>
          <w:sz w:val="18"/>
          <w:szCs w:val="18"/>
          <w:color w:val="auto"/>
        </w:rPr>
        <w:t>Sole power to dispose or to direct the disposition of</w:t>
      </w:r>
    </w:p>
    <w:p>
      <w:pPr>
        <w:spacing w:after="0"/>
        <w:rPr>
          <w:sz w:val="20"/>
          <w:szCs w:val="20"/>
          <w:color w:val="auto"/>
        </w:rPr>
      </w:pPr>
      <w:r>
        <w:rPr>
          <w:rFonts w:ascii="Courier New" w:cs="Courier New" w:eastAsia="Courier New" w:hAnsi="Courier New"/>
          <w:sz w:val="18"/>
          <w:szCs w:val="18"/>
          <w:color w:val="auto"/>
        </w:rPr>
        <w:t>0</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(iv)</w:t>
      </w:r>
    </w:p>
    <w:p>
      <w:pPr>
        <w:spacing w:after="0" w:line="4" w:lineRule="exact"/>
        <w:rPr>
          <w:sz w:val="20"/>
          <w:szCs w:val="20"/>
          <w:color w:val="auto"/>
        </w:rPr>
      </w:pPr>
    </w:p>
    <w:p>
      <w:pPr>
        <w:ind w:left="120" w:right="4419" w:hanging="104"/>
        <w:spacing w:after="0" w:line="235" w:lineRule="auto"/>
        <w:rPr>
          <w:sz w:val="20"/>
          <w:szCs w:val="20"/>
          <w:color w:val="auto"/>
        </w:rPr>
      </w:pPr>
      <w:r>
        <w:rPr>
          <w:rFonts w:ascii="Courier New" w:cs="Courier New" w:eastAsia="Courier New" w:hAnsi="Courier New"/>
          <w:sz w:val="18"/>
          <w:szCs w:val="18"/>
          <w:color w:val="auto"/>
        </w:rPr>
        <w:t>Shared power to dispose or to direct the disposition of 704,000</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w:t>
      </w:r>
    </w:p>
    <w:p>
      <w:pPr>
        <w:spacing w:after="0" w:line="238" w:lineRule="auto"/>
        <w:rPr>
          <w:sz w:val="20"/>
          <w:szCs w:val="20"/>
          <w:color w:val="auto"/>
        </w:rPr>
      </w:pPr>
      <w:r>
        <w:rPr>
          <w:rFonts w:ascii="Courier New" w:cs="Courier New" w:eastAsia="Courier New" w:hAnsi="Courier New"/>
          <w:sz w:val="18"/>
          <w:szCs w:val="18"/>
          <w:color w:val="auto"/>
        </w:rPr>
        <w:t>Sole power to vote or to direct the vote</w:t>
      </w:r>
    </w:p>
    <w:p>
      <w:pPr>
        <w:spacing w:after="0"/>
        <w:rPr>
          <w:sz w:val="20"/>
          <w:szCs w:val="20"/>
          <w:color w:val="auto"/>
        </w:rPr>
      </w:pPr>
      <w:r>
        <w:rPr>
          <w:rFonts w:ascii="Courier New" w:cs="Courier New" w:eastAsia="Courier New" w:hAnsi="Courier New"/>
          <w:sz w:val="18"/>
          <w:szCs w:val="18"/>
          <w:color w:val="auto"/>
        </w:rPr>
        <w:t>0</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w:t>
      </w:r>
    </w:p>
    <w:p>
      <w:pPr>
        <w:spacing w:after="0" w:line="238" w:lineRule="auto"/>
        <w:rPr>
          <w:sz w:val="20"/>
          <w:szCs w:val="20"/>
          <w:color w:val="auto"/>
        </w:rPr>
      </w:pPr>
      <w:r>
        <w:rPr>
          <w:rFonts w:ascii="Courier New" w:cs="Courier New" w:eastAsia="Courier New" w:hAnsi="Courier New"/>
          <w:sz w:val="18"/>
          <w:szCs w:val="18"/>
          <w:color w:val="auto"/>
        </w:rPr>
        <w:t>Shared power to vote or to direct the vote</w:t>
      </w:r>
    </w:p>
    <w:p>
      <w:pPr>
        <w:ind w:left="120"/>
        <w:spacing w:after="0"/>
        <w:rPr>
          <w:sz w:val="20"/>
          <w:szCs w:val="20"/>
          <w:color w:val="auto"/>
        </w:rPr>
      </w:pPr>
      <w:r>
        <w:rPr>
          <w:rFonts w:ascii="Courier New" w:cs="Courier New" w:eastAsia="Courier New" w:hAnsi="Courier New"/>
          <w:sz w:val="18"/>
          <w:szCs w:val="18"/>
          <w:color w:val="auto"/>
        </w:rPr>
        <w:t>704,000</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(iii)</w:t>
      </w:r>
    </w:p>
    <w:p>
      <w:pPr>
        <w:spacing w:after="0" w:line="238" w:lineRule="auto"/>
        <w:rPr>
          <w:sz w:val="20"/>
          <w:szCs w:val="20"/>
          <w:color w:val="auto"/>
        </w:rPr>
      </w:pPr>
      <w:r>
        <w:rPr>
          <w:rFonts w:ascii="Courier New" w:cs="Courier New" w:eastAsia="Courier New" w:hAnsi="Courier New"/>
          <w:sz w:val="18"/>
          <w:szCs w:val="18"/>
          <w:color w:val="auto"/>
        </w:rPr>
        <w:t>Sole power to dispose or to direct the disposition of</w:t>
      </w:r>
    </w:p>
    <w:p>
      <w:pPr>
        <w:spacing w:after="0"/>
        <w:rPr>
          <w:sz w:val="20"/>
          <w:szCs w:val="20"/>
          <w:color w:val="auto"/>
        </w:rPr>
      </w:pPr>
      <w:r>
        <w:rPr>
          <w:rFonts w:ascii="Courier New" w:cs="Courier New" w:eastAsia="Courier New" w:hAnsi="Courier New"/>
          <w:sz w:val="18"/>
          <w:szCs w:val="18"/>
          <w:color w:val="auto"/>
        </w:rPr>
        <w:t>0</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(iv)</w:t>
      </w:r>
    </w:p>
    <w:p>
      <w:pPr>
        <w:spacing w:after="0" w:line="4" w:lineRule="exact"/>
        <w:rPr>
          <w:sz w:val="20"/>
          <w:szCs w:val="20"/>
          <w:color w:val="auto"/>
        </w:rPr>
      </w:pPr>
    </w:p>
    <w:p>
      <w:pPr>
        <w:ind w:left="120" w:right="4419" w:hanging="104"/>
        <w:spacing w:after="0" w:line="235" w:lineRule="auto"/>
        <w:rPr>
          <w:sz w:val="20"/>
          <w:szCs w:val="20"/>
          <w:color w:val="auto"/>
        </w:rPr>
      </w:pPr>
      <w:r>
        <w:rPr>
          <w:rFonts w:ascii="Courier New" w:cs="Courier New" w:eastAsia="Courier New" w:hAnsi="Courier New"/>
          <w:sz w:val="18"/>
          <w:szCs w:val="18"/>
          <w:color w:val="auto"/>
        </w:rPr>
        <w:t>Shared power to dispose or to direct the disposition of 704,000</w:t>
      </w:r>
    </w:p>
    <w:p>
      <w:pPr>
        <w:sectPr>
          <w:pgSz w:w="11900" w:h="16838" w:orient="portrait"/>
          <w:cols w:equalWidth="0" w:num="1">
            <w:col w:w="10219"/>
          </w:cols>
          <w:pgMar w:left="240" w:top="1440" w:right="1440" w:bottom="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Management,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w:t>
      </w:r>
    </w:p>
    <w:p>
      <w:pPr>
        <w:spacing w:after="0" w:line="238" w:lineRule="auto"/>
        <w:rPr>
          <w:sz w:val="20"/>
          <w:szCs w:val="20"/>
          <w:color w:val="auto"/>
        </w:rPr>
      </w:pPr>
      <w:r>
        <w:rPr>
          <w:rFonts w:ascii="Courier New" w:cs="Courier New" w:eastAsia="Courier New" w:hAnsi="Courier New"/>
          <w:sz w:val="18"/>
          <w:szCs w:val="18"/>
          <w:color w:val="auto"/>
        </w:rPr>
        <w:t>Sole power to vote or to direct the vote</w:t>
      </w:r>
    </w:p>
    <w:p>
      <w:pPr>
        <w:spacing w:after="0"/>
        <w:rPr>
          <w:sz w:val="20"/>
          <w:szCs w:val="20"/>
          <w:color w:val="auto"/>
        </w:rPr>
      </w:pPr>
      <w:r>
        <w:rPr>
          <w:rFonts w:ascii="Courier New" w:cs="Courier New" w:eastAsia="Courier New" w:hAnsi="Courier New"/>
          <w:sz w:val="18"/>
          <w:szCs w:val="18"/>
          <w:color w:val="auto"/>
        </w:rPr>
        <w:t>0</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(ii)</w:t>
      </w:r>
    </w:p>
    <w:p>
      <w:pPr>
        <w:spacing w:after="0" w:line="238" w:lineRule="auto"/>
        <w:rPr>
          <w:sz w:val="20"/>
          <w:szCs w:val="20"/>
          <w:color w:val="auto"/>
        </w:rPr>
      </w:pPr>
      <w:r>
        <w:rPr>
          <w:rFonts w:ascii="Courier New" w:cs="Courier New" w:eastAsia="Courier New" w:hAnsi="Courier New"/>
          <w:sz w:val="18"/>
          <w:szCs w:val="18"/>
          <w:color w:val="auto"/>
        </w:rPr>
        <w:t>Shared power to vote or to direct the vote</w:t>
      </w:r>
    </w:p>
    <w:p>
      <w:pPr>
        <w:ind w:left="120"/>
        <w:spacing w:after="0"/>
        <w:rPr>
          <w:sz w:val="20"/>
          <w:szCs w:val="20"/>
          <w:color w:val="auto"/>
        </w:rPr>
      </w:pPr>
      <w:r>
        <w:rPr>
          <w:rFonts w:ascii="Courier New" w:cs="Courier New" w:eastAsia="Courier New" w:hAnsi="Courier New"/>
          <w:sz w:val="18"/>
          <w:szCs w:val="18"/>
          <w:color w:val="auto"/>
        </w:rPr>
        <w:t>1,408,000</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(iii)</w:t>
      </w:r>
    </w:p>
    <w:p>
      <w:pPr>
        <w:spacing w:after="0" w:line="238" w:lineRule="auto"/>
        <w:rPr>
          <w:sz w:val="20"/>
          <w:szCs w:val="20"/>
          <w:color w:val="auto"/>
        </w:rPr>
      </w:pPr>
      <w:r>
        <w:rPr>
          <w:rFonts w:ascii="Courier New" w:cs="Courier New" w:eastAsia="Courier New" w:hAnsi="Courier New"/>
          <w:sz w:val="18"/>
          <w:szCs w:val="18"/>
          <w:color w:val="auto"/>
        </w:rPr>
        <w:t>Sole power to dispose or to direct the disposition of</w:t>
      </w:r>
    </w:p>
    <w:p>
      <w:pPr>
        <w:spacing w:after="0"/>
        <w:rPr>
          <w:sz w:val="20"/>
          <w:szCs w:val="20"/>
          <w:color w:val="auto"/>
        </w:rPr>
      </w:pPr>
      <w:r>
        <w:rPr>
          <w:rFonts w:ascii="Courier New" w:cs="Courier New" w:eastAsia="Courier New" w:hAnsi="Courier New"/>
          <w:sz w:val="18"/>
          <w:szCs w:val="18"/>
          <w:color w:val="auto"/>
        </w:rPr>
        <w:t>0</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(iv)</w:t>
      </w:r>
    </w:p>
    <w:p>
      <w:pPr>
        <w:spacing w:after="0" w:line="4" w:lineRule="exact"/>
        <w:rPr>
          <w:sz w:val="20"/>
          <w:szCs w:val="20"/>
          <w:color w:val="auto"/>
        </w:rPr>
      </w:pPr>
    </w:p>
    <w:p>
      <w:pPr>
        <w:ind w:left="120" w:right="4419" w:hanging="104"/>
        <w:spacing w:after="0" w:line="235" w:lineRule="auto"/>
        <w:rPr>
          <w:sz w:val="20"/>
          <w:szCs w:val="20"/>
          <w:color w:val="auto"/>
        </w:rPr>
      </w:pPr>
      <w:r>
        <w:rPr>
          <w:rFonts w:ascii="Courier New" w:cs="Courier New" w:eastAsia="Courier New" w:hAnsi="Courier New"/>
          <w:sz w:val="18"/>
          <w:szCs w:val="18"/>
          <w:color w:val="auto"/>
        </w:rPr>
        <w:t>Shared power to dispose or to direct the disposition of 1,408,000</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Hal Mintz</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w:t>
      </w:r>
    </w:p>
    <w:p>
      <w:pPr>
        <w:spacing w:after="0" w:line="238" w:lineRule="auto"/>
        <w:rPr>
          <w:sz w:val="20"/>
          <w:szCs w:val="20"/>
          <w:color w:val="auto"/>
        </w:rPr>
      </w:pPr>
      <w:r>
        <w:rPr>
          <w:rFonts w:ascii="Courier New" w:cs="Courier New" w:eastAsia="Courier New" w:hAnsi="Courier New"/>
          <w:sz w:val="18"/>
          <w:szCs w:val="18"/>
          <w:color w:val="auto"/>
        </w:rPr>
        <w:t>Sole power to vote or to direct the vote</w:t>
      </w:r>
    </w:p>
    <w:p>
      <w:pPr>
        <w:spacing w:after="0"/>
        <w:rPr>
          <w:sz w:val="20"/>
          <w:szCs w:val="20"/>
          <w:color w:val="auto"/>
        </w:rPr>
      </w:pPr>
      <w:r>
        <w:rPr>
          <w:rFonts w:ascii="Courier New" w:cs="Courier New" w:eastAsia="Courier New" w:hAnsi="Courier New"/>
          <w:sz w:val="18"/>
          <w:szCs w:val="18"/>
          <w:color w:val="auto"/>
        </w:rPr>
        <w:t>0</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(ii)</w:t>
      </w:r>
    </w:p>
    <w:p>
      <w:pPr>
        <w:spacing w:after="0" w:line="238" w:lineRule="auto"/>
        <w:rPr>
          <w:sz w:val="20"/>
          <w:szCs w:val="20"/>
          <w:color w:val="auto"/>
        </w:rPr>
      </w:pPr>
      <w:r>
        <w:rPr>
          <w:rFonts w:ascii="Courier New" w:cs="Courier New" w:eastAsia="Courier New" w:hAnsi="Courier New"/>
          <w:sz w:val="18"/>
          <w:szCs w:val="18"/>
          <w:color w:val="auto"/>
        </w:rPr>
        <w:t>Shared power to vote or to direct the vote</w:t>
      </w:r>
    </w:p>
    <w:p>
      <w:pPr>
        <w:ind w:left="120"/>
        <w:spacing w:after="0"/>
        <w:rPr>
          <w:sz w:val="20"/>
          <w:szCs w:val="20"/>
          <w:color w:val="auto"/>
        </w:rPr>
      </w:pPr>
      <w:r>
        <w:rPr>
          <w:rFonts w:ascii="Courier New" w:cs="Courier New" w:eastAsia="Courier New" w:hAnsi="Courier New"/>
          <w:sz w:val="18"/>
          <w:szCs w:val="18"/>
          <w:color w:val="auto"/>
        </w:rPr>
        <w:t>1,408,000</w:t>
      </w:r>
    </w:p>
    <w:p>
      <w:pPr>
        <w:spacing w:after="0" w:line="237"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0219"/>
          </w:cols>
          <w:pgMar w:left="240" w:top="136" w:right="1440" w:bottom="0" w:gutter="0" w:footer="0" w:header="0"/>
          <w:type w:val="continuous"/>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38" w:lineRule="auto"/>
        <w:rPr>
          <w:sz w:val="20"/>
          <w:szCs w:val="20"/>
          <w:color w:val="auto"/>
        </w:rPr>
      </w:pPr>
      <w:r>
        <w:rPr>
          <w:rFonts w:ascii="Courier New" w:cs="Courier New" w:eastAsia="Courier New" w:hAnsi="Courier New"/>
          <w:sz w:val="18"/>
          <w:szCs w:val="18"/>
          <w:color w:val="auto"/>
        </w:rPr>
        <w:t>0</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(iv)</w:t>
      </w:r>
    </w:p>
    <w:p>
      <w:pPr>
        <w:spacing w:after="0" w:line="4" w:lineRule="exact"/>
        <w:rPr>
          <w:sz w:val="20"/>
          <w:szCs w:val="20"/>
          <w:color w:val="auto"/>
        </w:rPr>
      </w:pPr>
    </w:p>
    <w:p>
      <w:pPr>
        <w:ind w:left="120" w:right="4419" w:hanging="104"/>
        <w:spacing w:after="0" w:line="235" w:lineRule="auto"/>
        <w:rPr>
          <w:sz w:val="20"/>
          <w:szCs w:val="20"/>
          <w:color w:val="auto"/>
        </w:rPr>
      </w:pPr>
      <w:r>
        <w:rPr>
          <w:rFonts w:ascii="Courier New" w:cs="Courier New" w:eastAsia="Courier New" w:hAnsi="Courier New"/>
          <w:sz w:val="18"/>
          <w:szCs w:val="18"/>
          <w:color w:val="auto"/>
        </w:rPr>
        <w:t>Shared power to dispose or to direct the disposition of 1,408,000</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As calculated in accordance with Rule 13d-3 of the Securities Exchange Act of 1934, as amended, (i) Sabby Healthcare Master Fund, Ltd. and</w:t>
      </w:r>
    </w:p>
    <w:p>
      <w:pPr>
        <w:spacing w:after="0" w:line="6" w:lineRule="exact"/>
        <w:rPr>
          <w:sz w:val="20"/>
          <w:szCs w:val="20"/>
          <w:color w:val="auto"/>
        </w:rPr>
      </w:pPr>
    </w:p>
    <w:p>
      <w:pPr>
        <w:ind w:right="2199"/>
        <w:spacing w:after="0" w:line="271" w:lineRule="auto"/>
        <w:rPr>
          <w:sz w:val="20"/>
          <w:szCs w:val="20"/>
          <w:color w:val="auto"/>
        </w:rPr>
      </w:pPr>
      <w:r>
        <w:rPr>
          <w:rFonts w:ascii="Courier New" w:cs="Courier New" w:eastAsia="Courier New" w:hAnsi="Courier New"/>
          <w:sz w:val="16"/>
          <w:szCs w:val="16"/>
          <w:color w:val="auto"/>
        </w:rPr>
        <w:t>Sabby Volatility Master Fund, Ltd. beneficially own 704,000 and 704,000 shares of the Issuer's common stock (Common Stock), respectively, representing approximately 2.76% and 2.76% of the Common Stock, respectively, and (ii) Sabby Management, LLC and Hal Mintz each beneficially own 1,408,000 shares of the Common Stock, representing approximately 5.52% of the Common Stock. Sabby Management, LLC and Hal Mintz do not directly own any shares of Common Stock, but each indirectly owns 1,408,000 shares of Common Stock. Sabby Management, LLC, a Delaware limited liability company, indirectly owns 1,408,000 shares of Common Stock because it serves as the investment manager of Sabby Healthcare Master Fund, Ltd. and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 Cayman Islands companies.</w:t>
      </w:r>
    </w:p>
    <w:p>
      <w:pPr>
        <w:spacing w:after="0" w:line="4"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Mr. Mintz indirectly owns 1,408,000 shares of Common Stock in his capacity as manager of Sabby Management, LLC.</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38" w:lineRule="auto"/>
        <w:rPr>
          <w:sz w:val="20"/>
          <w:szCs w:val="20"/>
          <w:color w:val="auto"/>
        </w:rPr>
      </w:pPr>
      <w:r>
        <w:rPr>
          <w:rFonts w:ascii="Courier New" w:cs="Courier New" w:eastAsia="Courier New" w:hAnsi="Courier New"/>
          <w:sz w:val="18"/>
          <w:szCs w:val="18"/>
          <w:color w:val="auto"/>
        </w:rPr>
        <w:t>Ownership of Five Percent or Less of a Class.</w:t>
      </w:r>
    </w:p>
    <w:p>
      <w:pPr>
        <w:spacing w:after="0" w:line="200" w:lineRule="exact"/>
        <w:rPr>
          <w:sz w:val="20"/>
          <w:szCs w:val="20"/>
          <w:color w:val="auto"/>
        </w:rPr>
      </w:pPr>
    </w:p>
    <w:p>
      <w:pPr>
        <w:spacing w:after="0" w:line="210" w:lineRule="exact"/>
        <w:rPr>
          <w:sz w:val="20"/>
          <w:szCs w:val="20"/>
          <w:color w:val="auto"/>
        </w:rPr>
      </w:pPr>
    </w:p>
    <w:p>
      <w:pPr>
        <w:ind w:right="251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Item 6.</w:t>
      </w:r>
    </w:p>
    <w:p>
      <w:pPr>
        <w:spacing w:after="0"/>
        <w:rPr>
          <w:sz w:val="20"/>
          <w:szCs w:val="20"/>
          <w:color w:val="auto"/>
        </w:rPr>
      </w:pPr>
      <w:r>
        <w:rPr>
          <w:rFonts w:ascii="Courier New" w:cs="Courier New" w:eastAsia="Courier New" w:hAnsi="Courier New"/>
          <w:sz w:val="18"/>
          <w:szCs w:val="18"/>
          <w:color w:val="auto"/>
        </w:rPr>
        <w:t>Ownership of More Than Five Percent on Behalf of Another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w:t>
      </w:r>
    </w:p>
    <w:p>
      <w:pPr>
        <w:spacing w:after="0" w:line="4" w:lineRule="exact"/>
        <w:rPr>
          <w:sz w:val="20"/>
          <w:szCs w:val="20"/>
          <w:color w:val="auto"/>
        </w:rPr>
      </w:pPr>
    </w:p>
    <w:p>
      <w:pPr>
        <w:ind w:right="2319"/>
        <w:spacing w:after="0" w:line="290" w:lineRule="auto"/>
        <w:rPr>
          <w:sz w:val="20"/>
          <w:szCs w:val="20"/>
          <w:color w:val="auto"/>
        </w:rPr>
      </w:pPr>
      <w:r>
        <w:rPr>
          <w:rFonts w:ascii="Courier New" w:cs="Courier New" w:eastAsia="Courier New" w:hAnsi="Courier New"/>
          <w:sz w:val="16"/>
          <w:szCs w:val="16"/>
          <w:color w:val="auto"/>
        </w:rPr>
        <w:t>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w:t>
      </w:r>
    </w:p>
    <w:p>
      <w:pPr>
        <w:spacing w:after="0" w:line="238" w:lineRule="auto"/>
        <w:rPr>
          <w:sz w:val="20"/>
          <w:szCs w:val="20"/>
          <w:color w:val="auto"/>
        </w:rPr>
      </w:pPr>
      <w:r>
        <w:rPr>
          <w:rFonts w:ascii="Courier New" w:cs="Courier New" w:eastAsia="Courier New" w:hAnsi="Courier New"/>
          <w:sz w:val="18"/>
          <w:szCs w:val="18"/>
          <w:color w:val="auto"/>
        </w:rPr>
        <w:t>Identification and Classification of Members of the Group.</w:t>
      </w:r>
    </w:p>
    <w:p>
      <w:pPr>
        <w:sectPr>
          <w:pgSz w:w="11900" w:h="16838" w:orient="portrait"/>
          <w:cols w:equalWidth="0" w:num="1">
            <w:col w:w="10219"/>
          </w:cols>
          <w:pgMar w:left="240" w:top="136" w:right="1440" w:bottom="335"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w:t>
      </w:r>
    </w:p>
    <w:p>
      <w:pPr>
        <w:spacing w:after="0" w:line="238" w:lineRule="auto"/>
        <w:rPr>
          <w:sz w:val="20"/>
          <w:szCs w:val="20"/>
          <w:color w:val="auto"/>
        </w:rPr>
      </w:pPr>
      <w:r>
        <w:rPr>
          <w:rFonts w:ascii="Courier New" w:cs="Courier New" w:eastAsia="Courier New" w:hAnsi="Courier New"/>
          <w:sz w:val="18"/>
          <w:szCs w:val="18"/>
          <w:color w:val="auto"/>
        </w:rPr>
        <w:t>Notice of Dissolution of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Item 10.</w:t>
      </w:r>
    </w:p>
    <w:p>
      <w:pPr>
        <w:spacing w:after="0"/>
        <w:rPr>
          <w:sz w:val="20"/>
          <w:szCs w:val="20"/>
          <w:color w:val="auto"/>
        </w:rPr>
      </w:pPr>
      <w:r>
        <w:rPr>
          <w:rFonts w:ascii="Courier New" w:cs="Courier New" w:eastAsia="Courier New" w:hAnsi="Courier New"/>
          <w:sz w:val="18"/>
          <w:szCs w:val="18"/>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199" w:firstLine="73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4, 2017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Healthcare Master Fund,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Harry Thompson</w:t>
      </w: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Harry Thompson</w:t>
      </w:r>
    </w:p>
    <w:p>
      <w:pPr>
        <w:spacing w:after="0" w:line="5" w:lineRule="exact"/>
        <w:rPr>
          <w:sz w:val="20"/>
          <w:szCs w:val="20"/>
          <w:color w:val="auto"/>
        </w:rPr>
      </w:pPr>
    </w:p>
    <w:p>
      <w:pPr>
        <w:ind w:right="4839" w:firstLine="105"/>
        <w:spacing w:after="0" w:line="235" w:lineRule="auto"/>
        <w:rPr>
          <w:sz w:val="20"/>
          <w:szCs w:val="20"/>
          <w:color w:val="auto"/>
        </w:rPr>
      </w:pPr>
      <w:r>
        <w:rPr>
          <w:rFonts w:ascii="Courier New" w:cs="Courier New" w:eastAsia="Courier New" w:hAnsi="Courier New"/>
          <w:sz w:val="18"/>
          <w:szCs w:val="18"/>
          <w:color w:val="auto"/>
        </w:rPr>
        <w:t>Title: Authorized Person of TDF Management Ltd., a Director</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Harry Thompson</w:t>
      </w: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Harry Thompson</w:t>
      </w:r>
    </w:p>
    <w:p>
      <w:pPr>
        <w:spacing w:after="0" w:line="5" w:lineRule="exact"/>
        <w:rPr>
          <w:sz w:val="20"/>
          <w:szCs w:val="20"/>
          <w:color w:val="auto"/>
        </w:rPr>
      </w:pPr>
    </w:p>
    <w:p>
      <w:pPr>
        <w:ind w:right="4839" w:firstLine="105"/>
        <w:spacing w:after="0" w:line="235" w:lineRule="auto"/>
        <w:rPr>
          <w:sz w:val="20"/>
          <w:szCs w:val="20"/>
          <w:color w:val="auto"/>
        </w:rPr>
      </w:pPr>
      <w:r>
        <w:rPr>
          <w:rFonts w:ascii="Courier New" w:cs="Courier New" w:eastAsia="Courier New" w:hAnsi="Courier New"/>
          <w:sz w:val="18"/>
          <w:szCs w:val="18"/>
          <w:color w:val="auto"/>
        </w:rPr>
        <w:t>Title: Authorized Person of TDF Management Ltd., a Director</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Management,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Robert Grundstein</w:t>
      </w: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Robert Grundstein</w:t>
      </w:r>
    </w:p>
    <w:p>
      <w:pPr>
        <w:ind w:left="740"/>
        <w:spacing w:after="0"/>
        <w:tabs>
          <w:tab w:leader="none" w:pos="1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Hal Mintz*</w:t>
      </w:r>
    </w:p>
    <w:p>
      <w:pPr>
        <w:ind w:left="120"/>
        <w:spacing w:after="0" w:line="238" w:lineRule="auto"/>
        <w:rPr>
          <w:sz w:val="20"/>
          <w:szCs w:val="20"/>
          <w:color w:val="auto"/>
        </w:rPr>
      </w:pPr>
      <w:r>
        <w:rPr>
          <w:rFonts w:ascii="Courier New" w:cs="Courier New" w:eastAsia="Courier New" w:hAnsi="Courier New"/>
          <w:sz w:val="18"/>
          <w:szCs w:val="18"/>
          <w:color w:val="auto"/>
        </w:rPr>
        <w:t>Hal Mintz</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*This Reporting Person disclaims beneficial ownership over the securities reported herein except to the extent of its pecuniary interest therein.</w:t>
      </w:r>
    </w:p>
    <w:p>
      <w:pPr>
        <w:sectPr>
          <w:pgSz w:w="11900" w:h="16838" w:orient="portrait"/>
          <w:cols w:equalWidth="0" w:num="1">
            <w:col w:w="10219"/>
          </w:cols>
          <w:pgMar w:left="240" w:top="541" w:right="1440" w:bottom="0" w:gutter="0" w:footer="0" w:header="0"/>
        </w:sectPr>
      </w:pPr>
    </w:p>
    <w:bookmarkStart w:id="15" w:name="page16"/>
    <w:bookmarkEnd w:id="15"/>
    <w:p>
      <w:pPr>
        <w:ind w:right="2319"/>
        <w:spacing w:after="0" w:line="237"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214"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s.240.13d-7 for other parties for whom copies are to be sent.</w:t>
      </w:r>
    </w:p>
    <w:p>
      <w:pPr>
        <w:spacing w:after="0" w:line="209"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2199" w:firstLine="737"/>
        <w:spacing w:after="0" w:line="236" w:lineRule="auto"/>
        <w:rPr>
          <w:sz w:val="20"/>
          <w:szCs w:val="20"/>
          <w:color w:val="auto"/>
        </w:rPr>
      </w:pPr>
      <w:r>
        <w:rPr>
          <w:rFonts w:ascii="Courier New" w:cs="Courier New" w:eastAsia="Courier New" w:hAnsi="Courier New"/>
          <w:sz w:val="18"/>
          <w:szCs w:val="18"/>
          <w:color w:val="auto"/>
        </w:rPr>
        <w:t>The undersigned hereby agree that this Statement on Schedule 13G with respect to the beneficial ownership of shares of Common Stock of Rexahn Pharmaceuticals, Inc. is filed jointly, on behalf of each of them.</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4, 2017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Healthcare Master Fund,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Harry Thompson</w:t>
      </w:r>
    </w:p>
    <w:p>
      <w:pPr>
        <w:sectPr>
          <w:pgSz w:w="11900" w:h="16838" w:orient="portrait"/>
          <w:cols w:equalWidth="0" w:num="1">
            <w:col w:w="10219"/>
          </w:cols>
          <w:pgMar w:left="240" w:top="344"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Ltd.,</w:t>
      </w:r>
    </w:p>
    <w:p>
      <w:pPr>
        <w:spacing w:after="0" w:line="20" w:lineRule="exact"/>
        <w:rPr>
          <w:sz w:val="20"/>
          <w:szCs w:val="20"/>
          <w:color w:val="auto"/>
        </w:rPr>
      </w:pPr>
      <w:r>
        <w:rPr>
          <w:sz w:val="20"/>
          <w:szCs w:val="20"/>
          <w:color w:val="auto"/>
        </w:rPr>
        <w:br w:type="column"/>
      </w:r>
    </w:p>
    <w:p>
      <w:pPr>
        <w:spacing w:after="0" w:line="238" w:lineRule="auto"/>
        <w:tabs>
          <w:tab w:leader="none" w:pos="720" w:val="left"/>
        </w:tabs>
        <w:rPr>
          <w:sz w:val="20"/>
          <w:szCs w:val="20"/>
          <w:color w:val="auto"/>
        </w:rPr>
      </w:pPr>
      <w:r>
        <w:rPr>
          <w:rFonts w:ascii="Courier New" w:cs="Courier New" w:eastAsia="Courier New" w:hAnsi="Courier New"/>
          <w:sz w:val="18"/>
          <w:szCs w:val="18"/>
          <w:color w:val="auto"/>
        </w:rPr>
        <w:t>Name:</w:t>
        <w:tab/>
        <w:t>Harry Thompson</w:t>
      </w:r>
    </w:p>
    <w:p>
      <w:pPr>
        <w:spacing w:after="0" w:line="5"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Authorized Person of TDF Management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Director</w:t>
      </w:r>
    </w:p>
    <w:p>
      <w:pPr>
        <w:spacing w:after="0" w:line="200" w:lineRule="exact"/>
        <w:rPr>
          <w:sz w:val="20"/>
          <w:szCs w:val="20"/>
          <w:color w:val="auto"/>
        </w:rPr>
      </w:pPr>
    </w:p>
    <w:p>
      <w:pPr>
        <w:sectPr>
          <w:pgSz w:w="11900" w:h="16838" w:orient="portrait"/>
          <w:cols w:equalWidth="0" w:num="2">
            <w:col w:w="540" w:space="0"/>
            <w:col w:w="9679"/>
          </w:cols>
          <w:pgMar w:left="240" w:top="344"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Harry Thompson</w:t>
      </w:r>
    </w:p>
    <w:p>
      <w:pPr>
        <w:ind w:left="540"/>
        <w:spacing w:after="0" w:line="238" w:lineRule="auto"/>
        <w:tabs>
          <w:tab w:leader="none" w:pos="1260" w:val="left"/>
        </w:tabs>
        <w:rPr>
          <w:sz w:val="20"/>
          <w:szCs w:val="20"/>
          <w:color w:val="auto"/>
        </w:rPr>
      </w:pPr>
      <w:r>
        <w:rPr>
          <w:rFonts w:ascii="Courier New" w:cs="Courier New" w:eastAsia="Courier New" w:hAnsi="Courier New"/>
          <w:sz w:val="18"/>
          <w:szCs w:val="18"/>
          <w:color w:val="auto"/>
        </w:rPr>
        <w:t>Name:</w:t>
        <w:tab/>
        <w:t>Harry Thompson</w:t>
      </w:r>
    </w:p>
    <w:p>
      <w:pPr>
        <w:spacing w:after="0" w:line="5"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Authorized Person of TDF Management</w:t>
      </w:r>
    </w:p>
    <w:p>
      <w:pPr>
        <w:spacing w:after="0" w:line="1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Ltd.,</w:t>
      </w:r>
      <w:r>
        <w:rPr>
          <w:sz w:val="20"/>
          <w:szCs w:val="20"/>
          <w:color w:val="auto"/>
        </w:rPr>
        <w:tab/>
      </w:r>
      <w:r>
        <w:rPr>
          <w:rFonts w:ascii="Courier New" w:cs="Courier New" w:eastAsia="Courier New" w:hAnsi="Courier New"/>
          <w:sz w:val="18"/>
          <w:szCs w:val="18"/>
          <w:color w:val="auto"/>
        </w:rPr>
        <w:t>a Director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Management,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Robert Grundstein</w:t>
      </w: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Robert Grundstein</w:t>
      </w:r>
    </w:p>
    <w:p>
      <w:pPr>
        <w:ind w:left="740"/>
        <w:spacing w:after="0"/>
        <w:tabs>
          <w:tab w:leader="none" w:pos="1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Chief Operating Officer</w:t>
      </w:r>
    </w:p>
    <w:p>
      <w:pPr>
        <w:sectPr>
          <w:pgSz w:w="11900" w:h="16838" w:orient="portrait"/>
          <w:cols w:equalWidth="0" w:num="1">
            <w:col w:w="10219"/>
          </w:cols>
          <w:pgMar w:left="240" w:top="34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Hal Mintz</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Hal Mintz</w:t>
      </w:r>
    </w:p>
    <w:sectPr>
      <w:pgSz w:w="11900" w:h="16838" w:orient="portrait"/>
      <w:cols w:equalWidth="0" w:num="1">
        <w:col w:w="10219"/>
      </w:cols>
      <w:pgMar w:left="240" w:top="34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2019-12-21T04:45:44Z</dcterms:created>
  <dcterms:modified xsi:type="dcterms:W3CDTF">2019-12-21T04:45:44Z</dcterms:modified>
</cp:coreProperties>
</file>