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609600</wp:posOffset>
            </wp:positionV>
            <wp:extent cx="566737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67375" cy="7620"/>
                    </a:xfrm>
                    <a:prstGeom prst="rect">
                      <a:avLst/>
                    </a:prstGeom>
                    <a:noFill/>
                  </pic:spPr>
                </pic:pic>
              </a:graphicData>
            </a:graphic>
          </wp:anchor>
        </w:drawing>
        <w:drawing>
          <wp:anchor simplePos="0" relativeHeight="251657728" behindDoc="1" locked="0" layoutInCell="0" allowOverlap="1">
            <wp:simplePos x="0" y="0"/>
            <wp:positionH relativeFrom="column">
              <wp:posOffset>26670</wp:posOffset>
            </wp:positionH>
            <wp:positionV relativeFrom="paragraph">
              <wp:posOffset>624840</wp:posOffset>
            </wp:positionV>
            <wp:extent cx="566737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67375"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2152650</wp:posOffset>
            </wp:positionH>
            <wp:positionV relativeFrom="paragraph">
              <wp:posOffset>39370</wp:posOffset>
            </wp:positionV>
            <wp:extent cx="1414780" cy="15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4780" cy="15240"/>
                    </a:xfrm>
                    <a:prstGeom prst="rect">
                      <a:avLst/>
                    </a:prstGeom>
                    <a:noFill/>
                  </pic:spPr>
                </pic:pic>
              </a:graphicData>
            </a:graphic>
          </wp:anchor>
        </w:drawing>
      </w:r>
    </w:p>
    <w:p>
      <w:pPr>
        <w:spacing w:after="0" w:line="10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68" w:lineRule="exact"/>
        <w:rPr>
          <w:sz w:val="24"/>
          <w:szCs w:val="24"/>
          <w:color w:val="auto"/>
        </w:rPr>
      </w:pPr>
    </w:p>
    <w:p>
      <w:pPr>
        <w:ind w:left="600" w:hanging="187"/>
        <w:spacing w:after="0"/>
        <w:tabs>
          <w:tab w:leader="none" w:pos="60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271145</wp:posOffset>
            </wp:positionH>
            <wp:positionV relativeFrom="paragraph">
              <wp:posOffset>-92710</wp:posOffset>
            </wp:positionV>
            <wp:extent cx="75565" cy="768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565" cy="76835"/>
                    </a:xfrm>
                    <a:prstGeom prst="rect">
                      <a:avLst/>
                    </a:prstGeom>
                    <a:noFill/>
                  </pic:spPr>
                </pic:pic>
              </a:graphicData>
            </a:graphic>
          </wp:anchor>
        </w:drawing>
      </w:r>
    </w:p>
    <w:p>
      <w:pPr>
        <w:spacing w:after="0" w:line="111" w:lineRule="exact"/>
        <w:rPr>
          <w:sz w:val="24"/>
          <w:szCs w:val="24"/>
          <w:color w:val="auto"/>
        </w:rPr>
      </w:pPr>
    </w:p>
    <w:p>
      <w:pPr>
        <w:jc w:val="center"/>
        <w:ind w:right="-200"/>
        <w:spacing w:after="0"/>
        <w:rPr>
          <w:sz w:val="20"/>
          <w:szCs w:val="20"/>
          <w:color w:val="auto"/>
        </w:rPr>
      </w:pPr>
      <w:r>
        <w:rPr>
          <w:rFonts w:ascii="Arial" w:cs="Arial" w:eastAsia="Arial" w:hAnsi="Arial"/>
          <w:sz w:val="13"/>
          <w:szCs w:val="13"/>
          <w:b w:val="1"/>
          <w:bCs w:val="1"/>
          <w:color w:val="auto"/>
        </w:rPr>
        <w:t>For the quarterly period ended September 30, 2020</w:t>
      </w:r>
    </w:p>
    <w:p>
      <w:pPr>
        <w:spacing w:after="0" w:line="133"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OR</w:t>
      </w:r>
    </w:p>
    <w:p>
      <w:pPr>
        <w:spacing w:after="0" w:line="137" w:lineRule="exact"/>
        <w:rPr>
          <w:sz w:val="24"/>
          <w:szCs w:val="24"/>
          <w:color w:val="auto"/>
        </w:rPr>
      </w:pPr>
    </w:p>
    <w:p>
      <w:pPr>
        <w:ind w:left="580" w:hanging="172"/>
        <w:spacing w:after="0"/>
        <w:tabs>
          <w:tab w:leader="none" w:pos="58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90" w:lineRule="exact"/>
        <w:rPr>
          <w:sz w:val="24"/>
          <w:szCs w:val="24"/>
          <w:color w:val="auto"/>
        </w:rPr>
      </w:pPr>
    </w:p>
    <w:p>
      <w:pPr>
        <w:ind w:left="3200"/>
        <w:spacing w:after="0"/>
        <w:rPr>
          <w:sz w:val="20"/>
          <w:szCs w:val="20"/>
          <w:color w:val="auto"/>
        </w:rPr>
      </w:pPr>
      <w:r>
        <w:rPr>
          <w:rFonts w:ascii="Arial" w:cs="Arial" w:eastAsia="Arial" w:hAnsi="Arial"/>
          <w:sz w:val="13"/>
          <w:szCs w:val="13"/>
          <w:b w:val="1"/>
          <w:bCs w:val="1"/>
          <w:color w:val="auto"/>
        </w:rPr>
        <w:t>For the transition period from ________ to ________</w:t>
      </w: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001-37635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2152650</wp:posOffset>
            </wp:positionH>
            <wp:positionV relativeFrom="paragraph">
              <wp:posOffset>50800</wp:posOffset>
            </wp:positionV>
            <wp:extent cx="141478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14780" cy="7620"/>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AXSOME THERAPEUTICS, INC.</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130" w:lineRule="exact"/>
        <w:rPr>
          <w:sz w:val="24"/>
          <w:szCs w:val="24"/>
          <w:color w:val="auto"/>
        </w:rPr>
      </w:pPr>
    </w:p>
    <w:tbl>
      <w:tblPr>
        <w:tblLayout w:type="fixed"/>
        <w:tblInd w:w="780" w:type="dxa"/>
        <w:tblCellMar>
          <w:top w:w="0" w:type="dxa"/>
          <w:left w:w="0" w:type="dxa"/>
          <w:bottom w:w="0" w:type="dxa"/>
          <w:right w:w="0" w:type="dxa"/>
        </w:tblCellMar>
      </w:tblPr>
      <w:tr>
        <w:trPr>
          <w:trHeight w:val="184"/>
        </w:trPr>
        <w:tc>
          <w:tcPr>
            <w:tcW w:w="4020" w:type="dxa"/>
            <w:vAlign w:val="bottom"/>
          </w:tcPr>
          <w:p>
            <w:pPr>
              <w:jc w:val="center"/>
              <w:ind w:right="948"/>
              <w:spacing w:after="0"/>
              <w:rPr>
                <w:sz w:val="20"/>
                <w:szCs w:val="20"/>
                <w:color w:val="auto"/>
              </w:rPr>
            </w:pPr>
            <w:r>
              <w:rPr>
                <w:rFonts w:ascii="Arial" w:cs="Arial" w:eastAsia="Arial" w:hAnsi="Arial"/>
                <w:sz w:val="16"/>
                <w:szCs w:val="16"/>
                <w:b w:val="1"/>
                <w:bCs w:val="1"/>
                <w:color w:val="auto"/>
                <w:w w:val="91"/>
              </w:rPr>
              <w:t>Delaware</w:t>
            </w:r>
          </w:p>
        </w:tc>
        <w:tc>
          <w:tcPr>
            <w:tcW w:w="2860" w:type="dxa"/>
            <w:vAlign w:val="bottom"/>
          </w:tcPr>
          <w:p>
            <w:pPr>
              <w:jc w:val="center"/>
              <w:ind w:left="949"/>
              <w:spacing w:after="0"/>
              <w:rPr>
                <w:sz w:val="20"/>
                <w:szCs w:val="20"/>
                <w:color w:val="auto"/>
              </w:rPr>
            </w:pPr>
            <w:r>
              <w:rPr>
                <w:rFonts w:ascii="Arial" w:cs="Arial" w:eastAsia="Arial" w:hAnsi="Arial"/>
                <w:sz w:val="16"/>
                <w:szCs w:val="16"/>
                <w:b w:val="1"/>
                <w:bCs w:val="1"/>
                <w:color w:val="auto"/>
                <w:w w:val="88"/>
              </w:rPr>
              <w:t>45-4241907</w:t>
            </w:r>
          </w:p>
        </w:tc>
      </w:tr>
      <w:tr>
        <w:trPr>
          <w:trHeight w:val="158"/>
        </w:trPr>
        <w:tc>
          <w:tcPr>
            <w:tcW w:w="4020" w:type="dxa"/>
            <w:vAlign w:val="bottom"/>
          </w:tcPr>
          <w:p>
            <w:pPr>
              <w:jc w:val="center"/>
              <w:ind w:right="948"/>
              <w:spacing w:after="0"/>
              <w:rPr>
                <w:sz w:val="20"/>
                <w:szCs w:val="20"/>
                <w:color w:val="auto"/>
              </w:rPr>
            </w:pPr>
            <w:r>
              <w:rPr>
                <w:rFonts w:ascii="Arial" w:cs="Arial" w:eastAsia="Arial" w:hAnsi="Arial"/>
                <w:sz w:val="13"/>
                <w:szCs w:val="13"/>
                <w:color w:val="auto"/>
                <w:w w:val="89"/>
              </w:rPr>
              <w:t>(State or other jurisdiction of incorporation or organization)</w:t>
            </w:r>
          </w:p>
        </w:tc>
        <w:tc>
          <w:tcPr>
            <w:tcW w:w="2860" w:type="dxa"/>
            <w:vAlign w:val="bottom"/>
          </w:tcPr>
          <w:p>
            <w:pPr>
              <w:jc w:val="center"/>
              <w:ind w:left="949"/>
              <w:spacing w:after="0"/>
              <w:rPr>
                <w:sz w:val="20"/>
                <w:szCs w:val="20"/>
                <w:color w:val="auto"/>
              </w:rPr>
            </w:pPr>
            <w:r>
              <w:rPr>
                <w:rFonts w:ascii="Arial" w:cs="Arial" w:eastAsia="Arial" w:hAnsi="Arial"/>
                <w:sz w:val="13"/>
                <w:szCs w:val="13"/>
                <w:color w:val="auto"/>
                <w:w w:val="91"/>
              </w:rPr>
              <w:t>(I.R.S. Employer Identification No.)</w:t>
            </w:r>
          </w:p>
        </w:tc>
      </w:tr>
      <w:tr>
        <w:trPr>
          <w:trHeight w:val="484"/>
        </w:trPr>
        <w:tc>
          <w:tcPr>
            <w:tcW w:w="4020" w:type="dxa"/>
            <w:vAlign w:val="bottom"/>
          </w:tcPr>
          <w:p>
            <w:pPr>
              <w:jc w:val="center"/>
              <w:ind w:right="968"/>
              <w:spacing w:after="0"/>
              <w:rPr>
                <w:sz w:val="20"/>
                <w:szCs w:val="20"/>
                <w:color w:val="auto"/>
              </w:rPr>
            </w:pPr>
            <w:r>
              <w:rPr>
                <w:rFonts w:ascii="Arial" w:cs="Arial" w:eastAsia="Arial" w:hAnsi="Arial"/>
                <w:sz w:val="16"/>
                <w:szCs w:val="16"/>
                <w:b w:val="1"/>
                <w:bCs w:val="1"/>
                <w:color w:val="auto"/>
                <w:w w:val="90"/>
              </w:rPr>
              <w:t>22 Cortlandt Street</w:t>
            </w:r>
          </w:p>
        </w:tc>
        <w:tc>
          <w:tcPr>
            <w:tcW w:w="2860" w:type="dxa"/>
            <w:vAlign w:val="bottom"/>
          </w:tcPr>
          <w:p>
            <w:pPr>
              <w:spacing w:after="0"/>
              <w:rPr>
                <w:sz w:val="24"/>
                <w:szCs w:val="24"/>
                <w:color w:val="auto"/>
              </w:rPr>
            </w:pPr>
          </w:p>
        </w:tc>
      </w:tr>
      <w:tr>
        <w:trPr>
          <w:trHeight w:val="183"/>
        </w:trPr>
        <w:tc>
          <w:tcPr>
            <w:tcW w:w="4020" w:type="dxa"/>
            <w:vAlign w:val="bottom"/>
          </w:tcPr>
          <w:p>
            <w:pPr>
              <w:jc w:val="center"/>
              <w:ind w:right="968"/>
              <w:spacing w:after="0" w:line="183" w:lineRule="exact"/>
              <w:rPr>
                <w:sz w:val="20"/>
                <w:szCs w:val="20"/>
                <w:color w:val="auto"/>
              </w:rPr>
            </w:pPr>
            <w:r>
              <w:rPr>
                <w:rFonts w:ascii="Arial" w:cs="Arial" w:eastAsia="Arial" w:hAnsi="Arial"/>
                <w:sz w:val="15"/>
                <w:szCs w:val="15"/>
                <w:b w:val="1"/>
                <w:bCs w:val="1"/>
                <w:color w:val="auto"/>
                <w:w w:val="92"/>
              </w:rPr>
              <w:t>16</w:t>
            </w:r>
            <w:r>
              <w:rPr>
                <w:rFonts w:ascii="Arial" w:cs="Arial" w:eastAsia="Arial" w:hAnsi="Arial"/>
                <w:sz w:val="21"/>
                <w:szCs w:val="21"/>
                <w:b w:val="1"/>
                <w:bCs w:val="1"/>
                <w:color w:val="auto"/>
                <w:w w:val="92"/>
                <w:vertAlign w:val="superscript"/>
              </w:rPr>
              <w:t>th</w:t>
            </w:r>
            <w:r>
              <w:rPr>
                <w:rFonts w:ascii="Arial" w:cs="Arial" w:eastAsia="Arial" w:hAnsi="Arial"/>
                <w:sz w:val="15"/>
                <w:szCs w:val="15"/>
                <w:b w:val="1"/>
                <w:bCs w:val="1"/>
                <w:color w:val="auto"/>
                <w:w w:val="92"/>
              </w:rPr>
              <w:t xml:space="preserve"> Floor</w:t>
            </w:r>
          </w:p>
        </w:tc>
        <w:tc>
          <w:tcPr>
            <w:tcW w:w="2860" w:type="dxa"/>
            <w:vAlign w:val="bottom"/>
          </w:tcPr>
          <w:p>
            <w:pPr>
              <w:spacing w:after="0"/>
              <w:rPr>
                <w:sz w:val="15"/>
                <w:szCs w:val="15"/>
                <w:color w:val="auto"/>
              </w:rPr>
            </w:pPr>
          </w:p>
        </w:tc>
      </w:tr>
      <w:tr>
        <w:trPr>
          <w:trHeight w:val="178"/>
        </w:trPr>
        <w:tc>
          <w:tcPr>
            <w:tcW w:w="4020" w:type="dxa"/>
            <w:vAlign w:val="bottom"/>
          </w:tcPr>
          <w:p>
            <w:pPr>
              <w:jc w:val="center"/>
              <w:ind w:right="968"/>
              <w:spacing w:after="0" w:line="178" w:lineRule="exact"/>
              <w:rPr>
                <w:sz w:val="20"/>
                <w:szCs w:val="20"/>
                <w:color w:val="auto"/>
              </w:rPr>
            </w:pPr>
            <w:r>
              <w:rPr>
                <w:rFonts w:ascii="Arial" w:cs="Arial" w:eastAsia="Arial" w:hAnsi="Arial"/>
                <w:sz w:val="16"/>
                <w:szCs w:val="16"/>
                <w:b w:val="1"/>
                <w:bCs w:val="1"/>
                <w:color w:val="auto"/>
                <w:w w:val="91"/>
              </w:rPr>
              <w:t>New York, New York</w:t>
            </w:r>
          </w:p>
        </w:tc>
        <w:tc>
          <w:tcPr>
            <w:tcW w:w="2860" w:type="dxa"/>
            <w:vAlign w:val="bottom"/>
          </w:tcPr>
          <w:p>
            <w:pPr>
              <w:jc w:val="center"/>
              <w:ind w:left="909"/>
              <w:spacing w:after="0" w:line="178" w:lineRule="exact"/>
              <w:rPr>
                <w:sz w:val="20"/>
                <w:szCs w:val="20"/>
                <w:color w:val="auto"/>
              </w:rPr>
            </w:pPr>
            <w:r>
              <w:rPr>
                <w:rFonts w:ascii="Arial" w:cs="Arial" w:eastAsia="Arial" w:hAnsi="Arial"/>
                <w:sz w:val="16"/>
                <w:szCs w:val="16"/>
                <w:b w:val="1"/>
                <w:bCs w:val="1"/>
                <w:color w:val="auto"/>
                <w:w w:val="89"/>
              </w:rPr>
              <w:t>10007</w:t>
            </w:r>
          </w:p>
        </w:tc>
      </w:tr>
      <w:tr>
        <w:trPr>
          <w:trHeight w:val="158"/>
        </w:trPr>
        <w:tc>
          <w:tcPr>
            <w:tcW w:w="4020" w:type="dxa"/>
            <w:vAlign w:val="bottom"/>
          </w:tcPr>
          <w:p>
            <w:pPr>
              <w:jc w:val="center"/>
              <w:ind w:right="968"/>
              <w:spacing w:after="0"/>
              <w:rPr>
                <w:sz w:val="20"/>
                <w:szCs w:val="20"/>
                <w:color w:val="auto"/>
              </w:rPr>
            </w:pPr>
            <w:r>
              <w:rPr>
                <w:rFonts w:ascii="Arial" w:cs="Arial" w:eastAsia="Arial" w:hAnsi="Arial"/>
                <w:sz w:val="13"/>
                <w:szCs w:val="13"/>
                <w:color w:val="auto"/>
                <w:w w:val="88"/>
              </w:rPr>
              <w:t>(Address of principal executive offices)</w:t>
            </w:r>
          </w:p>
        </w:tc>
        <w:tc>
          <w:tcPr>
            <w:tcW w:w="2860" w:type="dxa"/>
            <w:vAlign w:val="bottom"/>
          </w:tcPr>
          <w:p>
            <w:pPr>
              <w:jc w:val="center"/>
              <w:ind w:left="909"/>
              <w:spacing w:after="0"/>
              <w:rPr>
                <w:sz w:val="20"/>
                <w:szCs w:val="20"/>
                <w:color w:val="auto"/>
              </w:rPr>
            </w:pPr>
            <w:r>
              <w:rPr>
                <w:rFonts w:ascii="Arial" w:cs="Arial" w:eastAsia="Arial" w:hAnsi="Arial"/>
                <w:sz w:val="13"/>
                <w:szCs w:val="13"/>
                <w:color w:val="auto"/>
                <w:w w:val="91"/>
              </w:rPr>
              <w:t>(Zip Code)</w:t>
            </w:r>
          </w:p>
        </w:tc>
      </w:tr>
    </w:tbl>
    <w:p>
      <w:pPr>
        <w:spacing w:after="0" w:line="77" w:lineRule="exact"/>
        <w:rPr>
          <w:sz w:val="24"/>
          <w:szCs w:val="24"/>
          <w:color w:val="auto"/>
        </w:rPr>
      </w:pPr>
    </w:p>
    <w:p>
      <w:pPr>
        <w:jc w:val="center"/>
        <w:ind w:left="1500" w:right="2160"/>
        <w:spacing w:after="0" w:line="390" w:lineRule="auto"/>
        <w:rPr>
          <w:sz w:val="20"/>
          <w:szCs w:val="20"/>
          <w:color w:val="auto"/>
        </w:rPr>
      </w:pPr>
      <w:r>
        <w:rPr>
          <w:rFonts w:ascii="Arial" w:cs="Arial" w:eastAsia="Arial" w:hAnsi="Arial"/>
          <w:sz w:val="13"/>
          <w:szCs w:val="13"/>
          <w:b w:val="1"/>
          <w:bCs w:val="1"/>
          <w:color w:val="auto"/>
        </w:rPr>
        <w:t>Registrant’s telephone number, including area code: (212) 332-3241 Former Address: 200 Broadway, 3rd Floor, New York, NY 10038 Securities registered pursuant to Section 12(g) of the Act:</w:t>
      </w:r>
    </w:p>
    <w:p>
      <w:pPr>
        <w:jc w:val="center"/>
        <w:ind w:right="19"/>
        <w:spacing w:after="0"/>
        <w:rPr>
          <w:sz w:val="20"/>
          <w:szCs w:val="20"/>
          <w:color w:val="auto"/>
        </w:rPr>
      </w:pPr>
      <w:r>
        <w:rPr>
          <w:rFonts w:ascii="Arial" w:cs="Arial" w:eastAsia="Arial" w:hAnsi="Arial"/>
          <w:sz w:val="13"/>
          <w:szCs w:val="13"/>
          <w:color w:val="auto"/>
        </w:rPr>
        <w:t>None</w:t>
      </w:r>
    </w:p>
    <w:p>
      <w:pPr>
        <w:spacing w:after="0" w:line="18" w:lineRule="exact"/>
        <w:rPr>
          <w:sz w:val="24"/>
          <w:szCs w:val="24"/>
          <w:color w:val="auto"/>
        </w:rPr>
      </w:pPr>
    </w:p>
    <w:p>
      <w:pPr>
        <w:ind w:left="40" w:right="79"/>
        <w:spacing w:after="0" w:line="182"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1"/>
          <w:szCs w:val="11"/>
          <w:color w:val="auto"/>
        </w:rPr>
        <w:t xml:space="preserve"> No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5285105</wp:posOffset>
            </wp:positionH>
            <wp:positionV relativeFrom="paragraph">
              <wp:posOffset>-116205</wp:posOffset>
            </wp:positionV>
            <wp:extent cx="75565" cy="768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5565" cy="76835"/>
                    </a:xfrm>
                    <a:prstGeom prst="rect">
                      <a:avLst/>
                    </a:prstGeom>
                    <a:noFill/>
                  </pic:spPr>
                </pic:pic>
              </a:graphicData>
            </a:graphic>
          </wp:anchor>
        </w:drawing>
      </w:r>
    </w:p>
    <w:p>
      <w:pPr>
        <w:spacing w:after="0" w:line="30" w:lineRule="exact"/>
        <w:rPr>
          <w:sz w:val="24"/>
          <w:szCs w:val="24"/>
          <w:color w:val="auto"/>
        </w:rPr>
      </w:pPr>
    </w:p>
    <w:p>
      <w:pPr>
        <w:ind w:left="40" w:right="219"/>
        <w:spacing w:after="0" w:line="158"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62" w:lineRule="exact"/>
        <w:rPr>
          <w:sz w:val="24"/>
          <w:szCs w:val="24"/>
          <w:color w:val="auto"/>
        </w:rPr>
      </w:pPr>
    </w:p>
    <w:p>
      <w:pPr>
        <w:ind w:left="40" w:right="259"/>
        <w:spacing w:after="0" w:line="380" w:lineRule="auto"/>
        <w:rPr>
          <w:sz w:val="20"/>
          <w:szCs w:val="20"/>
          <w:color w:val="auto"/>
        </w:rPr>
      </w:pPr>
      <w:r>
        <w:rPr>
          <w:rFonts w:ascii="Arial" w:cs="Arial" w:eastAsia="Arial" w:hAnsi="Arial"/>
          <w:sz w:val="10"/>
          <w:szCs w:val="10"/>
          <w:color w:val="auto"/>
        </w:rPr>
        <w:t>Indicate by check mark whether the registrant is a large accelerated filed,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9019"/>
          </w:cols>
          <w:pgMar w:left="1440" w:top="599" w:right="1440" w:bottom="1440" w:gutter="0" w:footer="0" w:header="0"/>
        </w:sectPr>
      </w:pPr>
    </w:p>
    <w:p>
      <w:pPr>
        <w:ind w:left="40"/>
        <w:spacing w:after="0" w:line="115" w:lineRule="exact"/>
        <w:rPr>
          <w:sz w:val="20"/>
          <w:szCs w:val="20"/>
          <w:color w:val="auto"/>
        </w:rPr>
      </w:pPr>
      <w:r>
        <w:rPr>
          <w:rFonts w:ascii="Arial" w:cs="Arial" w:eastAsia="Arial" w:hAnsi="Arial"/>
          <w:sz w:val="10"/>
          <w:szCs w:val="10"/>
          <w:color w:val="auto"/>
        </w:rPr>
        <w:t xml:space="preserve">Large accelerated filer </w:t>
      </w:r>
      <w:r>
        <w:rPr>
          <w:rFonts w:ascii="MS PGothic" w:cs="MS PGothic" w:eastAsia="MS PGothic" w:hAnsi="MS PGothic"/>
          <w:sz w:val="10"/>
          <w:szCs w:val="10"/>
          <w:color w:val="auto"/>
        </w:rPr>
        <w:t>☐</w:t>
      </w:r>
    </w:p>
    <w:p>
      <w:pPr>
        <w:spacing w:after="0" w:line="61" w:lineRule="exact"/>
        <w:rPr>
          <w:sz w:val="24"/>
          <w:szCs w:val="24"/>
          <w:color w:val="auto"/>
        </w:rPr>
      </w:pPr>
    </w:p>
    <w:p>
      <w:pPr>
        <w:ind w:left="40"/>
        <w:spacing w:after="0" w:line="138" w:lineRule="exact"/>
        <w:rPr>
          <w:sz w:val="20"/>
          <w:szCs w:val="20"/>
          <w:color w:val="auto"/>
        </w:rPr>
      </w:pPr>
      <w:r>
        <w:rPr>
          <w:rFonts w:ascii="Arial" w:cs="Arial" w:eastAsia="Arial" w:hAnsi="Arial"/>
          <w:sz w:val="12"/>
          <w:szCs w:val="12"/>
          <w:color w:val="auto"/>
        </w:rPr>
        <w:t xml:space="preserve">Non-accelerated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27" w:lineRule="exact"/>
        <w:rPr>
          <w:sz w:val="24"/>
          <w:szCs w:val="24"/>
          <w:color w:val="auto"/>
        </w:rPr>
      </w:pPr>
    </w:p>
    <w:p>
      <w:pPr>
        <w:spacing w:after="0" w:line="115" w:lineRule="exact"/>
        <w:rPr>
          <w:sz w:val="20"/>
          <w:szCs w:val="20"/>
          <w:color w:val="auto"/>
        </w:rPr>
      </w:pPr>
      <w:r>
        <w:rPr>
          <w:rFonts w:ascii="Arial" w:cs="Arial" w:eastAsia="Arial" w:hAnsi="Arial"/>
          <w:sz w:val="10"/>
          <w:szCs w:val="10"/>
          <w:color w:val="auto"/>
        </w:rPr>
        <w:t xml:space="preserve">Smaller reporting company </w:t>
      </w:r>
      <w:r>
        <w:rPr>
          <w:rFonts w:ascii="MS PGothic" w:cs="MS PGothic" w:eastAsia="MS PGothic" w:hAnsi="MS PGothic"/>
          <w:sz w:val="10"/>
          <w:szCs w:val="10"/>
          <w:color w:val="auto"/>
        </w:rPr>
        <w:t>☒</w:t>
      </w:r>
    </w:p>
    <w:p>
      <w:pPr>
        <w:spacing w:after="0" w:line="26" w:lineRule="exact"/>
        <w:rPr>
          <w:sz w:val="24"/>
          <w:szCs w:val="24"/>
          <w:color w:val="auto"/>
        </w:rPr>
      </w:pPr>
    </w:p>
    <w:p>
      <w:pPr>
        <w:spacing w:after="0" w:line="115" w:lineRule="exact"/>
        <w:rPr>
          <w:sz w:val="20"/>
          <w:szCs w:val="20"/>
          <w:color w:val="auto"/>
        </w:rPr>
      </w:pPr>
      <w:r>
        <w:rPr>
          <w:rFonts w:ascii="Arial" w:cs="Arial" w:eastAsia="Arial" w:hAnsi="Arial"/>
          <w:sz w:val="10"/>
          <w:szCs w:val="10"/>
          <w:color w:val="auto"/>
        </w:rPr>
        <w:t xml:space="preserve">Emerging growth company </w:t>
      </w:r>
      <w:r>
        <w:rPr>
          <w:rFonts w:ascii="MS PGothic" w:cs="MS PGothic" w:eastAsia="MS PGothic" w:hAnsi="MS PGothic"/>
          <w:sz w:val="10"/>
          <w:szCs w:val="10"/>
          <w:color w:val="auto"/>
        </w:rPr>
        <w:t>☒</w:t>
      </w:r>
    </w:p>
    <w:p>
      <w:pPr>
        <w:spacing w:after="0" w:line="111" w:lineRule="exact"/>
        <w:rPr>
          <w:sz w:val="24"/>
          <w:szCs w:val="24"/>
          <w:color w:val="auto"/>
        </w:rPr>
      </w:pPr>
    </w:p>
    <w:p>
      <w:pPr>
        <w:sectPr>
          <w:pgSz w:w="11900" w:h="16838" w:orient="portrait"/>
          <w:cols w:equalWidth="0" w:num="2">
            <w:col w:w="3780" w:space="720"/>
            <w:col w:w="4519"/>
          </w:cols>
          <w:pgMar w:left="1440" w:top="599" w:right="1440" w:bottom="1440" w:gutter="0" w:footer="0" w:header="0"/>
          <w:type w:val="continuous"/>
        </w:sectPr>
      </w:pPr>
    </w:p>
    <w:p>
      <w:pPr>
        <w:ind w:left="40" w:right="259"/>
        <w:spacing w:after="0" w:line="158"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37" w:lineRule="exact"/>
        <w:rPr>
          <w:sz w:val="24"/>
          <w:szCs w:val="24"/>
          <w:color w:val="auto"/>
        </w:rPr>
      </w:pPr>
    </w:p>
    <w:p>
      <w:pPr>
        <w:ind w:left="40"/>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4044315</wp:posOffset>
            </wp:positionH>
            <wp:positionV relativeFrom="paragraph">
              <wp:posOffset>-62865</wp:posOffset>
            </wp:positionV>
            <wp:extent cx="60325" cy="615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325" cy="61595"/>
                    </a:xfrm>
                    <a:prstGeom prst="rect">
                      <a:avLst/>
                    </a:prstGeom>
                    <a:noFill/>
                  </pic:spPr>
                </pic:pic>
              </a:graphicData>
            </a:graphic>
          </wp:anchor>
        </w:drawing>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43"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0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4"/>
              </w:rPr>
              <w:t>Title of each class:</w:t>
            </w:r>
          </w:p>
        </w:tc>
        <w:tc>
          <w:tcPr>
            <w:tcW w:w="30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7"/>
              </w:rPr>
              <w:t>Trading Symbol(s)</w:t>
            </w:r>
          </w:p>
        </w:tc>
        <w:tc>
          <w:tcPr>
            <w:tcW w:w="2920" w:type="dxa"/>
            <w:vAlign w:val="bottom"/>
          </w:tcPr>
          <w:p>
            <w:pPr>
              <w:jc w:val="center"/>
              <w:spacing w:after="0"/>
              <w:rPr>
                <w:sz w:val="20"/>
                <w:szCs w:val="20"/>
                <w:color w:val="auto"/>
              </w:rPr>
            </w:pPr>
            <w:r>
              <w:rPr>
                <w:rFonts w:ascii="Arial" w:cs="Arial" w:eastAsia="Arial" w:hAnsi="Arial"/>
                <w:sz w:val="13"/>
                <w:szCs w:val="13"/>
                <w:b w:val="1"/>
                <w:bCs w:val="1"/>
                <w:color w:val="auto"/>
                <w:w w:val="84"/>
              </w:rPr>
              <w:t>Name of each exchange on which registered:</w:t>
            </w:r>
          </w:p>
        </w:tc>
      </w:tr>
      <w:tr>
        <w:trPr>
          <w:trHeight w:val="150"/>
        </w:trPr>
        <w:tc>
          <w:tcPr>
            <w:tcW w:w="288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86"/>
              </w:rPr>
              <w:t>Common Stock, Par Value $0.0001 Per Share</w:t>
            </w:r>
          </w:p>
        </w:tc>
        <w:tc>
          <w:tcPr>
            <w:tcW w:w="120" w:type="dxa"/>
            <w:vAlign w:val="bottom"/>
          </w:tcPr>
          <w:p>
            <w:pPr>
              <w:spacing w:after="0"/>
              <w:rPr>
                <w:sz w:val="13"/>
                <w:szCs w:val="13"/>
                <w:color w:val="auto"/>
              </w:rPr>
            </w:pPr>
          </w:p>
        </w:tc>
        <w:tc>
          <w:tcPr>
            <w:tcW w:w="288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7"/>
              </w:rPr>
              <w:t>AXSM</w:t>
            </w:r>
          </w:p>
        </w:tc>
        <w:tc>
          <w:tcPr>
            <w:tcW w:w="140" w:type="dxa"/>
            <w:vAlign w:val="bottom"/>
          </w:tcPr>
          <w:p>
            <w:pPr>
              <w:spacing w:after="0"/>
              <w:rPr>
                <w:sz w:val="13"/>
                <w:szCs w:val="13"/>
                <w:color w:val="auto"/>
              </w:rPr>
            </w:pPr>
          </w:p>
        </w:tc>
        <w:tc>
          <w:tcPr>
            <w:tcW w:w="292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87"/>
              </w:rPr>
              <w:t>The Nasdaq Global Market</w:t>
            </w:r>
          </w:p>
        </w:tc>
      </w:tr>
    </w:tbl>
    <w:p>
      <w:pPr>
        <w:spacing w:after="0" w:line="109" w:lineRule="exact"/>
        <w:rPr>
          <w:sz w:val="24"/>
          <w:szCs w:val="24"/>
          <w:color w:val="auto"/>
        </w:rPr>
      </w:pPr>
    </w:p>
    <w:p>
      <w:pPr>
        <w:ind w:left="40"/>
        <w:spacing w:after="0"/>
        <w:rPr>
          <w:sz w:val="20"/>
          <w:szCs w:val="20"/>
          <w:color w:val="auto"/>
        </w:rPr>
      </w:pPr>
      <w:r>
        <w:rPr>
          <w:rFonts w:ascii="Arial" w:cs="Arial" w:eastAsia="Arial" w:hAnsi="Arial"/>
          <w:sz w:val="13"/>
          <w:szCs w:val="13"/>
          <w:color w:val="auto"/>
        </w:rPr>
        <w:t>There were 37,344,201 shares of the registrant’s common stock, $0.0001 par value, outstanding as of October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304165</wp:posOffset>
            </wp:positionV>
            <wp:extent cx="5667375"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67375" cy="15240"/>
                    </a:xfrm>
                    <a:prstGeom prst="rect">
                      <a:avLst/>
                    </a:prstGeom>
                    <a:noFill/>
                  </pic:spPr>
                </pic:pic>
              </a:graphicData>
            </a:graphic>
          </wp:anchor>
        </w:drawing>
      </w:r>
    </w:p>
    <w:p>
      <w:pPr>
        <w:sectPr>
          <w:pgSz w:w="11900" w:h="16838" w:orient="portrait"/>
          <w:cols w:equalWidth="0" w:num="1">
            <w:col w:w="9019"/>
          </w:cols>
          <w:pgMar w:left="1440" w:top="599" w:right="1440" w:bottom="1440" w:gutter="0" w:footer="0" w:header="0"/>
          <w:type w:val="continuous"/>
        </w:sectPr>
      </w:pPr>
    </w:p>
    <w:bookmarkStart w:id="1" w:name="page2"/>
    <w:bookmarkEnd w:id="1"/>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AXSOME THERAPEUTICS, INC.</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QUARTERLY REPORT ON FORM 10-Q</w:t>
      </w:r>
    </w:p>
    <w:p>
      <w:pPr>
        <w:jc w:val="center"/>
        <w:ind w:right="19"/>
        <w:spacing w:after="0"/>
        <w:rPr>
          <w:sz w:val="20"/>
          <w:szCs w:val="20"/>
          <w:color w:val="auto"/>
        </w:rPr>
      </w:pPr>
      <w:r>
        <w:rPr>
          <w:rFonts w:ascii="Arial" w:cs="Arial" w:eastAsia="Arial" w:hAnsi="Arial"/>
          <w:sz w:val="16"/>
          <w:szCs w:val="16"/>
          <w:b w:val="1"/>
          <w:bCs w:val="1"/>
          <w:color w:val="auto"/>
        </w:rPr>
        <w:t>FOR THE QUARTER ENDED SEPTEMBER 30, 2020</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TABLE OF CONTENTS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93"/>
        </w:trPr>
        <w:tc>
          <w:tcPr>
            <w:tcW w:w="8360" w:type="dxa"/>
            <w:vAlign w:val="bottom"/>
            <w:gridSpan w:val="2"/>
            <w:vMerge w:val="restart"/>
          </w:tcPr>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CAUTIONARY NOTE REGARDING FORWARD LOOKING STATEMENTS</w:t>
              </w:r>
            </w:hyperlink>
          </w:p>
        </w:tc>
        <w:tc>
          <w:tcPr>
            <w:tcW w:w="58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192"/>
        </w:trPr>
        <w:tc>
          <w:tcPr>
            <w:tcW w:w="8360" w:type="dxa"/>
            <w:vAlign w:val="bottom"/>
            <w:gridSpan w:val="2"/>
            <w:vMerge w:val="continue"/>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8360" w:type="dxa"/>
            <w:vAlign w:val="bottom"/>
            <w:gridSpan w:val="2"/>
          </w:tcPr>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PART I — FINANCIAL INFORMATION</w:t>
              </w:r>
            </w:hyperlink>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740" w:type="dxa"/>
            <w:vAlign w:val="bottom"/>
          </w:tcPr>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ITEM 1</w:t>
              </w:r>
            </w:hyperlink>
          </w:p>
        </w:tc>
        <w:tc>
          <w:tcPr>
            <w:tcW w:w="7620" w:type="dxa"/>
            <w:vAlign w:val="bottom"/>
          </w:tcPr>
          <w:p>
            <w:pPr>
              <w:ind w:left="10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Financial Statements</w:t>
              </w:r>
            </w:hyperlink>
          </w:p>
        </w:tc>
        <w:tc>
          <w:tcPr>
            <w:tcW w:w="580" w:type="dxa"/>
            <w:vAlign w:val="bottom"/>
            <w:gridSpan w:val="2"/>
          </w:tcPr>
          <w:p>
            <w:pPr>
              <w:jc w:val="right"/>
              <w:ind w:right="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71"/>
        </w:trPr>
        <w:tc>
          <w:tcPr>
            <w:tcW w:w="740" w:type="dxa"/>
            <w:vAlign w:val="bottom"/>
          </w:tcPr>
          <w:p>
            <w:pPr>
              <w:spacing w:after="0"/>
              <w:rPr>
                <w:rFonts w:ascii="Arial" w:cs="Arial" w:eastAsia="Arial" w:hAnsi="Arial"/>
                <w:sz w:val="16"/>
                <w:szCs w:val="16"/>
                <w:u w:val="single" w:color="auto"/>
                <w:color w:val="0000EE"/>
              </w:rPr>
            </w:pPr>
            <w:hyperlink w:anchor="page23">
              <w:r>
                <w:rPr>
                  <w:rFonts w:ascii="Arial" w:cs="Arial" w:eastAsia="Arial" w:hAnsi="Arial"/>
                  <w:sz w:val="16"/>
                  <w:szCs w:val="16"/>
                  <w:u w:val="single" w:color="auto"/>
                  <w:color w:val="0000EE"/>
                </w:rPr>
                <w:t>ITEM 2</w:t>
              </w:r>
            </w:hyperlink>
          </w:p>
        </w:tc>
        <w:tc>
          <w:tcPr>
            <w:tcW w:w="7620" w:type="dxa"/>
            <w:vAlign w:val="bottom"/>
          </w:tcPr>
          <w:p>
            <w:pPr>
              <w:ind w:left="100"/>
              <w:spacing w:after="0"/>
              <w:rPr>
                <w:rFonts w:ascii="Arial" w:cs="Arial" w:eastAsia="Arial" w:hAnsi="Arial"/>
                <w:sz w:val="16"/>
                <w:szCs w:val="16"/>
                <w:u w:val="single" w:color="auto"/>
                <w:color w:val="0000EE"/>
              </w:rPr>
            </w:pPr>
            <w:hyperlink w:anchor="page23">
              <w:r>
                <w:rPr>
                  <w:rFonts w:ascii="Arial" w:cs="Arial" w:eastAsia="Arial" w:hAnsi="Arial"/>
                  <w:sz w:val="16"/>
                  <w:szCs w:val="16"/>
                  <w:u w:val="single" w:color="auto"/>
                  <w:color w:val="0000EE"/>
                </w:rPr>
                <w:t>Management’s Discussion and Analysis of Financial Condition and Results of Operations</w:t>
              </w:r>
            </w:hyperlink>
          </w:p>
        </w:tc>
        <w:tc>
          <w:tcPr>
            <w:tcW w:w="580" w:type="dxa"/>
            <w:vAlign w:val="bottom"/>
            <w:gridSpan w:val="2"/>
          </w:tcPr>
          <w:p>
            <w:pPr>
              <w:jc w:val="right"/>
              <w:ind w:right="2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71"/>
        </w:trPr>
        <w:tc>
          <w:tcPr>
            <w:tcW w:w="740" w:type="dxa"/>
            <w:vAlign w:val="bottom"/>
          </w:tcPr>
          <w:p>
            <w:pPr>
              <w:spacing w:after="0"/>
              <w:rPr>
                <w:rFonts w:ascii="Arial" w:cs="Arial" w:eastAsia="Arial" w:hAnsi="Arial"/>
                <w:sz w:val="16"/>
                <w:szCs w:val="16"/>
                <w:u w:val="single" w:color="auto"/>
                <w:color w:val="0000EE"/>
              </w:rPr>
            </w:pPr>
            <w:hyperlink w:anchor="page41">
              <w:r>
                <w:rPr>
                  <w:rFonts w:ascii="Arial" w:cs="Arial" w:eastAsia="Arial" w:hAnsi="Arial"/>
                  <w:sz w:val="16"/>
                  <w:szCs w:val="16"/>
                  <w:u w:val="single" w:color="auto"/>
                  <w:color w:val="0000EE"/>
                </w:rPr>
                <w:t>ITEM 3</w:t>
              </w:r>
            </w:hyperlink>
          </w:p>
        </w:tc>
        <w:tc>
          <w:tcPr>
            <w:tcW w:w="7620" w:type="dxa"/>
            <w:vAlign w:val="bottom"/>
          </w:tcPr>
          <w:p>
            <w:pPr>
              <w:ind w:left="100"/>
              <w:spacing w:after="0"/>
              <w:rPr>
                <w:rFonts w:ascii="Arial" w:cs="Arial" w:eastAsia="Arial" w:hAnsi="Arial"/>
                <w:sz w:val="16"/>
                <w:szCs w:val="16"/>
                <w:u w:val="single" w:color="auto"/>
                <w:color w:val="0000EE"/>
              </w:rPr>
            </w:pPr>
            <w:hyperlink w:anchor="page41">
              <w:r>
                <w:rPr>
                  <w:rFonts w:ascii="Arial" w:cs="Arial" w:eastAsia="Arial" w:hAnsi="Arial"/>
                  <w:sz w:val="16"/>
                  <w:szCs w:val="16"/>
                  <w:u w:val="single" w:color="auto"/>
                  <w:color w:val="0000EE"/>
                </w:rPr>
                <w:t>Quantitative and Qualitative Disclosure About Market Risk</w:t>
              </w:r>
            </w:hyperlink>
          </w:p>
        </w:tc>
        <w:tc>
          <w:tcPr>
            <w:tcW w:w="580" w:type="dxa"/>
            <w:vAlign w:val="bottom"/>
            <w:gridSpan w:val="2"/>
          </w:tcPr>
          <w:p>
            <w:pPr>
              <w:jc w:val="right"/>
              <w:ind w:right="20"/>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71"/>
        </w:trPr>
        <w:tc>
          <w:tcPr>
            <w:tcW w:w="740" w:type="dxa"/>
            <w:vAlign w:val="bottom"/>
          </w:tcPr>
          <w:p>
            <w:pPr>
              <w:spacing w:after="0"/>
              <w:rPr>
                <w:rFonts w:ascii="Arial" w:cs="Arial" w:eastAsia="Arial" w:hAnsi="Arial"/>
                <w:sz w:val="16"/>
                <w:szCs w:val="16"/>
                <w:u w:val="single" w:color="auto"/>
                <w:color w:val="0000EE"/>
              </w:rPr>
            </w:pPr>
            <w:hyperlink w:anchor="page42">
              <w:r>
                <w:rPr>
                  <w:rFonts w:ascii="Arial" w:cs="Arial" w:eastAsia="Arial" w:hAnsi="Arial"/>
                  <w:sz w:val="16"/>
                  <w:szCs w:val="16"/>
                  <w:u w:val="single" w:color="auto"/>
                  <w:color w:val="0000EE"/>
                </w:rPr>
                <w:t>ITEM 4</w:t>
              </w:r>
            </w:hyperlink>
          </w:p>
        </w:tc>
        <w:tc>
          <w:tcPr>
            <w:tcW w:w="7620" w:type="dxa"/>
            <w:vAlign w:val="bottom"/>
          </w:tcPr>
          <w:p>
            <w:pPr>
              <w:ind w:left="100"/>
              <w:spacing w:after="0"/>
              <w:rPr>
                <w:rFonts w:ascii="Arial" w:cs="Arial" w:eastAsia="Arial" w:hAnsi="Arial"/>
                <w:sz w:val="16"/>
                <w:szCs w:val="16"/>
                <w:u w:val="single" w:color="auto"/>
                <w:color w:val="0000EE"/>
              </w:rPr>
            </w:pPr>
            <w:hyperlink w:anchor="page42">
              <w:r>
                <w:rPr>
                  <w:rFonts w:ascii="Arial" w:cs="Arial" w:eastAsia="Arial" w:hAnsi="Arial"/>
                  <w:sz w:val="16"/>
                  <w:szCs w:val="16"/>
                  <w:u w:val="single" w:color="auto"/>
                  <w:color w:val="0000EE"/>
                </w:rPr>
                <w:t>Controls and Procedures</w:t>
              </w:r>
            </w:hyperlink>
          </w:p>
        </w:tc>
        <w:tc>
          <w:tcPr>
            <w:tcW w:w="580" w:type="dxa"/>
            <w:vAlign w:val="bottom"/>
            <w:gridSpan w:val="2"/>
          </w:tcPr>
          <w:p>
            <w:pPr>
              <w:jc w:val="right"/>
              <w:ind w:right="20"/>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71"/>
        </w:trPr>
        <w:tc>
          <w:tcPr>
            <w:tcW w:w="8360" w:type="dxa"/>
            <w:vAlign w:val="bottom"/>
            <w:gridSpan w:val="2"/>
          </w:tcPr>
          <w:p>
            <w:pPr>
              <w:spacing w:after="0"/>
              <w:rPr>
                <w:rFonts w:ascii="Arial" w:cs="Arial" w:eastAsia="Arial" w:hAnsi="Arial"/>
                <w:sz w:val="16"/>
                <w:szCs w:val="16"/>
                <w:b w:val="1"/>
                <w:bCs w:val="1"/>
                <w:u w:val="single" w:color="auto"/>
                <w:color w:val="0000EE"/>
              </w:rPr>
            </w:pPr>
            <w:hyperlink w:anchor="page43">
              <w:r>
                <w:rPr>
                  <w:rFonts w:ascii="Arial" w:cs="Arial" w:eastAsia="Arial" w:hAnsi="Arial"/>
                  <w:sz w:val="16"/>
                  <w:szCs w:val="16"/>
                  <w:b w:val="1"/>
                  <w:bCs w:val="1"/>
                  <w:u w:val="single" w:color="auto"/>
                  <w:color w:val="0000EE"/>
                </w:rPr>
                <w:t>PART II — OTHER INFORMATION</w:t>
              </w:r>
            </w:hyperlink>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740" w:type="dxa"/>
            <w:vAlign w:val="bottom"/>
          </w:tcPr>
          <w:p>
            <w:pPr>
              <w:spacing w:after="0"/>
              <w:rPr>
                <w:rFonts w:ascii="Arial" w:cs="Arial" w:eastAsia="Arial" w:hAnsi="Arial"/>
                <w:sz w:val="16"/>
                <w:szCs w:val="16"/>
                <w:u w:val="single" w:color="auto"/>
                <w:color w:val="0000EE"/>
              </w:rPr>
            </w:pPr>
            <w:hyperlink w:anchor="page43">
              <w:r>
                <w:rPr>
                  <w:rFonts w:ascii="Arial" w:cs="Arial" w:eastAsia="Arial" w:hAnsi="Arial"/>
                  <w:sz w:val="16"/>
                  <w:szCs w:val="16"/>
                  <w:u w:val="single" w:color="auto"/>
                  <w:color w:val="0000EE"/>
                </w:rPr>
                <w:t>ITEM 1</w:t>
              </w:r>
            </w:hyperlink>
          </w:p>
        </w:tc>
        <w:tc>
          <w:tcPr>
            <w:tcW w:w="7620" w:type="dxa"/>
            <w:vAlign w:val="bottom"/>
          </w:tcPr>
          <w:p>
            <w:pPr>
              <w:ind w:left="100"/>
              <w:spacing w:after="0"/>
              <w:rPr>
                <w:rFonts w:ascii="Arial" w:cs="Arial" w:eastAsia="Arial" w:hAnsi="Arial"/>
                <w:sz w:val="16"/>
                <w:szCs w:val="16"/>
                <w:u w:val="single" w:color="auto"/>
                <w:color w:val="0000EE"/>
              </w:rPr>
            </w:pPr>
            <w:hyperlink w:anchor="page43">
              <w:r>
                <w:rPr>
                  <w:rFonts w:ascii="Arial" w:cs="Arial" w:eastAsia="Arial" w:hAnsi="Arial"/>
                  <w:sz w:val="16"/>
                  <w:szCs w:val="16"/>
                  <w:u w:val="single" w:color="auto"/>
                  <w:color w:val="0000EE"/>
                </w:rPr>
                <w:t>Legal Proceedings</w:t>
              </w:r>
            </w:hyperlink>
          </w:p>
        </w:tc>
        <w:tc>
          <w:tcPr>
            <w:tcW w:w="580" w:type="dxa"/>
            <w:vAlign w:val="bottom"/>
            <w:gridSpan w:val="2"/>
          </w:tcPr>
          <w:p>
            <w:pPr>
              <w:jc w:val="right"/>
              <w:ind w:right="20"/>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71"/>
        </w:trPr>
        <w:tc>
          <w:tcPr>
            <w:tcW w:w="740" w:type="dxa"/>
            <w:vAlign w:val="bottom"/>
          </w:tcPr>
          <w:p>
            <w:pPr>
              <w:spacing w:after="0"/>
              <w:rPr>
                <w:rFonts w:ascii="Arial" w:cs="Arial" w:eastAsia="Arial" w:hAnsi="Arial"/>
                <w:sz w:val="16"/>
                <w:szCs w:val="16"/>
                <w:u w:val="single" w:color="auto"/>
                <w:color w:val="0000EE"/>
              </w:rPr>
            </w:pPr>
            <w:hyperlink w:anchor="page43">
              <w:r>
                <w:rPr>
                  <w:rFonts w:ascii="Arial" w:cs="Arial" w:eastAsia="Arial" w:hAnsi="Arial"/>
                  <w:sz w:val="16"/>
                  <w:szCs w:val="16"/>
                  <w:u w:val="single" w:color="auto"/>
                  <w:color w:val="0000EE"/>
                </w:rPr>
                <w:t>ITEM 1A</w:t>
              </w:r>
            </w:hyperlink>
          </w:p>
        </w:tc>
        <w:tc>
          <w:tcPr>
            <w:tcW w:w="7620" w:type="dxa"/>
            <w:vAlign w:val="bottom"/>
          </w:tcPr>
          <w:p>
            <w:pPr>
              <w:ind w:left="100"/>
              <w:spacing w:after="0"/>
              <w:rPr>
                <w:rFonts w:ascii="Arial" w:cs="Arial" w:eastAsia="Arial" w:hAnsi="Arial"/>
                <w:sz w:val="16"/>
                <w:szCs w:val="16"/>
                <w:u w:val="single" w:color="auto"/>
                <w:color w:val="0000EE"/>
              </w:rPr>
            </w:pPr>
            <w:hyperlink w:anchor="page43">
              <w:r>
                <w:rPr>
                  <w:rFonts w:ascii="Arial" w:cs="Arial" w:eastAsia="Arial" w:hAnsi="Arial"/>
                  <w:sz w:val="16"/>
                  <w:szCs w:val="16"/>
                  <w:u w:val="single" w:color="auto"/>
                  <w:color w:val="0000EE"/>
                </w:rPr>
                <w:t>Risk Factors</w:t>
              </w:r>
            </w:hyperlink>
          </w:p>
        </w:tc>
        <w:tc>
          <w:tcPr>
            <w:tcW w:w="580" w:type="dxa"/>
            <w:vAlign w:val="bottom"/>
            <w:gridSpan w:val="2"/>
          </w:tcPr>
          <w:p>
            <w:pPr>
              <w:jc w:val="right"/>
              <w:ind w:right="20"/>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71"/>
        </w:trPr>
        <w:tc>
          <w:tcPr>
            <w:tcW w:w="740" w:type="dxa"/>
            <w:vAlign w:val="bottom"/>
          </w:tcPr>
          <w:p>
            <w:pPr>
              <w:spacing w:after="0"/>
              <w:rPr>
                <w:rFonts w:ascii="Arial" w:cs="Arial" w:eastAsia="Arial" w:hAnsi="Arial"/>
                <w:sz w:val="16"/>
                <w:szCs w:val="16"/>
                <w:u w:val="single" w:color="auto"/>
                <w:color w:val="0000EE"/>
              </w:rPr>
            </w:pPr>
            <w:hyperlink w:anchor="page106">
              <w:r>
                <w:rPr>
                  <w:rFonts w:ascii="Arial" w:cs="Arial" w:eastAsia="Arial" w:hAnsi="Arial"/>
                  <w:sz w:val="16"/>
                  <w:szCs w:val="16"/>
                  <w:u w:val="single" w:color="auto"/>
                  <w:color w:val="0000EE"/>
                </w:rPr>
                <w:t>ITEM 6</w:t>
              </w:r>
            </w:hyperlink>
          </w:p>
        </w:tc>
        <w:tc>
          <w:tcPr>
            <w:tcW w:w="7620" w:type="dxa"/>
            <w:vAlign w:val="bottom"/>
          </w:tcPr>
          <w:p>
            <w:pPr>
              <w:ind w:left="100"/>
              <w:spacing w:after="0"/>
              <w:rPr>
                <w:rFonts w:ascii="Arial" w:cs="Arial" w:eastAsia="Arial" w:hAnsi="Arial"/>
                <w:sz w:val="16"/>
                <w:szCs w:val="16"/>
                <w:u w:val="single" w:color="auto"/>
                <w:color w:val="0000EE"/>
              </w:rPr>
            </w:pPr>
            <w:hyperlink w:anchor="page106">
              <w:r>
                <w:rPr>
                  <w:rFonts w:ascii="Arial" w:cs="Arial" w:eastAsia="Arial" w:hAnsi="Arial"/>
                  <w:sz w:val="16"/>
                  <w:szCs w:val="16"/>
                  <w:u w:val="single" w:color="auto"/>
                  <w:color w:val="0000EE"/>
                </w:rPr>
                <w:t>Exhibits</w:t>
              </w:r>
            </w:hyperlink>
          </w:p>
        </w:tc>
        <w:tc>
          <w:tcPr>
            <w:tcW w:w="580" w:type="dxa"/>
            <w:vAlign w:val="bottom"/>
            <w:gridSpan w:val="2"/>
          </w:tcPr>
          <w:p>
            <w:pPr>
              <w:jc w:val="right"/>
              <w:ind w:right="20"/>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71"/>
        </w:trPr>
        <w:tc>
          <w:tcPr>
            <w:tcW w:w="740" w:type="dxa"/>
            <w:vAlign w:val="bottom"/>
          </w:tcPr>
          <w:p>
            <w:pPr>
              <w:spacing w:after="0"/>
              <w:rPr>
                <w:rFonts w:ascii="Arial" w:cs="Arial" w:eastAsia="Arial" w:hAnsi="Arial"/>
                <w:sz w:val="16"/>
                <w:szCs w:val="16"/>
                <w:u w:val="single" w:color="auto"/>
                <w:color w:val="0000EE"/>
                <w:w w:val="94"/>
              </w:rPr>
            </w:pPr>
            <w:hyperlink w:anchor="page108">
              <w:r>
                <w:rPr>
                  <w:rFonts w:ascii="Arial" w:cs="Arial" w:eastAsia="Arial" w:hAnsi="Arial"/>
                  <w:sz w:val="16"/>
                  <w:szCs w:val="16"/>
                  <w:u w:val="single" w:color="auto"/>
                  <w:color w:val="0000EE"/>
                  <w:w w:val="94"/>
                </w:rPr>
                <w:t>Signatures</w:t>
              </w:r>
            </w:hyperlink>
          </w:p>
        </w:tc>
        <w:tc>
          <w:tcPr>
            <w:tcW w:w="7620" w:type="dxa"/>
            <w:vAlign w:val="bottom"/>
          </w:tcPr>
          <w:p>
            <w:pPr>
              <w:spacing w:after="0"/>
              <w:rPr>
                <w:sz w:val="23"/>
                <w:szCs w:val="23"/>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302895</wp:posOffset>
            </wp:positionV>
            <wp:extent cx="5682615" cy="222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82615" cy="22225"/>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2" w:name="page3"/>
    <w:bookmarkEnd w:id="2"/>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CAUTIONARY NOTE REGARDING FORWARD-LOOKING STATEMENTS</w:t>
      </w:r>
    </w:p>
    <w:p>
      <w:pPr>
        <w:spacing w:after="0" w:line="186" w:lineRule="exact"/>
        <w:rPr>
          <w:sz w:val="20"/>
          <w:szCs w:val="20"/>
          <w:color w:val="auto"/>
        </w:rPr>
      </w:pPr>
    </w:p>
    <w:p>
      <w:pPr>
        <w:ind w:left="40" w:right="59" w:firstLine="566"/>
        <w:spacing w:after="0" w:line="249" w:lineRule="auto"/>
        <w:rPr>
          <w:sz w:val="20"/>
          <w:szCs w:val="20"/>
          <w:color w:val="auto"/>
        </w:rPr>
      </w:pPr>
      <w:r>
        <w:rPr>
          <w:rFonts w:ascii="Arial" w:cs="Arial" w:eastAsia="Arial" w:hAnsi="Arial"/>
          <w:sz w:val="15"/>
          <w:szCs w:val="15"/>
          <w:color w:val="auto"/>
        </w:rPr>
        <w:t>Certain matters discussed in this report, including matters discussed under the caption “Management’s Discussion and Analysis of Financial Condition and Results of Operations,” may constitute forward-looking statements for purposes of the Securities Act of 1933, as amended, or the Securities 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and similar expressions are generally intended to identify forward-looking statements. Our actual results may differ materially from the results anticipated in these forward-looking statements due to a variety of factors, including, without limitation, those discussed under the captions “Risk Factors,” “Management’s Discussion and Analysis of Financial Condition and Results of Operations” and elsewhere in this report, as well as other factors which may be identified from time to time in our other filings with the Securities and Exchange Commission, or the SEC, or in the documents where such forward-looking statements appear. All written or oral forward-looking statements attributable to us are expressly qualified in their entirety by these cautionary statements. Such forward-looking statements include, but are not limited to, statements about:</w:t>
      </w:r>
    </w:p>
    <w:p>
      <w:pPr>
        <w:spacing w:after="0" w:line="152" w:lineRule="exact"/>
        <w:rPr>
          <w:sz w:val="20"/>
          <w:szCs w:val="20"/>
          <w:color w:val="auto"/>
        </w:rPr>
      </w:pPr>
    </w:p>
    <w:p>
      <w:pPr>
        <w:ind w:left="900" w:hanging="278"/>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expectations for increases or decreases in expenses;</w:t>
      </w:r>
    </w:p>
    <w:p>
      <w:pPr>
        <w:spacing w:after="0" w:line="6" w:lineRule="exact"/>
        <w:rPr>
          <w:rFonts w:ascii="Arial" w:cs="Arial" w:eastAsia="Arial" w:hAnsi="Arial"/>
          <w:sz w:val="16"/>
          <w:szCs w:val="16"/>
          <w:color w:val="auto"/>
        </w:rPr>
      </w:pPr>
    </w:p>
    <w:p>
      <w:pPr>
        <w:ind w:left="900" w:right="59" w:hanging="278"/>
        <w:spacing w:after="0" w:line="246" w:lineRule="auto"/>
        <w:tabs>
          <w:tab w:leader="none" w:pos="90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expectations for the clinical and preclinical development, manufacturing, regulatory approval, and commercialization of our pharmaceutical product candidates or any other products that we may acquire or in-license;</w:t>
      </w:r>
    </w:p>
    <w:p>
      <w:pPr>
        <w:ind w:left="900" w:right="359" w:hanging="278"/>
        <w:spacing w:after="0" w:line="230"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estimates of the sufficiency of our existing capital resources combined with future anticipated cash flows to finance our operating requirements;</w:t>
      </w:r>
    </w:p>
    <w:p>
      <w:pPr>
        <w:spacing w:after="0" w:line="1" w:lineRule="exact"/>
        <w:rPr>
          <w:rFonts w:ascii="Arial" w:cs="Arial" w:eastAsia="Arial" w:hAnsi="Arial"/>
          <w:sz w:val="16"/>
          <w:szCs w:val="16"/>
          <w:color w:val="auto"/>
        </w:rPr>
      </w:pPr>
    </w:p>
    <w:p>
      <w:pPr>
        <w:ind w:left="900" w:hanging="278"/>
        <w:spacing w:after="0"/>
        <w:tabs>
          <w:tab w:leader="none" w:pos="90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expectations for incurring capital expenditures to expand our research and development and manufacturing capabilities;</w:t>
      </w:r>
    </w:p>
    <w:p>
      <w:pPr>
        <w:spacing w:after="0" w:line="27" w:lineRule="exact"/>
        <w:rPr>
          <w:rFonts w:ascii="Arial" w:cs="Arial" w:eastAsia="Arial" w:hAnsi="Arial"/>
          <w:sz w:val="13"/>
          <w:szCs w:val="13"/>
          <w:color w:val="auto"/>
        </w:rPr>
      </w:pPr>
    </w:p>
    <w:p>
      <w:pPr>
        <w:ind w:left="900" w:hanging="278"/>
        <w:spacing w:after="0"/>
        <w:tabs>
          <w:tab w:leader="none" w:pos="900" w:val="left"/>
        </w:tabs>
        <w:numPr>
          <w:ilvl w:val="0"/>
          <w:numId w:val="3"/>
        </w:numPr>
        <w:rPr>
          <w:rFonts w:ascii="Arial" w:cs="Arial" w:eastAsia="Arial" w:hAnsi="Arial"/>
          <w:sz w:val="15"/>
          <w:szCs w:val="15"/>
          <w:color w:val="auto"/>
        </w:rPr>
      </w:pPr>
      <w:r>
        <w:rPr>
          <w:rFonts w:ascii="Arial" w:cs="Arial" w:eastAsia="Arial" w:hAnsi="Arial"/>
          <w:sz w:val="15"/>
          <w:szCs w:val="15"/>
          <w:color w:val="auto"/>
        </w:rPr>
        <w:t>unforeseen circumstances or other disruptions to normal business operations arising from or related to COVID-19;</w:t>
      </w:r>
    </w:p>
    <w:p>
      <w:pPr>
        <w:spacing w:after="0" w:line="4" w:lineRule="exact"/>
        <w:rPr>
          <w:rFonts w:ascii="Arial" w:cs="Arial" w:eastAsia="Arial" w:hAnsi="Arial"/>
          <w:sz w:val="15"/>
          <w:szCs w:val="15"/>
          <w:color w:val="auto"/>
        </w:rPr>
      </w:pPr>
    </w:p>
    <w:p>
      <w:pPr>
        <w:ind w:left="900" w:hanging="278"/>
        <w:spacing w:after="0" w:line="230"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expectations for generating revenue or becoming profitable on a sustained basis;</w:t>
      </w:r>
    </w:p>
    <w:p>
      <w:pPr>
        <w:ind w:left="900" w:hanging="278"/>
        <w:spacing w:after="0" w:line="230"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expectations or ability to enter into marketing and other partnership agreements;</w:t>
      </w:r>
    </w:p>
    <w:p>
      <w:pPr>
        <w:ind w:left="900" w:hanging="278"/>
        <w:spacing w:after="0" w:line="230"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expectations or ability to enter into product acquisition and in-licensing transactions;</w:t>
      </w:r>
    </w:p>
    <w:p>
      <w:pPr>
        <w:ind w:left="900" w:hanging="278"/>
        <w:spacing w:after="0"/>
        <w:tabs>
          <w:tab w:leader="none" w:pos="90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expectations or ability to build our own commercial infrastructure to manufacture, market and sell our product candidates;</w:t>
      </w:r>
    </w:p>
    <w:p>
      <w:pPr>
        <w:spacing w:after="0" w:line="27" w:lineRule="exact"/>
        <w:rPr>
          <w:rFonts w:ascii="Arial" w:cs="Arial" w:eastAsia="Arial" w:hAnsi="Arial"/>
          <w:sz w:val="13"/>
          <w:szCs w:val="13"/>
          <w:color w:val="auto"/>
        </w:rPr>
      </w:pPr>
    </w:p>
    <w:p>
      <w:pPr>
        <w:ind w:left="900" w:hanging="278"/>
        <w:spacing w:after="0" w:line="230"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expected losses;</w:t>
      </w:r>
    </w:p>
    <w:p>
      <w:pPr>
        <w:ind w:left="900" w:hanging="278"/>
        <w:spacing w:after="0" w:line="230"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obtain and maintain intellectual property protection for our product candidates;</w:t>
      </w:r>
    </w:p>
    <w:p>
      <w:pPr>
        <w:ind w:left="900" w:hanging="278"/>
        <w:spacing w:after="0" w:line="230"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acceptance of our products by doctors, patients, or payors;</w:t>
      </w:r>
    </w:p>
    <w:p>
      <w:pPr>
        <w:ind w:left="900" w:hanging="278"/>
        <w:spacing w:after="0" w:line="230"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stock price and its volatility;</w:t>
      </w:r>
    </w:p>
    <w:p>
      <w:pPr>
        <w:ind w:left="900" w:hanging="278"/>
        <w:spacing w:after="0" w:line="230"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attract and retain key personnel;</w:t>
      </w:r>
    </w:p>
    <w:p>
      <w:pPr>
        <w:ind w:left="900" w:hanging="278"/>
        <w:spacing w:after="0" w:line="230"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performance of our third-party manufacturers;</w:t>
      </w:r>
    </w:p>
    <w:p>
      <w:pPr>
        <w:ind w:left="900" w:hanging="278"/>
        <w:spacing w:after="0" w:line="230"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expectations for future capital requirements; and</w:t>
      </w:r>
    </w:p>
    <w:p>
      <w:pPr>
        <w:ind w:left="900" w:hanging="278"/>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successfully implement our strategy.</w:t>
      </w:r>
    </w:p>
    <w:p>
      <w:pPr>
        <w:spacing w:after="0" w:line="156" w:lineRule="exact"/>
        <w:rPr>
          <w:sz w:val="20"/>
          <w:szCs w:val="20"/>
          <w:color w:val="auto"/>
        </w:rPr>
      </w:pPr>
    </w:p>
    <w:p>
      <w:pPr>
        <w:ind w:left="40" w:right="439" w:firstLine="566"/>
        <w:spacing w:after="0" w:line="284" w:lineRule="auto"/>
        <w:rPr>
          <w:sz w:val="20"/>
          <w:szCs w:val="20"/>
          <w:color w:val="auto"/>
        </w:rPr>
      </w:pPr>
      <w:r>
        <w:rPr>
          <w:rFonts w:ascii="Arial" w:cs="Arial" w:eastAsia="Arial" w:hAnsi="Arial"/>
          <w:sz w:val="15"/>
          <w:szCs w:val="15"/>
          <w:color w:val="auto"/>
        </w:rPr>
        <w:t>The forward-looking statements contained in this report reflect our views and assumptions only as of the date that this report is signed. Except as required by law, we assume no responsibility for updating any forward-looking statements.</w:t>
      </w:r>
    </w:p>
    <w:p>
      <w:pPr>
        <w:spacing w:after="0" w:line="122" w:lineRule="exact"/>
        <w:rPr>
          <w:sz w:val="20"/>
          <w:szCs w:val="20"/>
          <w:color w:val="auto"/>
        </w:rPr>
      </w:pPr>
    </w:p>
    <w:p>
      <w:pPr>
        <w:ind w:left="40" w:right="259" w:firstLine="566"/>
        <w:spacing w:after="0" w:line="241" w:lineRule="auto"/>
        <w:rPr>
          <w:sz w:val="20"/>
          <w:szCs w:val="20"/>
          <w:color w:val="auto"/>
        </w:rPr>
      </w:pPr>
      <w:r>
        <w:rPr>
          <w:rFonts w:ascii="Arial" w:cs="Arial" w:eastAsia="Arial" w:hAnsi="Arial"/>
          <w:sz w:val="16"/>
          <w:szCs w:val="16"/>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302895</wp:posOffset>
            </wp:positionV>
            <wp:extent cx="5682615"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82615" cy="15240"/>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3" w:name="page4"/>
    <w:bookmarkEnd w:id="3"/>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PART I. FINANCIAL INFORMATION</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1. FINANCIAL STATEMENTS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Axsome Therapeutics, Inc.</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Balance Sheets</w:t>
      </w:r>
    </w:p>
    <w:p>
      <w:pPr>
        <w:spacing w:after="0" w:line="164"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6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2"/>
          </w:tcPr>
          <w:p>
            <w:pPr>
              <w:ind w:left="100"/>
              <w:spacing w:after="0"/>
              <w:rPr>
                <w:sz w:val="20"/>
                <w:szCs w:val="20"/>
                <w:color w:val="auto"/>
              </w:rPr>
            </w:pPr>
            <w:r>
              <w:rPr>
                <w:rFonts w:ascii="Arial" w:cs="Arial" w:eastAsia="Arial" w:hAnsi="Arial"/>
                <w:sz w:val="13"/>
                <w:szCs w:val="13"/>
                <w:b w:val="1"/>
                <w:bCs w:val="1"/>
                <w:color w:val="auto"/>
              </w:rPr>
              <w:t>September 30,</w:t>
            </w:r>
          </w:p>
        </w:tc>
        <w:tc>
          <w:tcPr>
            <w:tcW w:w="180" w:type="dxa"/>
            <w:vAlign w:val="bottom"/>
          </w:tcPr>
          <w:p>
            <w:pPr>
              <w:spacing w:after="0"/>
              <w:rPr>
                <w:sz w:val="13"/>
                <w:szCs w:val="13"/>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b w:val="1"/>
                <w:bCs w:val="1"/>
                <w:color w:val="auto"/>
              </w:rPr>
              <w:t>December 31,</w:t>
            </w:r>
          </w:p>
        </w:tc>
      </w:tr>
      <w:tr>
        <w:trPr>
          <w:trHeight w:val="161"/>
        </w:trPr>
        <w:tc>
          <w:tcPr>
            <w:tcW w:w="60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64"/>
              <w:spacing w:after="0"/>
              <w:rPr>
                <w:sz w:val="20"/>
                <w:szCs w:val="20"/>
                <w:color w:val="auto"/>
              </w:rPr>
            </w:pPr>
            <w:r>
              <w:rPr>
                <w:rFonts w:ascii="Arial" w:cs="Arial" w:eastAsia="Arial" w:hAnsi="Arial"/>
                <w:sz w:val="13"/>
                <w:szCs w:val="13"/>
                <w:b w:val="1"/>
                <w:bCs w:val="1"/>
                <w:color w:val="auto"/>
              </w:rPr>
              <w:t>2020</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63"/>
              <w:spacing w:after="0"/>
              <w:rPr>
                <w:sz w:val="20"/>
                <w:szCs w:val="20"/>
                <w:color w:val="auto"/>
              </w:rPr>
            </w:pPr>
            <w:r>
              <w:rPr>
                <w:rFonts w:ascii="Arial" w:cs="Arial" w:eastAsia="Arial" w:hAnsi="Arial"/>
                <w:sz w:val="13"/>
                <w:szCs w:val="13"/>
                <w:b w:val="1"/>
                <w:bCs w:val="1"/>
                <w:color w:val="auto"/>
              </w:rPr>
              <w:t>2019</w:t>
            </w:r>
          </w:p>
        </w:tc>
        <w:tc>
          <w:tcPr>
            <w:tcW w:w="20" w:type="dxa"/>
            <w:vAlign w:val="bottom"/>
          </w:tcPr>
          <w:p>
            <w:pPr>
              <w:spacing w:after="0"/>
              <w:rPr>
                <w:sz w:val="14"/>
                <w:szCs w:val="14"/>
                <w:color w:val="auto"/>
              </w:rPr>
            </w:pPr>
          </w:p>
        </w:tc>
      </w:tr>
      <w:tr>
        <w:trPr>
          <w:trHeight w:val="133"/>
        </w:trPr>
        <w:tc>
          <w:tcPr>
            <w:tcW w:w="6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jc w:val="right"/>
              <w:ind w:right="184"/>
              <w:spacing w:after="0" w:line="133" w:lineRule="exact"/>
              <w:rPr>
                <w:sz w:val="20"/>
                <w:szCs w:val="20"/>
                <w:color w:val="auto"/>
              </w:rPr>
            </w:pPr>
            <w:r>
              <w:rPr>
                <w:rFonts w:ascii="Arial" w:cs="Arial" w:eastAsia="Arial" w:hAnsi="Arial"/>
                <w:sz w:val="13"/>
                <w:szCs w:val="13"/>
                <w:b w:val="1"/>
                <w:bCs w:val="1"/>
                <w:color w:val="auto"/>
              </w:rPr>
              <w:t>(Unaudited)</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77"/>
        </w:trPr>
        <w:tc>
          <w:tcPr>
            <w:tcW w:w="602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b w:val="1"/>
                <w:bCs w:val="1"/>
                <w:color w:val="auto"/>
              </w:rPr>
              <w:t>Assets</w:t>
            </w: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77"/>
        </w:trPr>
        <w:tc>
          <w:tcPr>
            <w:tcW w:w="6020" w:type="dxa"/>
            <w:vAlign w:val="bottom"/>
          </w:tcPr>
          <w:p>
            <w:pPr>
              <w:ind w:left="20"/>
              <w:spacing w:after="0" w:line="177" w:lineRule="exact"/>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7"/>
        </w:trPr>
        <w:tc>
          <w:tcPr>
            <w:tcW w:w="6020" w:type="dxa"/>
            <w:vAlign w:val="bottom"/>
            <w:shd w:val="clear" w:color="auto" w:fill="CCEEFF"/>
          </w:tcPr>
          <w:p>
            <w:pPr>
              <w:ind w:left="300"/>
              <w:spacing w:after="0" w:line="177" w:lineRule="exact"/>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line="177" w:lineRule="exact"/>
              <w:rPr>
                <w:sz w:val="20"/>
                <w:szCs w:val="20"/>
                <w:color w:val="auto"/>
              </w:rPr>
            </w:pPr>
            <w:r>
              <w:rPr>
                <w:rFonts w:ascii="Arial" w:cs="Arial" w:eastAsia="Arial" w:hAnsi="Arial"/>
                <w:sz w:val="16"/>
                <w:szCs w:val="16"/>
                <w:color w:val="auto"/>
              </w:rPr>
              <w:t>202,360,292</w:t>
            </w: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line="177" w:lineRule="exact"/>
              <w:rPr>
                <w:sz w:val="20"/>
                <w:szCs w:val="20"/>
                <w:color w:val="auto"/>
              </w:rPr>
            </w:pPr>
            <w:r>
              <w:rPr>
                <w:rFonts w:ascii="Arial" w:cs="Arial" w:eastAsia="Arial" w:hAnsi="Arial"/>
                <w:sz w:val="16"/>
                <w:szCs w:val="16"/>
                <w:color w:val="auto"/>
              </w:rPr>
              <w:t>219,966,167</w:t>
            </w:r>
          </w:p>
        </w:tc>
        <w:tc>
          <w:tcPr>
            <w:tcW w:w="20" w:type="dxa"/>
            <w:vAlign w:val="bottom"/>
            <w:shd w:val="clear" w:color="auto" w:fill="CCEEFF"/>
          </w:tcPr>
          <w:p>
            <w:pPr>
              <w:spacing w:after="0"/>
              <w:rPr>
                <w:sz w:val="15"/>
                <w:szCs w:val="15"/>
                <w:color w:val="auto"/>
              </w:rPr>
            </w:pPr>
          </w:p>
        </w:tc>
      </w:tr>
      <w:tr>
        <w:trPr>
          <w:trHeight w:val="177"/>
        </w:trPr>
        <w:tc>
          <w:tcPr>
            <w:tcW w:w="6020" w:type="dxa"/>
            <w:vAlign w:val="bottom"/>
            <w:tcBorders>
              <w:bottom w:val="single" w:sz="8" w:color="CCEEFF"/>
            </w:tcBorders>
          </w:tcPr>
          <w:p>
            <w:pPr>
              <w:ind w:left="300"/>
              <w:spacing w:after="0" w:line="177" w:lineRule="exact"/>
              <w:rPr>
                <w:sz w:val="20"/>
                <w:szCs w:val="20"/>
                <w:color w:val="auto"/>
              </w:rPr>
            </w:pPr>
            <w:r>
              <w:rPr>
                <w:rFonts w:ascii="Arial" w:cs="Arial" w:eastAsia="Arial" w:hAnsi="Arial"/>
                <w:sz w:val="16"/>
                <w:szCs w:val="16"/>
                <w:color w:val="auto"/>
              </w:rPr>
              <w:t>Prepaid and other current assets</w:t>
            </w: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line="177" w:lineRule="exact"/>
              <w:rPr>
                <w:sz w:val="20"/>
                <w:szCs w:val="20"/>
                <w:color w:val="auto"/>
              </w:rPr>
            </w:pPr>
            <w:r>
              <w:rPr>
                <w:rFonts w:ascii="Arial" w:cs="Arial" w:eastAsia="Arial" w:hAnsi="Arial"/>
                <w:sz w:val="16"/>
                <w:szCs w:val="16"/>
                <w:color w:val="auto"/>
              </w:rPr>
              <w:t>911,992</w:t>
            </w:r>
          </w:p>
        </w:tc>
        <w:tc>
          <w:tcPr>
            <w:tcW w:w="2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line="177" w:lineRule="exact"/>
              <w:rPr>
                <w:sz w:val="20"/>
                <w:szCs w:val="20"/>
                <w:color w:val="auto"/>
              </w:rPr>
            </w:pPr>
            <w:r>
              <w:rPr>
                <w:rFonts w:ascii="Arial" w:cs="Arial" w:eastAsia="Arial" w:hAnsi="Arial"/>
                <w:sz w:val="16"/>
                <w:szCs w:val="16"/>
                <w:color w:val="auto"/>
              </w:rPr>
              <w:t>413,095</w:t>
            </w:r>
          </w:p>
        </w:tc>
        <w:tc>
          <w:tcPr>
            <w:tcW w:w="20" w:type="dxa"/>
            <w:vAlign w:val="bottom"/>
            <w:tcBorders>
              <w:bottom w:val="single" w:sz="8" w:color="CCEEFF"/>
            </w:tcBorders>
          </w:tcPr>
          <w:p>
            <w:pPr>
              <w:spacing w:after="0"/>
              <w:rPr>
                <w:sz w:val="15"/>
                <w:szCs w:val="15"/>
                <w:color w:val="auto"/>
              </w:rPr>
            </w:pPr>
          </w:p>
        </w:tc>
      </w:tr>
      <w:tr>
        <w:trPr>
          <w:trHeight w:val="169"/>
        </w:trPr>
        <w:tc>
          <w:tcPr>
            <w:tcW w:w="6020" w:type="dxa"/>
            <w:vAlign w:val="bottom"/>
            <w:shd w:val="clear" w:color="auto" w:fill="CCEEFF"/>
          </w:tcPr>
          <w:p>
            <w:pPr>
              <w:ind w:left="20"/>
              <w:spacing w:after="0" w:line="168" w:lineRule="exact"/>
              <w:rPr>
                <w:sz w:val="20"/>
                <w:szCs w:val="20"/>
                <w:color w:val="auto"/>
              </w:rPr>
            </w:pPr>
            <w:r>
              <w:rPr>
                <w:rFonts w:ascii="Arial" w:cs="Arial" w:eastAsia="Arial" w:hAnsi="Arial"/>
                <w:sz w:val="16"/>
                <w:szCs w:val="16"/>
                <w:color w:val="auto"/>
              </w:rPr>
              <w:t>Total current assets</w:t>
            </w: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68" w:lineRule="exact"/>
              <w:rPr>
                <w:sz w:val="20"/>
                <w:szCs w:val="20"/>
                <w:color w:val="auto"/>
              </w:rPr>
            </w:pPr>
            <w:r>
              <w:rPr>
                <w:rFonts w:ascii="Arial" w:cs="Arial" w:eastAsia="Arial" w:hAnsi="Arial"/>
                <w:sz w:val="16"/>
                <w:szCs w:val="16"/>
                <w:color w:val="auto"/>
              </w:rPr>
              <w:t>203,272,284</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68" w:lineRule="exact"/>
              <w:rPr>
                <w:sz w:val="20"/>
                <w:szCs w:val="20"/>
                <w:color w:val="auto"/>
              </w:rPr>
            </w:pPr>
            <w:r>
              <w:rPr>
                <w:rFonts w:ascii="Arial" w:cs="Arial" w:eastAsia="Arial" w:hAnsi="Arial"/>
                <w:sz w:val="16"/>
                <w:szCs w:val="16"/>
                <w:color w:val="auto"/>
              </w:rPr>
              <w:t>220,379,262</w:t>
            </w:r>
          </w:p>
        </w:tc>
        <w:tc>
          <w:tcPr>
            <w:tcW w:w="20" w:type="dxa"/>
            <w:vAlign w:val="bottom"/>
            <w:shd w:val="clear" w:color="auto" w:fill="CCEEFF"/>
          </w:tcPr>
          <w:p>
            <w:pPr>
              <w:spacing w:after="0"/>
              <w:rPr>
                <w:sz w:val="14"/>
                <w:szCs w:val="14"/>
                <w:color w:val="auto"/>
              </w:rPr>
            </w:pPr>
          </w:p>
        </w:tc>
      </w:tr>
      <w:tr>
        <w:trPr>
          <w:trHeight w:val="177"/>
        </w:trPr>
        <w:tc>
          <w:tcPr>
            <w:tcW w:w="6020" w:type="dxa"/>
            <w:vAlign w:val="bottom"/>
          </w:tcPr>
          <w:p>
            <w:pPr>
              <w:ind w:left="20"/>
              <w:spacing w:after="0" w:line="177" w:lineRule="exact"/>
              <w:rPr>
                <w:sz w:val="20"/>
                <w:szCs w:val="20"/>
                <w:color w:val="auto"/>
              </w:rPr>
            </w:pPr>
            <w:r>
              <w:rPr>
                <w:rFonts w:ascii="Arial" w:cs="Arial" w:eastAsia="Arial" w:hAnsi="Arial"/>
                <w:sz w:val="16"/>
                <w:szCs w:val="16"/>
                <w:color w:val="auto"/>
              </w:rPr>
              <w:t>Equipment, net</w:t>
            </w:r>
          </w:p>
        </w:tc>
        <w:tc>
          <w:tcPr>
            <w:tcW w:w="160" w:type="dxa"/>
            <w:vAlign w:val="bottom"/>
          </w:tcPr>
          <w:p>
            <w:pPr>
              <w:spacing w:after="0"/>
              <w:rPr>
                <w:sz w:val="15"/>
                <w:szCs w:val="15"/>
                <w:color w:val="auto"/>
              </w:rPr>
            </w:pPr>
          </w:p>
        </w:tc>
        <w:tc>
          <w:tcPr>
            <w:tcW w:w="1160" w:type="dxa"/>
            <w:vAlign w:val="bottom"/>
          </w:tcPr>
          <w:p>
            <w:pPr>
              <w:jc w:val="right"/>
              <w:spacing w:after="0" w:line="177" w:lineRule="exact"/>
              <w:rPr>
                <w:sz w:val="20"/>
                <w:szCs w:val="20"/>
                <w:color w:val="auto"/>
              </w:rPr>
            </w:pPr>
            <w:r>
              <w:rPr>
                <w:rFonts w:ascii="Arial" w:cs="Arial" w:eastAsia="Arial" w:hAnsi="Arial"/>
                <w:sz w:val="16"/>
                <w:szCs w:val="16"/>
                <w:color w:val="auto"/>
              </w:rPr>
              <w:t>39,745</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spacing w:after="0" w:line="177" w:lineRule="exact"/>
              <w:rPr>
                <w:sz w:val="20"/>
                <w:szCs w:val="20"/>
                <w:color w:val="auto"/>
              </w:rPr>
            </w:pPr>
            <w:r>
              <w:rPr>
                <w:rFonts w:ascii="Arial" w:cs="Arial" w:eastAsia="Arial" w:hAnsi="Arial"/>
                <w:sz w:val="16"/>
                <w:szCs w:val="16"/>
                <w:color w:val="auto"/>
              </w:rPr>
              <w:t>30,623</w:t>
            </w:r>
          </w:p>
        </w:tc>
        <w:tc>
          <w:tcPr>
            <w:tcW w:w="20" w:type="dxa"/>
            <w:vAlign w:val="bottom"/>
          </w:tcPr>
          <w:p>
            <w:pPr>
              <w:spacing w:after="0"/>
              <w:rPr>
                <w:sz w:val="15"/>
                <w:szCs w:val="15"/>
                <w:color w:val="auto"/>
              </w:rPr>
            </w:pPr>
          </w:p>
        </w:tc>
      </w:tr>
      <w:tr>
        <w:trPr>
          <w:trHeight w:val="177"/>
        </w:trPr>
        <w:tc>
          <w:tcPr>
            <w:tcW w:w="602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Other assets</w:t>
            </w:r>
          </w:p>
        </w:tc>
        <w:tc>
          <w:tcPr>
            <w:tcW w:w="1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line="177" w:lineRule="exact"/>
              <w:rPr>
                <w:sz w:val="20"/>
                <w:szCs w:val="20"/>
                <w:color w:val="auto"/>
              </w:rPr>
            </w:pPr>
            <w:r>
              <w:rPr>
                <w:rFonts w:ascii="Arial" w:cs="Arial" w:eastAsia="Arial" w:hAnsi="Arial"/>
                <w:sz w:val="16"/>
                <w:szCs w:val="16"/>
                <w:color w:val="auto"/>
              </w:rPr>
              <w:t>317,375</w:t>
            </w:r>
          </w:p>
        </w:tc>
        <w:tc>
          <w:tcPr>
            <w:tcW w:w="24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line="177" w:lineRule="exact"/>
              <w:rPr>
                <w:sz w:val="20"/>
                <w:szCs w:val="20"/>
                <w:color w:val="auto"/>
              </w:rPr>
            </w:pPr>
            <w:r>
              <w:rPr>
                <w:rFonts w:ascii="Arial" w:cs="Arial" w:eastAsia="Arial" w:hAnsi="Arial"/>
                <w:sz w:val="16"/>
                <w:szCs w:val="16"/>
                <w:color w:val="auto"/>
              </w:rPr>
              <w:t>139,875</w:t>
            </w:r>
          </w:p>
        </w:tc>
        <w:tc>
          <w:tcPr>
            <w:tcW w:w="20" w:type="dxa"/>
            <w:vAlign w:val="bottom"/>
            <w:shd w:val="clear" w:color="auto" w:fill="CCEEFF"/>
          </w:tcPr>
          <w:p>
            <w:pPr>
              <w:spacing w:after="0"/>
              <w:rPr>
                <w:sz w:val="15"/>
                <w:szCs w:val="15"/>
                <w:color w:val="auto"/>
              </w:rPr>
            </w:pPr>
          </w:p>
        </w:tc>
      </w:tr>
      <w:tr>
        <w:trPr>
          <w:trHeight w:val="209"/>
        </w:trPr>
        <w:tc>
          <w:tcPr>
            <w:tcW w:w="6020" w:type="dxa"/>
            <w:vAlign w:val="bottom"/>
            <w:tcBorders>
              <w:bottom w:val="single" w:sz="8" w:color="CCEEFF"/>
            </w:tcBorders>
          </w:tcPr>
          <w:p>
            <w:pPr>
              <w:ind w:left="20"/>
              <w:spacing w:after="0" w:line="168" w:lineRule="exact"/>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tcPr>
          <w:p>
            <w:pPr>
              <w:jc w:val="right"/>
              <w:ind w:right="7"/>
              <w:spacing w:after="0" w:line="169" w:lineRule="exact"/>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203,629,404</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ind w:right="27"/>
              <w:spacing w:after="0" w:line="169" w:lineRule="exact"/>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220,549,760</w:t>
            </w:r>
          </w:p>
        </w:tc>
        <w:tc>
          <w:tcPr>
            <w:tcW w:w="20" w:type="dxa"/>
            <w:vAlign w:val="bottom"/>
            <w:tcBorders>
              <w:bottom w:val="single" w:sz="8" w:color="CCEEFF"/>
            </w:tcBorders>
          </w:tcPr>
          <w:p>
            <w:pPr>
              <w:spacing w:after="0"/>
              <w:rPr>
                <w:sz w:val="18"/>
                <w:szCs w:val="18"/>
                <w:color w:val="auto"/>
              </w:rPr>
            </w:pPr>
          </w:p>
        </w:tc>
      </w:tr>
      <w:tr>
        <w:trPr>
          <w:trHeight w:val="152"/>
        </w:trPr>
        <w:tc>
          <w:tcPr>
            <w:tcW w:w="6020" w:type="dxa"/>
            <w:vAlign w:val="bottom"/>
            <w:shd w:val="clear" w:color="auto" w:fill="CCEEFF"/>
          </w:tcPr>
          <w:p>
            <w:pPr>
              <w:ind w:left="20"/>
              <w:spacing w:after="0" w:line="152" w:lineRule="exact"/>
              <w:rPr>
                <w:sz w:val="20"/>
                <w:szCs w:val="20"/>
                <w:color w:val="auto"/>
              </w:rPr>
            </w:pPr>
            <w:r>
              <w:rPr>
                <w:rFonts w:ascii="Arial" w:cs="Arial" w:eastAsia="Arial" w:hAnsi="Arial"/>
                <w:sz w:val="16"/>
                <w:szCs w:val="16"/>
                <w:b w:val="1"/>
                <w:bCs w:val="1"/>
                <w:color w:val="auto"/>
              </w:rPr>
              <w:t>Liabilities and stockholders’ equity</w:t>
            </w:r>
          </w:p>
        </w:tc>
        <w:tc>
          <w:tcPr>
            <w:tcW w:w="1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77"/>
        </w:trPr>
        <w:tc>
          <w:tcPr>
            <w:tcW w:w="6020" w:type="dxa"/>
            <w:vAlign w:val="bottom"/>
          </w:tcPr>
          <w:p>
            <w:pPr>
              <w:ind w:left="20"/>
              <w:spacing w:after="0" w:line="177" w:lineRule="exact"/>
              <w:rPr>
                <w:sz w:val="20"/>
                <w:szCs w:val="20"/>
                <w:color w:val="auto"/>
              </w:rPr>
            </w:pPr>
            <w:r>
              <w:rPr>
                <w:rFonts w:ascii="Arial" w:cs="Arial" w:eastAsia="Arial" w:hAnsi="Arial"/>
                <w:sz w:val="16"/>
                <w:szCs w:val="16"/>
                <w:color w:val="auto"/>
              </w:rPr>
              <w:t>Current liabilities:</w:t>
            </w: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7"/>
        </w:trPr>
        <w:tc>
          <w:tcPr>
            <w:tcW w:w="6020" w:type="dxa"/>
            <w:vAlign w:val="bottom"/>
            <w:shd w:val="clear" w:color="auto" w:fill="CCEEFF"/>
          </w:tcPr>
          <w:p>
            <w:pPr>
              <w:ind w:left="300"/>
              <w:spacing w:after="0" w:line="177" w:lineRule="exact"/>
              <w:rPr>
                <w:sz w:val="20"/>
                <w:szCs w:val="20"/>
                <w:color w:val="auto"/>
              </w:rPr>
            </w:pPr>
            <w:r>
              <w:rPr>
                <w:rFonts w:ascii="Arial" w:cs="Arial" w:eastAsia="Arial" w:hAnsi="Arial"/>
                <w:sz w:val="16"/>
                <w:szCs w:val="16"/>
                <w:color w:val="auto"/>
              </w:rPr>
              <w:t>Accounts payable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line="177" w:lineRule="exact"/>
              <w:rPr>
                <w:sz w:val="20"/>
                <w:szCs w:val="20"/>
                <w:color w:val="auto"/>
              </w:rPr>
            </w:pPr>
            <w:r>
              <w:rPr>
                <w:rFonts w:ascii="Arial" w:cs="Arial" w:eastAsia="Arial" w:hAnsi="Arial"/>
                <w:sz w:val="16"/>
                <w:szCs w:val="16"/>
                <w:color w:val="auto"/>
              </w:rPr>
              <w:t>11,315,126</w:t>
            </w: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line="177" w:lineRule="exact"/>
              <w:rPr>
                <w:sz w:val="20"/>
                <w:szCs w:val="20"/>
                <w:color w:val="auto"/>
              </w:rPr>
            </w:pPr>
            <w:r>
              <w:rPr>
                <w:rFonts w:ascii="Arial" w:cs="Arial" w:eastAsia="Arial" w:hAnsi="Arial"/>
                <w:sz w:val="16"/>
                <w:szCs w:val="16"/>
                <w:color w:val="auto"/>
              </w:rPr>
              <w:t>10,943,325</w:t>
            </w:r>
          </w:p>
        </w:tc>
        <w:tc>
          <w:tcPr>
            <w:tcW w:w="20" w:type="dxa"/>
            <w:vAlign w:val="bottom"/>
            <w:shd w:val="clear" w:color="auto" w:fill="CCEEFF"/>
          </w:tcPr>
          <w:p>
            <w:pPr>
              <w:spacing w:after="0"/>
              <w:rPr>
                <w:sz w:val="15"/>
                <w:szCs w:val="15"/>
                <w:color w:val="auto"/>
              </w:rPr>
            </w:pPr>
          </w:p>
        </w:tc>
      </w:tr>
      <w:tr>
        <w:trPr>
          <w:trHeight w:val="177"/>
        </w:trPr>
        <w:tc>
          <w:tcPr>
            <w:tcW w:w="6020" w:type="dxa"/>
            <w:vAlign w:val="bottom"/>
          </w:tcPr>
          <w:p>
            <w:pPr>
              <w:ind w:left="300"/>
              <w:spacing w:after="0" w:line="177" w:lineRule="exact"/>
              <w:rPr>
                <w:sz w:val="20"/>
                <w:szCs w:val="20"/>
                <w:color w:val="auto"/>
              </w:rPr>
            </w:pPr>
            <w:r>
              <w:rPr>
                <w:rFonts w:ascii="Arial" w:cs="Arial" w:eastAsia="Arial" w:hAnsi="Arial"/>
                <w:sz w:val="16"/>
                <w:szCs w:val="16"/>
                <w:color w:val="auto"/>
              </w:rPr>
              <w:t>Accrued expenses and other current liabilities</w:t>
            </w:r>
          </w:p>
        </w:tc>
        <w:tc>
          <w:tcPr>
            <w:tcW w:w="160" w:type="dxa"/>
            <w:vAlign w:val="bottom"/>
          </w:tcPr>
          <w:p>
            <w:pPr>
              <w:spacing w:after="0"/>
              <w:rPr>
                <w:sz w:val="15"/>
                <w:szCs w:val="15"/>
                <w:color w:val="auto"/>
              </w:rPr>
            </w:pPr>
          </w:p>
        </w:tc>
        <w:tc>
          <w:tcPr>
            <w:tcW w:w="1160" w:type="dxa"/>
            <w:vAlign w:val="bottom"/>
          </w:tcPr>
          <w:p>
            <w:pPr>
              <w:jc w:val="right"/>
              <w:spacing w:after="0" w:line="177" w:lineRule="exact"/>
              <w:rPr>
                <w:sz w:val="20"/>
                <w:szCs w:val="20"/>
                <w:color w:val="auto"/>
              </w:rPr>
            </w:pPr>
            <w:r>
              <w:rPr>
                <w:rFonts w:ascii="Arial" w:cs="Arial" w:eastAsia="Arial" w:hAnsi="Arial"/>
                <w:sz w:val="16"/>
                <w:szCs w:val="16"/>
                <w:color w:val="auto"/>
              </w:rPr>
              <w:t>9,026,412</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spacing w:after="0" w:line="177" w:lineRule="exact"/>
              <w:rPr>
                <w:sz w:val="20"/>
                <w:szCs w:val="20"/>
                <w:color w:val="auto"/>
              </w:rPr>
            </w:pPr>
            <w:r>
              <w:rPr>
                <w:rFonts w:ascii="Arial" w:cs="Arial" w:eastAsia="Arial" w:hAnsi="Arial"/>
                <w:sz w:val="16"/>
                <w:szCs w:val="16"/>
                <w:color w:val="auto"/>
              </w:rPr>
              <w:t>10,949,128</w:t>
            </w:r>
          </w:p>
        </w:tc>
        <w:tc>
          <w:tcPr>
            <w:tcW w:w="20" w:type="dxa"/>
            <w:vAlign w:val="bottom"/>
          </w:tcPr>
          <w:p>
            <w:pPr>
              <w:spacing w:after="0"/>
              <w:rPr>
                <w:sz w:val="15"/>
                <w:szCs w:val="15"/>
                <w:color w:val="auto"/>
              </w:rPr>
            </w:pPr>
          </w:p>
        </w:tc>
      </w:tr>
      <w:tr>
        <w:trPr>
          <w:trHeight w:val="177"/>
        </w:trPr>
        <w:tc>
          <w:tcPr>
            <w:tcW w:w="6020" w:type="dxa"/>
            <w:vAlign w:val="bottom"/>
            <w:shd w:val="clear" w:color="auto" w:fill="CCEEFF"/>
          </w:tcPr>
          <w:p>
            <w:pPr>
              <w:ind w:left="300"/>
              <w:spacing w:after="0" w:line="177" w:lineRule="exact"/>
              <w:rPr>
                <w:sz w:val="20"/>
                <w:szCs w:val="20"/>
                <w:color w:val="auto"/>
              </w:rPr>
            </w:pPr>
            <w:r>
              <w:rPr>
                <w:rFonts w:ascii="Arial" w:cs="Arial" w:eastAsia="Arial" w:hAnsi="Arial"/>
                <w:sz w:val="16"/>
                <w:szCs w:val="16"/>
                <w:color w:val="auto"/>
              </w:rPr>
              <w:t>Loan payable, current portion</w:t>
            </w:r>
          </w:p>
        </w:tc>
        <w:tc>
          <w:tcPr>
            <w:tcW w:w="16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300"/>
              <w:spacing w:after="0" w:line="177" w:lineRule="exact"/>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line="177" w:lineRule="exact"/>
              <w:rPr>
                <w:sz w:val="20"/>
                <w:szCs w:val="20"/>
                <w:color w:val="auto"/>
              </w:rPr>
            </w:pPr>
            <w:r>
              <w:rPr>
                <w:rFonts w:ascii="Arial" w:cs="Arial" w:eastAsia="Arial" w:hAnsi="Arial"/>
                <w:sz w:val="16"/>
                <w:szCs w:val="16"/>
                <w:color w:val="auto"/>
              </w:rPr>
              <w:t>2,602,292</w:t>
            </w:r>
          </w:p>
        </w:tc>
        <w:tc>
          <w:tcPr>
            <w:tcW w:w="20" w:type="dxa"/>
            <w:vAlign w:val="bottom"/>
            <w:shd w:val="clear" w:color="auto" w:fill="CCEEFF"/>
          </w:tcPr>
          <w:p>
            <w:pPr>
              <w:spacing w:after="0"/>
              <w:rPr>
                <w:sz w:val="15"/>
                <w:szCs w:val="15"/>
                <w:color w:val="auto"/>
              </w:rPr>
            </w:pPr>
          </w:p>
        </w:tc>
      </w:tr>
      <w:tr>
        <w:trPr>
          <w:trHeight w:val="169"/>
        </w:trPr>
        <w:tc>
          <w:tcPr>
            <w:tcW w:w="6020" w:type="dxa"/>
            <w:vAlign w:val="bottom"/>
          </w:tcPr>
          <w:p>
            <w:pPr>
              <w:ind w:left="20"/>
              <w:spacing w:after="0" w:line="168" w:lineRule="exact"/>
              <w:rPr>
                <w:sz w:val="20"/>
                <w:szCs w:val="20"/>
                <w:color w:val="auto"/>
              </w:rPr>
            </w:pPr>
            <w:r>
              <w:rPr>
                <w:rFonts w:ascii="Arial" w:cs="Arial" w:eastAsia="Arial" w:hAnsi="Arial"/>
                <w:sz w:val="16"/>
                <w:szCs w:val="16"/>
                <w:color w:val="auto"/>
              </w:rPr>
              <w:t>Total current liabilities</w:t>
            </w:r>
          </w:p>
        </w:tc>
        <w:tc>
          <w:tcPr>
            <w:tcW w:w="1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6"/>
                <w:szCs w:val="16"/>
                <w:color w:val="auto"/>
              </w:rPr>
              <w:t>20,341,538</w:t>
            </w:r>
          </w:p>
        </w:tc>
        <w:tc>
          <w:tcPr>
            <w:tcW w:w="2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6"/>
                <w:szCs w:val="16"/>
                <w:color w:val="auto"/>
              </w:rPr>
              <w:t>24,494,745</w:t>
            </w:r>
          </w:p>
        </w:tc>
        <w:tc>
          <w:tcPr>
            <w:tcW w:w="20" w:type="dxa"/>
            <w:vAlign w:val="bottom"/>
          </w:tcPr>
          <w:p>
            <w:pPr>
              <w:spacing w:after="0"/>
              <w:rPr>
                <w:sz w:val="14"/>
                <w:szCs w:val="14"/>
                <w:color w:val="auto"/>
              </w:rPr>
            </w:pPr>
          </w:p>
        </w:tc>
      </w:tr>
      <w:tr>
        <w:trPr>
          <w:trHeight w:val="177"/>
        </w:trPr>
        <w:tc>
          <w:tcPr>
            <w:tcW w:w="602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Loan payable, long-term</w:t>
            </w:r>
          </w:p>
        </w:tc>
        <w:tc>
          <w:tcPr>
            <w:tcW w:w="1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line="177" w:lineRule="exact"/>
              <w:rPr>
                <w:sz w:val="20"/>
                <w:szCs w:val="20"/>
                <w:color w:val="auto"/>
              </w:rPr>
            </w:pPr>
            <w:r>
              <w:rPr>
                <w:rFonts w:ascii="Arial" w:cs="Arial" w:eastAsia="Arial" w:hAnsi="Arial"/>
                <w:sz w:val="16"/>
                <w:szCs w:val="16"/>
                <w:color w:val="auto"/>
              </w:rPr>
              <w:t>48,026,108</w:t>
            </w:r>
          </w:p>
        </w:tc>
        <w:tc>
          <w:tcPr>
            <w:tcW w:w="24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line="177" w:lineRule="exact"/>
              <w:rPr>
                <w:sz w:val="20"/>
                <w:szCs w:val="20"/>
                <w:color w:val="auto"/>
              </w:rPr>
            </w:pPr>
            <w:r>
              <w:rPr>
                <w:rFonts w:ascii="Arial" w:cs="Arial" w:eastAsia="Arial" w:hAnsi="Arial"/>
                <w:sz w:val="16"/>
                <w:szCs w:val="16"/>
                <w:color w:val="auto"/>
              </w:rPr>
              <w:t>17,332,626</w:t>
            </w:r>
          </w:p>
        </w:tc>
        <w:tc>
          <w:tcPr>
            <w:tcW w:w="20" w:type="dxa"/>
            <w:vAlign w:val="bottom"/>
            <w:shd w:val="clear" w:color="auto" w:fill="CCEEFF"/>
          </w:tcPr>
          <w:p>
            <w:pPr>
              <w:spacing w:after="0"/>
              <w:rPr>
                <w:sz w:val="15"/>
                <w:szCs w:val="15"/>
                <w:color w:val="auto"/>
              </w:rPr>
            </w:pPr>
          </w:p>
        </w:tc>
      </w:tr>
      <w:tr>
        <w:trPr>
          <w:trHeight w:val="169"/>
        </w:trPr>
        <w:tc>
          <w:tcPr>
            <w:tcW w:w="6020" w:type="dxa"/>
            <w:vAlign w:val="bottom"/>
            <w:tcBorders>
              <w:bottom w:val="single" w:sz="8" w:color="CCEEFF"/>
            </w:tcBorders>
          </w:tcPr>
          <w:p>
            <w:pPr>
              <w:ind w:left="20"/>
              <w:spacing w:after="0" w:line="168" w:lineRule="exact"/>
              <w:rPr>
                <w:sz w:val="20"/>
                <w:szCs w:val="20"/>
                <w:color w:val="auto"/>
              </w:rPr>
            </w:pPr>
            <w:r>
              <w:rPr>
                <w:rFonts w:ascii="Arial" w:cs="Arial" w:eastAsia="Arial" w:hAnsi="Arial"/>
                <w:sz w:val="16"/>
                <w:szCs w:val="16"/>
                <w:color w:val="auto"/>
              </w:rPr>
              <w:t>Total liabilities</w:t>
            </w: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68,367,646</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41,827,371</w:t>
            </w:r>
          </w:p>
        </w:tc>
        <w:tc>
          <w:tcPr>
            <w:tcW w:w="20" w:type="dxa"/>
            <w:vAlign w:val="bottom"/>
            <w:tcBorders>
              <w:bottom w:val="single" w:sz="8" w:color="CCEEFF"/>
            </w:tcBorders>
          </w:tcPr>
          <w:p>
            <w:pPr>
              <w:spacing w:after="0"/>
              <w:rPr>
                <w:sz w:val="14"/>
                <w:szCs w:val="14"/>
                <w:color w:val="auto"/>
              </w:rPr>
            </w:pPr>
          </w:p>
        </w:tc>
      </w:tr>
      <w:tr>
        <w:trPr>
          <w:trHeight w:val="169"/>
        </w:trPr>
        <w:tc>
          <w:tcPr>
            <w:tcW w:w="6020" w:type="dxa"/>
            <w:vAlign w:val="bottom"/>
            <w:shd w:val="clear" w:color="auto" w:fill="CCEEFF"/>
          </w:tcPr>
          <w:p>
            <w:pPr>
              <w:ind w:left="20"/>
              <w:spacing w:after="0" w:line="168" w:lineRule="exact"/>
              <w:rPr>
                <w:sz w:val="20"/>
                <w:szCs w:val="20"/>
                <w:color w:val="auto"/>
              </w:rPr>
            </w:pPr>
            <w:r>
              <w:rPr>
                <w:rFonts w:ascii="Arial" w:cs="Arial" w:eastAsia="Arial" w:hAnsi="Arial"/>
                <w:sz w:val="16"/>
                <w:szCs w:val="16"/>
                <w:color w:val="auto"/>
              </w:rPr>
              <w:t>Stockholders’ equity:</w:t>
            </w: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64"/>
        </w:trPr>
        <w:tc>
          <w:tcPr>
            <w:tcW w:w="6020" w:type="dxa"/>
            <w:vAlign w:val="bottom"/>
          </w:tcPr>
          <w:p>
            <w:pPr>
              <w:ind w:left="20"/>
              <w:spacing w:after="0" w:line="165" w:lineRule="exact"/>
              <w:rPr>
                <w:sz w:val="20"/>
                <w:szCs w:val="20"/>
                <w:color w:val="auto"/>
              </w:rPr>
            </w:pPr>
            <w:r>
              <w:rPr>
                <w:rFonts w:ascii="Arial" w:cs="Arial" w:eastAsia="Arial" w:hAnsi="Arial"/>
                <w:sz w:val="16"/>
                <w:szCs w:val="16"/>
                <w:color w:val="auto"/>
                <w:w w:val="94"/>
              </w:rPr>
              <w:t>Preferred stock, $0.0001 par value per share (10,000,000 shares authorized, none issued</w:t>
            </w: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9"/>
        </w:trPr>
        <w:tc>
          <w:tcPr>
            <w:tcW w:w="6020" w:type="dxa"/>
            <w:vAlign w:val="bottom"/>
          </w:tcPr>
          <w:p>
            <w:pPr>
              <w:ind w:left="20"/>
              <w:spacing w:after="0"/>
              <w:rPr>
                <w:sz w:val="20"/>
                <w:szCs w:val="20"/>
                <w:color w:val="auto"/>
              </w:rPr>
            </w:pPr>
            <w:r>
              <w:rPr>
                <w:rFonts w:ascii="Arial" w:cs="Arial" w:eastAsia="Arial" w:hAnsi="Arial"/>
                <w:sz w:val="16"/>
                <w:szCs w:val="16"/>
                <w:color w:val="auto"/>
              </w:rPr>
              <w:t>and outstanding at September 30, 2020 and December 31, 2019, respectively)</w:t>
            </w:r>
          </w:p>
        </w:tc>
        <w:tc>
          <w:tcPr>
            <w:tcW w:w="160" w:type="dxa"/>
            <w:vAlign w:val="bottom"/>
          </w:tcPr>
          <w:p>
            <w:pPr>
              <w:spacing w:after="0"/>
              <w:rPr>
                <w:sz w:val="16"/>
                <w:szCs w:val="16"/>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164"/>
        </w:trPr>
        <w:tc>
          <w:tcPr>
            <w:tcW w:w="602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w w:val="94"/>
              </w:rPr>
              <w:t>Common stock, $0.0001 par value per share (150,000,000 shares authorized, 37,344,201</w:t>
            </w: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7"/>
        </w:trPr>
        <w:tc>
          <w:tcPr>
            <w:tcW w:w="602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w w:val="94"/>
              </w:rPr>
              <w:t>and 36,933,217 shares issued and outstanding at September 30, 2020 and December 31,</w:t>
            </w: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89"/>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2019, respectively)</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3,733</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3,693</w:t>
            </w:r>
          </w:p>
        </w:tc>
        <w:tc>
          <w:tcPr>
            <w:tcW w:w="20" w:type="dxa"/>
            <w:vAlign w:val="bottom"/>
            <w:shd w:val="clear" w:color="auto" w:fill="CCEEFF"/>
          </w:tcPr>
          <w:p>
            <w:pPr>
              <w:spacing w:after="0"/>
              <w:rPr>
                <w:sz w:val="16"/>
                <w:szCs w:val="16"/>
                <w:color w:val="auto"/>
              </w:rPr>
            </w:pPr>
          </w:p>
        </w:tc>
      </w:tr>
      <w:tr>
        <w:trPr>
          <w:trHeight w:val="177"/>
        </w:trPr>
        <w:tc>
          <w:tcPr>
            <w:tcW w:w="6020" w:type="dxa"/>
            <w:vAlign w:val="bottom"/>
          </w:tcPr>
          <w:p>
            <w:pPr>
              <w:ind w:left="20"/>
              <w:spacing w:after="0" w:line="177" w:lineRule="exact"/>
              <w:rPr>
                <w:sz w:val="20"/>
                <w:szCs w:val="20"/>
                <w:color w:val="auto"/>
              </w:rPr>
            </w:pPr>
            <w:r>
              <w:rPr>
                <w:rFonts w:ascii="Arial" w:cs="Arial" w:eastAsia="Arial" w:hAnsi="Arial"/>
                <w:sz w:val="16"/>
                <w:szCs w:val="16"/>
                <w:color w:val="auto"/>
              </w:rPr>
              <w:t>Additional paid-in capital</w:t>
            </w:r>
          </w:p>
        </w:tc>
        <w:tc>
          <w:tcPr>
            <w:tcW w:w="160" w:type="dxa"/>
            <w:vAlign w:val="bottom"/>
          </w:tcPr>
          <w:p>
            <w:pPr>
              <w:spacing w:after="0"/>
              <w:rPr>
                <w:sz w:val="15"/>
                <w:szCs w:val="15"/>
                <w:color w:val="auto"/>
              </w:rPr>
            </w:pPr>
          </w:p>
        </w:tc>
        <w:tc>
          <w:tcPr>
            <w:tcW w:w="1160" w:type="dxa"/>
            <w:vAlign w:val="bottom"/>
          </w:tcPr>
          <w:p>
            <w:pPr>
              <w:jc w:val="right"/>
              <w:spacing w:after="0" w:line="177" w:lineRule="exact"/>
              <w:rPr>
                <w:sz w:val="20"/>
                <w:szCs w:val="20"/>
                <w:color w:val="auto"/>
              </w:rPr>
            </w:pPr>
            <w:r>
              <w:rPr>
                <w:rFonts w:ascii="Arial" w:cs="Arial" w:eastAsia="Arial" w:hAnsi="Arial"/>
                <w:sz w:val="16"/>
                <w:szCs w:val="16"/>
                <w:color w:val="auto"/>
              </w:rPr>
              <w:t>384,889,471</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spacing w:after="0" w:line="177" w:lineRule="exact"/>
              <w:rPr>
                <w:sz w:val="20"/>
                <w:szCs w:val="20"/>
                <w:color w:val="auto"/>
              </w:rPr>
            </w:pPr>
            <w:r>
              <w:rPr>
                <w:rFonts w:ascii="Arial" w:cs="Arial" w:eastAsia="Arial" w:hAnsi="Arial"/>
                <w:sz w:val="16"/>
                <w:szCs w:val="16"/>
                <w:color w:val="auto"/>
              </w:rPr>
              <w:t>354,614,189</w:t>
            </w:r>
          </w:p>
        </w:tc>
        <w:tc>
          <w:tcPr>
            <w:tcW w:w="20" w:type="dxa"/>
            <w:vAlign w:val="bottom"/>
          </w:tcPr>
          <w:p>
            <w:pPr>
              <w:spacing w:after="0"/>
              <w:rPr>
                <w:sz w:val="15"/>
                <w:szCs w:val="15"/>
                <w:color w:val="auto"/>
              </w:rPr>
            </w:pPr>
          </w:p>
        </w:tc>
      </w:tr>
      <w:tr>
        <w:trPr>
          <w:trHeight w:val="177"/>
        </w:trPr>
        <w:tc>
          <w:tcPr>
            <w:tcW w:w="602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Accumulated deficit</w:t>
            </w:r>
          </w:p>
        </w:tc>
        <w:tc>
          <w:tcPr>
            <w:tcW w:w="16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240"/>
              <w:spacing w:after="0" w:line="177" w:lineRule="exact"/>
              <w:rPr>
                <w:sz w:val="20"/>
                <w:szCs w:val="20"/>
                <w:color w:val="auto"/>
              </w:rPr>
            </w:pPr>
            <w:r>
              <w:rPr>
                <w:rFonts w:ascii="Arial" w:cs="Arial" w:eastAsia="Arial" w:hAnsi="Arial"/>
                <w:sz w:val="16"/>
                <w:szCs w:val="16"/>
                <w:color w:val="auto"/>
              </w:rPr>
              <w:t>(249,631,446)</w:t>
            </w:r>
          </w:p>
        </w:tc>
        <w:tc>
          <w:tcPr>
            <w:tcW w:w="1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0"/>
              <w:spacing w:after="0" w:line="177" w:lineRule="exact"/>
              <w:rPr>
                <w:sz w:val="20"/>
                <w:szCs w:val="20"/>
                <w:color w:val="auto"/>
              </w:rPr>
            </w:pPr>
            <w:r>
              <w:rPr>
                <w:rFonts w:ascii="Arial" w:cs="Arial" w:eastAsia="Arial" w:hAnsi="Arial"/>
                <w:sz w:val="16"/>
                <w:szCs w:val="16"/>
                <w:color w:val="auto"/>
              </w:rPr>
              <w:t>(175,895,493)</w:t>
            </w:r>
          </w:p>
        </w:tc>
      </w:tr>
      <w:tr>
        <w:trPr>
          <w:trHeight w:val="169"/>
        </w:trPr>
        <w:tc>
          <w:tcPr>
            <w:tcW w:w="6020" w:type="dxa"/>
            <w:vAlign w:val="bottom"/>
            <w:tcBorders>
              <w:bottom w:val="single" w:sz="8" w:color="CCEEFF"/>
            </w:tcBorders>
          </w:tcPr>
          <w:p>
            <w:pPr>
              <w:ind w:left="20"/>
              <w:spacing w:after="0" w:line="168" w:lineRule="exact"/>
              <w:rPr>
                <w:sz w:val="20"/>
                <w:szCs w:val="20"/>
                <w:color w:val="auto"/>
              </w:rPr>
            </w:pPr>
            <w:r>
              <w:rPr>
                <w:rFonts w:ascii="Arial" w:cs="Arial" w:eastAsia="Arial" w:hAnsi="Arial"/>
                <w:sz w:val="16"/>
                <w:szCs w:val="16"/>
                <w:color w:val="auto"/>
              </w:rPr>
              <w:t>Total stockholders’ equity</w:t>
            </w:r>
          </w:p>
        </w:tc>
        <w:tc>
          <w:tcPr>
            <w:tcW w:w="16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135,261,758</w:t>
            </w:r>
          </w:p>
        </w:tc>
        <w:tc>
          <w:tcPr>
            <w:tcW w:w="24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178,722,389</w:t>
            </w:r>
          </w:p>
        </w:tc>
        <w:tc>
          <w:tcPr>
            <w:tcW w:w="20" w:type="dxa"/>
            <w:vAlign w:val="bottom"/>
            <w:tcBorders>
              <w:bottom w:val="single" w:sz="8" w:color="CCEEFF"/>
            </w:tcBorders>
          </w:tcPr>
          <w:p>
            <w:pPr>
              <w:spacing w:after="0"/>
              <w:rPr>
                <w:sz w:val="14"/>
                <w:szCs w:val="14"/>
                <w:color w:val="auto"/>
              </w:rPr>
            </w:pPr>
          </w:p>
        </w:tc>
      </w:tr>
      <w:tr>
        <w:trPr>
          <w:trHeight w:val="169"/>
        </w:trPr>
        <w:tc>
          <w:tcPr>
            <w:tcW w:w="6020" w:type="dxa"/>
            <w:vAlign w:val="bottom"/>
            <w:tcBorders>
              <w:bottom w:val="single" w:sz="8" w:color="CCEEFF"/>
            </w:tcBorders>
            <w:shd w:val="clear" w:color="auto" w:fill="CCEEFF"/>
          </w:tcPr>
          <w:p>
            <w:pPr>
              <w:ind w:left="20"/>
              <w:spacing w:after="0" w:line="168" w:lineRule="exact"/>
              <w:rPr>
                <w:sz w:val="20"/>
                <w:szCs w:val="20"/>
                <w:color w:val="auto"/>
              </w:rPr>
            </w:pPr>
            <w:r>
              <w:rPr>
                <w:rFonts w:ascii="Arial" w:cs="Arial" w:eastAsia="Arial" w:hAnsi="Arial"/>
                <w:sz w:val="16"/>
                <w:szCs w:val="16"/>
                <w:color w:val="auto"/>
              </w:rPr>
              <w:t>Total liabilities and stockholders’ equity</w:t>
            </w:r>
          </w:p>
        </w:tc>
        <w:tc>
          <w:tcPr>
            <w:tcW w:w="160" w:type="dxa"/>
            <w:vAlign w:val="bottom"/>
            <w:tcBorders>
              <w:bottom w:val="single" w:sz="8" w:color="auto"/>
            </w:tcBorders>
            <w:shd w:val="clear" w:color="auto" w:fill="CCEEFF"/>
          </w:tcPr>
          <w:p>
            <w:pPr>
              <w:jc w:val="right"/>
              <w:ind w:right="7"/>
              <w:spacing w:after="0" w:line="169" w:lineRule="exact"/>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line="168" w:lineRule="exact"/>
              <w:rPr>
                <w:sz w:val="20"/>
                <w:szCs w:val="20"/>
                <w:color w:val="auto"/>
              </w:rPr>
            </w:pPr>
            <w:r>
              <w:rPr>
                <w:rFonts w:ascii="Arial" w:cs="Arial" w:eastAsia="Arial" w:hAnsi="Arial"/>
                <w:sz w:val="16"/>
                <w:szCs w:val="16"/>
                <w:color w:val="auto"/>
              </w:rPr>
              <w:t>203,629,404</w:t>
            </w:r>
          </w:p>
        </w:tc>
        <w:tc>
          <w:tcPr>
            <w:tcW w:w="2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27"/>
              <w:spacing w:after="0" w:line="169" w:lineRule="exact"/>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line="168" w:lineRule="exact"/>
              <w:rPr>
                <w:sz w:val="20"/>
                <w:szCs w:val="20"/>
                <w:color w:val="auto"/>
              </w:rPr>
            </w:pPr>
            <w:r>
              <w:rPr>
                <w:rFonts w:ascii="Arial" w:cs="Arial" w:eastAsia="Arial" w:hAnsi="Arial"/>
                <w:sz w:val="16"/>
                <w:szCs w:val="16"/>
                <w:color w:val="auto"/>
              </w:rPr>
              <w:t>220,549,760</w:t>
            </w:r>
          </w:p>
        </w:tc>
        <w:tc>
          <w:tcPr>
            <w:tcW w:w="20" w:type="dxa"/>
            <w:vAlign w:val="bottom"/>
            <w:tcBorders>
              <w:bottom w:val="single" w:sz="8" w:color="CCEEFF"/>
            </w:tcBorders>
            <w:shd w:val="clear" w:color="auto" w:fill="CCEEFF"/>
          </w:tcPr>
          <w:p>
            <w:pPr>
              <w:spacing w:after="0"/>
              <w:rPr>
                <w:sz w:val="14"/>
                <w:szCs w:val="14"/>
                <w:color w:val="auto"/>
              </w:rPr>
            </w:pPr>
          </w:p>
        </w:tc>
      </w:tr>
      <w:tr>
        <w:trPr>
          <w:trHeight w:val="20"/>
        </w:trPr>
        <w:tc>
          <w:tcPr>
            <w:tcW w:w="6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302895</wp:posOffset>
            </wp:positionV>
            <wp:extent cx="5682615" cy="222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82615" cy="22225"/>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4" w:name="page5"/>
    <w:bookmarkEnd w:id="4"/>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Axsome Therapeutics, Inc.</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Operations</w:t>
      </w: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199"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4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0" w:type="dxa"/>
            <w:vAlign w:val="bottom"/>
            <w:gridSpan w:val="5"/>
          </w:tcPr>
          <w:p>
            <w:pPr>
              <w:jc w:val="right"/>
              <w:ind w:right="680"/>
              <w:spacing w:after="0"/>
              <w:rPr>
                <w:sz w:val="20"/>
                <w:szCs w:val="20"/>
                <w:color w:val="auto"/>
              </w:rPr>
            </w:pPr>
            <w:r>
              <w:rPr>
                <w:rFonts w:ascii="Arial" w:cs="Arial" w:eastAsia="Arial" w:hAnsi="Arial"/>
                <w:sz w:val="13"/>
                <w:szCs w:val="13"/>
                <w:b w:val="1"/>
                <w:bCs w:val="1"/>
                <w:color w:val="auto"/>
              </w:rPr>
              <w:t>Three months ended</w:t>
            </w:r>
          </w:p>
        </w:tc>
        <w:tc>
          <w:tcPr>
            <w:tcW w:w="220" w:type="dxa"/>
            <w:vAlign w:val="bottom"/>
          </w:tcPr>
          <w:p>
            <w:pPr>
              <w:spacing w:after="0"/>
              <w:rPr>
                <w:sz w:val="13"/>
                <w:szCs w:val="13"/>
                <w:color w:val="auto"/>
              </w:rPr>
            </w:pPr>
          </w:p>
        </w:tc>
        <w:tc>
          <w:tcPr>
            <w:tcW w:w="2160" w:type="dxa"/>
            <w:vAlign w:val="bottom"/>
            <w:gridSpan w:val="5"/>
          </w:tcPr>
          <w:p>
            <w:pPr>
              <w:jc w:val="right"/>
              <w:ind w:right="680"/>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61"/>
        </w:trPr>
        <w:tc>
          <w:tcPr>
            <w:tcW w:w="4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September 30,</w:t>
            </w:r>
          </w:p>
        </w:tc>
        <w:tc>
          <w:tcPr>
            <w:tcW w:w="8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1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385"/>
              <w:spacing w:after="0" w:line="133" w:lineRule="exact"/>
              <w:rPr>
                <w:sz w:val="20"/>
                <w:szCs w:val="20"/>
                <w:color w:val="auto"/>
              </w:rPr>
            </w:pPr>
            <w:r>
              <w:rPr>
                <w:rFonts w:ascii="Arial" w:cs="Arial" w:eastAsia="Arial" w:hAnsi="Arial"/>
                <w:sz w:val="13"/>
                <w:szCs w:val="13"/>
                <w:b w:val="1"/>
                <w:bCs w:val="1"/>
                <w:color w:val="auto"/>
              </w:rPr>
              <w:t>2020</w:t>
            </w:r>
          </w:p>
        </w:tc>
        <w:tc>
          <w:tcPr>
            <w:tcW w:w="4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83"/>
              <w:spacing w:after="0" w:line="133" w:lineRule="exact"/>
              <w:rPr>
                <w:sz w:val="20"/>
                <w:szCs w:val="20"/>
                <w:color w:val="auto"/>
              </w:rPr>
            </w:pPr>
            <w:r>
              <w:rPr>
                <w:rFonts w:ascii="Arial" w:cs="Arial" w:eastAsia="Arial" w:hAnsi="Arial"/>
                <w:sz w:val="13"/>
                <w:szCs w:val="13"/>
                <w:b w:val="1"/>
                <w:bCs w:val="1"/>
                <w:color w:val="auto"/>
              </w:rPr>
              <w:t>2019</w:t>
            </w:r>
          </w:p>
        </w:tc>
        <w:tc>
          <w:tcPr>
            <w:tcW w:w="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385"/>
              <w:spacing w:after="0" w:line="133" w:lineRule="exact"/>
              <w:rPr>
                <w:sz w:val="20"/>
                <w:szCs w:val="20"/>
                <w:color w:val="auto"/>
              </w:rPr>
            </w:pPr>
            <w:r>
              <w:rPr>
                <w:rFonts w:ascii="Arial" w:cs="Arial" w:eastAsia="Arial" w:hAnsi="Arial"/>
                <w:sz w:val="13"/>
                <w:szCs w:val="13"/>
                <w:b w:val="1"/>
                <w:bCs w:val="1"/>
                <w:color w:val="auto"/>
              </w:rPr>
              <w:t>2020</w:t>
            </w:r>
          </w:p>
        </w:tc>
        <w:tc>
          <w:tcPr>
            <w:tcW w:w="6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363"/>
              <w:spacing w:after="0" w:line="133" w:lineRule="exact"/>
              <w:rPr>
                <w:sz w:val="20"/>
                <w:szCs w:val="20"/>
                <w:color w:val="auto"/>
              </w:rPr>
            </w:pPr>
            <w:r>
              <w:rPr>
                <w:rFonts w:ascii="Arial" w:cs="Arial" w:eastAsia="Arial" w:hAnsi="Arial"/>
                <w:sz w:val="13"/>
                <w:szCs w:val="13"/>
                <w:b w:val="1"/>
                <w:bCs w:val="1"/>
                <w:color w:val="auto"/>
              </w:rPr>
              <w:t>2019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416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Operating expenses:</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160" w:type="dxa"/>
            <w:vAlign w:val="bottom"/>
          </w:tcPr>
          <w:p>
            <w:pPr>
              <w:ind w:left="200"/>
              <w:spacing w:after="0" w:line="177" w:lineRule="exact"/>
              <w:rPr>
                <w:sz w:val="20"/>
                <w:szCs w:val="20"/>
                <w:color w:val="auto"/>
              </w:rPr>
            </w:pPr>
            <w:r>
              <w:rPr>
                <w:rFonts w:ascii="Arial" w:cs="Arial" w:eastAsia="Arial" w:hAnsi="Arial"/>
                <w:sz w:val="16"/>
                <w:szCs w:val="16"/>
                <w:color w:val="auto"/>
              </w:rPr>
              <w:t>Research and development</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line="177" w:lineRule="exact"/>
              <w:rPr>
                <w:sz w:val="20"/>
                <w:szCs w:val="20"/>
                <w:color w:val="auto"/>
              </w:rPr>
            </w:pPr>
            <w:r>
              <w:rPr>
                <w:rFonts w:ascii="Arial" w:cs="Arial" w:eastAsia="Arial" w:hAnsi="Arial"/>
                <w:sz w:val="16"/>
                <w:szCs w:val="16"/>
                <w:color w:val="auto"/>
              </w:rPr>
              <w:t>14,795,493</w:t>
            </w:r>
          </w:p>
        </w:tc>
        <w:tc>
          <w:tcPr>
            <w:tcW w:w="40" w:type="dxa"/>
            <w:vAlign w:val="bottom"/>
          </w:tcPr>
          <w:p>
            <w:pPr>
              <w:spacing w:after="0"/>
              <w:rPr>
                <w:sz w:val="15"/>
                <w:szCs w:val="15"/>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line="177" w:lineRule="exact"/>
              <w:rPr>
                <w:sz w:val="20"/>
                <w:szCs w:val="20"/>
                <w:color w:val="auto"/>
              </w:rPr>
            </w:pPr>
            <w:r>
              <w:rPr>
                <w:rFonts w:ascii="Arial" w:cs="Arial" w:eastAsia="Arial" w:hAnsi="Arial"/>
                <w:sz w:val="16"/>
                <w:szCs w:val="16"/>
                <w:color w:val="auto"/>
                <w:w w:val="92"/>
              </w:rPr>
              <w:t>15,835,573</w:t>
            </w:r>
          </w:p>
        </w:tc>
        <w:tc>
          <w:tcPr>
            <w:tcW w:w="60" w:type="dxa"/>
            <w:vAlign w:val="bottom"/>
          </w:tcPr>
          <w:p>
            <w:pPr>
              <w:spacing w:after="0"/>
              <w:rPr>
                <w:sz w:val="15"/>
                <w:szCs w:val="15"/>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line="177" w:lineRule="exact"/>
              <w:rPr>
                <w:sz w:val="20"/>
                <w:szCs w:val="20"/>
                <w:color w:val="auto"/>
              </w:rPr>
            </w:pPr>
            <w:r>
              <w:rPr>
                <w:rFonts w:ascii="Arial" w:cs="Arial" w:eastAsia="Arial" w:hAnsi="Arial"/>
                <w:sz w:val="16"/>
                <w:szCs w:val="16"/>
                <w:color w:val="auto"/>
              </w:rPr>
              <w:t>52,859,850</w:t>
            </w:r>
          </w:p>
        </w:tc>
        <w:tc>
          <w:tcPr>
            <w:tcW w:w="60" w:type="dxa"/>
            <w:vAlign w:val="bottom"/>
          </w:tcPr>
          <w:p>
            <w:pPr>
              <w:spacing w:after="0"/>
              <w:rPr>
                <w:sz w:val="15"/>
                <w:szCs w:val="15"/>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line="177" w:lineRule="exact"/>
              <w:rPr>
                <w:sz w:val="20"/>
                <w:szCs w:val="20"/>
                <w:color w:val="auto"/>
              </w:rPr>
            </w:pPr>
            <w:r>
              <w:rPr>
                <w:rFonts w:ascii="Arial" w:cs="Arial" w:eastAsia="Arial" w:hAnsi="Arial"/>
                <w:sz w:val="16"/>
                <w:szCs w:val="16"/>
                <w:color w:val="auto"/>
                <w:w w:val="92"/>
              </w:rPr>
              <w:t>34,441,796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160" w:type="dxa"/>
            <w:vAlign w:val="bottom"/>
            <w:shd w:val="clear" w:color="auto" w:fill="CCEEFF"/>
          </w:tcPr>
          <w:p>
            <w:pPr>
              <w:ind w:left="200"/>
              <w:spacing w:after="0" w:line="177" w:lineRule="exact"/>
              <w:rPr>
                <w:sz w:val="20"/>
                <w:szCs w:val="20"/>
                <w:color w:val="auto"/>
              </w:rPr>
            </w:pPr>
            <w:r>
              <w:rPr>
                <w:rFonts w:ascii="Arial" w:cs="Arial" w:eastAsia="Arial" w:hAnsi="Arial"/>
                <w:sz w:val="16"/>
                <w:szCs w:val="16"/>
                <w:color w:val="auto"/>
              </w:rPr>
              <w:t>General and administrative</w:t>
            </w:r>
          </w:p>
        </w:tc>
        <w:tc>
          <w:tcPr>
            <w:tcW w:w="2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77" w:lineRule="exact"/>
              <w:rPr>
                <w:sz w:val="20"/>
                <w:szCs w:val="20"/>
                <w:color w:val="auto"/>
              </w:rPr>
            </w:pPr>
            <w:r>
              <w:rPr>
                <w:rFonts w:ascii="Arial" w:cs="Arial" w:eastAsia="Arial" w:hAnsi="Arial"/>
                <w:sz w:val="16"/>
                <w:szCs w:val="16"/>
                <w:color w:val="auto"/>
              </w:rPr>
              <w:t>6,331,308</w:t>
            </w:r>
          </w:p>
        </w:tc>
        <w:tc>
          <w:tcPr>
            <w:tcW w:w="4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line="177" w:lineRule="exact"/>
              <w:rPr>
                <w:sz w:val="20"/>
                <w:szCs w:val="20"/>
                <w:color w:val="auto"/>
              </w:rPr>
            </w:pPr>
            <w:r>
              <w:rPr>
                <w:rFonts w:ascii="Arial" w:cs="Arial" w:eastAsia="Arial" w:hAnsi="Arial"/>
                <w:sz w:val="16"/>
                <w:szCs w:val="16"/>
                <w:color w:val="auto"/>
              </w:rPr>
              <w:t>3,111,662</w:t>
            </w:r>
          </w:p>
        </w:tc>
        <w:tc>
          <w:tcPr>
            <w:tcW w:w="6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77" w:lineRule="exact"/>
              <w:rPr>
                <w:sz w:val="20"/>
                <w:szCs w:val="20"/>
                <w:color w:val="auto"/>
              </w:rPr>
            </w:pPr>
            <w:r>
              <w:rPr>
                <w:rFonts w:ascii="Arial" w:cs="Arial" w:eastAsia="Arial" w:hAnsi="Arial"/>
                <w:sz w:val="16"/>
                <w:szCs w:val="16"/>
                <w:color w:val="auto"/>
              </w:rPr>
              <w:t>18,537,242</w:t>
            </w:r>
          </w:p>
        </w:tc>
        <w:tc>
          <w:tcPr>
            <w:tcW w:w="6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line="177" w:lineRule="exact"/>
              <w:rPr>
                <w:sz w:val="20"/>
                <w:szCs w:val="20"/>
                <w:color w:val="auto"/>
              </w:rPr>
            </w:pPr>
            <w:r>
              <w:rPr>
                <w:rFonts w:ascii="Arial" w:cs="Arial" w:eastAsia="Arial" w:hAnsi="Arial"/>
                <w:sz w:val="16"/>
                <w:szCs w:val="16"/>
                <w:color w:val="auto"/>
              </w:rPr>
              <w:t>8,375,131</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160" w:type="dxa"/>
            <w:vAlign w:val="bottom"/>
            <w:tcBorders>
              <w:bottom w:val="single" w:sz="8" w:color="CCEEFF"/>
            </w:tcBorders>
          </w:tcPr>
          <w:p>
            <w:pPr>
              <w:ind w:left="20"/>
              <w:spacing w:after="0" w:line="168" w:lineRule="exact"/>
              <w:rPr>
                <w:sz w:val="20"/>
                <w:szCs w:val="20"/>
                <w:color w:val="auto"/>
              </w:rPr>
            </w:pPr>
            <w:r>
              <w:rPr>
                <w:rFonts w:ascii="Arial" w:cs="Arial" w:eastAsia="Arial" w:hAnsi="Arial"/>
                <w:sz w:val="16"/>
                <w:szCs w:val="16"/>
                <w:color w:val="auto"/>
              </w:rPr>
              <w:t>Total operating expenses</w:t>
            </w: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21,126,801</w:t>
            </w:r>
          </w:p>
        </w:tc>
        <w:tc>
          <w:tcPr>
            <w:tcW w:w="4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w w:val="92"/>
              </w:rPr>
              <w:t>18,947,235</w:t>
            </w:r>
          </w:p>
        </w:tc>
        <w:tc>
          <w:tcPr>
            <w:tcW w:w="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71,397,092</w:t>
            </w:r>
          </w:p>
        </w:tc>
        <w:tc>
          <w:tcPr>
            <w:tcW w:w="6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w w:val="92"/>
              </w:rPr>
              <w:t>42,816,927</w:t>
            </w:r>
          </w:p>
        </w:tc>
        <w:tc>
          <w:tcPr>
            <w:tcW w:w="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160" w:type="dxa"/>
            <w:vAlign w:val="bottom"/>
            <w:shd w:val="clear" w:color="auto" w:fill="CCEEFF"/>
          </w:tcPr>
          <w:p>
            <w:pPr>
              <w:ind w:left="20"/>
              <w:spacing w:after="0" w:line="168" w:lineRule="exact"/>
              <w:rPr>
                <w:sz w:val="20"/>
                <w:szCs w:val="20"/>
                <w:color w:val="auto"/>
              </w:rPr>
            </w:pPr>
            <w:r>
              <w:rPr>
                <w:rFonts w:ascii="Arial" w:cs="Arial" w:eastAsia="Arial" w:hAnsi="Arial"/>
                <w:sz w:val="16"/>
                <w:szCs w:val="16"/>
                <w:color w:val="auto"/>
              </w:rPr>
              <w:t>Loss from operations</w:t>
            </w: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8" w:lineRule="exact"/>
              <w:rPr>
                <w:sz w:val="20"/>
                <w:szCs w:val="20"/>
                <w:color w:val="auto"/>
              </w:rPr>
            </w:pPr>
            <w:r>
              <w:rPr>
                <w:rFonts w:ascii="Arial" w:cs="Arial" w:eastAsia="Arial" w:hAnsi="Arial"/>
                <w:sz w:val="16"/>
                <w:szCs w:val="16"/>
                <w:color w:val="auto"/>
              </w:rPr>
              <w:t>(21,126,801)</w:t>
            </w:r>
          </w:p>
        </w:tc>
        <w:tc>
          <w:tcPr>
            <w:tcW w:w="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8" w:lineRule="exact"/>
              <w:rPr>
                <w:sz w:val="20"/>
                <w:szCs w:val="20"/>
                <w:color w:val="auto"/>
              </w:rPr>
            </w:pPr>
            <w:r>
              <w:rPr>
                <w:rFonts w:ascii="Arial" w:cs="Arial" w:eastAsia="Arial" w:hAnsi="Arial"/>
                <w:sz w:val="16"/>
                <w:szCs w:val="16"/>
                <w:color w:val="auto"/>
                <w:w w:val="88"/>
              </w:rPr>
              <w:t>(18,947,235)</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8" w:lineRule="exact"/>
              <w:rPr>
                <w:sz w:val="20"/>
                <w:szCs w:val="20"/>
                <w:color w:val="auto"/>
              </w:rPr>
            </w:pPr>
            <w:r>
              <w:rPr>
                <w:rFonts w:ascii="Arial" w:cs="Arial" w:eastAsia="Arial" w:hAnsi="Arial"/>
                <w:sz w:val="16"/>
                <w:szCs w:val="16"/>
                <w:color w:val="auto"/>
              </w:rPr>
              <w:t>(71,397,092)</w:t>
            </w: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line="168" w:lineRule="exact"/>
              <w:rPr>
                <w:sz w:val="20"/>
                <w:szCs w:val="20"/>
                <w:color w:val="auto"/>
              </w:rPr>
            </w:pPr>
            <w:r>
              <w:rPr>
                <w:rFonts w:ascii="Arial" w:cs="Arial" w:eastAsia="Arial" w:hAnsi="Arial"/>
                <w:sz w:val="16"/>
                <w:szCs w:val="16"/>
                <w:color w:val="auto"/>
                <w:w w:val="85"/>
              </w:rPr>
              <w:t>(42,816,927)</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4160" w:type="dxa"/>
            <w:vAlign w:val="bottom"/>
          </w:tcPr>
          <w:p>
            <w:pPr>
              <w:ind w:left="20"/>
              <w:spacing w:after="0" w:line="177" w:lineRule="exact"/>
              <w:rPr>
                <w:sz w:val="20"/>
                <w:szCs w:val="20"/>
                <w:color w:val="auto"/>
              </w:rPr>
            </w:pPr>
            <w:r>
              <w:rPr>
                <w:rFonts w:ascii="Arial" w:cs="Arial" w:eastAsia="Arial" w:hAnsi="Arial"/>
                <w:sz w:val="16"/>
                <w:szCs w:val="16"/>
                <w:color w:val="auto"/>
              </w:rPr>
              <w:t>Interest income (expense)</w:t>
            </w:r>
          </w:p>
        </w:tc>
        <w:tc>
          <w:tcPr>
            <w:tcW w:w="220" w:type="dxa"/>
            <w:vAlign w:val="bottom"/>
          </w:tcPr>
          <w:p>
            <w:pPr>
              <w:spacing w:after="0"/>
              <w:rPr>
                <w:sz w:val="15"/>
                <w:szCs w:val="15"/>
                <w:color w:val="auto"/>
              </w:rPr>
            </w:pPr>
          </w:p>
        </w:tc>
        <w:tc>
          <w:tcPr>
            <w:tcW w:w="980" w:type="dxa"/>
            <w:vAlign w:val="bottom"/>
            <w:gridSpan w:val="2"/>
          </w:tcPr>
          <w:p>
            <w:pPr>
              <w:jc w:val="right"/>
              <w:ind w:right="40"/>
              <w:spacing w:after="0" w:line="177" w:lineRule="exact"/>
              <w:rPr>
                <w:sz w:val="20"/>
                <w:szCs w:val="20"/>
                <w:color w:val="auto"/>
              </w:rPr>
            </w:pPr>
            <w:r>
              <w:rPr>
                <w:rFonts w:ascii="Arial" w:cs="Arial" w:eastAsia="Arial" w:hAnsi="Arial"/>
                <w:sz w:val="16"/>
                <w:szCs w:val="16"/>
                <w:color w:val="auto"/>
              </w:rPr>
              <w:t>(551,002)</w:t>
            </w:r>
          </w:p>
        </w:tc>
        <w:tc>
          <w:tcPr>
            <w:tcW w:w="340" w:type="dxa"/>
            <w:vAlign w:val="bottom"/>
          </w:tcPr>
          <w:p>
            <w:pPr>
              <w:spacing w:after="0"/>
              <w:rPr>
                <w:sz w:val="15"/>
                <w:szCs w:val="15"/>
                <w:color w:val="auto"/>
              </w:rPr>
            </w:pPr>
          </w:p>
        </w:tc>
        <w:tc>
          <w:tcPr>
            <w:tcW w:w="880" w:type="dxa"/>
            <w:vAlign w:val="bottom"/>
            <w:gridSpan w:val="2"/>
          </w:tcPr>
          <w:p>
            <w:pPr>
              <w:jc w:val="right"/>
              <w:ind w:right="60"/>
              <w:spacing w:after="0" w:line="177" w:lineRule="exact"/>
              <w:rPr>
                <w:sz w:val="20"/>
                <w:szCs w:val="20"/>
                <w:color w:val="auto"/>
              </w:rPr>
            </w:pPr>
            <w:r>
              <w:rPr>
                <w:rFonts w:ascii="Arial" w:cs="Arial" w:eastAsia="Arial" w:hAnsi="Arial"/>
                <w:sz w:val="16"/>
                <w:szCs w:val="16"/>
                <w:color w:val="auto"/>
              </w:rPr>
              <w:t>(327,825)</w:t>
            </w:r>
          </w:p>
        </w:tc>
        <w:tc>
          <w:tcPr>
            <w:tcW w:w="220" w:type="dxa"/>
            <w:vAlign w:val="bottom"/>
          </w:tcPr>
          <w:p>
            <w:pPr>
              <w:spacing w:after="0"/>
              <w:rPr>
                <w:sz w:val="15"/>
                <w:szCs w:val="15"/>
                <w:color w:val="auto"/>
              </w:rPr>
            </w:pPr>
          </w:p>
        </w:tc>
        <w:tc>
          <w:tcPr>
            <w:tcW w:w="1000" w:type="dxa"/>
            <w:vAlign w:val="bottom"/>
            <w:gridSpan w:val="2"/>
          </w:tcPr>
          <w:p>
            <w:pPr>
              <w:jc w:val="right"/>
              <w:ind w:right="60"/>
              <w:spacing w:after="0" w:line="177" w:lineRule="exact"/>
              <w:rPr>
                <w:sz w:val="20"/>
                <w:szCs w:val="20"/>
                <w:color w:val="auto"/>
              </w:rPr>
            </w:pPr>
            <w:r>
              <w:rPr>
                <w:rFonts w:ascii="Arial" w:cs="Arial" w:eastAsia="Arial" w:hAnsi="Arial"/>
                <w:sz w:val="16"/>
                <w:szCs w:val="16"/>
                <w:color w:val="auto"/>
              </w:rPr>
              <w:t>(1,091,849)</w:t>
            </w:r>
          </w:p>
        </w:tc>
        <w:tc>
          <w:tcPr>
            <w:tcW w:w="340" w:type="dxa"/>
            <w:vAlign w:val="bottom"/>
          </w:tcPr>
          <w:p>
            <w:pPr>
              <w:spacing w:after="0"/>
              <w:rPr>
                <w:sz w:val="15"/>
                <w:szCs w:val="15"/>
                <w:color w:val="auto"/>
              </w:rPr>
            </w:pPr>
          </w:p>
        </w:tc>
        <w:tc>
          <w:tcPr>
            <w:tcW w:w="820" w:type="dxa"/>
            <w:vAlign w:val="bottom"/>
            <w:gridSpan w:val="2"/>
          </w:tcPr>
          <w:p>
            <w:pPr>
              <w:jc w:val="right"/>
              <w:ind w:right="20"/>
              <w:spacing w:after="0" w:line="177" w:lineRule="exact"/>
              <w:rPr>
                <w:sz w:val="20"/>
                <w:szCs w:val="20"/>
                <w:color w:val="auto"/>
              </w:rPr>
            </w:pPr>
            <w:r>
              <w:rPr>
                <w:rFonts w:ascii="Arial" w:cs="Arial" w:eastAsia="Arial" w:hAnsi="Arial"/>
                <w:sz w:val="16"/>
                <w:szCs w:val="16"/>
                <w:color w:val="auto"/>
              </w:rPr>
              <w:t>(860,723)</w:t>
            </w:r>
          </w:p>
        </w:tc>
        <w:tc>
          <w:tcPr>
            <w:tcW w:w="0" w:type="dxa"/>
            <w:vAlign w:val="bottom"/>
          </w:tcPr>
          <w:p>
            <w:pPr>
              <w:spacing w:after="0"/>
              <w:rPr>
                <w:sz w:val="1"/>
                <w:szCs w:val="1"/>
                <w:color w:val="auto"/>
              </w:rPr>
            </w:pPr>
          </w:p>
        </w:tc>
      </w:tr>
      <w:tr>
        <w:trPr>
          <w:trHeight w:val="177"/>
        </w:trPr>
        <w:tc>
          <w:tcPr>
            <w:tcW w:w="416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Tax credit</w:t>
            </w:r>
          </w:p>
        </w:tc>
        <w:tc>
          <w:tcPr>
            <w:tcW w:w="2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line="177" w:lineRule="exact"/>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7" w:lineRule="exact"/>
              <w:rPr>
                <w:sz w:val="20"/>
                <w:szCs w:val="20"/>
                <w:color w:val="auto"/>
              </w:rPr>
            </w:pPr>
            <w:r>
              <w:rPr>
                <w:rFonts w:ascii="Arial" w:cs="Arial" w:eastAsia="Arial" w:hAnsi="Arial"/>
                <w:sz w:val="16"/>
                <w:szCs w:val="16"/>
                <w:color w:val="auto"/>
              </w:rPr>
              <w:t>139,448</w:t>
            </w: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20"/>
              <w:spacing w:after="0" w:line="177" w:lineRule="exact"/>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7" w:lineRule="exact"/>
              <w:rPr>
                <w:sz w:val="20"/>
                <w:szCs w:val="20"/>
                <w:color w:val="auto"/>
              </w:rPr>
            </w:pPr>
            <w:r>
              <w:rPr>
                <w:rFonts w:ascii="Arial" w:cs="Arial" w:eastAsia="Arial" w:hAnsi="Arial"/>
                <w:sz w:val="16"/>
                <w:szCs w:val="16"/>
                <w:color w:val="auto"/>
              </w:rPr>
              <w:t>139,448</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160" w:type="dxa"/>
            <w:vAlign w:val="bottom"/>
          </w:tcPr>
          <w:p>
            <w:pPr>
              <w:ind w:left="20"/>
              <w:spacing w:after="0" w:line="177" w:lineRule="exact"/>
              <w:rPr>
                <w:sz w:val="20"/>
                <w:szCs w:val="20"/>
                <w:color w:val="auto"/>
              </w:rPr>
            </w:pPr>
            <w:r>
              <w:rPr>
                <w:rFonts w:ascii="Arial" w:cs="Arial" w:eastAsia="Arial" w:hAnsi="Arial"/>
                <w:sz w:val="16"/>
                <w:szCs w:val="16"/>
                <w:color w:val="auto"/>
              </w:rPr>
              <w:t>Loss on extinguishment of debt</w:t>
            </w:r>
          </w:p>
        </w:tc>
        <w:tc>
          <w:tcPr>
            <w:tcW w:w="220" w:type="dxa"/>
            <w:vAlign w:val="bottom"/>
          </w:tcPr>
          <w:p>
            <w:pPr>
              <w:spacing w:after="0"/>
              <w:rPr>
                <w:sz w:val="15"/>
                <w:szCs w:val="15"/>
                <w:color w:val="auto"/>
              </w:rPr>
            </w:pPr>
          </w:p>
        </w:tc>
        <w:tc>
          <w:tcPr>
            <w:tcW w:w="980" w:type="dxa"/>
            <w:vAlign w:val="bottom"/>
            <w:gridSpan w:val="2"/>
          </w:tcPr>
          <w:p>
            <w:pPr>
              <w:jc w:val="right"/>
              <w:ind w:right="40"/>
              <w:spacing w:after="0" w:line="177" w:lineRule="exact"/>
              <w:rPr>
                <w:sz w:val="20"/>
                <w:szCs w:val="20"/>
                <w:color w:val="auto"/>
              </w:rPr>
            </w:pPr>
            <w:r>
              <w:rPr>
                <w:rFonts w:ascii="Arial" w:cs="Arial" w:eastAsia="Arial" w:hAnsi="Arial"/>
                <w:sz w:val="16"/>
                <w:szCs w:val="16"/>
                <w:color w:val="auto"/>
              </w:rPr>
              <w:t>(1,247,012)</w:t>
            </w:r>
          </w:p>
        </w:tc>
        <w:tc>
          <w:tcPr>
            <w:tcW w:w="340" w:type="dxa"/>
            <w:vAlign w:val="bottom"/>
          </w:tcPr>
          <w:p>
            <w:pPr>
              <w:spacing w:after="0"/>
              <w:rPr>
                <w:sz w:val="15"/>
                <w:szCs w:val="15"/>
                <w:color w:val="auto"/>
              </w:rPr>
            </w:pPr>
          </w:p>
        </w:tc>
        <w:tc>
          <w:tcPr>
            <w:tcW w:w="880" w:type="dxa"/>
            <w:vAlign w:val="bottom"/>
            <w:gridSpan w:val="2"/>
          </w:tcPr>
          <w:p>
            <w:pPr>
              <w:jc w:val="right"/>
              <w:ind w:right="120"/>
              <w:spacing w:after="0" w:line="177"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1000" w:type="dxa"/>
            <w:vAlign w:val="bottom"/>
            <w:gridSpan w:val="2"/>
          </w:tcPr>
          <w:p>
            <w:pPr>
              <w:jc w:val="right"/>
              <w:ind w:right="60"/>
              <w:spacing w:after="0" w:line="177" w:lineRule="exact"/>
              <w:rPr>
                <w:sz w:val="20"/>
                <w:szCs w:val="20"/>
                <w:color w:val="auto"/>
              </w:rPr>
            </w:pPr>
            <w:r>
              <w:rPr>
                <w:rFonts w:ascii="Arial" w:cs="Arial" w:eastAsia="Arial" w:hAnsi="Arial"/>
                <w:sz w:val="16"/>
                <w:szCs w:val="16"/>
                <w:color w:val="auto"/>
              </w:rPr>
              <w:t>(1,247,012)</w:t>
            </w:r>
          </w:p>
        </w:tc>
        <w:tc>
          <w:tcPr>
            <w:tcW w:w="340" w:type="dxa"/>
            <w:vAlign w:val="bottom"/>
          </w:tcPr>
          <w:p>
            <w:pPr>
              <w:spacing w:after="0"/>
              <w:rPr>
                <w:sz w:val="15"/>
                <w:szCs w:val="15"/>
                <w:color w:val="auto"/>
              </w:rPr>
            </w:pPr>
          </w:p>
        </w:tc>
        <w:tc>
          <w:tcPr>
            <w:tcW w:w="820" w:type="dxa"/>
            <w:vAlign w:val="bottom"/>
            <w:gridSpan w:val="2"/>
          </w:tcPr>
          <w:p>
            <w:pPr>
              <w:jc w:val="right"/>
              <w:ind w:right="60"/>
              <w:spacing w:after="0" w:line="177"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4160" w:type="dxa"/>
            <w:vAlign w:val="bottom"/>
            <w:tcBorders>
              <w:top w:val="single" w:sz="8" w:color="CCEEFF"/>
              <w:bottom w:val="single" w:sz="8" w:color="CCEEFF"/>
            </w:tcBorders>
            <w:shd w:val="clear" w:color="auto" w:fill="CCEEFF"/>
          </w:tcPr>
          <w:p>
            <w:pPr>
              <w:ind w:left="20"/>
              <w:spacing w:after="0" w:line="168" w:lineRule="exact"/>
              <w:rPr>
                <w:sz w:val="20"/>
                <w:szCs w:val="20"/>
                <w:color w:val="auto"/>
              </w:rPr>
            </w:pPr>
            <w:r>
              <w:rPr>
                <w:rFonts w:ascii="Arial" w:cs="Arial" w:eastAsia="Arial" w:hAnsi="Arial"/>
                <w:sz w:val="16"/>
                <w:szCs w:val="16"/>
                <w:color w:val="auto"/>
              </w:rPr>
              <w:t>Net loss</w:t>
            </w:r>
          </w:p>
        </w:tc>
        <w:tc>
          <w:tcPr>
            <w:tcW w:w="220" w:type="dxa"/>
            <w:vAlign w:val="bottom"/>
            <w:tcBorders>
              <w:top w:val="single" w:sz="8" w:color="auto"/>
              <w:bottom w:val="single" w:sz="8" w:color="auto"/>
            </w:tcBorders>
            <w:shd w:val="clear" w:color="auto" w:fill="CCEEFF"/>
          </w:tcPr>
          <w:p>
            <w:pPr>
              <w:jc w:val="right"/>
              <w:ind w:right="67"/>
              <w:spacing w:after="0" w:line="169" w:lineRule="exact"/>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line="168" w:lineRule="exact"/>
              <w:rPr>
                <w:sz w:val="20"/>
                <w:szCs w:val="20"/>
                <w:color w:val="auto"/>
              </w:rPr>
            </w:pPr>
            <w:r>
              <w:rPr>
                <w:rFonts w:ascii="Arial" w:cs="Arial" w:eastAsia="Arial" w:hAnsi="Arial"/>
                <w:sz w:val="16"/>
                <w:szCs w:val="16"/>
                <w:color w:val="auto"/>
              </w:rPr>
              <w:t>(22,924,815)</w:t>
            </w: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87"/>
              <w:spacing w:after="0" w:line="169" w:lineRule="exact"/>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line="168" w:lineRule="exact"/>
              <w:rPr>
                <w:sz w:val="20"/>
                <w:szCs w:val="20"/>
                <w:color w:val="auto"/>
              </w:rPr>
            </w:pPr>
            <w:r>
              <w:rPr>
                <w:rFonts w:ascii="Arial" w:cs="Arial" w:eastAsia="Arial" w:hAnsi="Arial"/>
                <w:sz w:val="16"/>
                <w:szCs w:val="16"/>
                <w:color w:val="auto"/>
                <w:w w:val="88"/>
              </w:rPr>
              <w:t>(19,135,612)</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67"/>
              <w:spacing w:after="0" w:line="169" w:lineRule="exact"/>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line="168" w:lineRule="exact"/>
              <w:rPr>
                <w:sz w:val="20"/>
                <w:szCs w:val="20"/>
                <w:color w:val="auto"/>
              </w:rPr>
            </w:pPr>
            <w:r>
              <w:rPr>
                <w:rFonts w:ascii="Arial" w:cs="Arial" w:eastAsia="Arial" w:hAnsi="Arial"/>
                <w:sz w:val="16"/>
                <w:szCs w:val="16"/>
                <w:color w:val="auto"/>
              </w:rPr>
              <w:t>(73,735,953)</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87"/>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line="168" w:lineRule="exact"/>
              <w:rPr>
                <w:sz w:val="20"/>
                <w:szCs w:val="20"/>
                <w:color w:val="auto"/>
              </w:rPr>
            </w:pPr>
            <w:r>
              <w:rPr>
                <w:rFonts w:ascii="Arial" w:cs="Arial" w:eastAsia="Arial" w:hAnsi="Arial"/>
                <w:sz w:val="16"/>
                <w:szCs w:val="16"/>
                <w:color w:val="auto"/>
                <w:w w:val="85"/>
              </w:rPr>
              <w:t>(43,538,202)</w:t>
            </w: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160" w:type="dxa"/>
            <w:vAlign w:val="bottom"/>
            <w:vMerge w:val="restart"/>
          </w:tcPr>
          <w:p>
            <w:pPr>
              <w:ind w:left="20"/>
              <w:spacing w:after="0"/>
              <w:rPr>
                <w:sz w:val="20"/>
                <w:szCs w:val="20"/>
                <w:color w:val="auto"/>
              </w:rPr>
            </w:pPr>
            <w:r>
              <w:rPr>
                <w:rFonts w:ascii="Arial" w:cs="Arial" w:eastAsia="Arial" w:hAnsi="Arial"/>
                <w:sz w:val="16"/>
                <w:szCs w:val="16"/>
                <w:color w:val="auto"/>
              </w:rPr>
              <w:t>Net loss per common share, basic and diluted</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16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jc w:val="right"/>
              <w:ind w:right="67"/>
              <w:spacing w:after="0" w:line="152" w:lineRule="exact"/>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6"/>
                <w:szCs w:val="16"/>
                <w:color w:val="auto"/>
              </w:rPr>
              <w:t>(0.61)</w:t>
            </w:r>
          </w:p>
        </w:tc>
        <w:tc>
          <w:tcPr>
            <w:tcW w:w="4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jc w:val="right"/>
              <w:ind w:right="187"/>
              <w:spacing w:after="0" w:line="152" w:lineRule="exact"/>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6"/>
                <w:szCs w:val="16"/>
                <w:color w:val="auto"/>
              </w:rPr>
              <w:t>(0.56)</w:t>
            </w:r>
          </w:p>
        </w:tc>
        <w:tc>
          <w:tcPr>
            <w:tcW w:w="6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jc w:val="right"/>
              <w:ind w:right="67"/>
              <w:spacing w:after="0" w:line="152" w:lineRule="exact"/>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6"/>
                <w:szCs w:val="16"/>
                <w:color w:val="auto"/>
              </w:rPr>
              <w:t>(1.98)</w:t>
            </w:r>
          </w:p>
        </w:tc>
        <w:tc>
          <w:tcPr>
            <w:tcW w:w="6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jc w:val="right"/>
              <w:ind w:right="187"/>
              <w:spacing w:after="0" w:line="152" w:lineRule="exact"/>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6"/>
                <w:szCs w:val="16"/>
                <w:color w:val="auto"/>
              </w:rPr>
              <w:t>(1.29)</w:t>
            </w:r>
          </w:p>
        </w:tc>
        <w:tc>
          <w:tcPr>
            <w:tcW w:w="20" w:type="dxa"/>
            <w:vAlign w:val="bottom"/>
            <w:tcBorders>
              <w:bottom w:val="single" w:sz="8" w:color="CCEEF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4160" w:type="dxa"/>
            <w:vAlign w:val="bottom"/>
            <w:shd w:val="clear" w:color="auto" w:fill="CCEEFF"/>
          </w:tcPr>
          <w:p>
            <w:pPr>
              <w:ind w:left="20"/>
              <w:spacing w:after="0" w:line="116" w:lineRule="exact"/>
              <w:rPr>
                <w:sz w:val="20"/>
                <w:szCs w:val="20"/>
                <w:color w:val="auto"/>
              </w:rPr>
            </w:pPr>
            <w:r>
              <w:rPr>
                <w:rFonts w:ascii="Arial" w:cs="Arial" w:eastAsia="Arial" w:hAnsi="Arial"/>
                <w:sz w:val="13"/>
                <w:szCs w:val="13"/>
                <w:color w:val="auto"/>
              </w:rPr>
              <w:t>Weighted average common shares outstanding, basic and</w:t>
            </w:r>
          </w:p>
        </w:tc>
        <w:tc>
          <w:tcPr>
            <w:tcW w:w="22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37,311,726</w:t>
            </w:r>
          </w:p>
        </w:tc>
        <w:tc>
          <w:tcPr>
            <w:tcW w:w="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2"/>
              </w:rPr>
              <w:t>34,445,489</w:t>
            </w: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37,158,513</w:t>
            </w: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2"/>
              </w:rPr>
              <w:t>33,771,671</w:t>
            </w: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4160" w:type="dxa"/>
            <w:vAlign w:val="bottom"/>
            <w:tcBorders>
              <w:bottom w:val="single" w:sz="8" w:color="CCEEFF"/>
            </w:tcBorders>
            <w:shd w:val="clear" w:color="auto" w:fill="CCEEFF"/>
          </w:tcPr>
          <w:p>
            <w:pPr>
              <w:ind w:left="20"/>
              <w:spacing w:after="0" w:line="178" w:lineRule="exact"/>
              <w:rPr>
                <w:sz w:val="20"/>
                <w:szCs w:val="20"/>
                <w:color w:val="auto"/>
              </w:rPr>
            </w:pPr>
            <w:r>
              <w:rPr>
                <w:rFonts w:ascii="Arial" w:cs="Arial" w:eastAsia="Arial" w:hAnsi="Arial"/>
                <w:sz w:val="16"/>
                <w:szCs w:val="16"/>
                <w:color w:val="auto"/>
              </w:rPr>
              <w:t>diluted</w:t>
            </w:r>
          </w:p>
        </w:tc>
        <w:tc>
          <w:tcPr>
            <w:tcW w:w="2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302895</wp:posOffset>
            </wp:positionV>
            <wp:extent cx="5682615" cy="222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82615" cy="22225"/>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5" w:name="page6"/>
    <w:bookmarkEnd w:id="5"/>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Axsome Therapeutics, Inc.</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Stockholders’ Equity</w:t>
      </w: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16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580" w:type="dxa"/>
            <w:vAlign w:val="bottom"/>
            <w:gridSpan w:val="5"/>
          </w:tcPr>
          <w:p>
            <w:pPr>
              <w:ind w:left="320"/>
              <w:spacing w:after="0"/>
              <w:rPr>
                <w:sz w:val="20"/>
                <w:szCs w:val="20"/>
                <w:color w:val="auto"/>
              </w:rPr>
            </w:pPr>
            <w:r>
              <w:rPr>
                <w:rFonts w:ascii="Arial" w:cs="Arial" w:eastAsia="Arial" w:hAnsi="Arial"/>
                <w:sz w:val="13"/>
                <w:szCs w:val="13"/>
                <w:b w:val="1"/>
                <w:bCs w:val="1"/>
                <w:color w:val="auto"/>
              </w:rPr>
              <w:t>Common stock</w:t>
            </w:r>
          </w:p>
        </w:tc>
        <w:tc>
          <w:tcPr>
            <w:tcW w:w="80" w:type="dxa"/>
            <w:vAlign w:val="bottom"/>
          </w:tcPr>
          <w:p>
            <w:pPr>
              <w:spacing w:after="0"/>
              <w:rPr>
                <w:sz w:val="14"/>
                <w:szCs w:val="14"/>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14"/>
                <w:szCs w:val="14"/>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88"/>
              </w:rPr>
              <w:t>Accumulated</w:t>
            </w:r>
          </w:p>
        </w:tc>
        <w:tc>
          <w:tcPr>
            <w:tcW w:w="80" w:type="dxa"/>
            <w:vAlign w:val="bottom"/>
          </w:tcPr>
          <w:p>
            <w:pPr>
              <w:spacing w:after="0"/>
              <w:rPr>
                <w:sz w:val="14"/>
                <w:szCs w:val="14"/>
                <w:color w:val="auto"/>
              </w:rPr>
            </w:pPr>
          </w:p>
        </w:tc>
        <w:tc>
          <w:tcPr>
            <w:tcW w:w="1180" w:type="dxa"/>
            <w:vAlign w:val="bottom"/>
            <w:gridSpan w:val="2"/>
            <w:vMerge w:val="restart"/>
          </w:tcPr>
          <w:p>
            <w:pPr>
              <w:jc w:val="right"/>
              <w:ind w:right="140"/>
              <w:spacing w:after="0"/>
              <w:rPr>
                <w:sz w:val="20"/>
                <w:szCs w:val="20"/>
                <w:color w:val="auto"/>
              </w:rPr>
            </w:pPr>
            <w:r>
              <w:rPr>
                <w:rFonts w:ascii="Arial" w:cs="Arial" w:eastAsia="Arial" w:hAnsi="Arial"/>
                <w:sz w:val="13"/>
                <w:szCs w:val="13"/>
                <w:b w:val="1"/>
                <w:bCs w:val="1"/>
                <w:color w:val="auto"/>
                <w:w w:val="85"/>
              </w:rPr>
              <w:t>Total stockholders’</w:t>
            </w:r>
          </w:p>
        </w:tc>
        <w:tc>
          <w:tcPr>
            <w:tcW w:w="0" w:type="dxa"/>
            <w:vAlign w:val="bottom"/>
          </w:tcPr>
          <w:p>
            <w:pPr>
              <w:spacing w:after="0"/>
              <w:rPr>
                <w:sz w:val="1"/>
                <w:szCs w:val="1"/>
                <w:color w:val="auto"/>
              </w:rPr>
            </w:pPr>
          </w:p>
        </w:tc>
      </w:tr>
      <w:tr>
        <w:trPr>
          <w:trHeight w:val="113"/>
        </w:trPr>
        <w:tc>
          <w:tcPr>
            <w:tcW w:w="390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3900" w:type="dxa"/>
            <w:vAlign w:val="bottom"/>
          </w:tcPr>
          <w:p>
            <w:pPr>
              <w:spacing w:after="0"/>
              <w:rPr>
                <w:sz w:val="14"/>
                <w:szCs w:val="14"/>
                <w:color w:val="auto"/>
              </w:rPr>
            </w:pPr>
          </w:p>
        </w:tc>
        <w:tc>
          <w:tcPr>
            <w:tcW w:w="920" w:type="dxa"/>
            <w:vAlign w:val="bottom"/>
            <w:gridSpan w:val="2"/>
          </w:tcPr>
          <w:p>
            <w:pPr>
              <w:ind w:left="220"/>
              <w:spacing w:after="0"/>
              <w:rPr>
                <w:sz w:val="20"/>
                <w:szCs w:val="20"/>
                <w:color w:val="auto"/>
              </w:rPr>
            </w:pPr>
            <w:r>
              <w:rPr>
                <w:rFonts w:ascii="Arial" w:cs="Arial" w:eastAsia="Arial" w:hAnsi="Arial"/>
                <w:sz w:val="13"/>
                <w:szCs w:val="13"/>
                <w:b w:val="1"/>
                <w:bCs w:val="1"/>
                <w:color w:val="auto"/>
              </w:rPr>
              <w:t>Shares</w:t>
            </w:r>
          </w:p>
        </w:tc>
        <w:tc>
          <w:tcPr>
            <w:tcW w:w="660" w:type="dxa"/>
            <w:vAlign w:val="bottom"/>
            <w:gridSpan w:val="3"/>
          </w:tcPr>
          <w:p>
            <w:pPr>
              <w:ind w:left="40"/>
              <w:spacing w:after="0"/>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paid-in capital</w:t>
            </w:r>
          </w:p>
        </w:tc>
        <w:tc>
          <w:tcPr>
            <w:tcW w:w="10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deficit</w:t>
            </w:r>
          </w:p>
        </w:tc>
        <w:tc>
          <w:tcPr>
            <w:tcW w:w="80" w:type="dxa"/>
            <w:vAlign w:val="bottom"/>
          </w:tcPr>
          <w:p>
            <w:pPr>
              <w:spacing w:after="0"/>
              <w:rPr>
                <w:sz w:val="14"/>
                <w:szCs w:val="14"/>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33"/>
        </w:trPr>
        <w:tc>
          <w:tcPr>
            <w:tcW w:w="390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390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Balance at December 31, 2018</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30,087,213</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w w:val="98"/>
              </w:rPr>
              <w:t>3,009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108,485,219</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3"/>
                <w:szCs w:val="13"/>
                <w:color w:val="auto"/>
              </w:rPr>
              <w:t>(107,550,307)</w:t>
            </w: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937,921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900" w:type="dxa"/>
            <w:vAlign w:val="bottom"/>
          </w:tcPr>
          <w:p>
            <w:pPr>
              <w:ind w:left="20"/>
              <w:spacing w:after="0" w:line="142" w:lineRule="exact"/>
              <w:rPr>
                <w:sz w:val="20"/>
                <w:szCs w:val="20"/>
                <w:color w:val="auto"/>
              </w:rPr>
            </w:pPr>
            <w:r>
              <w:rPr>
                <w:rFonts w:ascii="Arial" w:cs="Arial" w:eastAsia="Arial" w:hAnsi="Arial"/>
                <w:sz w:val="13"/>
                <w:szCs w:val="13"/>
                <w:color w:val="auto"/>
              </w:rPr>
              <w:t>Stock-based compensation</w:t>
            </w:r>
          </w:p>
        </w:tc>
        <w:tc>
          <w:tcPr>
            <w:tcW w:w="920" w:type="dxa"/>
            <w:vAlign w:val="bottom"/>
            <w:gridSpan w:val="2"/>
          </w:tcPr>
          <w:p>
            <w:pPr>
              <w:jc w:val="right"/>
              <w:ind w:right="180"/>
              <w:spacing w:after="0" w:line="142"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520" w:type="dxa"/>
            <w:vAlign w:val="bottom"/>
            <w:gridSpan w:val="2"/>
          </w:tcPr>
          <w:p>
            <w:pPr>
              <w:jc w:val="right"/>
              <w:ind w:right="180"/>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3"/>
                <w:szCs w:val="13"/>
                <w:color w:val="auto"/>
              </w:rPr>
              <w:t>1,256,310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180"/>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140" w:type="dxa"/>
            <w:vAlign w:val="bottom"/>
          </w:tcPr>
          <w:p>
            <w:pPr>
              <w:jc w:val="right"/>
              <w:spacing w:after="0" w:line="142" w:lineRule="exact"/>
              <w:rPr>
                <w:sz w:val="20"/>
                <w:szCs w:val="20"/>
                <w:color w:val="auto"/>
              </w:rPr>
            </w:pPr>
            <w:r>
              <w:rPr>
                <w:rFonts w:ascii="Arial" w:cs="Arial" w:eastAsia="Arial" w:hAnsi="Arial"/>
                <w:sz w:val="13"/>
                <w:szCs w:val="13"/>
                <w:color w:val="auto"/>
              </w:rPr>
              <w:t>1,256,310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90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Issuance of common stock upon exercise of options</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52,819</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410,157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410,162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900" w:type="dxa"/>
            <w:vAlign w:val="bottom"/>
          </w:tcPr>
          <w:p>
            <w:pPr>
              <w:ind w:left="20"/>
              <w:spacing w:after="0" w:line="142" w:lineRule="exact"/>
              <w:rPr>
                <w:sz w:val="20"/>
                <w:szCs w:val="20"/>
                <w:color w:val="auto"/>
              </w:rPr>
            </w:pPr>
            <w:r>
              <w:rPr>
                <w:rFonts w:ascii="Arial" w:cs="Arial" w:eastAsia="Arial" w:hAnsi="Arial"/>
                <w:sz w:val="13"/>
                <w:szCs w:val="13"/>
                <w:color w:val="auto"/>
              </w:rPr>
              <w:t>Issuance of warrants upon debt financing</w:t>
            </w:r>
          </w:p>
        </w:tc>
        <w:tc>
          <w:tcPr>
            <w:tcW w:w="920" w:type="dxa"/>
            <w:vAlign w:val="bottom"/>
            <w:gridSpan w:val="2"/>
          </w:tcPr>
          <w:p>
            <w:pPr>
              <w:jc w:val="right"/>
              <w:ind w:right="180"/>
              <w:spacing w:after="0" w:line="142"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520" w:type="dxa"/>
            <w:vAlign w:val="bottom"/>
            <w:gridSpan w:val="2"/>
          </w:tcPr>
          <w:p>
            <w:pPr>
              <w:jc w:val="right"/>
              <w:ind w:right="180"/>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3"/>
                <w:szCs w:val="13"/>
                <w:color w:val="auto"/>
              </w:rPr>
              <w:t>426,000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180"/>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140" w:type="dxa"/>
            <w:vAlign w:val="bottom"/>
          </w:tcPr>
          <w:p>
            <w:pPr>
              <w:jc w:val="right"/>
              <w:spacing w:after="0" w:line="142" w:lineRule="exact"/>
              <w:rPr>
                <w:sz w:val="20"/>
                <w:szCs w:val="20"/>
                <w:color w:val="auto"/>
              </w:rPr>
            </w:pPr>
            <w:r>
              <w:rPr>
                <w:rFonts w:ascii="Arial" w:cs="Arial" w:eastAsia="Arial" w:hAnsi="Arial"/>
                <w:sz w:val="13"/>
                <w:szCs w:val="13"/>
                <w:color w:val="auto"/>
              </w:rPr>
              <w:t>426,000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90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Issuance of common stock upon financing</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3,164,015</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316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24,983,366</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24,983,682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900" w:type="dxa"/>
            <w:vAlign w:val="bottom"/>
          </w:tcPr>
          <w:p>
            <w:pPr>
              <w:ind w:left="20"/>
              <w:spacing w:after="0" w:line="142" w:lineRule="exact"/>
              <w:rPr>
                <w:sz w:val="20"/>
                <w:szCs w:val="20"/>
                <w:color w:val="auto"/>
              </w:rPr>
            </w:pPr>
            <w:r>
              <w:rPr>
                <w:rFonts w:ascii="Arial" w:cs="Arial" w:eastAsia="Arial" w:hAnsi="Arial"/>
                <w:sz w:val="13"/>
                <w:szCs w:val="13"/>
                <w:color w:val="auto"/>
              </w:rPr>
              <w:t>Net loss</w:t>
            </w:r>
          </w:p>
        </w:tc>
        <w:tc>
          <w:tcPr>
            <w:tcW w:w="920" w:type="dxa"/>
            <w:vAlign w:val="bottom"/>
            <w:gridSpan w:val="2"/>
          </w:tcPr>
          <w:p>
            <w:pPr>
              <w:jc w:val="right"/>
              <w:ind w:right="180"/>
              <w:spacing w:after="0" w:line="142"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520" w:type="dxa"/>
            <w:vAlign w:val="bottom"/>
            <w:gridSpan w:val="2"/>
          </w:tcPr>
          <w:p>
            <w:pPr>
              <w:jc w:val="right"/>
              <w:ind w:right="180"/>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180"/>
              <w:spacing w:after="0" w:line="142"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140"/>
              <w:spacing w:after="0" w:line="142" w:lineRule="exact"/>
              <w:rPr>
                <w:sz w:val="20"/>
                <w:szCs w:val="20"/>
                <w:color w:val="auto"/>
              </w:rPr>
            </w:pPr>
            <w:r>
              <w:rPr>
                <w:rFonts w:ascii="Arial" w:cs="Arial" w:eastAsia="Arial" w:hAnsi="Arial"/>
                <w:sz w:val="13"/>
                <w:szCs w:val="13"/>
                <w:color w:val="auto"/>
              </w:rPr>
              <w:t>(10,640,376)</w:t>
            </w:r>
          </w:p>
        </w:tc>
        <w:tc>
          <w:tcPr>
            <w:tcW w:w="80" w:type="dxa"/>
            <w:vAlign w:val="bottom"/>
          </w:tcPr>
          <w:p>
            <w:pPr>
              <w:spacing w:after="0"/>
              <w:rPr>
                <w:sz w:val="12"/>
                <w:szCs w:val="12"/>
                <w:color w:val="auto"/>
              </w:rPr>
            </w:pPr>
          </w:p>
        </w:tc>
        <w:tc>
          <w:tcPr>
            <w:tcW w:w="1180" w:type="dxa"/>
            <w:vAlign w:val="bottom"/>
            <w:gridSpan w:val="2"/>
          </w:tcPr>
          <w:p>
            <w:pPr>
              <w:jc w:val="right"/>
              <w:ind w:right="40"/>
              <w:spacing w:after="0" w:line="142" w:lineRule="exact"/>
              <w:rPr>
                <w:sz w:val="20"/>
                <w:szCs w:val="20"/>
                <w:color w:val="auto"/>
              </w:rPr>
            </w:pPr>
            <w:r>
              <w:rPr>
                <w:rFonts w:ascii="Arial" w:cs="Arial" w:eastAsia="Arial" w:hAnsi="Arial"/>
                <w:sz w:val="13"/>
                <w:szCs w:val="13"/>
                <w:color w:val="auto"/>
              </w:rPr>
              <w:t>(10,640,376)</w:t>
            </w:r>
          </w:p>
        </w:tc>
        <w:tc>
          <w:tcPr>
            <w:tcW w:w="0" w:type="dxa"/>
            <w:vAlign w:val="bottom"/>
          </w:tcPr>
          <w:p>
            <w:pPr>
              <w:spacing w:after="0"/>
              <w:rPr>
                <w:sz w:val="1"/>
                <w:szCs w:val="1"/>
                <w:color w:val="auto"/>
              </w:rPr>
            </w:pPr>
          </w:p>
        </w:tc>
      </w:tr>
      <w:tr>
        <w:trPr>
          <w:trHeight w:val="133"/>
        </w:trPr>
        <w:tc>
          <w:tcPr>
            <w:tcW w:w="3900" w:type="dxa"/>
            <w:vAlign w:val="bottom"/>
            <w:tcBorders>
              <w:top w:val="single" w:sz="8" w:color="CCEEFF"/>
              <w:bottom w:val="single" w:sz="8" w:color="CCEEFF"/>
            </w:tcBorders>
            <w:shd w:val="clear" w:color="auto" w:fill="CCEEFF"/>
          </w:tcPr>
          <w:p>
            <w:pPr>
              <w:ind w:left="20"/>
              <w:spacing w:after="0" w:line="133" w:lineRule="exact"/>
              <w:rPr>
                <w:sz w:val="20"/>
                <w:szCs w:val="20"/>
                <w:color w:val="auto"/>
              </w:rPr>
            </w:pPr>
            <w:r>
              <w:rPr>
                <w:rFonts w:ascii="Arial" w:cs="Arial" w:eastAsia="Arial" w:hAnsi="Arial"/>
                <w:sz w:val="13"/>
                <w:szCs w:val="13"/>
                <w:b w:val="1"/>
                <w:bCs w:val="1"/>
                <w:color w:val="auto"/>
              </w:rPr>
              <w:t>Balance at March 31, 2019</w:t>
            </w:r>
          </w:p>
        </w:tc>
        <w:tc>
          <w:tcPr>
            <w:tcW w:w="7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b w:val="1"/>
                <w:bCs w:val="1"/>
                <w:color w:val="auto"/>
              </w:rPr>
              <w:t>33,304,047</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0"/>
                <w:szCs w:val="10"/>
                <w:b w:val="1"/>
                <w:bCs w:val="1"/>
                <w:color w:val="auto"/>
                <w:w w:val="71"/>
              </w:rPr>
              <w:t>$</w:t>
            </w:r>
          </w:p>
        </w:tc>
        <w:tc>
          <w:tcPr>
            <w:tcW w:w="3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b w:val="1"/>
                <w:bCs w:val="1"/>
                <w:color w:val="auto"/>
                <w:w w:val="98"/>
              </w:rPr>
              <w:t>3,330</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b w:val="1"/>
                <w:bCs w:val="1"/>
                <w:color w:val="auto"/>
              </w:rPr>
              <w:t>135,561,052</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b w:val="1"/>
                <w:bCs w:val="1"/>
                <w:color w:val="auto"/>
              </w:rPr>
              <w:t>(118,190,683)</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1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b w:val="1"/>
                <w:bCs w:val="1"/>
                <w:color w:val="auto"/>
              </w:rPr>
              <w:t>17,373,699</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900" w:type="dxa"/>
            <w:vAlign w:val="bottom"/>
            <w:vMerge w:val="restart"/>
          </w:tcPr>
          <w:p>
            <w:pPr>
              <w:ind w:left="20"/>
              <w:spacing w:after="0"/>
              <w:rPr>
                <w:sz w:val="20"/>
                <w:szCs w:val="20"/>
                <w:color w:val="auto"/>
              </w:rPr>
            </w:pPr>
            <w:r>
              <w:rPr>
                <w:rFonts w:ascii="Arial" w:cs="Arial" w:eastAsia="Arial" w:hAnsi="Arial"/>
                <w:sz w:val="13"/>
                <w:szCs w:val="13"/>
                <w:color w:val="auto"/>
              </w:rPr>
              <w:t>Stock-based compensation</w:t>
            </w:r>
          </w:p>
        </w:tc>
        <w:tc>
          <w:tcPr>
            <w:tcW w:w="7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3900" w:type="dxa"/>
            <w:vAlign w:val="bottom"/>
            <w:vMerge w:val="continue"/>
          </w:tcPr>
          <w:p>
            <w:pPr>
              <w:spacing w:after="0"/>
              <w:rPr>
                <w:sz w:val="10"/>
                <w:szCs w:val="10"/>
                <w:color w:val="auto"/>
              </w:rPr>
            </w:pPr>
          </w:p>
        </w:tc>
        <w:tc>
          <w:tcPr>
            <w:tcW w:w="780" w:type="dxa"/>
            <w:vAlign w:val="bottom"/>
          </w:tcPr>
          <w:p>
            <w:pPr>
              <w:jc w:val="right"/>
              <w:spacing w:after="0" w:line="117" w:lineRule="exact"/>
              <w:rPr>
                <w:sz w:val="20"/>
                <w:szCs w:val="20"/>
                <w:color w:val="auto"/>
              </w:rPr>
            </w:pPr>
            <w:r>
              <w:rPr>
                <w:rFonts w:ascii="Arial" w:cs="Arial" w:eastAsia="Arial" w:hAnsi="Arial"/>
                <w:sz w:val="13"/>
                <w:szCs w:val="13"/>
                <w:color w:val="auto"/>
              </w:rPr>
              <w:t>—</w:t>
            </w:r>
          </w:p>
        </w:tc>
        <w:tc>
          <w:tcPr>
            <w:tcW w:w="1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jc w:val="right"/>
              <w:spacing w:after="0" w:line="117" w:lineRule="exact"/>
              <w:rPr>
                <w:sz w:val="20"/>
                <w:szCs w:val="20"/>
                <w:color w:val="auto"/>
              </w:rPr>
            </w:pPr>
            <w:r>
              <w:rPr>
                <w:rFonts w:ascii="Arial" w:cs="Arial" w:eastAsia="Arial" w:hAnsi="Arial"/>
                <w:sz w:val="13"/>
                <w:szCs w:val="13"/>
                <w:color w:val="auto"/>
              </w:rPr>
              <w:t>—</w:t>
            </w:r>
          </w:p>
        </w:tc>
        <w:tc>
          <w:tcPr>
            <w:tcW w:w="1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jc w:val="right"/>
              <w:spacing w:after="0" w:line="117" w:lineRule="exact"/>
              <w:rPr>
                <w:sz w:val="20"/>
                <w:szCs w:val="20"/>
                <w:color w:val="auto"/>
              </w:rPr>
            </w:pPr>
            <w:r>
              <w:rPr>
                <w:rFonts w:ascii="Arial" w:cs="Arial" w:eastAsia="Arial" w:hAnsi="Arial"/>
                <w:sz w:val="13"/>
                <w:szCs w:val="13"/>
                <w:color w:val="auto"/>
              </w:rPr>
              <w:t>888,556</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right"/>
              <w:spacing w:after="0" w:line="117" w:lineRule="exact"/>
              <w:rPr>
                <w:sz w:val="20"/>
                <w:szCs w:val="20"/>
                <w:color w:val="auto"/>
              </w:rPr>
            </w:pPr>
            <w:r>
              <w:rPr>
                <w:rFonts w:ascii="Arial" w:cs="Arial" w:eastAsia="Arial" w:hAnsi="Arial"/>
                <w:sz w:val="13"/>
                <w:szCs w:val="13"/>
                <w:color w:val="auto"/>
              </w:rPr>
              <w:t>—</w:t>
            </w:r>
          </w:p>
        </w:tc>
        <w:tc>
          <w:tcPr>
            <w:tcW w:w="1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jc w:val="right"/>
              <w:spacing w:after="0" w:line="117" w:lineRule="exact"/>
              <w:rPr>
                <w:sz w:val="20"/>
                <w:szCs w:val="20"/>
                <w:color w:val="auto"/>
              </w:rPr>
            </w:pPr>
            <w:r>
              <w:rPr>
                <w:rFonts w:ascii="Arial" w:cs="Arial" w:eastAsia="Arial" w:hAnsi="Arial"/>
                <w:sz w:val="13"/>
                <w:szCs w:val="13"/>
                <w:color w:val="auto"/>
              </w:rPr>
              <w:t>888,556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390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Issuance of common stock upon exercise of options</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59,720</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205,330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205,336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900" w:type="dxa"/>
            <w:vAlign w:val="bottom"/>
          </w:tcPr>
          <w:p>
            <w:pPr>
              <w:ind w:left="20"/>
              <w:spacing w:after="0" w:line="142" w:lineRule="exact"/>
              <w:rPr>
                <w:sz w:val="20"/>
                <w:szCs w:val="20"/>
                <w:color w:val="auto"/>
              </w:rPr>
            </w:pPr>
            <w:r>
              <w:rPr>
                <w:rFonts w:ascii="Arial" w:cs="Arial" w:eastAsia="Arial" w:hAnsi="Arial"/>
                <w:sz w:val="13"/>
                <w:szCs w:val="13"/>
                <w:color w:val="auto"/>
              </w:rPr>
              <w:t>Issuance of common stock upon exercise of warrants</w:t>
            </w:r>
          </w:p>
        </w:tc>
        <w:tc>
          <w:tcPr>
            <w:tcW w:w="780" w:type="dxa"/>
            <w:vAlign w:val="bottom"/>
          </w:tcPr>
          <w:p>
            <w:pPr>
              <w:jc w:val="right"/>
              <w:spacing w:after="0" w:line="142" w:lineRule="exact"/>
              <w:rPr>
                <w:sz w:val="20"/>
                <w:szCs w:val="20"/>
                <w:color w:val="auto"/>
              </w:rPr>
            </w:pPr>
            <w:r>
              <w:rPr>
                <w:rFonts w:ascii="Arial" w:cs="Arial" w:eastAsia="Arial" w:hAnsi="Arial"/>
                <w:sz w:val="13"/>
                <w:szCs w:val="13"/>
                <w:color w:val="auto"/>
              </w:rPr>
              <w:t>24,389</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Arial" w:cs="Arial" w:eastAsia="Arial" w:hAnsi="Arial"/>
                <w:sz w:val="13"/>
                <w:szCs w:val="13"/>
                <w:color w:val="auto"/>
              </w:rPr>
              <w:t>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3"/>
                <w:szCs w:val="13"/>
                <w:color w:val="auto"/>
              </w:rPr>
              <w:t>144,868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180"/>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140" w:type="dxa"/>
            <w:vAlign w:val="bottom"/>
          </w:tcPr>
          <w:p>
            <w:pPr>
              <w:jc w:val="right"/>
              <w:spacing w:after="0" w:line="142" w:lineRule="exact"/>
              <w:rPr>
                <w:sz w:val="20"/>
                <w:szCs w:val="20"/>
                <w:color w:val="auto"/>
              </w:rPr>
            </w:pPr>
            <w:r>
              <w:rPr>
                <w:rFonts w:ascii="Arial" w:cs="Arial" w:eastAsia="Arial" w:hAnsi="Arial"/>
                <w:sz w:val="13"/>
                <w:szCs w:val="13"/>
                <w:color w:val="auto"/>
              </w:rPr>
              <w:t>144,870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90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Issuance of warrants upon debt financing</w:t>
            </w:r>
          </w:p>
        </w:tc>
        <w:tc>
          <w:tcPr>
            <w:tcW w:w="92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3"/>
                <w:szCs w:val="13"/>
                <w:color w:val="auto"/>
              </w:rPr>
              <w:t>(39,000)</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3"/>
                <w:szCs w:val="13"/>
                <w:color w:val="auto"/>
              </w:rPr>
              <w:t>(39,000)</w:t>
            </w:r>
          </w:p>
        </w:tc>
        <w:tc>
          <w:tcPr>
            <w:tcW w:w="0" w:type="dxa"/>
            <w:vAlign w:val="bottom"/>
          </w:tcPr>
          <w:p>
            <w:pPr>
              <w:spacing w:after="0"/>
              <w:rPr>
                <w:sz w:val="1"/>
                <w:szCs w:val="1"/>
                <w:color w:val="auto"/>
              </w:rPr>
            </w:pPr>
          </w:p>
        </w:tc>
      </w:tr>
      <w:tr>
        <w:trPr>
          <w:trHeight w:val="141"/>
        </w:trPr>
        <w:tc>
          <w:tcPr>
            <w:tcW w:w="3900" w:type="dxa"/>
            <w:vAlign w:val="bottom"/>
          </w:tcPr>
          <w:p>
            <w:pPr>
              <w:ind w:left="20"/>
              <w:spacing w:after="0" w:line="142" w:lineRule="exact"/>
              <w:rPr>
                <w:sz w:val="20"/>
                <w:szCs w:val="20"/>
                <w:color w:val="auto"/>
              </w:rPr>
            </w:pPr>
            <w:r>
              <w:rPr>
                <w:rFonts w:ascii="Arial" w:cs="Arial" w:eastAsia="Arial" w:hAnsi="Arial"/>
                <w:sz w:val="13"/>
                <w:szCs w:val="13"/>
                <w:color w:val="auto"/>
              </w:rPr>
              <w:t>Issuance of common stock upon financing</w:t>
            </w:r>
          </w:p>
        </w:tc>
        <w:tc>
          <w:tcPr>
            <w:tcW w:w="780" w:type="dxa"/>
            <w:vAlign w:val="bottom"/>
          </w:tcPr>
          <w:p>
            <w:pPr>
              <w:jc w:val="right"/>
              <w:spacing w:after="0" w:line="142" w:lineRule="exact"/>
              <w:rPr>
                <w:sz w:val="20"/>
                <w:szCs w:val="20"/>
                <w:color w:val="auto"/>
              </w:rPr>
            </w:pPr>
            <w:r>
              <w:rPr>
                <w:rFonts w:ascii="Arial" w:cs="Arial" w:eastAsia="Arial" w:hAnsi="Arial"/>
                <w:sz w:val="13"/>
                <w:szCs w:val="13"/>
                <w:color w:val="auto"/>
              </w:rPr>
              <w:t>942,285</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Arial" w:cs="Arial" w:eastAsia="Arial" w:hAnsi="Arial"/>
                <w:sz w:val="13"/>
                <w:szCs w:val="13"/>
                <w:color w:val="auto"/>
              </w:rPr>
              <w:t>95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3"/>
                <w:szCs w:val="13"/>
                <w:color w:val="auto"/>
              </w:rPr>
              <w:t>19,471,603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180"/>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140" w:type="dxa"/>
            <w:vAlign w:val="bottom"/>
          </w:tcPr>
          <w:p>
            <w:pPr>
              <w:jc w:val="right"/>
              <w:spacing w:after="0" w:line="142" w:lineRule="exact"/>
              <w:rPr>
                <w:sz w:val="20"/>
                <w:szCs w:val="20"/>
                <w:color w:val="auto"/>
              </w:rPr>
            </w:pPr>
            <w:r>
              <w:rPr>
                <w:rFonts w:ascii="Arial" w:cs="Arial" w:eastAsia="Arial" w:hAnsi="Arial"/>
                <w:sz w:val="13"/>
                <w:szCs w:val="13"/>
                <w:color w:val="auto"/>
              </w:rPr>
              <w:t>19,471,698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90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Net loss</w:t>
            </w:r>
          </w:p>
        </w:tc>
        <w:tc>
          <w:tcPr>
            <w:tcW w:w="92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3"/>
                <w:szCs w:val="13"/>
                <w:color w:val="auto"/>
              </w:rPr>
              <w:t>(13,762,214)</w:t>
            </w: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3"/>
                <w:szCs w:val="13"/>
                <w:color w:val="auto"/>
              </w:rPr>
              <w:t>(13,762,214)</w:t>
            </w:r>
          </w:p>
        </w:tc>
        <w:tc>
          <w:tcPr>
            <w:tcW w:w="0" w:type="dxa"/>
            <w:vAlign w:val="bottom"/>
          </w:tcPr>
          <w:p>
            <w:pPr>
              <w:spacing w:after="0"/>
              <w:rPr>
                <w:sz w:val="1"/>
                <w:szCs w:val="1"/>
                <w:color w:val="auto"/>
              </w:rPr>
            </w:pPr>
          </w:p>
        </w:tc>
      </w:tr>
      <w:tr>
        <w:trPr>
          <w:trHeight w:val="185"/>
        </w:trPr>
        <w:tc>
          <w:tcPr>
            <w:tcW w:w="3900" w:type="dxa"/>
            <w:vAlign w:val="bottom"/>
            <w:tcBorders>
              <w:bottom w:val="single" w:sz="8" w:color="CCEEFF"/>
            </w:tcBorders>
          </w:tcPr>
          <w:p>
            <w:pPr>
              <w:ind w:left="20"/>
              <w:spacing w:after="0" w:line="145" w:lineRule="exact"/>
              <w:rPr>
                <w:sz w:val="20"/>
                <w:szCs w:val="20"/>
                <w:color w:val="auto"/>
              </w:rPr>
            </w:pPr>
            <w:r>
              <w:rPr>
                <w:rFonts w:ascii="Arial" w:cs="Arial" w:eastAsia="Arial" w:hAnsi="Arial"/>
                <w:sz w:val="13"/>
                <w:szCs w:val="13"/>
                <w:b w:val="1"/>
                <w:bCs w:val="1"/>
                <w:color w:val="auto"/>
              </w:rPr>
              <w:t>Balance at June 30, 2019</w:t>
            </w:r>
          </w:p>
        </w:tc>
        <w:tc>
          <w:tcPr>
            <w:tcW w:w="780" w:type="dxa"/>
            <w:vAlign w:val="bottom"/>
            <w:tcBorders>
              <w:top w:val="single" w:sz="8" w:color="auto"/>
              <w:bottom w:val="single" w:sz="8" w:color="auto"/>
            </w:tcBorders>
          </w:tcPr>
          <w:p>
            <w:pPr>
              <w:jc w:val="right"/>
              <w:spacing w:after="0" w:line="145" w:lineRule="exact"/>
              <w:rPr>
                <w:sz w:val="20"/>
                <w:szCs w:val="20"/>
                <w:color w:val="auto"/>
              </w:rPr>
            </w:pPr>
            <w:r>
              <w:rPr>
                <w:rFonts w:ascii="Arial" w:cs="Arial" w:eastAsia="Arial" w:hAnsi="Arial"/>
                <w:sz w:val="13"/>
                <w:szCs w:val="13"/>
                <w:b w:val="1"/>
                <w:bCs w:val="1"/>
                <w:color w:val="auto"/>
              </w:rPr>
              <w:t>34,330,441</w:t>
            </w:r>
          </w:p>
        </w:tc>
        <w:tc>
          <w:tcPr>
            <w:tcW w:w="14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0"/>
                <w:szCs w:val="10"/>
                <w:b w:val="1"/>
                <w:bCs w:val="1"/>
                <w:color w:val="auto"/>
                <w:w w:val="71"/>
              </w:rPr>
              <w:t>$</w:t>
            </w:r>
          </w:p>
        </w:tc>
        <w:tc>
          <w:tcPr>
            <w:tcW w:w="380" w:type="dxa"/>
            <w:vAlign w:val="bottom"/>
            <w:tcBorders>
              <w:top w:val="single" w:sz="8" w:color="auto"/>
              <w:bottom w:val="single" w:sz="8" w:color="auto"/>
            </w:tcBorders>
          </w:tcPr>
          <w:p>
            <w:pPr>
              <w:jc w:val="right"/>
              <w:spacing w:after="0" w:line="145" w:lineRule="exact"/>
              <w:rPr>
                <w:sz w:val="20"/>
                <w:szCs w:val="20"/>
                <w:color w:val="auto"/>
              </w:rPr>
            </w:pPr>
            <w:r>
              <w:rPr>
                <w:rFonts w:ascii="Arial" w:cs="Arial" w:eastAsia="Arial" w:hAnsi="Arial"/>
                <w:sz w:val="13"/>
                <w:szCs w:val="13"/>
                <w:b w:val="1"/>
                <w:bCs w:val="1"/>
                <w:color w:val="auto"/>
                <w:w w:val="98"/>
              </w:rPr>
              <w:t>3,433</w:t>
            </w:r>
          </w:p>
        </w:tc>
        <w:tc>
          <w:tcPr>
            <w:tcW w:w="140" w:type="dxa"/>
            <w:vAlign w:val="bottom"/>
            <w:tcBorders>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bottom w:val="single" w:sz="8" w:color="auto"/>
            </w:tcBorders>
          </w:tcPr>
          <w:p>
            <w:pPr>
              <w:jc w:val="right"/>
              <w:spacing w:after="0" w:line="145" w:lineRule="exact"/>
              <w:rPr>
                <w:sz w:val="20"/>
                <w:szCs w:val="20"/>
                <w:color w:val="auto"/>
              </w:rPr>
            </w:pPr>
            <w:r>
              <w:rPr>
                <w:rFonts w:ascii="Arial" w:cs="Arial" w:eastAsia="Arial" w:hAnsi="Arial"/>
                <w:sz w:val="13"/>
                <w:szCs w:val="13"/>
                <w:b w:val="1"/>
                <w:bCs w:val="1"/>
                <w:color w:val="auto"/>
              </w:rPr>
              <w:t>156,232,409</w:t>
            </w:r>
          </w:p>
        </w:tc>
        <w:tc>
          <w:tcPr>
            <w:tcW w:w="14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top w:val="single" w:sz="8" w:color="auto"/>
              <w:bottom w:val="single" w:sz="8" w:color="auto"/>
            </w:tcBorders>
          </w:tcPr>
          <w:p>
            <w:pPr>
              <w:jc w:val="right"/>
              <w:spacing w:after="0" w:line="145" w:lineRule="exact"/>
              <w:rPr>
                <w:sz w:val="20"/>
                <w:szCs w:val="20"/>
                <w:color w:val="auto"/>
              </w:rPr>
            </w:pPr>
            <w:r>
              <w:rPr>
                <w:rFonts w:ascii="Arial" w:cs="Arial" w:eastAsia="Arial" w:hAnsi="Arial"/>
                <w:sz w:val="13"/>
                <w:szCs w:val="13"/>
                <w:b w:val="1"/>
                <w:bCs w:val="1"/>
                <w:color w:val="auto"/>
              </w:rPr>
              <w:t>(131,952,897)</w:t>
            </w:r>
          </w:p>
        </w:tc>
        <w:tc>
          <w:tcPr>
            <w:tcW w:w="140" w:type="dxa"/>
            <w:vAlign w:val="bottom"/>
            <w:tcBorders>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140" w:type="dxa"/>
            <w:vAlign w:val="bottom"/>
            <w:tcBorders>
              <w:top w:val="single" w:sz="8" w:color="auto"/>
              <w:bottom w:val="single" w:sz="8" w:color="auto"/>
            </w:tcBorders>
          </w:tcPr>
          <w:p>
            <w:pPr>
              <w:jc w:val="right"/>
              <w:spacing w:after="0" w:line="145" w:lineRule="exact"/>
              <w:rPr>
                <w:sz w:val="20"/>
                <w:szCs w:val="20"/>
                <w:color w:val="auto"/>
              </w:rPr>
            </w:pPr>
            <w:r>
              <w:rPr>
                <w:rFonts w:ascii="Arial" w:cs="Arial" w:eastAsia="Arial" w:hAnsi="Arial"/>
                <w:sz w:val="13"/>
                <w:szCs w:val="13"/>
                <w:b w:val="1"/>
                <w:bCs w:val="1"/>
                <w:color w:val="auto"/>
              </w:rPr>
              <w:t>24,282,945</w:t>
            </w:r>
          </w:p>
        </w:tc>
        <w:tc>
          <w:tcPr>
            <w:tcW w:w="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39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Stock-based compensation</w:t>
            </w:r>
          </w:p>
        </w:tc>
        <w:tc>
          <w:tcPr>
            <w:tcW w:w="7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1,156,435</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1,156,435</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3900" w:type="dxa"/>
            <w:vAlign w:val="bottom"/>
          </w:tcPr>
          <w:p>
            <w:pPr>
              <w:ind w:left="20"/>
              <w:spacing w:after="0"/>
              <w:rPr>
                <w:sz w:val="20"/>
                <w:szCs w:val="20"/>
                <w:color w:val="auto"/>
              </w:rPr>
            </w:pPr>
            <w:r>
              <w:rPr>
                <w:rFonts w:ascii="Arial" w:cs="Arial" w:eastAsia="Arial" w:hAnsi="Arial"/>
                <w:sz w:val="13"/>
                <w:szCs w:val="13"/>
                <w:color w:val="auto"/>
              </w:rPr>
              <w:t>Issuance of common stock upon exercise of options</w:t>
            </w:r>
          </w:p>
        </w:tc>
        <w:tc>
          <w:tcPr>
            <w:tcW w:w="780" w:type="dxa"/>
            <w:vAlign w:val="bottom"/>
          </w:tcPr>
          <w:p>
            <w:pPr>
              <w:jc w:val="right"/>
              <w:spacing w:after="0"/>
              <w:rPr>
                <w:sz w:val="20"/>
                <w:szCs w:val="20"/>
                <w:color w:val="auto"/>
              </w:rPr>
            </w:pPr>
            <w:r>
              <w:rPr>
                <w:rFonts w:ascii="Arial" w:cs="Arial" w:eastAsia="Arial" w:hAnsi="Arial"/>
                <w:sz w:val="13"/>
                <w:szCs w:val="13"/>
                <w:color w:val="auto"/>
              </w:rPr>
              <w:t>129,218</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13</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483,825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483,838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common stock upon exercise of warrants</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37,187</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34,986</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34,990</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900" w:type="dxa"/>
            <w:vAlign w:val="bottom"/>
          </w:tcPr>
          <w:p>
            <w:pPr>
              <w:ind w:left="20"/>
              <w:spacing w:after="0"/>
              <w:rPr>
                <w:sz w:val="20"/>
                <w:szCs w:val="20"/>
                <w:color w:val="auto"/>
              </w:rPr>
            </w:pPr>
            <w:r>
              <w:rPr>
                <w:rFonts w:ascii="Arial" w:cs="Arial" w:eastAsia="Arial" w:hAnsi="Arial"/>
                <w:sz w:val="13"/>
                <w:szCs w:val="13"/>
                <w:color w:val="auto"/>
              </w:rPr>
              <w:t>Net loss</w:t>
            </w: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(19,135,612)</w:t>
            </w:r>
          </w:p>
        </w:tc>
        <w:tc>
          <w:tcPr>
            <w:tcW w:w="80" w:type="dxa"/>
            <w:vAlign w:val="bottom"/>
          </w:tcPr>
          <w:p>
            <w:pPr>
              <w:spacing w:after="0"/>
              <w:rPr>
                <w:sz w:val="15"/>
                <w:szCs w:val="15"/>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3"/>
                <w:szCs w:val="13"/>
                <w:color w:val="auto"/>
              </w:rPr>
              <w:t>(19,135,612)</w:t>
            </w:r>
          </w:p>
        </w:tc>
        <w:tc>
          <w:tcPr>
            <w:tcW w:w="0" w:type="dxa"/>
            <w:vAlign w:val="bottom"/>
          </w:tcPr>
          <w:p>
            <w:pPr>
              <w:spacing w:after="0"/>
              <w:rPr>
                <w:sz w:val="1"/>
                <w:szCs w:val="1"/>
                <w:color w:val="auto"/>
              </w:rPr>
            </w:pPr>
          </w:p>
        </w:tc>
      </w:tr>
      <w:tr>
        <w:trPr>
          <w:trHeight w:val="145"/>
        </w:trPr>
        <w:tc>
          <w:tcPr>
            <w:tcW w:w="3900" w:type="dxa"/>
            <w:vAlign w:val="bottom"/>
            <w:tcBorders>
              <w:top w:val="single" w:sz="8" w:color="CCEEFF"/>
              <w:bottom w:val="single" w:sz="8" w:color="CCEEFF"/>
            </w:tcBorders>
            <w:shd w:val="clear" w:color="auto" w:fill="CCEEFF"/>
          </w:tcPr>
          <w:p>
            <w:pPr>
              <w:ind w:left="20"/>
              <w:spacing w:after="0" w:line="145" w:lineRule="exact"/>
              <w:rPr>
                <w:sz w:val="20"/>
                <w:szCs w:val="20"/>
                <w:color w:val="auto"/>
              </w:rPr>
            </w:pPr>
            <w:r>
              <w:rPr>
                <w:rFonts w:ascii="Arial" w:cs="Arial" w:eastAsia="Arial" w:hAnsi="Arial"/>
                <w:sz w:val="13"/>
                <w:szCs w:val="13"/>
                <w:b w:val="1"/>
                <w:bCs w:val="1"/>
                <w:color w:val="auto"/>
              </w:rPr>
              <w:t>Balance at September 30, 2019</w:t>
            </w:r>
          </w:p>
        </w:tc>
        <w:tc>
          <w:tcPr>
            <w:tcW w:w="780" w:type="dxa"/>
            <w:vAlign w:val="bottom"/>
            <w:tcBorders>
              <w:top w:val="single" w:sz="8" w:color="auto"/>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3"/>
                <w:szCs w:val="13"/>
                <w:b w:val="1"/>
                <w:bCs w:val="1"/>
                <w:color w:val="auto"/>
              </w:rPr>
              <w:t>34,496,846</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0"/>
                <w:szCs w:val="10"/>
                <w:b w:val="1"/>
                <w:bCs w:val="1"/>
                <w:color w:val="auto"/>
                <w:w w:val="71"/>
              </w:rPr>
              <w:t>$</w:t>
            </w:r>
          </w:p>
        </w:tc>
        <w:tc>
          <w:tcPr>
            <w:tcW w:w="380" w:type="dxa"/>
            <w:vAlign w:val="bottom"/>
            <w:tcBorders>
              <w:top w:val="single" w:sz="8" w:color="auto"/>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3"/>
                <w:szCs w:val="13"/>
                <w:b w:val="1"/>
                <w:bCs w:val="1"/>
                <w:color w:val="auto"/>
                <w:w w:val="98"/>
              </w:rPr>
              <w:t>3,450</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3"/>
                <w:szCs w:val="13"/>
                <w:b w:val="1"/>
                <w:bCs w:val="1"/>
                <w:color w:val="auto"/>
              </w:rPr>
              <w:t>157,907,655</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3"/>
                <w:szCs w:val="13"/>
                <w:b w:val="1"/>
                <w:bCs w:val="1"/>
                <w:color w:val="auto"/>
              </w:rPr>
              <w:t>(151,088,509)</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140" w:type="dxa"/>
            <w:vAlign w:val="bottom"/>
            <w:tcBorders>
              <w:top w:val="single" w:sz="8" w:color="auto"/>
              <w:bottom w:val="single" w:sz="8" w:color="auto"/>
            </w:tcBorders>
            <w:shd w:val="clear" w:color="auto" w:fill="CCEEFF"/>
          </w:tcPr>
          <w:p>
            <w:pPr>
              <w:jc w:val="right"/>
              <w:spacing w:after="0" w:line="145" w:lineRule="exact"/>
              <w:rPr>
                <w:sz w:val="20"/>
                <w:szCs w:val="20"/>
                <w:color w:val="auto"/>
              </w:rPr>
            </w:pPr>
            <w:r>
              <w:rPr>
                <w:rFonts w:ascii="Arial" w:cs="Arial" w:eastAsia="Arial" w:hAnsi="Arial"/>
                <w:sz w:val="13"/>
                <w:szCs w:val="13"/>
                <w:b w:val="1"/>
                <w:bCs w:val="1"/>
                <w:color w:val="auto"/>
              </w:rPr>
              <w:t>6,822,596</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390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Balance at December 31, 2019</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36,933,217</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w w:val="98"/>
              </w:rPr>
              <w:t>3,693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354,614,189</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3"/>
                <w:szCs w:val="13"/>
                <w:color w:val="auto"/>
              </w:rPr>
              <w:t>(175,895,493)</w:t>
            </w: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178,722,389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900" w:type="dxa"/>
            <w:vAlign w:val="bottom"/>
          </w:tcPr>
          <w:p>
            <w:pPr>
              <w:ind w:left="20"/>
              <w:spacing w:after="0" w:line="142" w:lineRule="exact"/>
              <w:rPr>
                <w:sz w:val="20"/>
                <w:szCs w:val="20"/>
                <w:color w:val="auto"/>
              </w:rPr>
            </w:pPr>
            <w:r>
              <w:rPr>
                <w:rFonts w:ascii="Arial" w:cs="Arial" w:eastAsia="Arial" w:hAnsi="Arial"/>
                <w:sz w:val="13"/>
                <w:szCs w:val="13"/>
                <w:color w:val="auto"/>
              </w:rPr>
              <w:t>Stock-based compensation</w:t>
            </w:r>
          </w:p>
        </w:tc>
        <w:tc>
          <w:tcPr>
            <w:tcW w:w="920" w:type="dxa"/>
            <w:vAlign w:val="bottom"/>
            <w:gridSpan w:val="2"/>
          </w:tcPr>
          <w:p>
            <w:pPr>
              <w:jc w:val="right"/>
              <w:ind w:right="180"/>
              <w:spacing w:after="0" w:line="142"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520" w:type="dxa"/>
            <w:vAlign w:val="bottom"/>
            <w:gridSpan w:val="2"/>
          </w:tcPr>
          <w:p>
            <w:pPr>
              <w:jc w:val="right"/>
              <w:ind w:right="180"/>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3"/>
                <w:szCs w:val="13"/>
                <w:color w:val="auto"/>
              </w:rPr>
              <w:t>2,133,530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180"/>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140" w:type="dxa"/>
            <w:vAlign w:val="bottom"/>
          </w:tcPr>
          <w:p>
            <w:pPr>
              <w:jc w:val="right"/>
              <w:spacing w:after="0" w:line="142" w:lineRule="exact"/>
              <w:rPr>
                <w:sz w:val="20"/>
                <w:szCs w:val="20"/>
                <w:color w:val="auto"/>
              </w:rPr>
            </w:pPr>
            <w:r>
              <w:rPr>
                <w:rFonts w:ascii="Arial" w:cs="Arial" w:eastAsia="Arial" w:hAnsi="Arial"/>
                <w:sz w:val="13"/>
                <w:szCs w:val="13"/>
                <w:color w:val="auto"/>
              </w:rPr>
              <w:t>2,133,530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90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Issuance of common stock upon exercise of options</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60,186</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629,750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629,756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900" w:type="dxa"/>
            <w:vAlign w:val="bottom"/>
          </w:tcPr>
          <w:p>
            <w:pPr>
              <w:ind w:left="20"/>
              <w:spacing w:after="0" w:line="142" w:lineRule="exact"/>
              <w:rPr>
                <w:sz w:val="20"/>
                <w:szCs w:val="20"/>
                <w:color w:val="auto"/>
              </w:rPr>
            </w:pPr>
            <w:r>
              <w:rPr>
                <w:rFonts w:ascii="Arial" w:cs="Arial" w:eastAsia="Arial" w:hAnsi="Arial"/>
                <w:sz w:val="13"/>
                <w:szCs w:val="13"/>
                <w:color w:val="auto"/>
              </w:rPr>
              <w:t>Issuance of common stock related to license agreement</w:t>
            </w:r>
          </w:p>
        </w:tc>
        <w:tc>
          <w:tcPr>
            <w:tcW w:w="780" w:type="dxa"/>
            <w:vAlign w:val="bottom"/>
          </w:tcPr>
          <w:p>
            <w:pPr>
              <w:jc w:val="right"/>
              <w:spacing w:after="0" w:line="142" w:lineRule="exact"/>
              <w:rPr>
                <w:sz w:val="20"/>
                <w:szCs w:val="20"/>
                <w:color w:val="auto"/>
              </w:rPr>
            </w:pPr>
            <w:r>
              <w:rPr>
                <w:rFonts w:ascii="Arial" w:cs="Arial" w:eastAsia="Arial" w:hAnsi="Arial"/>
                <w:sz w:val="13"/>
                <w:szCs w:val="13"/>
                <w:color w:val="auto"/>
              </w:rPr>
              <w:t>82,019</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Arial" w:cs="Arial" w:eastAsia="Arial" w:hAnsi="Arial"/>
                <w:sz w:val="13"/>
                <w:szCs w:val="13"/>
                <w:color w:val="auto"/>
              </w:rPr>
              <w:t>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3"/>
                <w:szCs w:val="13"/>
                <w:color w:val="auto"/>
              </w:rPr>
              <w:t>7,155,329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180"/>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140" w:type="dxa"/>
            <w:vAlign w:val="bottom"/>
          </w:tcPr>
          <w:p>
            <w:pPr>
              <w:jc w:val="right"/>
              <w:spacing w:after="0" w:line="142" w:lineRule="exact"/>
              <w:rPr>
                <w:sz w:val="20"/>
                <w:szCs w:val="20"/>
                <w:color w:val="auto"/>
              </w:rPr>
            </w:pPr>
            <w:r>
              <w:rPr>
                <w:rFonts w:ascii="Arial" w:cs="Arial" w:eastAsia="Arial" w:hAnsi="Arial"/>
                <w:sz w:val="13"/>
                <w:szCs w:val="13"/>
                <w:color w:val="auto"/>
              </w:rPr>
              <w:t>7,155,337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90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Net loss</w:t>
            </w:r>
          </w:p>
        </w:tc>
        <w:tc>
          <w:tcPr>
            <w:tcW w:w="92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3"/>
                <w:szCs w:val="13"/>
                <w:color w:val="auto"/>
              </w:rPr>
              <w:t>(32,484,146)</w:t>
            </w: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3"/>
                <w:szCs w:val="13"/>
                <w:color w:val="auto"/>
              </w:rPr>
              <w:t>(32,484,146)</w:t>
            </w:r>
          </w:p>
        </w:tc>
        <w:tc>
          <w:tcPr>
            <w:tcW w:w="0" w:type="dxa"/>
            <w:vAlign w:val="bottom"/>
          </w:tcPr>
          <w:p>
            <w:pPr>
              <w:spacing w:after="0"/>
              <w:rPr>
                <w:sz w:val="1"/>
                <w:szCs w:val="1"/>
                <w:color w:val="auto"/>
              </w:rPr>
            </w:pPr>
          </w:p>
        </w:tc>
      </w:tr>
      <w:tr>
        <w:trPr>
          <w:trHeight w:val="173"/>
        </w:trPr>
        <w:tc>
          <w:tcPr>
            <w:tcW w:w="3900" w:type="dxa"/>
            <w:vAlign w:val="bottom"/>
            <w:tcBorders>
              <w:bottom w:val="single" w:sz="8" w:color="CCEEFF"/>
            </w:tcBorders>
          </w:tcPr>
          <w:p>
            <w:pPr>
              <w:ind w:left="20"/>
              <w:spacing w:after="0" w:line="133" w:lineRule="exact"/>
              <w:rPr>
                <w:sz w:val="20"/>
                <w:szCs w:val="20"/>
                <w:color w:val="auto"/>
              </w:rPr>
            </w:pPr>
            <w:r>
              <w:rPr>
                <w:rFonts w:ascii="Arial" w:cs="Arial" w:eastAsia="Arial" w:hAnsi="Arial"/>
                <w:sz w:val="13"/>
                <w:szCs w:val="13"/>
                <w:b w:val="1"/>
                <w:bCs w:val="1"/>
                <w:color w:val="auto"/>
              </w:rPr>
              <w:t>Balance at March 31, 2020</w:t>
            </w:r>
          </w:p>
        </w:tc>
        <w:tc>
          <w:tcPr>
            <w:tcW w:w="7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3"/>
                <w:szCs w:val="13"/>
                <w:b w:val="1"/>
                <w:bCs w:val="1"/>
                <w:color w:val="auto"/>
              </w:rPr>
              <w:t>37,075,422</w:t>
            </w:r>
          </w:p>
        </w:tc>
        <w:tc>
          <w:tcPr>
            <w:tcW w:w="14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0"/>
                <w:szCs w:val="10"/>
                <w:b w:val="1"/>
                <w:bCs w:val="1"/>
                <w:color w:val="auto"/>
                <w:w w:val="71"/>
              </w:rPr>
              <w:t>$</w:t>
            </w:r>
          </w:p>
        </w:tc>
        <w:tc>
          <w:tcPr>
            <w:tcW w:w="3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3"/>
                <w:szCs w:val="13"/>
                <w:b w:val="1"/>
                <w:bCs w:val="1"/>
                <w:color w:val="auto"/>
                <w:w w:val="98"/>
              </w:rPr>
              <w:t>3,707</w:t>
            </w:r>
          </w:p>
        </w:tc>
        <w:tc>
          <w:tcPr>
            <w:tcW w:w="14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3"/>
                <w:szCs w:val="13"/>
                <w:b w:val="1"/>
                <w:bCs w:val="1"/>
                <w:color w:val="auto"/>
              </w:rPr>
              <w:t>364,532,798</w:t>
            </w:r>
          </w:p>
        </w:tc>
        <w:tc>
          <w:tcPr>
            <w:tcW w:w="14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3"/>
                <w:szCs w:val="13"/>
                <w:b w:val="1"/>
                <w:bCs w:val="1"/>
                <w:color w:val="auto"/>
              </w:rPr>
              <w:t>(208,379,639)</w:t>
            </w:r>
          </w:p>
        </w:tc>
        <w:tc>
          <w:tcPr>
            <w:tcW w:w="14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14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3"/>
                <w:szCs w:val="13"/>
                <w:b w:val="1"/>
                <w:bCs w:val="1"/>
                <w:color w:val="auto"/>
              </w:rPr>
              <w:t>156,156,866</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900" w:type="dxa"/>
            <w:vAlign w:val="bottom"/>
            <w:shd w:val="clear" w:color="auto" w:fill="CCEEFF"/>
          </w:tcPr>
          <w:p>
            <w:pPr>
              <w:ind w:left="20"/>
              <w:spacing w:after="0" w:line="117" w:lineRule="exact"/>
              <w:rPr>
                <w:sz w:val="20"/>
                <w:szCs w:val="20"/>
                <w:color w:val="auto"/>
              </w:rPr>
            </w:pPr>
            <w:r>
              <w:rPr>
                <w:rFonts w:ascii="Arial" w:cs="Arial" w:eastAsia="Arial" w:hAnsi="Arial"/>
                <w:sz w:val="13"/>
                <w:szCs w:val="13"/>
                <w:color w:val="auto"/>
              </w:rPr>
              <w:t>Stock-based compensation</w:t>
            </w:r>
          </w:p>
        </w:tc>
        <w:tc>
          <w:tcPr>
            <w:tcW w:w="780" w:type="dxa"/>
            <w:vAlign w:val="bottom"/>
            <w:shd w:val="clear" w:color="auto" w:fill="CCEEFF"/>
          </w:tcPr>
          <w:p>
            <w:pPr>
              <w:jc w:val="right"/>
              <w:spacing w:after="0" w:line="117"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17"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17" w:lineRule="exact"/>
              <w:rPr>
                <w:sz w:val="20"/>
                <w:szCs w:val="20"/>
                <w:color w:val="auto"/>
              </w:rPr>
            </w:pPr>
            <w:r>
              <w:rPr>
                <w:rFonts w:ascii="Arial" w:cs="Arial" w:eastAsia="Arial" w:hAnsi="Arial"/>
                <w:sz w:val="13"/>
                <w:szCs w:val="13"/>
                <w:color w:val="auto"/>
              </w:rPr>
              <w:t>4,148,025</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line="117"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40" w:type="dxa"/>
            <w:vAlign w:val="bottom"/>
            <w:shd w:val="clear" w:color="auto" w:fill="CCEEFF"/>
          </w:tcPr>
          <w:p>
            <w:pPr>
              <w:jc w:val="right"/>
              <w:spacing w:after="0" w:line="117" w:lineRule="exact"/>
              <w:rPr>
                <w:sz w:val="20"/>
                <w:szCs w:val="20"/>
                <w:color w:val="auto"/>
              </w:rPr>
            </w:pPr>
            <w:r>
              <w:rPr>
                <w:rFonts w:ascii="Arial" w:cs="Arial" w:eastAsia="Arial" w:hAnsi="Arial"/>
                <w:sz w:val="13"/>
                <w:szCs w:val="13"/>
                <w:color w:val="auto"/>
              </w:rPr>
              <w:t>4,148,025</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3900" w:type="dxa"/>
            <w:vAlign w:val="bottom"/>
          </w:tcPr>
          <w:p>
            <w:pPr>
              <w:ind w:left="20"/>
              <w:spacing w:after="0" w:line="142" w:lineRule="exact"/>
              <w:rPr>
                <w:sz w:val="20"/>
                <w:szCs w:val="20"/>
                <w:color w:val="auto"/>
              </w:rPr>
            </w:pPr>
            <w:r>
              <w:rPr>
                <w:rFonts w:ascii="Arial" w:cs="Arial" w:eastAsia="Arial" w:hAnsi="Arial"/>
                <w:sz w:val="13"/>
                <w:szCs w:val="13"/>
                <w:color w:val="auto"/>
              </w:rPr>
              <w:t>Issuance of common stock upon exercise of options</w:t>
            </w:r>
          </w:p>
        </w:tc>
        <w:tc>
          <w:tcPr>
            <w:tcW w:w="780" w:type="dxa"/>
            <w:vAlign w:val="bottom"/>
          </w:tcPr>
          <w:p>
            <w:pPr>
              <w:jc w:val="right"/>
              <w:spacing w:after="0" w:line="142" w:lineRule="exact"/>
              <w:rPr>
                <w:sz w:val="20"/>
                <w:szCs w:val="20"/>
                <w:color w:val="auto"/>
              </w:rPr>
            </w:pPr>
            <w:r>
              <w:rPr>
                <w:rFonts w:ascii="Arial" w:cs="Arial" w:eastAsia="Arial" w:hAnsi="Arial"/>
                <w:sz w:val="13"/>
                <w:szCs w:val="13"/>
                <w:color w:val="auto"/>
              </w:rPr>
              <w:t>20,428</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Arial" w:cs="Arial" w:eastAsia="Arial" w:hAnsi="Arial"/>
                <w:sz w:val="13"/>
                <w:szCs w:val="13"/>
                <w:color w:val="auto"/>
              </w:rPr>
              <w:t>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3"/>
                <w:szCs w:val="13"/>
                <w:color w:val="auto"/>
              </w:rPr>
              <w:t>190,407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180"/>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140" w:type="dxa"/>
            <w:vAlign w:val="bottom"/>
          </w:tcPr>
          <w:p>
            <w:pPr>
              <w:jc w:val="right"/>
              <w:spacing w:after="0" w:line="142" w:lineRule="exact"/>
              <w:rPr>
                <w:sz w:val="20"/>
                <w:szCs w:val="20"/>
                <w:color w:val="auto"/>
              </w:rPr>
            </w:pPr>
            <w:r>
              <w:rPr>
                <w:rFonts w:ascii="Arial" w:cs="Arial" w:eastAsia="Arial" w:hAnsi="Arial"/>
                <w:sz w:val="13"/>
                <w:szCs w:val="13"/>
                <w:color w:val="auto"/>
              </w:rPr>
              <w:t>190,409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90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Issuance of common stock upon exercise of warrants</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29,982</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900" w:type="dxa"/>
            <w:vAlign w:val="bottom"/>
          </w:tcPr>
          <w:p>
            <w:pPr>
              <w:ind w:left="20"/>
              <w:spacing w:after="0" w:line="142" w:lineRule="exact"/>
              <w:rPr>
                <w:sz w:val="20"/>
                <w:szCs w:val="20"/>
                <w:color w:val="auto"/>
              </w:rPr>
            </w:pPr>
            <w:r>
              <w:rPr>
                <w:rFonts w:ascii="Arial" w:cs="Arial" w:eastAsia="Arial" w:hAnsi="Arial"/>
                <w:sz w:val="13"/>
                <w:szCs w:val="13"/>
                <w:color w:val="auto"/>
              </w:rPr>
              <w:t>Issuance of common stock upon financing</w:t>
            </w:r>
          </w:p>
        </w:tc>
        <w:tc>
          <w:tcPr>
            <w:tcW w:w="780" w:type="dxa"/>
            <w:vAlign w:val="bottom"/>
          </w:tcPr>
          <w:p>
            <w:pPr>
              <w:jc w:val="right"/>
              <w:spacing w:after="0" w:line="142" w:lineRule="exact"/>
              <w:rPr>
                <w:sz w:val="20"/>
                <w:szCs w:val="20"/>
                <w:color w:val="auto"/>
              </w:rPr>
            </w:pPr>
            <w:r>
              <w:rPr>
                <w:rFonts w:ascii="Arial" w:cs="Arial" w:eastAsia="Arial" w:hAnsi="Arial"/>
                <w:sz w:val="13"/>
                <w:szCs w:val="13"/>
                <w:color w:val="auto"/>
              </w:rPr>
              <w:t>141,678</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Arial" w:cs="Arial" w:eastAsia="Arial" w:hAnsi="Arial"/>
                <w:sz w:val="13"/>
                <w:szCs w:val="13"/>
                <w:color w:val="auto"/>
              </w:rPr>
              <w:t>14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3"/>
                <w:szCs w:val="13"/>
                <w:color w:val="auto"/>
              </w:rPr>
              <w:t>12,074,985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180"/>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140" w:type="dxa"/>
            <w:vAlign w:val="bottom"/>
          </w:tcPr>
          <w:p>
            <w:pPr>
              <w:jc w:val="right"/>
              <w:spacing w:after="0" w:line="142" w:lineRule="exact"/>
              <w:rPr>
                <w:sz w:val="20"/>
                <w:szCs w:val="20"/>
                <w:color w:val="auto"/>
              </w:rPr>
            </w:pPr>
            <w:r>
              <w:rPr>
                <w:rFonts w:ascii="Arial" w:cs="Arial" w:eastAsia="Arial" w:hAnsi="Arial"/>
                <w:sz w:val="13"/>
                <w:szCs w:val="13"/>
                <w:color w:val="auto"/>
              </w:rPr>
              <w:t>12,074,999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90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Net loss</w:t>
            </w:r>
          </w:p>
        </w:tc>
        <w:tc>
          <w:tcPr>
            <w:tcW w:w="92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3"/>
                <w:szCs w:val="13"/>
                <w:color w:val="auto"/>
              </w:rPr>
              <w:t>(18,326,992)</w:t>
            </w: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3"/>
                <w:szCs w:val="13"/>
                <w:color w:val="auto"/>
              </w:rPr>
              <w:t>(18,326,992)</w:t>
            </w:r>
          </w:p>
        </w:tc>
        <w:tc>
          <w:tcPr>
            <w:tcW w:w="0" w:type="dxa"/>
            <w:vAlign w:val="bottom"/>
          </w:tcPr>
          <w:p>
            <w:pPr>
              <w:spacing w:after="0"/>
              <w:rPr>
                <w:sz w:val="1"/>
                <w:szCs w:val="1"/>
                <w:color w:val="auto"/>
              </w:rPr>
            </w:pPr>
          </w:p>
        </w:tc>
      </w:tr>
      <w:tr>
        <w:trPr>
          <w:trHeight w:val="173"/>
        </w:trPr>
        <w:tc>
          <w:tcPr>
            <w:tcW w:w="3900" w:type="dxa"/>
            <w:vAlign w:val="bottom"/>
            <w:tcBorders>
              <w:bottom w:val="single" w:sz="8" w:color="CCEEFF"/>
            </w:tcBorders>
          </w:tcPr>
          <w:p>
            <w:pPr>
              <w:ind w:left="20"/>
              <w:spacing w:after="0" w:line="133" w:lineRule="exact"/>
              <w:rPr>
                <w:sz w:val="20"/>
                <w:szCs w:val="20"/>
                <w:color w:val="auto"/>
              </w:rPr>
            </w:pPr>
            <w:r>
              <w:rPr>
                <w:rFonts w:ascii="Arial" w:cs="Arial" w:eastAsia="Arial" w:hAnsi="Arial"/>
                <w:sz w:val="13"/>
                <w:szCs w:val="13"/>
                <w:b w:val="1"/>
                <w:bCs w:val="1"/>
                <w:color w:val="auto"/>
              </w:rPr>
              <w:t>Balance at June 30, 2020</w:t>
            </w:r>
          </w:p>
        </w:tc>
        <w:tc>
          <w:tcPr>
            <w:tcW w:w="7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3"/>
                <w:szCs w:val="13"/>
                <w:b w:val="1"/>
                <w:bCs w:val="1"/>
                <w:color w:val="auto"/>
              </w:rPr>
              <w:t>37,267,510</w:t>
            </w:r>
          </w:p>
        </w:tc>
        <w:tc>
          <w:tcPr>
            <w:tcW w:w="14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0"/>
                <w:szCs w:val="10"/>
                <w:b w:val="1"/>
                <w:bCs w:val="1"/>
                <w:color w:val="auto"/>
                <w:w w:val="71"/>
              </w:rPr>
              <w:t>$</w:t>
            </w:r>
          </w:p>
        </w:tc>
        <w:tc>
          <w:tcPr>
            <w:tcW w:w="3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3"/>
                <w:szCs w:val="13"/>
                <w:b w:val="1"/>
                <w:bCs w:val="1"/>
                <w:color w:val="auto"/>
                <w:w w:val="98"/>
              </w:rPr>
              <w:t>3,726</w:t>
            </w:r>
          </w:p>
        </w:tc>
        <w:tc>
          <w:tcPr>
            <w:tcW w:w="14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3"/>
                <w:szCs w:val="13"/>
                <w:b w:val="1"/>
                <w:bCs w:val="1"/>
                <w:color w:val="auto"/>
              </w:rPr>
              <w:t>380,946,215</w:t>
            </w:r>
          </w:p>
        </w:tc>
        <w:tc>
          <w:tcPr>
            <w:tcW w:w="14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3"/>
                <w:szCs w:val="13"/>
                <w:b w:val="1"/>
                <w:bCs w:val="1"/>
                <w:color w:val="auto"/>
              </w:rPr>
              <w:t>(226,706,631)</w:t>
            </w:r>
          </w:p>
        </w:tc>
        <w:tc>
          <w:tcPr>
            <w:tcW w:w="14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14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3"/>
                <w:szCs w:val="13"/>
                <w:b w:val="1"/>
                <w:bCs w:val="1"/>
                <w:color w:val="auto"/>
              </w:rPr>
              <w:t>154,243,310</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900" w:type="dxa"/>
            <w:vAlign w:val="bottom"/>
            <w:shd w:val="clear" w:color="auto" w:fill="CCEEFF"/>
          </w:tcPr>
          <w:p>
            <w:pPr>
              <w:ind w:left="20"/>
              <w:spacing w:after="0" w:line="117" w:lineRule="exact"/>
              <w:rPr>
                <w:sz w:val="20"/>
                <w:szCs w:val="20"/>
                <w:color w:val="auto"/>
              </w:rPr>
            </w:pPr>
            <w:r>
              <w:rPr>
                <w:rFonts w:ascii="Arial" w:cs="Arial" w:eastAsia="Arial" w:hAnsi="Arial"/>
                <w:sz w:val="13"/>
                <w:szCs w:val="13"/>
                <w:color w:val="auto"/>
              </w:rPr>
              <w:t>Stock-based compensation</w:t>
            </w: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17" w:lineRule="exact"/>
              <w:rPr>
                <w:sz w:val="20"/>
                <w:szCs w:val="20"/>
                <w:color w:val="auto"/>
              </w:rPr>
            </w:pPr>
            <w:r>
              <w:rPr>
                <w:rFonts w:ascii="Arial" w:cs="Arial" w:eastAsia="Arial" w:hAnsi="Arial"/>
                <w:sz w:val="13"/>
                <w:szCs w:val="13"/>
                <w:color w:val="auto"/>
              </w:rPr>
              <w:t>2,868,818</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line="117"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40" w:type="dxa"/>
            <w:vAlign w:val="bottom"/>
            <w:shd w:val="clear" w:color="auto" w:fill="CCEEFF"/>
          </w:tcPr>
          <w:p>
            <w:pPr>
              <w:jc w:val="right"/>
              <w:spacing w:after="0" w:line="117" w:lineRule="exact"/>
              <w:rPr>
                <w:sz w:val="20"/>
                <w:szCs w:val="20"/>
                <w:color w:val="auto"/>
              </w:rPr>
            </w:pPr>
            <w:r>
              <w:rPr>
                <w:rFonts w:ascii="Arial" w:cs="Arial" w:eastAsia="Arial" w:hAnsi="Arial"/>
                <w:sz w:val="13"/>
                <w:szCs w:val="13"/>
                <w:color w:val="auto"/>
              </w:rPr>
              <w:t>2,868,818</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3900" w:type="dxa"/>
            <w:vAlign w:val="bottom"/>
          </w:tcPr>
          <w:p>
            <w:pPr>
              <w:ind w:left="20"/>
              <w:spacing w:after="0" w:line="142" w:lineRule="exact"/>
              <w:rPr>
                <w:sz w:val="20"/>
                <w:szCs w:val="20"/>
                <w:color w:val="auto"/>
              </w:rPr>
            </w:pPr>
            <w:r>
              <w:rPr>
                <w:rFonts w:ascii="Arial" w:cs="Arial" w:eastAsia="Arial" w:hAnsi="Arial"/>
                <w:sz w:val="13"/>
                <w:szCs w:val="13"/>
                <w:color w:val="auto"/>
              </w:rPr>
              <w:t>Issuance of common stock upon exercise of options</w:t>
            </w:r>
          </w:p>
        </w:tc>
        <w:tc>
          <w:tcPr>
            <w:tcW w:w="780" w:type="dxa"/>
            <w:vAlign w:val="bottom"/>
          </w:tcPr>
          <w:p>
            <w:pPr>
              <w:jc w:val="right"/>
              <w:spacing w:after="0" w:line="142" w:lineRule="exact"/>
              <w:rPr>
                <w:sz w:val="20"/>
                <w:szCs w:val="20"/>
                <w:color w:val="auto"/>
              </w:rPr>
            </w:pPr>
            <w:r>
              <w:rPr>
                <w:rFonts w:ascii="Arial" w:cs="Arial" w:eastAsia="Arial" w:hAnsi="Arial"/>
                <w:sz w:val="13"/>
                <w:szCs w:val="13"/>
                <w:color w:val="auto"/>
              </w:rPr>
              <w:t>42,842</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Arial" w:cs="Arial" w:eastAsia="Arial" w:hAnsi="Arial"/>
                <w:sz w:val="13"/>
                <w:szCs w:val="13"/>
                <w:color w:val="auto"/>
              </w:rPr>
              <w:t>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3"/>
                <w:szCs w:val="13"/>
                <w:color w:val="auto"/>
              </w:rPr>
              <w:t>190,222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180"/>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140" w:type="dxa"/>
            <w:vAlign w:val="bottom"/>
          </w:tcPr>
          <w:p>
            <w:pPr>
              <w:jc w:val="right"/>
              <w:spacing w:after="0" w:line="142" w:lineRule="exact"/>
              <w:rPr>
                <w:sz w:val="20"/>
                <w:szCs w:val="20"/>
                <w:color w:val="auto"/>
              </w:rPr>
            </w:pPr>
            <w:r>
              <w:rPr>
                <w:rFonts w:ascii="Arial" w:cs="Arial" w:eastAsia="Arial" w:hAnsi="Arial"/>
                <w:sz w:val="13"/>
                <w:szCs w:val="13"/>
                <w:color w:val="auto"/>
              </w:rPr>
              <w:t>190,226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90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Issuance of common stock upon exercise of warrants</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33,849</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900" w:type="dxa"/>
            <w:vAlign w:val="bottom"/>
          </w:tcPr>
          <w:p>
            <w:pPr>
              <w:ind w:left="20"/>
              <w:spacing w:after="0" w:line="142" w:lineRule="exact"/>
              <w:rPr>
                <w:sz w:val="20"/>
                <w:szCs w:val="20"/>
                <w:color w:val="auto"/>
              </w:rPr>
            </w:pPr>
            <w:r>
              <w:rPr>
                <w:rFonts w:ascii="Arial" w:cs="Arial" w:eastAsia="Arial" w:hAnsi="Arial"/>
                <w:sz w:val="13"/>
                <w:szCs w:val="13"/>
                <w:color w:val="auto"/>
              </w:rPr>
              <w:t>Issuance of warrants upon debt financing</w:t>
            </w:r>
          </w:p>
        </w:tc>
        <w:tc>
          <w:tcPr>
            <w:tcW w:w="920" w:type="dxa"/>
            <w:vAlign w:val="bottom"/>
            <w:gridSpan w:val="2"/>
          </w:tcPr>
          <w:p>
            <w:pPr>
              <w:jc w:val="right"/>
              <w:ind w:right="180"/>
              <w:spacing w:after="0" w:line="142"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520" w:type="dxa"/>
            <w:vAlign w:val="bottom"/>
            <w:gridSpan w:val="2"/>
          </w:tcPr>
          <w:p>
            <w:pPr>
              <w:jc w:val="right"/>
              <w:ind w:right="180"/>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3"/>
                <w:szCs w:val="13"/>
                <w:color w:val="auto"/>
              </w:rPr>
              <w:t>884,216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180"/>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140" w:type="dxa"/>
            <w:vAlign w:val="bottom"/>
          </w:tcPr>
          <w:p>
            <w:pPr>
              <w:jc w:val="right"/>
              <w:spacing w:after="0" w:line="142" w:lineRule="exact"/>
              <w:rPr>
                <w:sz w:val="20"/>
                <w:szCs w:val="20"/>
                <w:color w:val="auto"/>
              </w:rPr>
            </w:pPr>
            <w:r>
              <w:rPr>
                <w:rFonts w:ascii="Arial" w:cs="Arial" w:eastAsia="Arial" w:hAnsi="Arial"/>
                <w:sz w:val="13"/>
                <w:szCs w:val="13"/>
                <w:color w:val="auto"/>
              </w:rPr>
              <w:t>884,216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90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Net loss</w:t>
            </w:r>
          </w:p>
        </w:tc>
        <w:tc>
          <w:tcPr>
            <w:tcW w:w="92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3"/>
                <w:szCs w:val="13"/>
                <w:color w:val="auto"/>
              </w:rPr>
              <w:t>(22,924,815)</w:t>
            </w: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3"/>
                <w:szCs w:val="13"/>
                <w:color w:val="auto"/>
              </w:rPr>
              <w:t>(22,924,815)</w:t>
            </w:r>
          </w:p>
        </w:tc>
        <w:tc>
          <w:tcPr>
            <w:tcW w:w="0" w:type="dxa"/>
            <w:vAlign w:val="bottom"/>
          </w:tcPr>
          <w:p>
            <w:pPr>
              <w:spacing w:after="0"/>
              <w:rPr>
                <w:sz w:val="1"/>
                <w:szCs w:val="1"/>
                <w:color w:val="auto"/>
              </w:rPr>
            </w:pPr>
          </w:p>
        </w:tc>
      </w:tr>
      <w:tr>
        <w:trPr>
          <w:trHeight w:val="145"/>
        </w:trPr>
        <w:tc>
          <w:tcPr>
            <w:tcW w:w="3900" w:type="dxa"/>
            <w:vAlign w:val="bottom"/>
          </w:tcPr>
          <w:p>
            <w:pPr>
              <w:ind w:left="20"/>
              <w:spacing w:after="0" w:line="145" w:lineRule="exact"/>
              <w:rPr>
                <w:sz w:val="20"/>
                <w:szCs w:val="20"/>
                <w:color w:val="auto"/>
              </w:rPr>
            </w:pPr>
            <w:r>
              <w:rPr>
                <w:rFonts w:ascii="Arial" w:cs="Arial" w:eastAsia="Arial" w:hAnsi="Arial"/>
                <w:sz w:val="13"/>
                <w:szCs w:val="13"/>
                <w:b w:val="1"/>
                <w:bCs w:val="1"/>
                <w:color w:val="auto"/>
              </w:rPr>
              <w:t>Balance at September 30, 2020</w:t>
            </w:r>
          </w:p>
        </w:tc>
        <w:tc>
          <w:tcPr>
            <w:tcW w:w="780" w:type="dxa"/>
            <w:vAlign w:val="bottom"/>
            <w:tcBorders>
              <w:top w:val="single" w:sz="8" w:color="auto"/>
              <w:bottom w:val="single" w:sz="8" w:color="auto"/>
            </w:tcBorders>
          </w:tcPr>
          <w:p>
            <w:pPr>
              <w:jc w:val="right"/>
              <w:spacing w:after="0" w:line="145" w:lineRule="exact"/>
              <w:rPr>
                <w:sz w:val="20"/>
                <w:szCs w:val="20"/>
                <w:color w:val="auto"/>
              </w:rPr>
            </w:pPr>
            <w:r>
              <w:rPr>
                <w:rFonts w:ascii="Arial" w:cs="Arial" w:eastAsia="Arial" w:hAnsi="Arial"/>
                <w:sz w:val="13"/>
                <w:szCs w:val="13"/>
                <w:b w:val="1"/>
                <w:bCs w:val="1"/>
                <w:color w:val="auto"/>
              </w:rPr>
              <w:t>37,344,201</w:t>
            </w:r>
          </w:p>
        </w:tc>
        <w:tc>
          <w:tcPr>
            <w:tcW w:w="14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0"/>
                <w:szCs w:val="10"/>
                <w:b w:val="1"/>
                <w:bCs w:val="1"/>
                <w:color w:val="auto"/>
                <w:w w:val="71"/>
              </w:rPr>
              <w:t>$</w:t>
            </w:r>
          </w:p>
        </w:tc>
        <w:tc>
          <w:tcPr>
            <w:tcW w:w="380" w:type="dxa"/>
            <w:vAlign w:val="bottom"/>
            <w:tcBorders>
              <w:top w:val="single" w:sz="8" w:color="auto"/>
              <w:bottom w:val="single" w:sz="8" w:color="auto"/>
            </w:tcBorders>
          </w:tcPr>
          <w:p>
            <w:pPr>
              <w:jc w:val="right"/>
              <w:spacing w:after="0" w:line="145" w:lineRule="exact"/>
              <w:rPr>
                <w:sz w:val="20"/>
                <w:szCs w:val="20"/>
                <w:color w:val="auto"/>
              </w:rPr>
            </w:pPr>
            <w:r>
              <w:rPr>
                <w:rFonts w:ascii="Arial" w:cs="Arial" w:eastAsia="Arial" w:hAnsi="Arial"/>
                <w:sz w:val="13"/>
                <w:szCs w:val="13"/>
                <w:b w:val="1"/>
                <w:bCs w:val="1"/>
                <w:color w:val="auto"/>
                <w:w w:val="98"/>
              </w:rPr>
              <w:t>3,733</w:t>
            </w: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bottom w:val="single" w:sz="8" w:color="auto"/>
            </w:tcBorders>
          </w:tcPr>
          <w:p>
            <w:pPr>
              <w:jc w:val="right"/>
              <w:spacing w:after="0" w:line="145" w:lineRule="exact"/>
              <w:rPr>
                <w:sz w:val="20"/>
                <w:szCs w:val="20"/>
                <w:color w:val="auto"/>
              </w:rPr>
            </w:pPr>
            <w:r>
              <w:rPr>
                <w:rFonts w:ascii="Arial" w:cs="Arial" w:eastAsia="Arial" w:hAnsi="Arial"/>
                <w:sz w:val="13"/>
                <w:szCs w:val="13"/>
                <w:b w:val="1"/>
                <w:bCs w:val="1"/>
                <w:color w:val="auto"/>
              </w:rPr>
              <w:t>384,889,471</w:t>
            </w: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top w:val="single" w:sz="8" w:color="auto"/>
              <w:bottom w:val="single" w:sz="8" w:color="auto"/>
            </w:tcBorders>
          </w:tcPr>
          <w:p>
            <w:pPr>
              <w:jc w:val="right"/>
              <w:spacing w:after="0" w:line="145" w:lineRule="exact"/>
              <w:rPr>
                <w:sz w:val="20"/>
                <w:szCs w:val="20"/>
                <w:color w:val="auto"/>
              </w:rPr>
            </w:pPr>
            <w:r>
              <w:rPr>
                <w:rFonts w:ascii="Arial" w:cs="Arial" w:eastAsia="Arial" w:hAnsi="Arial"/>
                <w:sz w:val="13"/>
                <w:szCs w:val="13"/>
                <w:b w:val="1"/>
                <w:bCs w:val="1"/>
                <w:color w:val="auto"/>
              </w:rPr>
              <w:t>(249,631,446)</w:t>
            </w: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140" w:type="dxa"/>
            <w:vAlign w:val="bottom"/>
            <w:tcBorders>
              <w:top w:val="single" w:sz="8" w:color="auto"/>
              <w:bottom w:val="single" w:sz="8" w:color="auto"/>
            </w:tcBorders>
          </w:tcPr>
          <w:p>
            <w:pPr>
              <w:jc w:val="right"/>
              <w:spacing w:after="0" w:line="145" w:lineRule="exact"/>
              <w:rPr>
                <w:sz w:val="20"/>
                <w:szCs w:val="20"/>
                <w:color w:val="auto"/>
              </w:rPr>
            </w:pPr>
            <w:r>
              <w:rPr>
                <w:rFonts w:ascii="Arial" w:cs="Arial" w:eastAsia="Arial" w:hAnsi="Arial"/>
                <w:sz w:val="13"/>
                <w:szCs w:val="13"/>
                <w:b w:val="1"/>
                <w:bCs w:val="1"/>
                <w:color w:val="auto"/>
              </w:rPr>
              <w:t>135,261,758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302895</wp:posOffset>
            </wp:positionV>
            <wp:extent cx="5682615" cy="222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82615" cy="22225"/>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6" w:name="page7"/>
    <w:bookmarkEnd w:id="6"/>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Axsome Therapeutics, Inc.</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Cash Flows</w:t>
      </w: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16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0" w:type="dxa"/>
            <w:vAlign w:val="bottom"/>
            <w:gridSpan w:val="5"/>
          </w:tcPr>
          <w:p>
            <w:pPr>
              <w:jc w:val="right"/>
              <w:ind w:right="800"/>
              <w:spacing w:after="0"/>
              <w:rPr>
                <w:sz w:val="20"/>
                <w:szCs w:val="20"/>
                <w:color w:val="auto"/>
              </w:rPr>
            </w:pPr>
            <w:r>
              <w:rPr>
                <w:rFonts w:ascii="Arial" w:cs="Arial" w:eastAsia="Arial" w:hAnsi="Arial"/>
                <w:sz w:val="13"/>
                <w:szCs w:val="13"/>
                <w:b w:val="1"/>
                <w:bCs w:val="1"/>
                <w:color w:val="auto"/>
              </w:rPr>
              <w:t>Nine months ended September 30,</w:t>
            </w:r>
          </w:p>
        </w:tc>
      </w:tr>
      <w:tr>
        <w:trPr>
          <w:trHeight w:val="133"/>
        </w:trPr>
        <w:tc>
          <w:tcPr>
            <w:tcW w:w="5580" w:type="dxa"/>
            <w:vAlign w:val="bottom"/>
          </w:tcPr>
          <w:p>
            <w:pPr>
              <w:spacing w:after="0"/>
              <w:rPr>
                <w:sz w:val="11"/>
                <w:szCs w:val="11"/>
                <w:color w:val="auto"/>
              </w:rPr>
            </w:pPr>
          </w:p>
        </w:tc>
        <w:tc>
          <w:tcPr>
            <w:tcW w:w="360" w:type="dxa"/>
            <w:vAlign w:val="bottom"/>
            <w:tcBorders>
              <w:top w:val="single" w:sz="8" w:color="auto"/>
              <w:bottom w:val="single" w:sz="8" w:color="auto"/>
            </w:tcBorders>
          </w:tcPr>
          <w:p>
            <w:pPr>
              <w:spacing w:after="0"/>
              <w:rPr>
                <w:sz w:val="11"/>
                <w:szCs w:val="11"/>
                <w:color w:val="auto"/>
              </w:rPr>
            </w:pPr>
          </w:p>
        </w:tc>
        <w:tc>
          <w:tcPr>
            <w:tcW w:w="1180" w:type="dxa"/>
            <w:vAlign w:val="bottom"/>
            <w:tcBorders>
              <w:top w:val="single" w:sz="8" w:color="auto"/>
              <w:bottom w:val="single" w:sz="8" w:color="auto"/>
            </w:tcBorders>
          </w:tcPr>
          <w:p>
            <w:pPr>
              <w:jc w:val="right"/>
              <w:ind w:right="570"/>
              <w:spacing w:after="0" w:line="133" w:lineRule="exact"/>
              <w:rPr>
                <w:sz w:val="20"/>
                <w:szCs w:val="20"/>
                <w:color w:val="auto"/>
              </w:rPr>
            </w:pPr>
            <w:r>
              <w:rPr>
                <w:rFonts w:ascii="Arial" w:cs="Arial" w:eastAsia="Arial" w:hAnsi="Arial"/>
                <w:sz w:val="13"/>
                <w:szCs w:val="13"/>
                <w:b w:val="1"/>
                <w:bCs w:val="1"/>
                <w:color w:val="auto"/>
              </w:rPr>
              <w:t>2020</w:t>
            </w:r>
          </w:p>
        </w:tc>
        <w:tc>
          <w:tcPr>
            <w:tcW w:w="240" w:type="dxa"/>
            <w:vAlign w:val="bottom"/>
            <w:tcBorders>
              <w:top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spacing w:after="0"/>
              <w:rPr>
                <w:sz w:val="11"/>
                <w:szCs w:val="11"/>
                <w:color w:val="auto"/>
              </w:rPr>
            </w:pPr>
          </w:p>
        </w:tc>
        <w:tc>
          <w:tcPr>
            <w:tcW w:w="1180" w:type="dxa"/>
            <w:vAlign w:val="bottom"/>
            <w:tcBorders>
              <w:top w:val="single" w:sz="8" w:color="auto"/>
              <w:bottom w:val="single" w:sz="8" w:color="auto"/>
            </w:tcBorders>
          </w:tcPr>
          <w:p>
            <w:pPr>
              <w:jc w:val="right"/>
              <w:ind w:right="570"/>
              <w:spacing w:after="0" w:line="133" w:lineRule="exact"/>
              <w:rPr>
                <w:sz w:val="20"/>
                <w:szCs w:val="20"/>
                <w:color w:val="auto"/>
              </w:rPr>
            </w:pPr>
            <w:r>
              <w:rPr>
                <w:rFonts w:ascii="Arial" w:cs="Arial" w:eastAsia="Arial" w:hAnsi="Arial"/>
                <w:sz w:val="13"/>
                <w:szCs w:val="13"/>
                <w:b w:val="1"/>
                <w:bCs w:val="1"/>
                <w:color w:val="auto"/>
              </w:rPr>
              <w:t>2019</w:t>
            </w:r>
          </w:p>
        </w:tc>
        <w:tc>
          <w:tcPr>
            <w:tcW w:w="40" w:type="dxa"/>
            <w:vAlign w:val="bottom"/>
          </w:tcPr>
          <w:p>
            <w:pPr>
              <w:spacing w:after="0"/>
              <w:rPr>
                <w:sz w:val="11"/>
                <w:szCs w:val="11"/>
                <w:color w:val="auto"/>
              </w:rPr>
            </w:pPr>
          </w:p>
        </w:tc>
      </w:tr>
      <w:tr>
        <w:trPr>
          <w:trHeight w:val="157"/>
        </w:trPr>
        <w:tc>
          <w:tcPr>
            <w:tcW w:w="5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5"/>
        </w:trPr>
        <w:tc>
          <w:tcPr>
            <w:tcW w:w="5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65"/>
        </w:trPr>
        <w:tc>
          <w:tcPr>
            <w:tcW w:w="5580" w:type="dxa"/>
            <w:vAlign w:val="bottom"/>
          </w:tcPr>
          <w:p>
            <w:pPr>
              <w:ind w:left="20"/>
              <w:spacing w:after="0"/>
              <w:rPr>
                <w:sz w:val="20"/>
                <w:szCs w:val="20"/>
                <w:color w:val="auto"/>
              </w:rPr>
            </w:pPr>
            <w:r>
              <w:rPr>
                <w:rFonts w:ascii="Arial" w:cs="Arial" w:eastAsia="Arial" w:hAnsi="Arial"/>
                <w:sz w:val="14"/>
                <w:szCs w:val="14"/>
                <w:color w:val="auto"/>
              </w:rPr>
              <w:t>Net loss</w:t>
            </w:r>
          </w:p>
        </w:tc>
        <w:tc>
          <w:tcPr>
            <w:tcW w:w="360" w:type="dxa"/>
            <w:vAlign w:val="bottom"/>
          </w:tcPr>
          <w:p>
            <w:pPr>
              <w:jc w:val="right"/>
              <w:ind w:right="209"/>
              <w:spacing w:after="0"/>
              <w:rPr>
                <w:sz w:val="20"/>
                <w:szCs w:val="20"/>
                <w:color w:val="auto"/>
              </w:rPr>
            </w:pPr>
            <w:r>
              <w:rPr>
                <w:rFonts w:ascii="Arial" w:cs="Arial" w:eastAsia="Arial" w:hAnsi="Arial"/>
                <w:sz w:val="14"/>
                <w:szCs w:val="14"/>
                <w:color w:val="auto"/>
                <w:w w:val="76"/>
              </w:rPr>
              <w:t>$</w:t>
            </w:r>
          </w:p>
        </w:tc>
        <w:tc>
          <w:tcPr>
            <w:tcW w:w="1420" w:type="dxa"/>
            <w:vAlign w:val="bottom"/>
            <w:gridSpan w:val="2"/>
          </w:tcPr>
          <w:p>
            <w:pPr>
              <w:jc w:val="right"/>
              <w:ind w:right="240"/>
              <w:spacing w:after="0"/>
              <w:rPr>
                <w:sz w:val="20"/>
                <w:szCs w:val="20"/>
                <w:color w:val="auto"/>
              </w:rPr>
            </w:pPr>
            <w:r>
              <w:rPr>
                <w:rFonts w:ascii="Arial" w:cs="Arial" w:eastAsia="Arial" w:hAnsi="Arial"/>
                <w:sz w:val="14"/>
                <w:szCs w:val="14"/>
                <w:color w:val="auto"/>
              </w:rPr>
              <w:t>(73,735,953)</w:t>
            </w:r>
          </w:p>
        </w:tc>
        <w:tc>
          <w:tcPr>
            <w:tcW w:w="360" w:type="dxa"/>
            <w:vAlign w:val="bottom"/>
          </w:tcPr>
          <w:p>
            <w:pPr>
              <w:jc w:val="right"/>
              <w:ind w:right="209"/>
              <w:spacing w:after="0"/>
              <w:rPr>
                <w:sz w:val="20"/>
                <w:szCs w:val="20"/>
                <w:color w:val="auto"/>
              </w:rPr>
            </w:pPr>
            <w:r>
              <w:rPr>
                <w:rFonts w:ascii="Arial" w:cs="Arial" w:eastAsia="Arial" w:hAnsi="Arial"/>
                <w:sz w:val="14"/>
                <w:szCs w:val="14"/>
                <w:color w:val="auto"/>
                <w:w w:val="76"/>
              </w:rPr>
              <w:t>$</w:t>
            </w:r>
          </w:p>
        </w:tc>
        <w:tc>
          <w:tcPr>
            <w:tcW w:w="1220" w:type="dxa"/>
            <w:vAlign w:val="bottom"/>
            <w:gridSpan w:val="2"/>
          </w:tcPr>
          <w:p>
            <w:pPr>
              <w:jc w:val="right"/>
              <w:ind w:right="40"/>
              <w:spacing w:after="0"/>
              <w:rPr>
                <w:sz w:val="20"/>
                <w:szCs w:val="20"/>
                <w:color w:val="auto"/>
              </w:rPr>
            </w:pPr>
            <w:r>
              <w:rPr>
                <w:rFonts w:ascii="Arial" w:cs="Arial" w:eastAsia="Arial" w:hAnsi="Arial"/>
                <w:sz w:val="14"/>
                <w:szCs w:val="14"/>
                <w:color w:val="auto"/>
              </w:rPr>
              <w:t>(43,538,202)</w:t>
            </w:r>
          </w:p>
        </w:tc>
      </w:tr>
      <w:tr>
        <w:trPr>
          <w:trHeight w:val="165"/>
        </w:trPr>
        <w:tc>
          <w:tcPr>
            <w:tcW w:w="5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65"/>
        </w:trPr>
        <w:tc>
          <w:tcPr>
            <w:tcW w:w="558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9,150,373</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3,301,301</w:t>
            </w:r>
          </w:p>
        </w:tc>
        <w:tc>
          <w:tcPr>
            <w:tcW w:w="40" w:type="dxa"/>
            <w:vAlign w:val="bottom"/>
          </w:tcPr>
          <w:p>
            <w:pPr>
              <w:spacing w:after="0"/>
              <w:rPr>
                <w:sz w:val="14"/>
                <w:szCs w:val="14"/>
                <w:color w:val="auto"/>
              </w:rPr>
            </w:pPr>
          </w:p>
        </w:tc>
      </w:tr>
      <w:tr>
        <w:trPr>
          <w:trHeight w:val="165"/>
        </w:trPr>
        <w:tc>
          <w:tcPr>
            <w:tcW w:w="5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Non-cash research and development license expense</w:t>
            </w: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7,155,337</w:t>
            </w: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r>
      <w:tr>
        <w:trPr>
          <w:trHeight w:val="165"/>
        </w:trPr>
        <w:tc>
          <w:tcPr>
            <w:tcW w:w="5580" w:type="dxa"/>
            <w:vAlign w:val="bottom"/>
          </w:tcPr>
          <w:p>
            <w:pPr>
              <w:ind w:left="20"/>
              <w:spacing w:after="0"/>
              <w:rPr>
                <w:sz w:val="20"/>
                <w:szCs w:val="20"/>
                <w:color w:val="auto"/>
              </w:rPr>
            </w:pPr>
            <w:r>
              <w:rPr>
                <w:rFonts w:ascii="Arial" w:cs="Arial" w:eastAsia="Arial" w:hAnsi="Arial"/>
                <w:sz w:val="14"/>
                <w:szCs w:val="14"/>
                <w:color w:val="auto"/>
              </w:rPr>
              <w:t>Amortization of debt discount</w:t>
            </w: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491,009</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471,742</w:t>
            </w:r>
          </w:p>
        </w:tc>
        <w:tc>
          <w:tcPr>
            <w:tcW w:w="40" w:type="dxa"/>
            <w:vAlign w:val="bottom"/>
          </w:tcPr>
          <w:p>
            <w:pPr>
              <w:spacing w:after="0"/>
              <w:rPr>
                <w:sz w:val="14"/>
                <w:szCs w:val="14"/>
                <w:color w:val="auto"/>
              </w:rPr>
            </w:pPr>
          </w:p>
        </w:tc>
      </w:tr>
      <w:tr>
        <w:trPr>
          <w:trHeight w:val="165"/>
        </w:trPr>
        <w:tc>
          <w:tcPr>
            <w:tcW w:w="5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on extinguishment of debt</w:t>
            </w: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1,247,012</w:t>
            </w: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r>
      <w:tr>
        <w:trPr>
          <w:trHeight w:val="165"/>
        </w:trPr>
        <w:tc>
          <w:tcPr>
            <w:tcW w:w="5580" w:type="dxa"/>
            <w:vAlign w:val="bottom"/>
          </w:tcPr>
          <w:p>
            <w:pPr>
              <w:ind w:left="20"/>
              <w:spacing w:after="0"/>
              <w:rPr>
                <w:sz w:val="20"/>
                <w:szCs w:val="20"/>
                <w:color w:val="auto"/>
              </w:rPr>
            </w:pPr>
            <w:r>
              <w:rPr>
                <w:rFonts w:ascii="Arial" w:cs="Arial" w:eastAsia="Arial" w:hAnsi="Arial"/>
                <w:sz w:val="14"/>
                <w:szCs w:val="14"/>
                <w:color w:val="auto"/>
              </w:rPr>
              <w:t>Depreciation</w:t>
            </w: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16,482</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31,938</w:t>
            </w:r>
          </w:p>
        </w:tc>
        <w:tc>
          <w:tcPr>
            <w:tcW w:w="40" w:type="dxa"/>
            <w:vAlign w:val="bottom"/>
          </w:tcPr>
          <w:p>
            <w:pPr>
              <w:spacing w:after="0"/>
              <w:rPr>
                <w:sz w:val="14"/>
                <w:szCs w:val="14"/>
                <w:color w:val="auto"/>
              </w:rPr>
            </w:pPr>
          </w:p>
        </w:tc>
      </w:tr>
      <w:tr>
        <w:trPr>
          <w:trHeight w:val="165"/>
        </w:trPr>
        <w:tc>
          <w:tcPr>
            <w:tcW w:w="5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Changes in operating assets and liabilities:</w:t>
            </w: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65"/>
        </w:trPr>
        <w:tc>
          <w:tcPr>
            <w:tcW w:w="5580" w:type="dxa"/>
            <w:vAlign w:val="bottom"/>
          </w:tcPr>
          <w:p>
            <w:pPr>
              <w:ind w:left="200"/>
              <w:spacing w:after="0"/>
              <w:rPr>
                <w:sz w:val="20"/>
                <w:szCs w:val="20"/>
                <w:color w:val="auto"/>
              </w:rPr>
            </w:pPr>
            <w:r>
              <w:rPr>
                <w:rFonts w:ascii="Arial" w:cs="Arial" w:eastAsia="Arial" w:hAnsi="Arial"/>
                <w:sz w:val="14"/>
                <w:szCs w:val="14"/>
                <w:color w:val="auto"/>
              </w:rPr>
              <w:t>Prepaid expenses and other current assets</w:t>
            </w:r>
          </w:p>
        </w:tc>
        <w:tc>
          <w:tcPr>
            <w:tcW w:w="360" w:type="dxa"/>
            <w:vAlign w:val="bottom"/>
          </w:tcPr>
          <w:p>
            <w:pPr>
              <w:spacing w:after="0"/>
              <w:rPr>
                <w:sz w:val="14"/>
                <w:szCs w:val="14"/>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color w:val="auto"/>
              </w:rPr>
              <w:t>(498,897)</w:t>
            </w: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652,015</w:t>
            </w:r>
          </w:p>
        </w:tc>
        <w:tc>
          <w:tcPr>
            <w:tcW w:w="40" w:type="dxa"/>
            <w:vAlign w:val="bottom"/>
          </w:tcPr>
          <w:p>
            <w:pPr>
              <w:spacing w:after="0"/>
              <w:rPr>
                <w:sz w:val="14"/>
                <w:szCs w:val="14"/>
                <w:color w:val="auto"/>
              </w:rPr>
            </w:pPr>
          </w:p>
        </w:tc>
      </w:tr>
      <w:tr>
        <w:trPr>
          <w:trHeight w:val="165"/>
        </w:trPr>
        <w:tc>
          <w:tcPr>
            <w:tcW w:w="5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Other assets</w:t>
            </w:r>
          </w:p>
        </w:tc>
        <w:tc>
          <w:tcPr>
            <w:tcW w:w="36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(177,500)</w:t>
            </w:r>
          </w:p>
        </w:tc>
        <w:tc>
          <w:tcPr>
            <w:tcW w:w="3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(56,624)</w:t>
            </w:r>
          </w:p>
        </w:tc>
      </w:tr>
      <w:tr>
        <w:trPr>
          <w:trHeight w:val="165"/>
        </w:trPr>
        <w:tc>
          <w:tcPr>
            <w:tcW w:w="5580" w:type="dxa"/>
            <w:vAlign w:val="bottom"/>
          </w:tcPr>
          <w:p>
            <w:pPr>
              <w:ind w:left="200"/>
              <w:spacing w:after="0"/>
              <w:rPr>
                <w:sz w:val="20"/>
                <w:szCs w:val="20"/>
                <w:color w:val="auto"/>
              </w:rPr>
            </w:pPr>
            <w:r>
              <w:rPr>
                <w:rFonts w:ascii="Arial" w:cs="Arial" w:eastAsia="Arial" w:hAnsi="Arial"/>
                <w:sz w:val="14"/>
                <w:szCs w:val="14"/>
                <w:color w:val="auto"/>
              </w:rPr>
              <w:t>Accounts payable</w:t>
            </w: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371,801</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5,760,114</w:t>
            </w:r>
          </w:p>
        </w:tc>
        <w:tc>
          <w:tcPr>
            <w:tcW w:w="40" w:type="dxa"/>
            <w:vAlign w:val="bottom"/>
          </w:tcPr>
          <w:p>
            <w:pPr>
              <w:spacing w:after="0"/>
              <w:rPr>
                <w:sz w:val="14"/>
                <w:szCs w:val="14"/>
                <w:color w:val="auto"/>
              </w:rPr>
            </w:pPr>
          </w:p>
        </w:tc>
      </w:tr>
      <w:tr>
        <w:trPr>
          <w:trHeight w:val="165"/>
        </w:trPr>
        <w:tc>
          <w:tcPr>
            <w:tcW w:w="55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Accrued expenses and other current liabilities</w:t>
            </w:r>
          </w:p>
        </w:tc>
        <w:tc>
          <w:tcPr>
            <w:tcW w:w="36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(1,922,716)</w:t>
            </w: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4,569,808</w:t>
            </w:r>
          </w:p>
        </w:tc>
        <w:tc>
          <w:tcPr>
            <w:tcW w:w="40" w:type="dxa"/>
            <w:vAlign w:val="bottom"/>
            <w:shd w:val="clear" w:color="auto" w:fill="CCEEFF"/>
          </w:tcPr>
          <w:p>
            <w:pPr>
              <w:spacing w:after="0"/>
              <w:rPr>
                <w:sz w:val="14"/>
                <w:szCs w:val="14"/>
                <w:color w:val="auto"/>
              </w:rPr>
            </w:pPr>
          </w:p>
        </w:tc>
      </w:tr>
      <w:tr>
        <w:trPr>
          <w:trHeight w:val="157"/>
        </w:trPr>
        <w:tc>
          <w:tcPr>
            <w:tcW w:w="5580" w:type="dxa"/>
            <w:vAlign w:val="bottom"/>
            <w:tcBorders>
              <w:bottom w:val="single" w:sz="8" w:color="CCEEFF"/>
            </w:tcBorders>
          </w:tcPr>
          <w:p>
            <w:pPr>
              <w:ind w:left="20"/>
              <w:spacing w:after="0" w:line="157" w:lineRule="exact"/>
              <w:rPr>
                <w:sz w:val="20"/>
                <w:szCs w:val="20"/>
                <w:color w:val="auto"/>
              </w:rPr>
            </w:pPr>
            <w:r>
              <w:rPr>
                <w:rFonts w:ascii="Arial" w:cs="Arial" w:eastAsia="Arial" w:hAnsi="Arial"/>
                <w:sz w:val="14"/>
                <w:szCs w:val="14"/>
                <w:color w:val="auto"/>
              </w:rPr>
              <w:t>Net cash used in operating activities</w:t>
            </w:r>
          </w:p>
        </w:tc>
        <w:tc>
          <w:tcPr>
            <w:tcW w:w="3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(57,903,052)</w:t>
            </w:r>
          </w:p>
        </w:tc>
        <w:tc>
          <w:tcPr>
            <w:tcW w:w="240" w:type="dxa"/>
            <w:vAlign w:val="bottom"/>
            <w:tcBorders>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(28,807,908)</w:t>
            </w:r>
          </w:p>
        </w:tc>
        <w:tc>
          <w:tcPr>
            <w:tcW w:w="40" w:type="dxa"/>
            <w:vAlign w:val="bottom"/>
            <w:tcBorders>
              <w:bottom w:val="single" w:sz="8" w:color="CCEEFF"/>
            </w:tcBorders>
          </w:tcPr>
          <w:p>
            <w:pPr>
              <w:spacing w:after="0"/>
              <w:rPr>
                <w:sz w:val="13"/>
                <w:szCs w:val="13"/>
                <w:color w:val="auto"/>
              </w:rPr>
            </w:pPr>
          </w:p>
        </w:tc>
      </w:tr>
      <w:tr>
        <w:trPr>
          <w:trHeight w:val="157"/>
        </w:trPr>
        <w:tc>
          <w:tcPr>
            <w:tcW w:w="558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b w:val="1"/>
                <w:bCs w:val="1"/>
                <w:color w:val="auto"/>
              </w:rPr>
              <w:t>Cash flows from investing activities</w:t>
            </w: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65"/>
        </w:trPr>
        <w:tc>
          <w:tcPr>
            <w:tcW w:w="5580" w:type="dxa"/>
            <w:vAlign w:val="bottom"/>
          </w:tcPr>
          <w:p>
            <w:pPr>
              <w:ind w:left="20"/>
              <w:spacing w:after="0"/>
              <w:rPr>
                <w:sz w:val="20"/>
                <w:szCs w:val="20"/>
                <w:color w:val="auto"/>
              </w:rPr>
            </w:pPr>
            <w:r>
              <w:rPr>
                <w:rFonts w:ascii="Arial" w:cs="Arial" w:eastAsia="Arial" w:hAnsi="Arial"/>
                <w:sz w:val="14"/>
                <w:szCs w:val="14"/>
                <w:color w:val="auto"/>
              </w:rPr>
              <w:t>Purchases of equipment</w:t>
            </w:r>
          </w:p>
        </w:tc>
        <w:tc>
          <w:tcPr>
            <w:tcW w:w="360" w:type="dxa"/>
            <w:vAlign w:val="bottom"/>
          </w:tcPr>
          <w:p>
            <w:pPr>
              <w:spacing w:after="0"/>
              <w:rPr>
                <w:sz w:val="14"/>
                <w:szCs w:val="14"/>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color w:val="auto"/>
              </w:rPr>
              <w:t>(25,604)</w:t>
            </w:r>
          </w:p>
        </w:tc>
        <w:tc>
          <w:tcPr>
            <w:tcW w:w="360" w:type="dxa"/>
            <w:vAlign w:val="bottom"/>
          </w:tcPr>
          <w:p>
            <w:pPr>
              <w:spacing w:after="0"/>
              <w:rPr>
                <w:sz w:val="14"/>
                <w:szCs w:val="14"/>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4"/>
                <w:szCs w:val="14"/>
                <w:color w:val="auto"/>
              </w:rPr>
              <w:t>(14,660)</w:t>
            </w:r>
          </w:p>
        </w:tc>
      </w:tr>
      <w:tr>
        <w:trPr>
          <w:trHeight w:val="157"/>
        </w:trPr>
        <w:tc>
          <w:tcPr>
            <w:tcW w:w="5580" w:type="dxa"/>
            <w:vAlign w:val="bottom"/>
            <w:tcBorders>
              <w:top w:val="single" w:sz="8" w:color="CCEEFF"/>
            </w:tcBorders>
            <w:shd w:val="clear" w:color="auto" w:fill="CCEEFF"/>
          </w:tcPr>
          <w:p>
            <w:pPr>
              <w:ind w:left="20"/>
              <w:spacing w:after="0" w:line="157" w:lineRule="exact"/>
              <w:rPr>
                <w:sz w:val="20"/>
                <w:szCs w:val="20"/>
                <w:color w:val="auto"/>
              </w:rPr>
            </w:pPr>
            <w:r>
              <w:rPr>
                <w:rFonts w:ascii="Arial" w:cs="Arial" w:eastAsia="Arial" w:hAnsi="Arial"/>
                <w:sz w:val="14"/>
                <w:szCs w:val="14"/>
                <w:color w:val="auto"/>
              </w:rPr>
              <w:t>Net cash used in investing activities</w:t>
            </w:r>
          </w:p>
        </w:tc>
        <w:tc>
          <w:tcPr>
            <w:tcW w:w="360" w:type="dxa"/>
            <w:vAlign w:val="bottom"/>
            <w:tcBorders>
              <w:top w:val="single" w:sz="8" w:color="auto"/>
              <w:bottom w:val="single" w:sz="8" w:color="auto"/>
            </w:tcBorders>
            <w:shd w:val="clear" w:color="auto" w:fill="CCEEFF"/>
          </w:tcPr>
          <w:p>
            <w:pPr>
              <w:spacing w:after="0"/>
              <w:rPr>
                <w:sz w:val="13"/>
                <w:szCs w:val="13"/>
                <w:color w:val="auto"/>
              </w:rPr>
            </w:pPr>
          </w:p>
        </w:tc>
        <w:tc>
          <w:tcPr>
            <w:tcW w:w="1180" w:type="dxa"/>
            <w:vAlign w:val="bottom"/>
            <w:tcBorders>
              <w:top w:val="single" w:sz="8" w:color="auto"/>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(25,604)</w:t>
            </w:r>
          </w:p>
        </w:tc>
        <w:tc>
          <w:tcPr>
            <w:tcW w:w="24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bottom w:val="single" w:sz="8" w:color="auto"/>
            </w:tcBorders>
            <w:shd w:val="clear" w:color="auto" w:fill="CCEEFF"/>
          </w:tcPr>
          <w:p>
            <w:pPr>
              <w:spacing w:after="0"/>
              <w:rPr>
                <w:sz w:val="13"/>
                <w:szCs w:val="13"/>
                <w:color w:val="auto"/>
              </w:rPr>
            </w:pPr>
          </w:p>
        </w:tc>
        <w:tc>
          <w:tcPr>
            <w:tcW w:w="1180" w:type="dxa"/>
            <w:vAlign w:val="bottom"/>
            <w:tcBorders>
              <w:top w:val="single" w:sz="8" w:color="auto"/>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(14,660)</w:t>
            </w:r>
          </w:p>
        </w:tc>
        <w:tc>
          <w:tcPr>
            <w:tcW w:w="40" w:type="dxa"/>
            <w:vAlign w:val="bottom"/>
            <w:tcBorders>
              <w:top w:val="single" w:sz="8" w:color="CCEEFF"/>
            </w:tcBorders>
            <w:shd w:val="clear" w:color="auto" w:fill="CCEEFF"/>
          </w:tcPr>
          <w:p>
            <w:pPr>
              <w:spacing w:after="0"/>
              <w:rPr>
                <w:sz w:val="13"/>
                <w:szCs w:val="13"/>
                <w:color w:val="auto"/>
              </w:rPr>
            </w:pPr>
          </w:p>
        </w:tc>
      </w:tr>
      <w:tr>
        <w:trPr>
          <w:trHeight w:val="157"/>
        </w:trPr>
        <w:tc>
          <w:tcPr>
            <w:tcW w:w="5580" w:type="dxa"/>
            <w:vAlign w:val="bottom"/>
          </w:tcPr>
          <w:p>
            <w:pPr>
              <w:ind w:left="20"/>
              <w:spacing w:after="0" w:line="157" w:lineRule="exact"/>
              <w:rPr>
                <w:sz w:val="20"/>
                <w:szCs w:val="20"/>
                <w:color w:val="auto"/>
              </w:rPr>
            </w:pPr>
            <w:r>
              <w:rPr>
                <w:rFonts w:ascii="Arial" w:cs="Arial" w:eastAsia="Arial" w:hAnsi="Arial"/>
                <w:sz w:val="14"/>
                <w:szCs w:val="14"/>
                <w:b w:val="1"/>
                <w:bCs w:val="1"/>
                <w:color w:val="auto"/>
              </w:rPr>
              <w:t>Cash flows from financing activities</w:t>
            </w: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5"/>
        </w:trPr>
        <w:tc>
          <w:tcPr>
            <w:tcW w:w="5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issuance of common stock upon financing, net</w:t>
            </w: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12,074,999</w:t>
            </w: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44,455,380</w:t>
            </w:r>
          </w:p>
        </w:tc>
        <w:tc>
          <w:tcPr>
            <w:tcW w:w="40" w:type="dxa"/>
            <w:vAlign w:val="bottom"/>
            <w:shd w:val="clear" w:color="auto" w:fill="CCEEFF"/>
          </w:tcPr>
          <w:p>
            <w:pPr>
              <w:spacing w:after="0"/>
              <w:rPr>
                <w:sz w:val="14"/>
                <w:szCs w:val="14"/>
                <w:color w:val="auto"/>
              </w:rPr>
            </w:pPr>
          </w:p>
        </w:tc>
      </w:tr>
      <w:tr>
        <w:trPr>
          <w:trHeight w:val="165"/>
        </w:trPr>
        <w:tc>
          <w:tcPr>
            <w:tcW w:w="5580" w:type="dxa"/>
            <w:vAlign w:val="bottom"/>
          </w:tcPr>
          <w:p>
            <w:pPr>
              <w:ind w:left="20"/>
              <w:spacing w:after="0"/>
              <w:rPr>
                <w:sz w:val="20"/>
                <w:szCs w:val="20"/>
                <w:color w:val="auto"/>
              </w:rPr>
            </w:pPr>
            <w:r>
              <w:rPr>
                <w:rFonts w:ascii="Arial" w:cs="Arial" w:eastAsia="Arial" w:hAnsi="Arial"/>
                <w:sz w:val="14"/>
                <w:szCs w:val="14"/>
                <w:color w:val="auto"/>
              </w:rPr>
              <w:t>Proceeds from issuance of term loan</w:t>
            </w: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50,000,000</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20,000,000</w:t>
            </w:r>
          </w:p>
        </w:tc>
        <w:tc>
          <w:tcPr>
            <w:tcW w:w="40" w:type="dxa"/>
            <w:vAlign w:val="bottom"/>
          </w:tcPr>
          <w:p>
            <w:pPr>
              <w:spacing w:after="0"/>
              <w:rPr>
                <w:sz w:val="14"/>
                <w:szCs w:val="14"/>
                <w:color w:val="auto"/>
              </w:rPr>
            </w:pPr>
          </w:p>
        </w:tc>
      </w:tr>
      <w:tr>
        <w:trPr>
          <w:trHeight w:val="165"/>
        </w:trPr>
        <w:tc>
          <w:tcPr>
            <w:tcW w:w="5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 of debt financing costs</w:t>
            </w:r>
          </w:p>
        </w:tc>
        <w:tc>
          <w:tcPr>
            <w:tcW w:w="36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(1,102,609)</w:t>
            </w:r>
          </w:p>
        </w:tc>
        <w:tc>
          <w:tcPr>
            <w:tcW w:w="3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r>
      <w:tr>
        <w:trPr>
          <w:trHeight w:val="165"/>
        </w:trPr>
        <w:tc>
          <w:tcPr>
            <w:tcW w:w="5580" w:type="dxa"/>
            <w:vAlign w:val="bottom"/>
          </w:tcPr>
          <w:p>
            <w:pPr>
              <w:ind w:left="20"/>
              <w:spacing w:after="0"/>
              <w:rPr>
                <w:sz w:val="20"/>
                <w:szCs w:val="20"/>
                <w:color w:val="auto"/>
              </w:rPr>
            </w:pPr>
            <w:r>
              <w:rPr>
                <w:rFonts w:ascii="Arial" w:cs="Arial" w:eastAsia="Arial" w:hAnsi="Arial"/>
                <w:sz w:val="14"/>
                <w:szCs w:val="14"/>
                <w:color w:val="auto"/>
              </w:rPr>
              <w:t>Repayment of principal on term loan</w:t>
            </w:r>
          </w:p>
        </w:tc>
        <w:tc>
          <w:tcPr>
            <w:tcW w:w="360" w:type="dxa"/>
            <w:vAlign w:val="bottom"/>
          </w:tcPr>
          <w:p>
            <w:pPr>
              <w:spacing w:after="0"/>
              <w:rPr>
                <w:sz w:val="14"/>
                <w:szCs w:val="14"/>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color w:val="auto"/>
              </w:rPr>
              <w:t>(21,660,000)</w:t>
            </w:r>
          </w:p>
        </w:tc>
        <w:tc>
          <w:tcPr>
            <w:tcW w:w="360" w:type="dxa"/>
            <w:vAlign w:val="bottom"/>
          </w:tcPr>
          <w:p>
            <w:pPr>
              <w:spacing w:after="0"/>
              <w:rPr>
                <w:sz w:val="14"/>
                <w:szCs w:val="14"/>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4"/>
                <w:szCs w:val="14"/>
                <w:color w:val="auto"/>
              </w:rPr>
              <w:t>(7,238,889)</w:t>
            </w:r>
          </w:p>
        </w:tc>
      </w:tr>
      <w:tr>
        <w:trPr>
          <w:trHeight w:val="165"/>
        </w:trPr>
        <w:tc>
          <w:tcPr>
            <w:tcW w:w="5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issuance of common stock upon exercise of options</w:t>
            </w: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1,010,391</w:t>
            </w: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1,099,336</w:t>
            </w:r>
          </w:p>
        </w:tc>
        <w:tc>
          <w:tcPr>
            <w:tcW w:w="40" w:type="dxa"/>
            <w:vAlign w:val="bottom"/>
            <w:shd w:val="clear" w:color="auto" w:fill="CCEEFF"/>
          </w:tcPr>
          <w:p>
            <w:pPr>
              <w:spacing w:after="0"/>
              <w:rPr>
                <w:sz w:val="14"/>
                <w:szCs w:val="14"/>
                <w:color w:val="auto"/>
              </w:rPr>
            </w:pPr>
          </w:p>
        </w:tc>
      </w:tr>
      <w:tr>
        <w:trPr>
          <w:trHeight w:val="165"/>
        </w:trPr>
        <w:tc>
          <w:tcPr>
            <w:tcW w:w="5580" w:type="dxa"/>
            <w:vAlign w:val="bottom"/>
          </w:tcPr>
          <w:p>
            <w:pPr>
              <w:ind w:left="20"/>
              <w:spacing w:after="0"/>
              <w:rPr>
                <w:sz w:val="20"/>
                <w:szCs w:val="20"/>
                <w:color w:val="auto"/>
              </w:rPr>
            </w:pPr>
            <w:r>
              <w:rPr>
                <w:rFonts w:ascii="Arial" w:cs="Arial" w:eastAsia="Arial" w:hAnsi="Arial"/>
                <w:sz w:val="14"/>
                <w:szCs w:val="14"/>
                <w:color w:val="auto"/>
              </w:rPr>
              <w:t>Proceeds from issuance of common stock upon exercise of warrants</w:t>
            </w:r>
          </w:p>
        </w:tc>
        <w:tc>
          <w:tcPr>
            <w:tcW w:w="360" w:type="dxa"/>
            <w:vAlign w:val="bottom"/>
          </w:tcPr>
          <w:p>
            <w:pPr>
              <w:spacing w:after="0"/>
              <w:rPr>
                <w:sz w:val="14"/>
                <w:szCs w:val="14"/>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179,860</w:t>
            </w:r>
          </w:p>
        </w:tc>
        <w:tc>
          <w:tcPr>
            <w:tcW w:w="40" w:type="dxa"/>
            <w:vAlign w:val="bottom"/>
          </w:tcPr>
          <w:p>
            <w:pPr>
              <w:spacing w:after="0"/>
              <w:rPr>
                <w:sz w:val="14"/>
                <w:szCs w:val="14"/>
                <w:color w:val="auto"/>
              </w:rPr>
            </w:pPr>
          </w:p>
        </w:tc>
      </w:tr>
      <w:tr>
        <w:trPr>
          <w:trHeight w:val="157"/>
        </w:trPr>
        <w:tc>
          <w:tcPr>
            <w:tcW w:w="5580" w:type="dxa"/>
            <w:vAlign w:val="bottom"/>
            <w:tcBorders>
              <w:top w:val="single" w:sz="8" w:color="CCEEFF"/>
            </w:tcBorders>
            <w:shd w:val="clear" w:color="auto" w:fill="CCEEFF"/>
          </w:tcPr>
          <w:p>
            <w:pPr>
              <w:ind w:left="20"/>
              <w:spacing w:after="0" w:line="157" w:lineRule="exact"/>
              <w:rPr>
                <w:sz w:val="20"/>
                <w:szCs w:val="20"/>
                <w:color w:val="auto"/>
              </w:rPr>
            </w:pPr>
            <w:r>
              <w:rPr>
                <w:rFonts w:ascii="Arial" w:cs="Arial" w:eastAsia="Arial" w:hAnsi="Arial"/>
                <w:sz w:val="14"/>
                <w:szCs w:val="14"/>
                <w:color w:val="auto"/>
              </w:rPr>
              <w:t>Net cash (used in) provided by financing activities</w:t>
            </w:r>
          </w:p>
        </w:tc>
        <w:tc>
          <w:tcPr>
            <w:tcW w:w="360" w:type="dxa"/>
            <w:vAlign w:val="bottom"/>
            <w:tcBorders>
              <w:top w:val="single" w:sz="8" w:color="auto"/>
              <w:bottom w:val="single" w:sz="8" w:color="auto"/>
            </w:tcBorders>
            <w:shd w:val="clear" w:color="auto" w:fill="CCEEFF"/>
          </w:tcPr>
          <w:p>
            <w:pPr>
              <w:spacing w:after="0"/>
              <w:rPr>
                <w:sz w:val="13"/>
                <w:szCs w:val="13"/>
                <w:color w:val="auto"/>
              </w:rPr>
            </w:pPr>
          </w:p>
        </w:tc>
        <w:tc>
          <w:tcPr>
            <w:tcW w:w="1180" w:type="dxa"/>
            <w:vAlign w:val="bottom"/>
            <w:tcBorders>
              <w:top w:val="single" w:sz="8" w:color="auto"/>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40,322,781</w:t>
            </w:r>
          </w:p>
        </w:tc>
        <w:tc>
          <w:tcPr>
            <w:tcW w:w="24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bottom w:val="single" w:sz="8" w:color="auto"/>
            </w:tcBorders>
            <w:shd w:val="clear" w:color="auto" w:fill="CCEEFF"/>
          </w:tcPr>
          <w:p>
            <w:pPr>
              <w:spacing w:after="0"/>
              <w:rPr>
                <w:sz w:val="13"/>
                <w:szCs w:val="13"/>
                <w:color w:val="auto"/>
              </w:rPr>
            </w:pPr>
          </w:p>
        </w:tc>
        <w:tc>
          <w:tcPr>
            <w:tcW w:w="1180" w:type="dxa"/>
            <w:vAlign w:val="bottom"/>
            <w:tcBorders>
              <w:top w:val="single" w:sz="8" w:color="auto"/>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58,495,687</w:t>
            </w:r>
          </w:p>
        </w:tc>
        <w:tc>
          <w:tcPr>
            <w:tcW w:w="40" w:type="dxa"/>
            <w:vAlign w:val="bottom"/>
            <w:tcBorders>
              <w:top w:val="single" w:sz="8" w:color="CCEEFF"/>
            </w:tcBorders>
            <w:shd w:val="clear" w:color="auto" w:fill="CCEEFF"/>
          </w:tcPr>
          <w:p>
            <w:pPr>
              <w:spacing w:after="0"/>
              <w:rPr>
                <w:sz w:val="13"/>
                <w:szCs w:val="13"/>
                <w:color w:val="auto"/>
              </w:rPr>
            </w:pPr>
          </w:p>
        </w:tc>
      </w:tr>
      <w:tr>
        <w:trPr>
          <w:trHeight w:val="157"/>
        </w:trPr>
        <w:tc>
          <w:tcPr>
            <w:tcW w:w="5580" w:type="dxa"/>
            <w:vAlign w:val="bottom"/>
          </w:tcPr>
          <w:p>
            <w:pPr>
              <w:ind w:left="20"/>
              <w:spacing w:after="0" w:line="157" w:lineRule="exact"/>
              <w:rPr>
                <w:sz w:val="20"/>
                <w:szCs w:val="20"/>
                <w:color w:val="auto"/>
              </w:rPr>
            </w:pPr>
            <w:r>
              <w:rPr>
                <w:rFonts w:ascii="Arial" w:cs="Arial" w:eastAsia="Arial" w:hAnsi="Arial"/>
                <w:sz w:val="14"/>
                <w:szCs w:val="14"/>
                <w:color w:val="auto"/>
              </w:rPr>
              <w:t>Net (decrease) increase in cash</w:t>
            </w:r>
          </w:p>
        </w:tc>
        <w:tc>
          <w:tcPr>
            <w:tcW w:w="360" w:type="dxa"/>
            <w:vAlign w:val="bottom"/>
          </w:tcPr>
          <w:p>
            <w:pPr>
              <w:spacing w:after="0"/>
              <w:rPr>
                <w:sz w:val="13"/>
                <w:szCs w:val="13"/>
                <w:color w:val="auto"/>
              </w:rPr>
            </w:pPr>
          </w:p>
        </w:tc>
        <w:tc>
          <w:tcPr>
            <w:tcW w:w="1180" w:type="dxa"/>
            <w:vAlign w:val="bottom"/>
          </w:tcPr>
          <w:p>
            <w:pPr>
              <w:jc w:val="right"/>
              <w:spacing w:after="0" w:line="157" w:lineRule="exact"/>
              <w:rPr>
                <w:sz w:val="20"/>
                <w:szCs w:val="20"/>
                <w:color w:val="auto"/>
              </w:rPr>
            </w:pPr>
            <w:r>
              <w:rPr>
                <w:rFonts w:ascii="Arial" w:cs="Arial" w:eastAsia="Arial" w:hAnsi="Arial"/>
                <w:sz w:val="14"/>
                <w:szCs w:val="14"/>
                <w:color w:val="auto"/>
              </w:rPr>
              <w:t>(17,605,875)</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line="157" w:lineRule="exact"/>
              <w:rPr>
                <w:sz w:val="20"/>
                <w:szCs w:val="20"/>
                <w:color w:val="auto"/>
              </w:rPr>
            </w:pPr>
            <w:r>
              <w:rPr>
                <w:rFonts w:ascii="Arial" w:cs="Arial" w:eastAsia="Arial" w:hAnsi="Arial"/>
                <w:sz w:val="14"/>
                <w:szCs w:val="14"/>
                <w:color w:val="auto"/>
              </w:rPr>
              <w:t>29,673,119</w:t>
            </w:r>
          </w:p>
        </w:tc>
        <w:tc>
          <w:tcPr>
            <w:tcW w:w="40" w:type="dxa"/>
            <w:vAlign w:val="bottom"/>
          </w:tcPr>
          <w:p>
            <w:pPr>
              <w:spacing w:after="0"/>
              <w:rPr>
                <w:sz w:val="13"/>
                <w:szCs w:val="13"/>
                <w:color w:val="auto"/>
              </w:rPr>
            </w:pPr>
          </w:p>
        </w:tc>
      </w:tr>
      <w:tr>
        <w:trPr>
          <w:trHeight w:val="165"/>
        </w:trPr>
        <w:tc>
          <w:tcPr>
            <w:tcW w:w="5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at beginning of period</w:t>
            </w:r>
          </w:p>
        </w:tc>
        <w:tc>
          <w:tcPr>
            <w:tcW w:w="3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219,966,167</w:t>
            </w:r>
          </w:p>
        </w:tc>
        <w:tc>
          <w:tcPr>
            <w:tcW w:w="24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13,968,742</w:t>
            </w:r>
          </w:p>
        </w:tc>
        <w:tc>
          <w:tcPr>
            <w:tcW w:w="40" w:type="dxa"/>
            <w:vAlign w:val="bottom"/>
            <w:shd w:val="clear" w:color="auto" w:fill="CCEEFF"/>
          </w:tcPr>
          <w:p>
            <w:pPr>
              <w:spacing w:after="0"/>
              <w:rPr>
                <w:sz w:val="14"/>
                <w:szCs w:val="14"/>
                <w:color w:val="auto"/>
              </w:rPr>
            </w:pPr>
          </w:p>
        </w:tc>
      </w:tr>
      <w:tr>
        <w:trPr>
          <w:trHeight w:val="197"/>
        </w:trPr>
        <w:tc>
          <w:tcPr>
            <w:tcW w:w="5580" w:type="dxa"/>
            <w:vAlign w:val="bottom"/>
            <w:tcBorders>
              <w:bottom w:val="single" w:sz="8" w:color="CCEEFF"/>
            </w:tcBorders>
          </w:tcPr>
          <w:p>
            <w:pPr>
              <w:ind w:left="20"/>
              <w:spacing w:after="0" w:line="157" w:lineRule="exact"/>
              <w:rPr>
                <w:sz w:val="20"/>
                <w:szCs w:val="20"/>
                <w:color w:val="auto"/>
              </w:rPr>
            </w:pPr>
            <w:r>
              <w:rPr>
                <w:rFonts w:ascii="Arial" w:cs="Arial" w:eastAsia="Arial" w:hAnsi="Arial"/>
                <w:sz w:val="14"/>
                <w:szCs w:val="14"/>
                <w:color w:val="auto"/>
              </w:rPr>
              <w:t>Cash at end of period</w:t>
            </w:r>
          </w:p>
        </w:tc>
        <w:tc>
          <w:tcPr>
            <w:tcW w:w="360" w:type="dxa"/>
            <w:vAlign w:val="bottom"/>
            <w:tcBorders>
              <w:bottom w:val="single" w:sz="8" w:color="auto"/>
            </w:tcBorders>
          </w:tcPr>
          <w:p>
            <w:pPr>
              <w:jc w:val="right"/>
              <w:ind w:right="209"/>
              <w:spacing w:after="0" w:line="157" w:lineRule="exact"/>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202,360,292</w:t>
            </w:r>
          </w:p>
        </w:tc>
        <w:tc>
          <w:tcPr>
            <w:tcW w:w="2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209"/>
              <w:spacing w:after="0" w:line="157" w:lineRule="exact"/>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43,641,861</w:t>
            </w:r>
          </w:p>
        </w:tc>
        <w:tc>
          <w:tcPr>
            <w:tcW w:w="40" w:type="dxa"/>
            <w:vAlign w:val="bottom"/>
            <w:tcBorders>
              <w:bottom w:val="single" w:sz="8" w:color="CCEEFF"/>
            </w:tcBorders>
          </w:tcPr>
          <w:p>
            <w:pPr>
              <w:spacing w:after="0"/>
              <w:rPr>
                <w:sz w:val="17"/>
                <w:szCs w:val="17"/>
                <w:color w:val="auto"/>
              </w:rPr>
            </w:pPr>
          </w:p>
        </w:tc>
      </w:tr>
      <w:tr>
        <w:trPr>
          <w:trHeight w:val="140"/>
        </w:trPr>
        <w:tc>
          <w:tcPr>
            <w:tcW w:w="558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b w:val="1"/>
                <w:bCs w:val="1"/>
                <w:color w:val="auto"/>
              </w:rPr>
              <w:t>Supplemental disclosures of cash flow information:</w:t>
            </w:r>
          </w:p>
        </w:tc>
        <w:tc>
          <w:tcPr>
            <w:tcW w:w="3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65"/>
        </w:trPr>
        <w:tc>
          <w:tcPr>
            <w:tcW w:w="5580" w:type="dxa"/>
            <w:vAlign w:val="bottom"/>
          </w:tcPr>
          <w:p>
            <w:pPr>
              <w:ind w:left="20"/>
              <w:spacing w:after="0"/>
              <w:rPr>
                <w:sz w:val="20"/>
                <w:szCs w:val="20"/>
                <w:color w:val="auto"/>
              </w:rPr>
            </w:pPr>
            <w:r>
              <w:rPr>
                <w:rFonts w:ascii="Arial" w:cs="Arial" w:eastAsia="Arial" w:hAnsi="Arial"/>
                <w:sz w:val="14"/>
                <w:szCs w:val="14"/>
                <w:color w:val="auto"/>
              </w:rPr>
              <w:t>Interest paid</w:t>
            </w:r>
          </w:p>
        </w:tc>
        <w:tc>
          <w:tcPr>
            <w:tcW w:w="360" w:type="dxa"/>
            <w:vAlign w:val="bottom"/>
          </w:tcPr>
          <w:p>
            <w:pPr>
              <w:jc w:val="right"/>
              <w:ind w:right="209"/>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1,179,337</w:t>
            </w:r>
          </w:p>
        </w:tc>
        <w:tc>
          <w:tcPr>
            <w:tcW w:w="240" w:type="dxa"/>
            <w:vAlign w:val="bottom"/>
          </w:tcPr>
          <w:p>
            <w:pPr>
              <w:spacing w:after="0"/>
              <w:rPr>
                <w:sz w:val="14"/>
                <w:szCs w:val="14"/>
                <w:color w:val="auto"/>
              </w:rPr>
            </w:pPr>
          </w:p>
        </w:tc>
        <w:tc>
          <w:tcPr>
            <w:tcW w:w="360" w:type="dxa"/>
            <w:vAlign w:val="bottom"/>
          </w:tcPr>
          <w:p>
            <w:pPr>
              <w:jc w:val="right"/>
              <w:ind w:right="209"/>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979,167</w:t>
            </w:r>
          </w:p>
        </w:tc>
        <w:tc>
          <w:tcPr>
            <w:tcW w:w="40" w:type="dxa"/>
            <w:vAlign w:val="bottom"/>
          </w:tcPr>
          <w:p>
            <w:pPr>
              <w:spacing w:after="0"/>
              <w:rPr>
                <w:sz w:val="14"/>
                <w:szCs w:val="14"/>
                <w:color w:val="auto"/>
              </w:rPr>
            </w:pPr>
          </w:p>
        </w:tc>
      </w:tr>
      <w:tr>
        <w:trPr>
          <w:trHeight w:val="165"/>
        </w:trPr>
        <w:tc>
          <w:tcPr>
            <w:tcW w:w="5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disclosures of non-cash financing activity:</w:t>
            </w: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65"/>
        </w:trPr>
        <w:tc>
          <w:tcPr>
            <w:tcW w:w="5580" w:type="dxa"/>
            <w:vAlign w:val="bottom"/>
          </w:tcPr>
          <w:p>
            <w:pPr>
              <w:ind w:left="20"/>
              <w:spacing w:after="0"/>
              <w:rPr>
                <w:sz w:val="20"/>
                <w:szCs w:val="20"/>
                <w:color w:val="auto"/>
              </w:rPr>
            </w:pPr>
            <w:r>
              <w:rPr>
                <w:rFonts w:ascii="Arial" w:cs="Arial" w:eastAsia="Arial" w:hAnsi="Arial"/>
                <w:sz w:val="14"/>
                <w:szCs w:val="14"/>
                <w:color w:val="auto"/>
              </w:rPr>
              <w:t>Issuance of warrants in connection with debt financing</w:t>
            </w:r>
          </w:p>
        </w:tc>
        <w:tc>
          <w:tcPr>
            <w:tcW w:w="360" w:type="dxa"/>
            <w:vAlign w:val="bottom"/>
          </w:tcPr>
          <w:p>
            <w:pPr>
              <w:jc w:val="right"/>
              <w:ind w:right="209"/>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884,216</w:t>
            </w:r>
          </w:p>
        </w:tc>
        <w:tc>
          <w:tcPr>
            <w:tcW w:w="240" w:type="dxa"/>
            <w:vAlign w:val="bottom"/>
          </w:tcPr>
          <w:p>
            <w:pPr>
              <w:spacing w:after="0"/>
              <w:rPr>
                <w:sz w:val="14"/>
                <w:szCs w:val="14"/>
                <w:color w:val="auto"/>
              </w:rPr>
            </w:pPr>
          </w:p>
        </w:tc>
        <w:tc>
          <w:tcPr>
            <w:tcW w:w="360" w:type="dxa"/>
            <w:vAlign w:val="bottom"/>
          </w:tcPr>
          <w:p>
            <w:pPr>
              <w:jc w:val="right"/>
              <w:ind w:right="209"/>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387,000</w:t>
            </w:r>
          </w:p>
        </w:tc>
        <w:tc>
          <w:tcPr>
            <w:tcW w:w="40" w:type="dxa"/>
            <w:vAlign w:val="bottom"/>
          </w:tcPr>
          <w:p>
            <w:pPr>
              <w:spacing w:after="0"/>
              <w:rPr>
                <w:sz w:val="14"/>
                <w:szCs w:val="14"/>
                <w:color w:val="auto"/>
              </w:rPr>
            </w:pPr>
          </w:p>
        </w:tc>
      </w:tr>
      <w:tr>
        <w:trPr>
          <w:trHeight w:val="177"/>
        </w:trPr>
        <w:tc>
          <w:tcPr>
            <w:tcW w:w="5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of common stock issued in connection with license agreement with Pfizer, Inc.</w:t>
            </w: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8,000,000</w:t>
            </w:r>
          </w:p>
        </w:tc>
        <w:tc>
          <w:tcPr>
            <w:tcW w:w="24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r>
    </w:tbl>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302895</wp:posOffset>
            </wp:positionV>
            <wp:extent cx="5682615" cy="222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82615" cy="22225"/>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7" w:name="page8"/>
    <w:bookmarkEnd w:id="7"/>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Axsome Therapeutics,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(Unaudited)</w:t>
      </w:r>
    </w:p>
    <w:p>
      <w:pPr>
        <w:spacing w:after="0" w:line="34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Note 1. Nature of Business and Basis of Presentation</w:t>
      </w:r>
    </w:p>
    <w:p>
      <w:pPr>
        <w:spacing w:after="0" w:line="186" w:lineRule="exact"/>
        <w:rPr>
          <w:sz w:val="20"/>
          <w:szCs w:val="20"/>
          <w:color w:val="auto"/>
        </w:rPr>
      </w:pPr>
    </w:p>
    <w:p>
      <w:pPr>
        <w:ind w:left="40" w:right="79" w:firstLine="566"/>
        <w:spacing w:after="0" w:line="252" w:lineRule="auto"/>
        <w:rPr>
          <w:sz w:val="20"/>
          <w:szCs w:val="20"/>
          <w:color w:val="auto"/>
        </w:rPr>
      </w:pPr>
      <w:r>
        <w:rPr>
          <w:rFonts w:ascii="Arial" w:cs="Arial" w:eastAsia="Arial" w:hAnsi="Arial"/>
          <w:sz w:val="15"/>
          <w:szCs w:val="15"/>
          <w:color w:val="auto"/>
        </w:rPr>
        <w:t>Axsome Therapeutics, Inc. (“Axsome” or the “Company”) is a biopharmaceutical company developing novel therapies for central nervous system (“CNS”) disorders for which there are limited treatment options. By focusing on this therapeutic area, the Company is addressing significant and growing markets where current treatment options are limited or inadequate. The Company’s core CNS portfolio includes five product candidates, AXS-05, AXS-07, AXS-09, AXS-12, and AXS-14, which are being developed for multiple indications. The Company aims to become a fully integrated biopharmaceutical company that develops and commercializes differentiated therapies that expand the treatment options available to caregivers and improve the lives of patients living with CNS disorders. The Company was incorporated on January 12, 2012 in the State of Delaware.</w:t>
      </w:r>
    </w:p>
    <w:p>
      <w:pPr>
        <w:spacing w:after="0" w:line="159" w:lineRule="exact"/>
        <w:rPr>
          <w:sz w:val="20"/>
          <w:szCs w:val="20"/>
          <w:color w:val="auto"/>
        </w:rPr>
      </w:pPr>
    </w:p>
    <w:p>
      <w:pPr>
        <w:ind w:left="40" w:right="379" w:firstLine="566"/>
        <w:spacing w:after="0" w:line="252" w:lineRule="auto"/>
        <w:rPr>
          <w:sz w:val="20"/>
          <w:szCs w:val="20"/>
          <w:color w:val="auto"/>
        </w:rPr>
      </w:pPr>
      <w:r>
        <w:rPr>
          <w:rFonts w:ascii="Arial" w:cs="Arial" w:eastAsia="Arial" w:hAnsi="Arial"/>
          <w:sz w:val="15"/>
          <w:szCs w:val="15"/>
          <w:color w:val="auto"/>
        </w:rPr>
        <w:t>The accompanying unaudited interim consolidated financial statements have been prepared by the Company in accordance with accounting principles generally accepted in the United States (“U.S. GAAP”) for interim information and pursuant to the rules and regulations of the Securities and Exchange Commission (the “SEC”) for reporting on Form 10-Q. Accordingly, certain information and footnote disclosures normally included in financial statements prepared in accordance with U.S. GAAP have been condensed or omitted pursuant to such rules and regulations. These unaudited interim consolidated financial statements should be read in conjunction with the audited financial statements and related notes included in the Company’s Annual Report on Form 10-K for the year ended December 31, 2019 filed with the SEC on March 12, 2020.</w:t>
      </w:r>
    </w:p>
    <w:p>
      <w:pPr>
        <w:spacing w:after="0" w:line="159" w:lineRule="exact"/>
        <w:rPr>
          <w:sz w:val="20"/>
          <w:szCs w:val="20"/>
          <w:color w:val="auto"/>
        </w:rPr>
      </w:pPr>
    </w:p>
    <w:p>
      <w:pPr>
        <w:ind w:left="40" w:right="99" w:firstLine="566"/>
        <w:spacing w:after="0" w:line="238" w:lineRule="auto"/>
        <w:rPr>
          <w:sz w:val="20"/>
          <w:szCs w:val="20"/>
          <w:color w:val="auto"/>
        </w:rPr>
      </w:pPr>
      <w:r>
        <w:rPr>
          <w:rFonts w:ascii="Arial" w:cs="Arial" w:eastAsia="Arial" w:hAnsi="Arial"/>
          <w:sz w:val="16"/>
          <w:szCs w:val="16"/>
          <w:color w:val="auto"/>
        </w:rPr>
        <w:t>In the opinion of management, the unaudited interim consolidated financial statements reflect all adjustments, which are normal recurring adjustments, necessary for the fair presentation of the financial information for the interim periods. The results of operations for the three and nine months ended September 30, 2020 are not necessarily indicative of the operating results for the full fiscal year or any future period.</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Liquidity and Capital Resources</w:t>
      </w:r>
    </w:p>
    <w:p>
      <w:pPr>
        <w:spacing w:after="0" w:line="186" w:lineRule="exact"/>
        <w:rPr>
          <w:sz w:val="20"/>
          <w:szCs w:val="20"/>
          <w:color w:val="auto"/>
        </w:rPr>
      </w:pPr>
    </w:p>
    <w:p>
      <w:pPr>
        <w:ind w:left="40" w:right="159" w:firstLine="566"/>
        <w:spacing w:after="0" w:line="365" w:lineRule="auto"/>
        <w:rPr>
          <w:sz w:val="20"/>
          <w:szCs w:val="20"/>
          <w:color w:val="auto"/>
        </w:rPr>
      </w:pPr>
      <w:r>
        <w:rPr>
          <w:rFonts w:ascii="Arial" w:cs="Arial" w:eastAsia="Arial" w:hAnsi="Arial"/>
          <w:sz w:val="13"/>
          <w:szCs w:val="13"/>
          <w:color w:val="auto"/>
        </w:rPr>
        <w:t>The Company has incurred operating losses since its inception, and expects to continue to incur operating losses for the foreseeable future and may never become profitable. As of September 30, 2020, the Company had an accumulated deficit of $249.6 million.</w:t>
      </w:r>
    </w:p>
    <w:p>
      <w:pPr>
        <w:spacing w:after="0" w:line="88" w:lineRule="exact"/>
        <w:rPr>
          <w:sz w:val="20"/>
          <w:szCs w:val="20"/>
          <w:color w:val="auto"/>
        </w:rPr>
      </w:pPr>
    </w:p>
    <w:p>
      <w:pPr>
        <w:ind w:left="40" w:right="59" w:firstLine="566"/>
        <w:spacing w:after="0" w:line="304" w:lineRule="auto"/>
        <w:rPr>
          <w:sz w:val="20"/>
          <w:szCs w:val="20"/>
          <w:color w:val="auto"/>
        </w:rPr>
      </w:pPr>
      <w:r>
        <w:rPr>
          <w:rFonts w:ascii="Arial" w:cs="Arial" w:eastAsia="Arial" w:hAnsi="Arial"/>
          <w:sz w:val="13"/>
          <w:szCs w:val="13"/>
          <w:color w:val="auto"/>
        </w:rPr>
        <w:t>The Company’s primary sources of cash have been proceeds from the issuance and sale of its common stock in public offerings. The Company has not yet commercialized any of its product candidates and cannot be sure if it will ever be able to do so. The Company’s ability to achieve profitability depends on a number of factors, including its ability to obtain regulatory approval for its product candidates, successfully complete any post-approval regulatory obligations and successfully commercialize its product candidates alone or in partnership. The Company may continue to incur substantial operating losses even if it begins to generate revenues from its product candidates.</w:t>
      </w:r>
    </w:p>
    <w:p>
      <w:pPr>
        <w:spacing w:after="0" w:line="126" w:lineRule="exact"/>
        <w:rPr>
          <w:sz w:val="20"/>
          <w:szCs w:val="20"/>
          <w:color w:val="auto"/>
        </w:rPr>
      </w:pPr>
    </w:p>
    <w:p>
      <w:pPr>
        <w:ind w:left="40" w:right="99" w:firstLine="566"/>
        <w:spacing w:after="0" w:line="304" w:lineRule="auto"/>
        <w:rPr>
          <w:sz w:val="20"/>
          <w:szCs w:val="20"/>
          <w:color w:val="auto"/>
        </w:rPr>
      </w:pPr>
      <w:r>
        <w:rPr>
          <w:rFonts w:ascii="Arial" w:cs="Arial" w:eastAsia="Arial" w:hAnsi="Arial"/>
          <w:sz w:val="13"/>
          <w:szCs w:val="13"/>
          <w:color w:val="auto"/>
        </w:rPr>
        <w:t>The Company believes its existing cash will be sufficient to fund its anticipated operating cash requirements for at least twelve months following the date of this filing. The actual amount of cash that the Company will need to operate is subject to many factors, including, but not limited to, the timing, design and conduct of clinical trials for its product candidates. The Company may use a combination of public and private equity offerings, debt financings, other third-party funding, strategic alliances, licensing arrangements or marketing and distribution arrangements if market conditions are favorable or in light of other strategic considerations to finance its future cash needs.</w:t>
      </w:r>
    </w:p>
    <w:p>
      <w:pPr>
        <w:spacing w:after="0" w:line="19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Company’s common stock is listed on the Nasdaq Global Market and trades under the symbol “AXSM”.</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302895</wp:posOffset>
            </wp:positionV>
            <wp:extent cx="5682615"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82615" cy="15240"/>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8" w:name="page9"/>
    <w:bookmarkEnd w:id="8"/>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Impact of COVID-19</w:t>
      </w:r>
    </w:p>
    <w:p>
      <w:pPr>
        <w:spacing w:after="0" w:line="186" w:lineRule="exact"/>
        <w:rPr>
          <w:sz w:val="20"/>
          <w:szCs w:val="20"/>
          <w:color w:val="auto"/>
        </w:rPr>
      </w:pPr>
    </w:p>
    <w:p>
      <w:pPr>
        <w:ind w:left="40" w:right="179" w:firstLine="566"/>
        <w:spacing w:after="0" w:line="292" w:lineRule="auto"/>
        <w:rPr>
          <w:sz w:val="20"/>
          <w:szCs w:val="20"/>
          <w:color w:val="auto"/>
        </w:rPr>
      </w:pPr>
      <w:r>
        <w:rPr>
          <w:rFonts w:ascii="Arial" w:cs="Arial" w:eastAsia="Arial" w:hAnsi="Arial"/>
          <w:sz w:val="13"/>
          <w:szCs w:val="13"/>
          <w:color w:val="auto"/>
        </w:rPr>
        <w:t>In December 2019, a novel (new) coronavirus known as SARS-CoV-2 was first detected in Wuhan, Hubei Province, People’s Republic of China, causing outbreaks of the coronavirus disease, known as COVID-19, that has now spread globally. On January 30, 2020, the World Health Organization (WHO) declared COVID-19 a public health emergency. The Secretary of Health and Human Services declared a public health emergency in the United States on January 31, 2020, under section 319 of the Public Health Service Act (42 U.S.C. 247d), in response to the COVID-19 outbreak. On March 11, 2020, the WHO declared COVID-19 a pandemic. The full impact of the COVID-19 pandemic is unknown and rapidly evolving. While the potential economic impact brought by and over the duration of the COVID-19 pandemic may be difficult to assess or predict, the COVID-19 pandemic has resulted in significant disruption of global financial markets, which could in the future negatively affect the Company’s liquidity. In addition, a recession or market volatility resulting from the COVID-19 pandemic could affect the Company’s business. Given the nature and type of the Company’s short-term investments, the Company does not believe the COVID-19 pandemic has had or will have a material impact on the Company’s current investment liquidity.</w:t>
      </w:r>
    </w:p>
    <w:p>
      <w:pPr>
        <w:spacing w:after="0" w:line="13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Note 2. Summary of Significant Accounting Policies</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Significant Risks and Uncertainties</w:t>
      </w:r>
    </w:p>
    <w:p>
      <w:pPr>
        <w:spacing w:after="0" w:line="186" w:lineRule="exact"/>
        <w:rPr>
          <w:sz w:val="20"/>
          <w:szCs w:val="20"/>
          <w:color w:val="auto"/>
        </w:rPr>
      </w:pPr>
    </w:p>
    <w:p>
      <w:pPr>
        <w:ind w:left="40" w:right="239" w:firstLine="566"/>
        <w:spacing w:after="0" w:line="252" w:lineRule="auto"/>
        <w:rPr>
          <w:sz w:val="20"/>
          <w:szCs w:val="20"/>
          <w:color w:val="auto"/>
        </w:rPr>
      </w:pPr>
      <w:r>
        <w:rPr>
          <w:rFonts w:ascii="Arial" w:cs="Arial" w:eastAsia="Arial" w:hAnsi="Arial"/>
          <w:sz w:val="15"/>
          <w:szCs w:val="15"/>
          <w:color w:val="auto"/>
        </w:rPr>
        <w:t>The Company’s operations are subject to a number of factors that can affect its operating results and financial condition. Such factors include, but are not limited to: the results of clinical testing and trial activities of the Company’s product candidates; the Company’s ability to obtain regulatory approval to market its products, if approved; competition from products manufactured and sold or being developed by other companies; the price of, and demand for, the Company’s products, if approved; the Company’s ability to negotiate favorable licensing or other manufacturing and marketing agreements for its products, if approved; and the Company’s ability to raise additional financing. If the Company does not successfully commercialize any of its product candidates, it will be unable to generate recurring product revenue or achieve and maintain profitability.</w:t>
      </w:r>
    </w:p>
    <w:p>
      <w:pPr>
        <w:spacing w:after="0" w:line="15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Use of Estimates</w:t>
      </w:r>
    </w:p>
    <w:p>
      <w:pPr>
        <w:spacing w:after="0" w:line="186" w:lineRule="exact"/>
        <w:rPr>
          <w:sz w:val="20"/>
          <w:szCs w:val="20"/>
          <w:color w:val="auto"/>
        </w:rPr>
      </w:pPr>
    </w:p>
    <w:p>
      <w:pPr>
        <w:ind w:left="40" w:right="139" w:firstLine="566"/>
        <w:spacing w:after="0" w:line="293" w:lineRule="auto"/>
        <w:rPr>
          <w:sz w:val="20"/>
          <w:szCs w:val="20"/>
          <w:color w:val="auto"/>
        </w:rPr>
      </w:pPr>
      <w:r>
        <w:rPr>
          <w:rFonts w:ascii="Arial" w:cs="Arial" w:eastAsia="Arial" w:hAnsi="Arial"/>
          <w:sz w:val="13"/>
          <w:szCs w:val="13"/>
          <w:color w:val="auto"/>
        </w:rPr>
        <w:t>Management considers many factors in developing the estimates and assumptions that are used in the preparation of these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This process may result in actual results differing materially from those estimated amounts used in the preparation of the financial statements if these results differ from historical experience, or other assumptions do not turn out to be substantially accurate, even if such assumptions are reasonable when made. In preparing these financial statements, management used significant estimates in the following areas, among others: stock-based compensation expense; the determination of the fair value of the warrants; the accounting for research and development costs; and the recoverability of the Company’s net deferred tax assets and related valuation allowance.</w:t>
      </w:r>
    </w:p>
    <w:p>
      <w:pPr>
        <w:spacing w:after="0" w:line="31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Foreign Currency Translation</w:t>
      </w:r>
    </w:p>
    <w:p>
      <w:pPr>
        <w:spacing w:after="0" w:line="186" w:lineRule="exact"/>
        <w:rPr>
          <w:sz w:val="20"/>
          <w:szCs w:val="20"/>
          <w:color w:val="auto"/>
        </w:rPr>
      </w:pPr>
    </w:p>
    <w:p>
      <w:pPr>
        <w:ind w:left="40" w:right="139" w:firstLine="566"/>
        <w:spacing w:after="0" w:line="324" w:lineRule="auto"/>
        <w:rPr>
          <w:sz w:val="20"/>
          <w:szCs w:val="20"/>
          <w:color w:val="auto"/>
        </w:rPr>
      </w:pPr>
      <w:r>
        <w:rPr>
          <w:rFonts w:ascii="Arial" w:cs="Arial" w:eastAsia="Arial" w:hAnsi="Arial"/>
          <w:sz w:val="13"/>
          <w:szCs w:val="13"/>
          <w:color w:val="auto"/>
        </w:rPr>
        <w:t>Expenses denominated in foreign currency are translated into U.S. dollars at the exchange rate on the date the expense is incurred. Assets and liabilities of foreign operations are translated at period-end exchange rates. The effect of exchange rate fluctuations on translating foreign currency into U.S. dollars is included in the Statements of Operations and is not material to the Company’s financial statements.</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302895</wp:posOffset>
            </wp:positionV>
            <wp:extent cx="5682615" cy="222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82615" cy="22225"/>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9" w:name="page10"/>
    <w:bookmarkEnd w:id="9"/>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Segment and Geographic Information</w:t>
      </w:r>
    </w:p>
    <w:p>
      <w:pPr>
        <w:spacing w:after="0" w:line="186" w:lineRule="exact"/>
        <w:rPr>
          <w:sz w:val="20"/>
          <w:szCs w:val="20"/>
          <w:color w:val="auto"/>
        </w:rPr>
      </w:pPr>
    </w:p>
    <w:p>
      <w:pPr>
        <w:ind w:left="40" w:right="59" w:firstLine="566"/>
        <w:spacing w:after="0" w:line="238" w:lineRule="auto"/>
        <w:rPr>
          <w:sz w:val="20"/>
          <w:szCs w:val="20"/>
          <w:color w:val="auto"/>
        </w:rPr>
      </w:pPr>
      <w:r>
        <w:rPr>
          <w:rFonts w:ascii="Arial" w:cs="Arial" w:eastAsia="Arial" w:hAnsi="Arial"/>
          <w:sz w:val="16"/>
          <w:szCs w:val="16"/>
          <w:color w:val="auto"/>
        </w:rPr>
        <w:t>Operating segments are defined as components of an enterprise for which separate discrete information is available for evaluation by the chief operating decision maker or decision-making group, in deciding how to allocate resources and in assessing performance. The Company views its operations and manages its business as one operating segment, which is the business of developing novel therapies for the management of CNS disorders.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Cash Equivalents</w:t>
      </w:r>
    </w:p>
    <w:p>
      <w:pPr>
        <w:spacing w:after="0" w:line="186" w:lineRule="exact"/>
        <w:rPr>
          <w:sz w:val="20"/>
          <w:szCs w:val="20"/>
          <w:color w:val="auto"/>
        </w:rPr>
      </w:pPr>
    </w:p>
    <w:p>
      <w:pPr>
        <w:ind w:left="40" w:right="259" w:firstLine="566"/>
        <w:spacing w:after="0" w:line="235" w:lineRule="auto"/>
        <w:rPr>
          <w:sz w:val="20"/>
          <w:szCs w:val="20"/>
          <w:color w:val="auto"/>
        </w:rPr>
      </w:pPr>
      <w:r>
        <w:rPr>
          <w:rFonts w:ascii="Arial" w:cs="Arial" w:eastAsia="Arial" w:hAnsi="Arial"/>
          <w:sz w:val="16"/>
          <w:szCs w:val="16"/>
          <w:color w:val="auto"/>
        </w:rPr>
        <w:t>The Company considers all highly liquid investments that have maturities of three months or less when acquired to be cash equivalents. The Company’s cash and cash equivalents includes holdings in checking and overnight sweep accounts. The Company’s cash equivalents, which are money market funds held in a sweep account, are measured at fair value on a recurring basis. As of September 30, 2020, the balance of cash and cash equivalents was $202.4 million, which approximates fair value and was determined based upon Level 1 inputs. The sweep account is valued using quoted market prices with no valuation adjustments applied. Accordingly, these securities are categorized as Level 1.</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Concentration of Credit Risk</w:t>
      </w:r>
    </w:p>
    <w:p>
      <w:pPr>
        <w:spacing w:after="0" w:line="186" w:lineRule="exact"/>
        <w:rPr>
          <w:sz w:val="20"/>
          <w:szCs w:val="20"/>
          <w:color w:val="auto"/>
        </w:rPr>
      </w:pPr>
    </w:p>
    <w:p>
      <w:pPr>
        <w:ind w:left="40" w:right="99" w:firstLine="566"/>
        <w:spacing w:after="0" w:line="236" w:lineRule="auto"/>
        <w:rPr>
          <w:sz w:val="20"/>
          <w:szCs w:val="20"/>
          <w:color w:val="auto"/>
        </w:rPr>
      </w:pPr>
      <w:r>
        <w:rPr>
          <w:rFonts w:ascii="Arial" w:cs="Arial" w:eastAsia="Arial" w:hAnsi="Arial"/>
          <w:sz w:val="16"/>
          <w:szCs w:val="16"/>
          <w:color w:val="auto"/>
        </w:rPr>
        <w:t>Financial instruments that potentially subject the Company to a concentration of credit risk consist of cash. The Company maintains its cash at financial institutions, which at times, exceed federally insured limits. At September 30, 2020, the majority of the Company’s cash was held by one financial institution and the amount on deposit was in excess of Federal Deposit Insurance Corporation insurance limits. The Company has not recognized any losses from credit risks on such accounts since inception. The Company believes it is not exposed to significant credit risk on cash.</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Fair Value of Financial Instruments</w:t>
      </w:r>
    </w:p>
    <w:p>
      <w:pPr>
        <w:spacing w:after="0" w:line="186" w:lineRule="exact"/>
        <w:rPr>
          <w:sz w:val="20"/>
          <w:szCs w:val="20"/>
          <w:color w:val="auto"/>
        </w:rPr>
      </w:pPr>
    </w:p>
    <w:p>
      <w:pPr>
        <w:ind w:left="40" w:right="59" w:firstLine="566"/>
        <w:spacing w:after="0" w:line="236" w:lineRule="auto"/>
        <w:rPr>
          <w:sz w:val="20"/>
          <w:szCs w:val="20"/>
          <w:color w:val="auto"/>
        </w:rPr>
      </w:pPr>
      <w:r>
        <w:rPr>
          <w:rFonts w:ascii="Arial" w:cs="Arial" w:eastAsia="Arial" w:hAnsi="Arial"/>
          <w:sz w:val="16"/>
          <w:szCs w:val="16"/>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Assets and liabilities that are measured at fair value are reported using a three-level fair value hierarchy that prioritizes the inputs used to measure fair value. This hierarchy maximizes the use of observable inputs and minimizes the use of unobservable inputs. The three levels of inputs used to measure fair value are as follows:</w:t>
      </w:r>
    </w:p>
    <w:p>
      <w:pPr>
        <w:spacing w:after="0" w:line="168" w:lineRule="exact"/>
        <w:rPr>
          <w:sz w:val="20"/>
          <w:szCs w:val="20"/>
          <w:color w:val="auto"/>
        </w:rPr>
      </w:pPr>
    </w:p>
    <w:p>
      <w:pPr>
        <w:ind w:left="40" w:right="739" w:firstLine="566"/>
        <w:spacing w:after="0" w:line="251" w:lineRule="auto"/>
        <w:rPr>
          <w:sz w:val="20"/>
          <w:szCs w:val="20"/>
          <w:color w:val="auto"/>
        </w:rPr>
      </w:pPr>
      <w:r>
        <w:rPr>
          <w:rFonts w:ascii="Arial" w:cs="Arial" w:eastAsia="Arial" w:hAnsi="Arial"/>
          <w:sz w:val="16"/>
          <w:szCs w:val="16"/>
          <w:i w:val="1"/>
          <w:iCs w:val="1"/>
          <w:color w:val="auto"/>
        </w:rPr>
        <w:t>Level 1</w:t>
      </w:r>
      <w:r>
        <w:rPr>
          <w:rFonts w:ascii="Arial" w:cs="Arial" w:eastAsia="Arial" w:hAnsi="Arial"/>
          <w:sz w:val="16"/>
          <w:szCs w:val="16"/>
          <w:color w:val="auto"/>
        </w:rPr>
        <w:t>—Quoted prices in active markets for identical assets or liabilities that the Company has the ability to access at the</w:t>
      </w:r>
      <w:r>
        <w:rPr>
          <w:rFonts w:ascii="Arial" w:cs="Arial" w:eastAsia="Arial" w:hAnsi="Arial"/>
          <w:sz w:val="16"/>
          <w:szCs w:val="16"/>
          <w:i w:val="1"/>
          <w:iCs w:val="1"/>
          <w:color w:val="auto"/>
        </w:rPr>
        <w:t xml:space="preserve"> </w:t>
      </w:r>
      <w:r>
        <w:rPr>
          <w:rFonts w:ascii="Arial" w:cs="Arial" w:eastAsia="Arial" w:hAnsi="Arial"/>
          <w:sz w:val="16"/>
          <w:szCs w:val="16"/>
          <w:color w:val="auto"/>
        </w:rPr>
        <w:t>measurement date.</w:t>
      </w:r>
    </w:p>
    <w:p>
      <w:pPr>
        <w:spacing w:after="0" w:line="157" w:lineRule="exact"/>
        <w:rPr>
          <w:sz w:val="20"/>
          <w:szCs w:val="20"/>
          <w:color w:val="auto"/>
        </w:rPr>
      </w:pPr>
    </w:p>
    <w:p>
      <w:pPr>
        <w:ind w:left="600"/>
        <w:spacing w:after="0"/>
        <w:rPr>
          <w:sz w:val="20"/>
          <w:szCs w:val="20"/>
          <w:color w:val="auto"/>
        </w:rPr>
      </w:pPr>
      <w:r>
        <w:rPr>
          <w:rFonts w:ascii="Arial" w:cs="Arial" w:eastAsia="Arial" w:hAnsi="Arial"/>
          <w:sz w:val="13"/>
          <w:szCs w:val="13"/>
          <w:i w:val="1"/>
          <w:iCs w:val="1"/>
          <w:color w:val="auto"/>
        </w:rPr>
        <w:t>Level 2</w:t>
      </w:r>
      <w:r>
        <w:rPr>
          <w:rFonts w:ascii="Arial" w:cs="Arial" w:eastAsia="Arial" w:hAnsi="Arial"/>
          <w:sz w:val="13"/>
          <w:szCs w:val="13"/>
          <w:color w:val="auto"/>
        </w:rPr>
        <w:t>—Inputs other than quoted prices in active markets that are observable for the asset or liability, either directly or indirectly.</w:t>
      </w:r>
    </w:p>
    <w:p>
      <w:pPr>
        <w:spacing w:after="0" w:line="216" w:lineRule="exact"/>
        <w:rPr>
          <w:sz w:val="20"/>
          <w:szCs w:val="20"/>
          <w:color w:val="auto"/>
        </w:rPr>
      </w:pPr>
    </w:p>
    <w:p>
      <w:pPr>
        <w:ind w:left="600"/>
        <w:spacing w:after="0"/>
        <w:rPr>
          <w:sz w:val="20"/>
          <w:szCs w:val="20"/>
          <w:color w:val="auto"/>
        </w:rPr>
      </w:pPr>
      <w:r>
        <w:rPr>
          <w:rFonts w:ascii="Arial" w:cs="Arial" w:eastAsia="Arial" w:hAnsi="Arial"/>
          <w:sz w:val="16"/>
          <w:szCs w:val="16"/>
          <w:i w:val="1"/>
          <w:iCs w:val="1"/>
          <w:color w:val="auto"/>
        </w:rPr>
        <w:t>Level 3</w:t>
      </w:r>
      <w:r>
        <w:rPr>
          <w:rFonts w:ascii="Arial" w:cs="Arial" w:eastAsia="Arial" w:hAnsi="Arial"/>
          <w:sz w:val="16"/>
          <w:szCs w:val="16"/>
          <w:color w:val="auto"/>
        </w:rPr>
        <w:t>—Inputs that are unobservable for the asset or liability.</w:t>
      </w:r>
    </w:p>
    <w:p>
      <w:pPr>
        <w:spacing w:after="0" w:line="182" w:lineRule="exact"/>
        <w:rPr>
          <w:sz w:val="20"/>
          <w:szCs w:val="20"/>
          <w:color w:val="auto"/>
        </w:rPr>
      </w:pPr>
    </w:p>
    <w:p>
      <w:pPr>
        <w:ind w:left="40" w:right="99" w:firstLine="566"/>
        <w:spacing w:after="0" w:line="238" w:lineRule="auto"/>
        <w:rPr>
          <w:sz w:val="20"/>
          <w:szCs w:val="20"/>
          <w:color w:val="auto"/>
        </w:rPr>
      </w:pPr>
      <w:r>
        <w:rPr>
          <w:rFonts w:ascii="Arial" w:cs="Arial" w:eastAsia="Arial" w:hAnsi="Arial"/>
          <w:sz w:val="16"/>
          <w:szCs w:val="16"/>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66" w:lineRule="exact"/>
        <w:rPr>
          <w:sz w:val="20"/>
          <w:szCs w:val="20"/>
          <w:color w:val="auto"/>
        </w:rPr>
      </w:pPr>
    </w:p>
    <w:p>
      <w:pPr>
        <w:ind w:left="40" w:right="119" w:firstLine="566"/>
        <w:spacing w:after="0" w:line="255" w:lineRule="auto"/>
        <w:rPr>
          <w:sz w:val="20"/>
          <w:szCs w:val="20"/>
          <w:color w:val="auto"/>
        </w:rPr>
      </w:pPr>
      <w:r>
        <w:rPr>
          <w:rFonts w:ascii="Arial" w:cs="Arial" w:eastAsia="Arial" w:hAnsi="Arial"/>
          <w:sz w:val="15"/>
          <w:szCs w:val="15"/>
          <w:color w:val="auto"/>
        </w:rPr>
        <w:t>The Company’s financial instruments are cash, accounts payable, accrued liabilities, and current and long-term debt. The carrying values for cash, accounts payable and accrued liabilities reported in the accompanying consolidated financial statements approximate their respective fair values due to their short-term maturities. The carrying value of debt on the Company’s balance sheet, the Hercules Term Loan (see Note 4 – Loan and Security Agreement), is estimated to approximate its fair value as the interest rate approximates the market rate for loans with similar terms and risk characteristics.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302895</wp:posOffset>
            </wp:positionV>
            <wp:extent cx="5682615" cy="222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82615" cy="22225"/>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10" w:name="page11"/>
    <w:bookmarkEnd w:id="10"/>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Debt Issuance Costs</w:t>
      </w:r>
    </w:p>
    <w:p>
      <w:pPr>
        <w:spacing w:after="0" w:line="197" w:lineRule="exact"/>
        <w:rPr>
          <w:sz w:val="20"/>
          <w:szCs w:val="20"/>
          <w:color w:val="auto"/>
        </w:rPr>
      </w:pPr>
    </w:p>
    <w:p>
      <w:pPr>
        <w:jc w:val="both"/>
        <w:ind w:left="40" w:right="79" w:firstLine="566"/>
        <w:spacing w:after="0" w:line="343" w:lineRule="auto"/>
        <w:rPr>
          <w:sz w:val="20"/>
          <w:szCs w:val="20"/>
          <w:color w:val="auto"/>
        </w:rPr>
      </w:pPr>
      <w:r>
        <w:rPr>
          <w:rFonts w:ascii="Arial" w:cs="Arial" w:eastAsia="Arial" w:hAnsi="Arial"/>
          <w:sz w:val="13"/>
          <w:szCs w:val="13"/>
          <w:color w:val="auto"/>
        </w:rPr>
        <w:t>Debt issuance costs consist of costs incurred in obtaining long-term financing. These costs are classified on the consolidated balance sheet as a direct deduction from the carrying amount of the related debt liability. These expenses are deferred and amortized as part of interest expense in the consolidated statement of operations using the effective interest rate method over the term of the debt agreement.</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Equipment</w:t>
      </w:r>
    </w:p>
    <w:p>
      <w:pPr>
        <w:spacing w:after="0" w:line="197" w:lineRule="exact"/>
        <w:rPr>
          <w:sz w:val="20"/>
          <w:szCs w:val="20"/>
          <w:color w:val="auto"/>
        </w:rPr>
      </w:pPr>
    </w:p>
    <w:p>
      <w:pPr>
        <w:ind w:left="40" w:right="159" w:firstLine="566"/>
        <w:spacing w:after="0" w:line="343" w:lineRule="auto"/>
        <w:rPr>
          <w:sz w:val="20"/>
          <w:szCs w:val="20"/>
          <w:color w:val="auto"/>
        </w:rPr>
      </w:pPr>
      <w:r>
        <w:rPr>
          <w:rFonts w:ascii="Arial" w:cs="Arial" w:eastAsia="Arial" w:hAnsi="Arial"/>
          <w:sz w:val="13"/>
          <w:szCs w:val="13"/>
          <w:color w:val="auto"/>
        </w:rPr>
        <w:t>Equipment consists primarily of computer equipment and is recorded at cost. Equipment is depreciated on a straight-line basis over its estimated useful life, which the Company estimates to be three years. When equipment is sold or otherwise disposed of, the cost and related accumulated depreciation are removed from the accounts and the resulting gain or loss is included in operating expenses.</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Research and Development Costs</w:t>
      </w:r>
    </w:p>
    <w:p>
      <w:pPr>
        <w:spacing w:after="0" w:line="186" w:lineRule="exact"/>
        <w:rPr>
          <w:sz w:val="20"/>
          <w:szCs w:val="20"/>
          <w:color w:val="auto"/>
        </w:rPr>
      </w:pPr>
    </w:p>
    <w:p>
      <w:pPr>
        <w:ind w:left="40" w:right="59" w:firstLine="566"/>
        <w:spacing w:after="0" w:line="258" w:lineRule="auto"/>
        <w:rPr>
          <w:sz w:val="20"/>
          <w:szCs w:val="20"/>
          <w:color w:val="auto"/>
        </w:rPr>
      </w:pPr>
      <w:r>
        <w:rPr>
          <w:rFonts w:ascii="Arial" w:cs="Arial" w:eastAsia="Arial" w:hAnsi="Arial"/>
          <w:sz w:val="15"/>
          <w:szCs w:val="15"/>
          <w:color w:val="auto"/>
        </w:rPr>
        <w:t>Research and development expenses primarily consist of costs incurred in performing research and development activities, including preclinical studies, clinical trials, manufacturing costs, regulatory costs, employee salaries and benefits, stock-based compensation expense, contract services, including external research and development expenses incurred under arrangements with third parties, such as contract research organizations (“CROs”), facilities costs, overhead costs, depreciation, and other related costs.</w:t>
      </w:r>
    </w:p>
    <w:p>
      <w:pPr>
        <w:spacing w:after="0" w:line="154" w:lineRule="exact"/>
        <w:rPr>
          <w:sz w:val="20"/>
          <w:szCs w:val="20"/>
          <w:color w:val="auto"/>
        </w:rPr>
      </w:pPr>
    </w:p>
    <w:p>
      <w:pPr>
        <w:ind w:left="40" w:right="59" w:firstLine="566"/>
        <w:spacing w:after="0" w:line="291" w:lineRule="auto"/>
        <w:rPr>
          <w:sz w:val="20"/>
          <w:szCs w:val="20"/>
          <w:color w:val="auto"/>
        </w:rPr>
      </w:pPr>
      <w:r>
        <w:rPr>
          <w:rFonts w:ascii="Arial" w:cs="Arial" w:eastAsia="Arial" w:hAnsi="Arial"/>
          <w:sz w:val="13"/>
          <w:szCs w:val="13"/>
          <w:color w:val="auto"/>
        </w:rPr>
        <w:t>Generally, research and development costs are expensed as incurred. Nonrefundable advance payments for goods or services that will be used or rendered for future research and development activities are deferred and amortized over the period that the goods are delivered or the related services are performed, subject to an assessment of recoverability. The Company makes estimates of costs incurred in relation to clinical site costs. The Company analyzes the progress of clinical trials, including levels of patient enrollment, invoices received and contracted costs when evaluating the adequacy of the amount expensed and the related prepaid asset and accrued liability. Significant judgments and estimates must be made and used in determining the accrued balance and expense in any accounting period. The Company reviews and accrues clinical trial study expenses based on work performed and relies upon estimates of those costs applicable to the stage of completion of a study. With respect to clinical site costs, the financial terms of these agreements are subject to negotiation and vary from contract to contract. Payments under these contracts may be uneven, and depend on factors such as the achievement of certain events, the successful recruitment of patients, the completion of portions of the clinical trial or similar conditions. The objective of the Company’s policy is to match the recording of expenses in its financial statements to the actual services received and efforts expended. As such, expense accruals related to clinical site costs are recognized based on the Company’s estimate of the degree of completion of the event or events specified in the specific clinical study or trial contract.</w:t>
      </w:r>
    </w:p>
    <w:p>
      <w:pPr>
        <w:spacing w:after="0" w:line="30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Income Taxes</w:t>
      </w:r>
    </w:p>
    <w:p>
      <w:pPr>
        <w:spacing w:after="0" w:line="186" w:lineRule="exact"/>
        <w:rPr>
          <w:sz w:val="20"/>
          <w:szCs w:val="20"/>
          <w:color w:val="auto"/>
        </w:rPr>
      </w:pPr>
    </w:p>
    <w:p>
      <w:pPr>
        <w:ind w:left="40" w:right="119" w:firstLine="566"/>
        <w:spacing w:after="0" w:line="252" w:lineRule="auto"/>
        <w:rPr>
          <w:sz w:val="20"/>
          <w:szCs w:val="20"/>
          <w:color w:val="auto"/>
        </w:rPr>
      </w:pPr>
      <w:r>
        <w:rPr>
          <w:rFonts w:ascii="Arial" w:cs="Arial" w:eastAsia="Arial" w:hAnsi="Arial"/>
          <w:sz w:val="15"/>
          <w:szCs w:val="15"/>
          <w:color w:val="auto"/>
        </w:rPr>
        <w:t>Income taxes are accounted for under the asset and liability method. Under this method, deferred tax assets and liabilities are recognized for the future tax consequences attributable to the differences between the financial statement carrying amounts of existing assets and liabilities and their respective tax bases, operating losses, and tax credit carryforwards. Deferred tax assets and liabilities are measured using enacted tax rates expected to apply to taxable income in the years in which those temporary differences are expected to be recovered or settled. The effect of a change in tax rates on deferred tax assets and liabilities is recognized in income in the period that includes the enactment date. Valuation allowances are provided if, based upon the weight of available evidence, it is more likely than not that some or all of the deferred tax assets will not be realized.</w:t>
      </w:r>
    </w:p>
    <w:p>
      <w:pPr>
        <w:spacing w:after="0" w:line="159" w:lineRule="exact"/>
        <w:rPr>
          <w:sz w:val="20"/>
          <w:szCs w:val="20"/>
          <w:color w:val="auto"/>
        </w:rPr>
      </w:pPr>
    </w:p>
    <w:p>
      <w:pPr>
        <w:ind w:left="40" w:right="119" w:firstLine="566"/>
        <w:spacing w:after="0" w:line="241" w:lineRule="auto"/>
        <w:rPr>
          <w:sz w:val="20"/>
          <w:szCs w:val="20"/>
          <w:color w:val="auto"/>
        </w:rPr>
      </w:pPr>
      <w:r>
        <w:rPr>
          <w:rFonts w:ascii="Arial" w:cs="Arial" w:eastAsia="Arial" w:hAnsi="Arial"/>
          <w:sz w:val="16"/>
          <w:szCs w:val="16"/>
          <w:color w:val="auto"/>
        </w:rPr>
        <w:t>The Company estimates an annual effective tax rate of 0% for the year ending December 31, 2020 and has not recorded an income tax benefit for the nine months ended September 30, 2020 and 2019 since it determined that a full valuation allowance is required against the Company’s deferred tax assets.</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302895</wp:posOffset>
            </wp:positionV>
            <wp:extent cx="5682615" cy="222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82615" cy="22225"/>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11" w:name="page12"/>
    <w:bookmarkEnd w:id="11"/>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 w:right="119" w:firstLine="566"/>
        <w:spacing w:after="0" w:line="235" w:lineRule="auto"/>
        <w:rPr>
          <w:sz w:val="20"/>
          <w:szCs w:val="20"/>
          <w:color w:val="auto"/>
        </w:rPr>
      </w:pPr>
      <w:r>
        <w:rPr>
          <w:rFonts w:ascii="Arial" w:cs="Arial" w:eastAsia="Arial" w:hAnsi="Arial"/>
          <w:sz w:val="16"/>
          <w:szCs w:val="16"/>
          <w:color w:val="auto"/>
        </w:rPr>
        <w:t>The Company recognizes the tax benefit from an uncertain tax position only if it is more likely than not to be sustained upon examination based on the technical merits of the position as well as consideration of the available facts and circumstances. When uncertain tax positions exist, the Company recognizes the tax benefit of tax positions to the extent that the benefit will more likely than not be realized. As of September 30, 2020, the Company does not believe any material uncertain tax positions are present. In the event the Company determines that accrual of interest or penalties are necessary in the future, the amount will be presented as a component of income tax expense.</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Stock-Based Compensation</w:t>
      </w:r>
    </w:p>
    <w:p>
      <w:pPr>
        <w:spacing w:after="0" w:line="186" w:lineRule="exact"/>
        <w:rPr>
          <w:sz w:val="20"/>
          <w:szCs w:val="20"/>
          <w:color w:val="auto"/>
        </w:rPr>
      </w:pPr>
    </w:p>
    <w:p>
      <w:pPr>
        <w:ind w:left="40" w:right="359" w:firstLine="566"/>
        <w:spacing w:after="0" w:line="304" w:lineRule="auto"/>
        <w:rPr>
          <w:sz w:val="20"/>
          <w:szCs w:val="20"/>
          <w:color w:val="auto"/>
        </w:rPr>
      </w:pPr>
      <w:r>
        <w:rPr>
          <w:rFonts w:ascii="Arial" w:cs="Arial" w:eastAsia="Arial" w:hAnsi="Arial"/>
          <w:sz w:val="13"/>
          <w:szCs w:val="13"/>
          <w:color w:val="auto"/>
        </w:rPr>
        <w:t>For stock options issued, the Company estimates the grant date fair value of each option using the Black-Scholes option pricing model. The Black-Scholes model takes into account the expected volatility of the Company’s common stock, expected dividends of the Company’s common stock, the risk-free interest rate, the estimated life of the option, the closing market price of the Company’s common stock and the exercise price. The estimates utilized in the Black-Scholes calculation involve inherent uncertainties and the application of management’s judgment. In addition, the Company recognizes expense for equity awards forfeitures as they occur.</w:t>
      </w:r>
    </w:p>
    <w:p>
      <w:pPr>
        <w:spacing w:after="0" w:line="126" w:lineRule="exact"/>
        <w:rPr>
          <w:sz w:val="20"/>
          <w:szCs w:val="20"/>
          <w:color w:val="auto"/>
        </w:rPr>
      </w:pPr>
    </w:p>
    <w:p>
      <w:pPr>
        <w:ind w:left="40" w:right="79" w:firstLine="566"/>
        <w:spacing w:after="0" w:line="265" w:lineRule="auto"/>
        <w:rPr>
          <w:sz w:val="20"/>
          <w:szCs w:val="20"/>
          <w:color w:val="auto"/>
        </w:rPr>
      </w:pPr>
      <w:r>
        <w:rPr>
          <w:rFonts w:ascii="Arial" w:cs="Arial" w:eastAsia="Arial" w:hAnsi="Arial"/>
          <w:sz w:val="15"/>
          <w:szCs w:val="15"/>
          <w:color w:val="auto"/>
        </w:rPr>
        <w:t>For restricted stock units (“RSUs”) issued, the Company issues them in the form of Company common stock. The fair value of these awards is based on the market close price per share on the grant date. Prior to January 1, 2020, the Company only granted stock options. Beginning in 2020, for grants to employees, the Company granted a mix of stock options and RSUs.</w:t>
      </w:r>
    </w:p>
    <w:p>
      <w:pPr>
        <w:spacing w:after="0" w:line="148" w:lineRule="exact"/>
        <w:rPr>
          <w:sz w:val="20"/>
          <w:szCs w:val="20"/>
          <w:color w:val="auto"/>
        </w:rPr>
      </w:pPr>
    </w:p>
    <w:p>
      <w:pPr>
        <w:ind w:left="40" w:right="59" w:firstLine="566"/>
        <w:spacing w:after="0" w:line="236" w:lineRule="auto"/>
        <w:rPr>
          <w:sz w:val="20"/>
          <w:szCs w:val="20"/>
          <w:color w:val="auto"/>
        </w:rPr>
      </w:pPr>
      <w:r>
        <w:rPr>
          <w:rFonts w:ascii="Arial" w:cs="Arial" w:eastAsia="Arial" w:hAnsi="Arial"/>
          <w:sz w:val="16"/>
          <w:szCs w:val="16"/>
          <w:color w:val="auto"/>
        </w:rPr>
        <w:t>For awards subject to service-based vesting conditions, the Company recognizes stock-based compensation expense on a straight-line basis over the requisite service period, which is generally the vesting term. For awards subject to performance-based vesting conditions, the Company recognizes stock-based compensation expense using the accelerated attribution method when it is probable that the performance condition will be achieved. The expense related to the stock-based compensation is recorded within the same financial statement line item as the grantee’s cash compensation.</w:t>
      </w:r>
    </w:p>
    <w:p>
      <w:pPr>
        <w:spacing w:after="0" w:line="168" w:lineRule="exact"/>
        <w:rPr>
          <w:sz w:val="20"/>
          <w:szCs w:val="20"/>
          <w:color w:val="auto"/>
        </w:rPr>
      </w:pPr>
    </w:p>
    <w:p>
      <w:pPr>
        <w:ind w:left="40" w:right="379" w:firstLine="566"/>
        <w:spacing w:after="0" w:line="251" w:lineRule="auto"/>
        <w:rPr>
          <w:sz w:val="20"/>
          <w:szCs w:val="20"/>
          <w:color w:val="auto"/>
        </w:rPr>
      </w:pPr>
      <w:r>
        <w:rPr>
          <w:rFonts w:ascii="Arial" w:cs="Arial" w:eastAsia="Arial" w:hAnsi="Arial"/>
          <w:sz w:val="16"/>
          <w:szCs w:val="16"/>
          <w:color w:val="auto"/>
        </w:rPr>
        <w:t>The Company’s policy upon exercise of stock options and RSUs is that shares will be issued as new shares from the Company’s 2015 Omnibus Incentive Compensation Plan available share pool.</w:t>
      </w:r>
    </w:p>
    <w:p>
      <w:pPr>
        <w:spacing w:after="0" w:line="15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Basic and Diluted Net Loss per Common Share</w:t>
      </w:r>
    </w:p>
    <w:p>
      <w:pPr>
        <w:spacing w:after="0" w:line="186" w:lineRule="exact"/>
        <w:rPr>
          <w:sz w:val="20"/>
          <w:szCs w:val="20"/>
          <w:color w:val="auto"/>
        </w:rPr>
      </w:pPr>
    </w:p>
    <w:p>
      <w:pPr>
        <w:ind w:left="40" w:right="239" w:firstLine="566"/>
        <w:spacing w:after="0" w:line="255" w:lineRule="auto"/>
        <w:rPr>
          <w:sz w:val="20"/>
          <w:szCs w:val="20"/>
          <w:color w:val="auto"/>
        </w:rPr>
      </w:pPr>
      <w:r>
        <w:rPr>
          <w:rFonts w:ascii="Arial" w:cs="Arial" w:eastAsia="Arial" w:hAnsi="Arial"/>
          <w:sz w:val="15"/>
          <w:szCs w:val="15"/>
          <w:color w:val="auto"/>
        </w:rPr>
        <w:t>Basic net loss per share of common stock is computed by dividing net loss by the weighted average number of shares of common stock outstanding during the period. Diluted net loss per share of common stock includes the effect, if any, from the potential exercise or conversion of securities, such as warrants, stock options, and RSUs, which would result in the issuance of incremental shares of common stock. As the impact of these items is anti-dilutive during periods of net loss, there was no difference between basic and diluted net loss per share of common stock for the three and nine months ended September 30, 2020 and 2019.</w:t>
      </w:r>
    </w:p>
    <w:p>
      <w:pPr>
        <w:spacing w:after="0" w:line="15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Recent Accounting Pronouncements</w:t>
      </w:r>
    </w:p>
    <w:p>
      <w:pPr>
        <w:spacing w:after="0" w:line="186" w:lineRule="exact"/>
        <w:rPr>
          <w:sz w:val="20"/>
          <w:szCs w:val="20"/>
          <w:color w:val="auto"/>
        </w:rPr>
      </w:pPr>
    </w:p>
    <w:p>
      <w:pPr>
        <w:ind w:left="40" w:right="139" w:firstLine="565"/>
        <w:spacing w:after="0" w:line="300" w:lineRule="auto"/>
        <w:rPr>
          <w:sz w:val="20"/>
          <w:szCs w:val="20"/>
          <w:color w:val="auto"/>
        </w:rPr>
      </w:pPr>
      <w:r>
        <w:rPr>
          <w:rFonts w:ascii="Arial" w:cs="Arial" w:eastAsia="Arial" w:hAnsi="Arial"/>
          <w:sz w:val="13"/>
          <w:szCs w:val="13"/>
          <w:color w:val="auto"/>
        </w:rPr>
        <w:t xml:space="preserve">In December 2019, the FASB issued ASU 2019-12, </w:t>
      </w:r>
      <w:r>
        <w:rPr>
          <w:rFonts w:ascii="Arial" w:cs="Arial" w:eastAsia="Arial" w:hAnsi="Arial"/>
          <w:sz w:val="13"/>
          <w:szCs w:val="13"/>
          <w:i w:val="1"/>
          <w:iCs w:val="1"/>
          <w:color w:val="auto"/>
        </w:rPr>
        <w:t>Income Taxes (Topic 740): Simplifying the Accounting for Income Taxes,</w:t>
      </w:r>
      <w:r>
        <w:rPr>
          <w:rFonts w:ascii="Arial" w:cs="Arial" w:eastAsia="Arial" w:hAnsi="Arial"/>
          <w:sz w:val="13"/>
          <w:szCs w:val="13"/>
          <w:color w:val="auto"/>
        </w:rPr>
        <w:t xml:space="preserve"> enhances and simplifies various aspects of the income tax accounting guidance, including requirements such as tax basis step-up in goodwill obtained in a transaction that is not a business combination, ownership changes in investments, and interim-period accounting for enacted changes in tax law. ASU 2019-12 is effective for annual periods, and interim periods within those annual periods, beginning after December 15, 2020. Early adoption is permitted, including adoption in an interim period. The Company is currently evaluating the expected impact of this standard, but does not expect it to have a material impact on its consolidated financial statements upon adoption.</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302895</wp:posOffset>
            </wp:positionV>
            <wp:extent cx="5682615" cy="222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82615" cy="22225"/>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12" w:name="page13"/>
    <w:bookmarkEnd w:id="12"/>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Note 3. Accrued Expenses and Other Current Liabilities</w:t>
      </w:r>
    </w:p>
    <w:p>
      <w:pPr>
        <w:spacing w:after="0" w:line="186" w:lineRule="exact"/>
        <w:rPr>
          <w:sz w:val="20"/>
          <w:szCs w:val="20"/>
          <w:color w:val="auto"/>
        </w:rPr>
      </w:pPr>
    </w:p>
    <w:p>
      <w:pPr>
        <w:ind w:left="600"/>
        <w:spacing w:after="0"/>
        <w:rPr>
          <w:sz w:val="20"/>
          <w:szCs w:val="20"/>
          <w:color w:val="auto"/>
        </w:rPr>
      </w:pPr>
      <w:r>
        <w:rPr>
          <w:rFonts w:ascii="Arial" w:cs="Arial" w:eastAsia="Arial" w:hAnsi="Arial"/>
          <w:sz w:val="15"/>
          <w:szCs w:val="15"/>
          <w:color w:val="auto"/>
        </w:rPr>
        <w:t>At September 30, 2020 and December 31, 2019 accrued expenses and other current liabilities consisted of the following:</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6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ind w:left="20"/>
              <w:spacing w:after="0"/>
              <w:rPr>
                <w:sz w:val="20"/>
                <w:szCs w:val="20"/>
                <w:color w:val="auto"/>
              </w:rPr>
            </w:pPr>
            <w:r>
              <w:rPr>
                <w:rFonts w:ascii="Arial" w:cs="Arial" w:eastAsia="Arial" w:hAnsi="Arial"/>
                <w:sz w:val="13"/>
                <w:szCs w:val="13"/>
                <w:b w:val="1"/>
                <w:bCs w:val="1"/>
                <w:color w:val="auto"/>
              </w:rPr>
              <w:t>September 30,</w:t>
            </w:r>
          </w:p>
        </w:tc>
        <w:tc>
          <w:tcPr>
            <w:tcW w:w="120" w:type="dxa"/>
            <w:vAlign w:val="bottom"/>
          </w:tcPr>
          <w:p>
            <w:pPr>
              <w:spacing w:after="0"/>
              <w:rPr>
                <w:sz w:val="13"/>
                <w:szCs w:val="13"/>
                <w:color w:val="auto"/>
              </w:rPr>
            </w:pPr>
          </w:p>
        </w:tc>
        <w:tc>
          <w:tcPr>
            <w:tcW w:w="1000" w:type="dxa"/>
            <w:vAlign w:val="bottom"/>
            <w:gridSpan w:val="2"/>
          </w:tcPr>
          <w:p>
            <w:pPr>
              <w:ind w:left="60"/>
              <w:spacing w:after="0"/>
              <w:rPr>
                <w:sz w:val="20"/>
                <w:szCs w:val="20"/>
                <w:color w:val="auto"/>
              </w:rPr>
            </w:pPr>
            <w:r>
              <w:rPr>
                <w:rFonts w:ascii="Arial" w:cs="Arial" w:eastAsia="Arial" w:hAnsi="Arial"/>
                <w:sz w:val="13"/>
                <w:szCs w:val="13"/>
                <w:b w:val="1"/>
                <w:bCs w:val="1"/>
                <w:color w:val="auto"/>
              </w:rPr>
              <w:t>December 31,</w:t>
            </w:r>
          </w:p>
        </w:tc>
      </w:tr>
      <w:tr>
        <w:trPr>
          <w:trHeight w:val="161"/>
        </w:trPr>
        <w:tc>
          <w:tcPr>
            <w:tcW w:w="6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07"/>
              <w:spacing w:after="0"/>
              <w:rPr>
                <w:sz w:val="20"/>
                <w:szCs w:val="20"/>
                <w:color w:val="auto"/>
              </w:rPr>
            </w:pPr>
            <w:r>
              <w:rPr>
                <w:rFonts w:ascii="Arial" w:cs="Arial" w:eastAsia="Arial" w:hAnsi="Arial"/>
                <w:sz w:val="13"/>
                <w:szCs w:val="13"/>
                <w:b w:val="1"/>
                <w:bCs w:val="1"/>
                <w:color w:val="auto"/>
              </w:rPr>
              <w:t>2020</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47"/>
              <w:spacing w:after="0"/>
              <w:rPr>
                <w:sz w:val="20"/>
                <w:szCs w:val="20"/>
                <w:color w:val="auto"/>
              </w:rPr>
            </w:pPr>
            <w:r>
              <w:rPr>
                <w:rFonts w:ascii="Arial" w:cs="Arial" w:eastAsia="Arial" w:hAnsi="Arial"/>
                <w:sz w:val="13"/>
                <w:szCs w:val="13"/>
                <w:b w:val="1"/>
                <w:bCs w:val="1"/>
                <w:color w:val="auto"/>
              </w:rPr>
              <w:t>2019</w:t>
            </w:r>
          </w:p>
        </w:tc>
        <w:tc>
          <w:tcPr>
            <w:tcW w:w="20" w:type="dxa"/>
            <w:vAlign w:val="bottom"/>
          </w:tcPr>
          <w:p>
            <w:pPr>
              <w:spacing w:after="0"/>
              <w:rPr>
                <w:sz w:val="14"/>
                <w:szCs w:val="14"/>
                <w:color w:val="auto"/>
              </w:rPr>
            </w:pPr>
          </w:p>
        </w:tc>
      </w:tr>
      <w:tr>
        <w:trPr>
          <w:trHeight w:val="169"/>
        </w:trPr>
        <w:tc>
          <w:tcPr>
            <w:tcW w:w="6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7"/>
        </w:trPr>
        <w:tc>
          <w:tcPr>
            <w:tcW w:w="658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Research and development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line="177" w:lineRule="exact"/>
              <w:rPr>
                <w:sz w:val="20"/>
                <w:szCs w:val="20"/>
                <w:color w:val="auto"/>
              </w:rPr>
            </w:pPr>
            <w:r>
              <w:rPr>
                <w:rFonts w:ascii="Arial" w:cs="Arial" w:eastAsia="Arial" w:hAnsi="Arial"/>
                <w:sz w:val="16"/>
                <w:szCs w:val="16"/>
                <w:color w:val="auto"/>
              </w:rPr>
              <w:t>5,472,963</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line="177" w:lineRule="exact"/>
              <w:rPr>
                <w:sz w:val="20"/>
                <w:szCs w:val="20"/>
                <w:color w:val="auto"/>
              </w:rPr>
            </w:pPr>
            <w:r>
              <w:rPr>
                <w:rFonts w:ascii="Arial" w:cs="Arial" w:eastAsia="Arial" w:hAnsi="Arial"/>
                <w:sz w:val="16"/>
                <w:szCs w:val="16"/>
                <w:color w:val="auto"/>
              </w:rPr>
              <w:t>8,209,594</w:t>
            </w:r>
          </w:p>
        </w:tc>
        <w:tc>
          <w:tcPr>
            <w:tcW w:w="20" w:type="dxa"/>
            <w:vAlign w:val="bottom"/>
            <w:shd w:val="clear" w:color="auto" w:fill="CCEEFF"/>
          </w:tcPr>
          <w:p>
            <w:pPr>
              <w:spacing w:after="0"/>
              <w:rPr>
                <w:sz w:val="15"/>
                <w:szCs w:val="15"/>
                <w:color w:val="auto"/>
              </w:rPr>
            </w:pPr>
          </w:p>
        </w:tc>
      </w:tr>
      <w:tr>
        <w:trPr>
          <w:trHeight w:val="177"/>
        </w:trPr>
        <w:tc>
          <w:tcPr>
            <w:tcW w:w="6580" w:type="dxa"/>
            <w:vAlign w:val="bottom"/>
          </w:tcPr>
          <w:p>
            <w:pPr>
              <w:ind w:left="20"/>
              <w:spacing w:after="0" w:line="177" w:lineRule="exact"/>
              <w:rPr>
                <w:sz w:val="20"/>
                <w:szCs w:val="20"/>
                <w:color w:val="auto"/>
              </w:rPr>
            </w:pPr>
            <w:r>
              <w:rPr>
                <w:rFonts w:ascii="Arial" w:cs="Arial" w:eastAsia="Arial" w:hAnsi="Arial"/>
                <w:sz w:val="16"/>
                <w:szCs w:val="16"/>
                <w:color w:val="auto"/>
              </w:rPr>
              <w:t>Accrued compensation</w:t>
            </w:r>
          </w:p>
        </w:tc>
        <w:tc>
          <w:tcPr>
            <w:tcW w:w="100" w:type="dxa"/>
            <w:vAlign w:val="bottom"/>
          </w:tcPr>
          <w:p>
            <w:pPr>
              <w:spacing w:after="0"/>
              <w:rPr>
                <w:sz w:val="15"/>
                <w:szCs w:val="15"/>
                <w:color w:val="auto"/>
              </w:rPr>
            </w:pPr>
          </w:p>
        </w:tc>
        <w:tc>
          <w:tcPr>
            <w:tcW w:w="940" w:type="dxa"/>
            <w:vAlign w:val="bottom"/>
          </w:tcPr>
          <w:p>
            <w:pPr>
              <w:jc w:val="right"/>
              <w:spacing w:after="0" w:line="177" w:lineRule="exact"/>
              <w:rPr>
                <w:sz w:val="20"/>
                <w:szCs w:val="20"/>
                <w:color w:val="auto"/>
              </w:rPr>
            </w:pPr>
            <w:r>
              <w:rPr>
                <w:rFonts w:ascii="Arial" w:cs="Arial" w:eastAsia="Arial" w:hAnsi="Arial"/>
                <w:sz w:val="16"/>
                <w:szCs w:val="16"/>
                <w:color w:val="auto"/>
              </w:rPr>
              <w:t>2,522,556</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line="177" w:lineRule="exact"/>
              <w:rPr>
                <w:sz w:val="20"/>
                <w:szCs w:val="20"/>
                <w:color w:val="auto"/>
              </w:rPr>
            </w:pPr>
            <w:r>
              <w:rPr>
                <w:rFonts w:ascii="Arial" w:cs="Arial" w:eastAsia="Arial" w:hAnsi="Arial"/>
                <w:sz w:val="16"/>
                <w:szCs w:val="16"/>
                <w:color w:val="auto"/>
              </w:rPr>
              <w:t>2,056,356</w:t>
            </w:r>
          </w:p>
        </w:tc>
        <w:tc>
          <w:tcPr>
            <w:tcW w:w="20" w:type="dxa"/>
            <w:vAlign w:val="bottom"/>
          </w:tcPr>
          <w:p>
            <w:pPr>
              <w:spacing w:after="0"/>
              <w:rPr>
                <w:sz w:val="15"/>
                <w:szCs w:val="15"/>
                <w:color w:val="auto"/>
              </w:rPr>
            </w:pPr>
          </w:p>
        </w:tc>
      </w:tr>
      <w:tr>
        <w:trPr>
          <w:trHeight w:val="177"/>
        </w:trPr>
        <w:tc>
          <w:tcPr>
            <w:tcW w:w="658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Other</w:t>
            </w:r>
          </w:p>
        </w:tc>
        <w:tc>
          <w:tcPr>
            <w:tcW w:w="1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77" w:lineRule="exact"/>
              <w:rPr>
                <w:sz w:val="20"/>
                <w:szCs w:val="20"/>
                <w:color w:val="auto"/>
              </w:rPr>
            </w:pPr>
            <w:r>
              <w:rPr>
                <w:rFonts w:ascii="Arial" w:cs="Arial" w:eastAsia="Arial" w:hAnsi="Arial"/>
                <w:sz w:val="16"/>
                <w:szCs w:val="16"/>
                <w:color w:val="auto"/>
              </w:rPr>
              <w:t>1,030,893</w:t>
            </w:r>
          </w:p>
        </w:tc>
        <w:tc>
          <w:tcPr>
            <w:tcW w:w="2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line="177" w:lineRule="exact"/>
              <w:rPr>
                <w:sz w:val="20"/>
                <w:szCs w:val="20"/>
                <w:color w:val="auto"/>
              </w:rPr>
            </w:pPr>
            <w:r>
              <w:rPr>
                <w:rFonts w:ascii="Arial" w:cs="Arial" w:eastAsia="Arial" w:hAnsi="Arial"/>
                <w:sz w:val="16"/>
                <w:szCs w:val="16"/>
                <w:color w:val="auto"/>
              </w:rPr>
              <w:t>683,178</w:t>
            </w:r>
          </w:p>
        </w:tc>
        <w:tc>
          <w:tcPr>
            <w:tcW w:w="20" w:type="dxa"/>
            <w:vAlign w:val="bottom"/>
            <w:shd w:val="clear" w:color="auto" w:fill="CCEEFF"/>
          </w:tcPr>
          <w:p>
            <w:pPr>
              <w:spacing w:after="0"/>
              <w:rPr>
                <w:sz w:val="15"/>
                <w:szCs w:val="15"/>
                <w:color w:val="auto"/>
              </w:rPr>
            </w:pPr>
          </w:p>
        </w:tc>
      </w:tr>
      <w:tr>
        <w:trPr>
          <w:trHeight w:val="169"/>
        </w:trPr>
        <w:tc>
          <w:tcPr>
            <w:tcW w:w="6580" w:type="dxa"/>
            <w:vAlign w:val="bottom"/>
          </w:tcPr>
          <w:p>
            <w:pPr>
              <w:ind w:left="20"/>
              <w:spacing w:after="0" w:line="168" w:lineRule="exact"/>
              <w:rPr>
                <w:sz w:val="20"/>
                <w:szCs w:val="20"/>
                <w:color w:val="auto"/>
              </w:rPr>
            </w:pPr>
            <w:r>
              <w:rPr>
                <w:rFonts w:ascii="Arial" w:cs="Arial" w:eastAsia="Arial" w:hAnsi="Arial"/>
                <w:sz w:val="16"/>
                <w:szCs w:val="16"/>
                <w:color w:val="auto"/>
              </w:rPr>
              <w:t>Total</w:t>
            </w:r>
          </w:p>
        </w:tc>
        <w:tc>
          <w:tcPr>
            <w:tcW w:w="1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9,026,412</w:t>
            </w:r>
          </w:p>
        </w:tc>
        <w:tc>
          <w:tcPr>
            <w:tcW w:w="200" w:type="dxa"/>
            <w:vAlign w:val="bottom"/>
          </w:tcPr>
          <w:p>
            <w:pPr>
              <w:spacing w:after="0"/>
              <w:rPr>
                <w:sz w:val="14"/>
                <w:szCs w:val="14"/>
                <w:color w:val="auto"/>
              </w:rPr>
            </w:pPr>
          </w:p>
        </w:tc>
        <w:tc>
          <w:tcPr>
            <w:tcW w:w="1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10,949,128</w:t>
            </w:r>
          </w:p>
        </w:tc>
        <w:tc>
          <w:tcPr>
            <w:tcW w:w="20" w:type="dxa"/>
            <w:vAlign w:val="bottom"/>
          </w:tcPr>
          <w:p>
            <w:pPr>
              <w:spacing w:after="0"/>
              <w:rPr>
                <w:sz w:val="14"/>
                <w:szCs w:val="14"/>
                <w:color w:val="auto"/>
              </w:rPr>
            </w:pPr>
          </w:p>
        </w:tc>
      </w:tr>
      <w:tr>
        <w:trPr>
          <w:trHeight w:val="20"/>
        </w:trPr>
        <w:tc>
          <w:tcPr>
            <w:tcW w:w="6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Note 4. Loan and Security Agreement</w:t>
      </w:r>
    </w:p>
    <w:p>
      <w:pPr>
        <w:spacing w:after="0" w:line="186"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Silicon Valley Bank</w:t>
      </w:r>
    </w:p>
    <w:p>
      <w:pPr>
        <w:spacing w:after="0" w:line="182" w:lineRule="exact"/>
        <w:rPr>
          <w:sz w:val="20"/>
          <w:szCs w:val="20"/>
          <w:color w:val="auto"/>
        </w:rPr>
      </w:pPr>
    </w:p>
    <w:p>
      <w:pPr>
        <w:ind w:left="40" w:right="99" w:firstLine="566"/>
        <w:spacing w:after="0" w:line="297" w:lineRule="auto"/>
        <w:rPr>
          <w:sz w:val="20"/>
          <w:szCs w:val="20"/>
          <w:color w:val="auto"/>
        </w:rPr>
      </w:pPr>
      <w:r>
        <w:rPr>
          <w:rFonts w:ascii="Arial" w:cs="Arial" w:eastAsia="Arial" w:hAnsi="Arial"/>
          <w:sz w:val="13"/>
          <w:szCs w:val="13"/>
          <w:color w:val="auto"/>
        </w:rPr>
        <w:t>In November 2016, the Company entered into an initial term loan agreement with Silicon Valley Bank (“SVB”) for a total of $20.0 million (“2016 Original Term Loan”). The three-tranche term loan consisted of an initial $10.0 million tranche funded upon closing, and the remaining tranches were not drawn upon as the Company did not achieve the conditional criteria to access the second and third tranches before the specified dates and the $10.0 million in additional term loan advances subsequently expired. Therefore, the Company amended the 2016 Original Term Loan to provide an additional $4.0 million growth capital loan (“2016 Amended Term Loan”). The Company’s obligations under the 2016 Amended Term Loan, along with the ability to draw down on the additional $4.0 million tranche, were considered to be performed and completed in connection with the establishment of the 2019 Term Loan (as defined below).</w:t>
      </w:r>
    </w:p>
    <w:p>
      <w:pPr>
        <w:spacing w:after="0" w:line="132" w:lineRule="exact"/>
        <w:rPr>
          <w:sz w:val="20"/>
          <w:szCs w:val="20"/>
          <w:color w:val="auto"/>
        </w:rPr>
      </w:pPr>
    </w:p>
    <w:p>
      <w:pPr>
        <w:ind w:left="40" w:right="139" w:firstLine="566"/>
        <w:spacing w:after="0" w:line="294" w:lineRule="auto"/>
        <w:rPr>
          <w:sz w:val="20"/>
          <w:szCs w:val="20"/>
          <w:color w:val="auto"/>
        </w:rPr>
      </w:pPr>
      <w:r>
        <w:rPr>
          <w:rFonts w:ascii="Arial" w:cs="Arial" w:eastAsia="Arial" w:hAnsi="Arial"/>
          <w:sz w:val="13"/>
          <w:szCs w:val="13"/>
          <w:color w:val="auto"/>
        </w:rPr>
        <w:t>In March 2019, the Company entered into a $24.0 million growth capital term facility (the “2019 Term Loan”) with SVB and WestRiver Innovation Lending Fund VIII, L.P. (“WestRiver”). The 2019 Term Loan consisted of an initial $20.0 million tranche, which was funded upon closing, and a second tranche of $4.0 million, which was available to be drawn subject to completion of a clinical milestone prior to August 15, 2019. A portion of the first tranche was used to satisfy the Company’s existing obligations under and fully extinguish the 2016 Amended Term Loan, which at the commencement of the 2019 Term Loan consisted of $5.6 million in outstanding principal balance and $0.85 million as a final payment fee. The 2019 Term Loan was subsequently amended in July 2019 (the “First Amendment to the 2019 Term Loan”) to extend the interest-only monthly payment period for 18 months from the date of the 2019 Term Loan and the Company’s ability to draw down on the second tranche of $4.0 million was extended until December 31, 2019. The second tranche of $4.0 million was not drawn down by the Company. The 2019 Term Loan accrued interest at a fixed rate of 7.5%.</w:t>
      </w:r>
    </w:p>
    <w:p>
      <w:pPr>
        <w:spacing w:after="0" w:line="315" w:lineRule="exact"/>
        <w:rPr>
          <w:sz w:val="20"/>
          <w:szCs w:val="20"/>
          <w:color w:val="auto"/>
        </w:rPr>
      </w:pPr>
    </w:p>
    <w:p>
      <w:pPr>
        <w:jc w:val="both"/>
        <w:ind w:left="40" w:right="99" w:firstLine="566"/>
        <w:spacing w:after="0" w:line="310" w:lineRule="auto"/>
        <w:rPr>
          <w:sz w:val="20"/>
          <w:szCs w:val="20"/>
          <w:color w:val="auto"/>
        </w:rPr>
      </w:pPr>
      <w:r>
        <w:rPr>
          <w:rFonts w:ascii="Arial" w:cs="Arial" w:eastAsia="Arial" w:hAnsi="Arial"/>
          <w:sz w:val="13"/>
          <w:szCs w:val="13"/>
          <w:color w:val="auto"/>
        </w:rPr>
        <w:t>Interest on the 2019 Term Loan and the First Amendment to the 2019 Term Loan was payable monthly beginning April 1, 2019 and principal was due starting on October 1, 2020. In addition, the Company was required to make a final payment of $1.26 million on February 1, 2023, the maturity date of the 2019 Term Loan. However, the Company subsequently entered into the 2020 Term Loan (as defined below), the proceeds of which were used in part to fully satisfy and extinguish the 2019 Term Loan, as amended.</w:t>
      </w:r>
    </w:p>
    <w:p>
      <w:pPr>
        <w:spacing w:after="0" w:line="124" w:lineRule="exact"/>
        <w:rPr>
          <w:sz w:val="20"/>
          <w:szCs w:val="20"/>
          <w:color w:val="auto"/>
        </w:rPr>
      </w:pPr>
    </w:p>
    <w:p>
      <w:pPr>
        <w:ind w:left="40" w:right="279" w:firstLine="566"/>
        <w:spacing w:after="0" w:line="241" w:lineRule="auto"/>
        <w:rPr>
          <w:sz w:val="20"/>
          <w:szCs w:val="20"/>
          <w:color w:val="auto"/>
        </w:rPr>
      </w:pPr>
      <w:r>
        <w:rPr>
          <w:rFonts w:ascii="Arial" w:cs="Arial" w:eastAsia="Arial" w:hAnsi="Arial"/>
          <w:sz w:val="16"/>
          <w:szCs w:val="16"/>
          <w:color w:val="auto"/>
        </w:rPr>
        <w:t>In connection with the 2019 Term Loan, the Company issued SVB and WestRiver a warrant to purchase shares of common stock. These warrants were fully exercised and no longer outstanding as of September 30, 2020 (see Note 6 – Stockholders’ Equity under “Warrants” section for further discussion).</w:t>
      </w:r>
    </w:p>
    <w:p>
      <w:pPr>
        <w:spacing w:after="0" w:line="165" w:lineRule="exact"/>
        <w:rPr>
          <w:sz w:val="20"/>
          <w:szCs w:val="20"/>
          <w:color w:val="auto"/>
        </w:rPr>
      </w:pPr>
    </w:p>
    <w:p>
      <w:pPr>
        <w:ind w:left="40" w:right="199" w:firstLine="566"/>
        <w:spacing w:after="0" w:line="251" w:lineRule="auto"/>
        <w:rPr>
          <w:sz w:val="20"/>
          <w:szCs w:val="20"/>
          <w:color w:val="auto"/>
        </w:rPr>
      </w:pPr>
      <w:r>
        <w:rPr>
          <w:rFonts w:ascii="Arial" w:cs="Arial" w:eastAsia="Arial" w:hAnsi="Arial"/>
          <w:sz w:val="16"/>
          <w:szCs w:val="16"/>
          <w:color w:val="auto"/>
        </w:rPr>
        <w:t>In September 2020, the Company terminated and repaid all amounts outstanding under the 2019 Term Loan and recorded a loss on extinguishment of the loan (see further discussion below).</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302895</wp:posOffset>
            </wp:positionV>
            <wp:extent cx="5682615" cy="222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82615" cy="22225"/>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13" w:name="page14"/>
    <w:bookmarkEnd w:id="13"/>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Hercules Capital, Inc.</w:t>
      </w:r>
    </w:p>
    <w:p>
      <w:pPr>
        <w:spacing w:after="0" w:line="182" w:lineRule="exact"/>
        <w:rPr>
          <w:sz w:val="20"/>
          <w:szCs w:val="20"/>
          <w:color w:val="auto"/>
        </w:rPr>
      </w:pPr>
    </w:p>
    <w:p>
      <w:pPr>
        <w:ind w:left="40" w:right="59" w:firstLine="566"/>
        <w:spacing w:after="0" w:line="288" w:lineRule="auto"/>
        <w:rPr>
          <w:sz w:val="20"/>
          <w:szCs w:val="20"/>
          <w:color w:val="auto"/>
        </w:rPr>
      </w:pPr>
      <w:r>
        <w:rPr>
          <w:rFonts w:ascii="Arial" w:cs="Arial" w:eastAsia="Arial" w:hAnsi="Arial"/>
          <w:sz w:val="13"/>
          <w:szCs w:val="13"/>
          <w:color w:val="auto"/>
        </w:rPr>
        <w:t>In September 2020, the Company entered into a Loan and Security Agreement (the “Loan Agreement”) with Hercules Capital, Inc., in its capacity as administrative agent and collateral agent and as a lender (in such capacity, the “Agent” or “Hercules”) and the other financial institutions that from time to time become parties to the Loan Agreement as lenders (collectively, the “Lenders”). The Loan Agreement provides for term loans in an aggregate principal amount of up to $225.0 million under multiple tranches (the “2020 Term Loan”). The tranches consist of (i) a first tranche consisting of term loans in an aggregate principal amount of $60.0 million, of which $50.0 million was funded to the Company on the Closing Date (the “First Advance”), and of which the remaining $10.0 million is available at the Company’s option at any time through September 15, 2021; (ii) subject to the approval of the Company’s AXS-05 product candidate for the treatment of major depressive disorder (the “First Milestone”), a second tranche consisting of additional term loans in an aggregate principal amount of up to $35.0 million, available at the Company’s option beginning on the date that the First Milestone is achieved through the earlier of (A) 181 days following such date and (B) June 30, 2022; (iii) subject to the approval of the Company’s AXS-07 product candidate for the treatment of migraine (the “Second Milestone”), a third tranche consisting of additional term loans in an aggregate principal amount of up to $20.0 million, available at the Company’s option beginning on the date that the Second Milestone is achieved through the earlier of (A) 181 days following such date and (B) June 30, 2022; (iv) subject to the achievement of either the First Milestone or the Second Milestone and so long as the Company is in compliance with a required ratio of Lender indebtedness to net product revenue, a fourth tranche consisting of additional term loans in an aggregate principal amount of up to $60.0 million, available at the Company’s option beginning on January 1, 2022 and continuing through March 31, 2023; and (v) subject to approval by the Lenders’ in their discretion, a fifth tranche of additional term loans in an aggregate principal amount of up to $50.0 million, available through December 31, 2023. The Company intends to use the proceeds of the Term Loan Advances for working capital and general corporate purposes. In addition, approximately $21.5 million of the proceeds from the First Advance was used to satisfy in full and retire the Company’s indebtedness under the 2019 Term Loan, as amended.</w:t>
      </w:r>
    </w:p>
    <w:p>
      <w:pPr>
        <w:spacing w:after="0" w:line="355" w:lineRule="exact"/>
        <w:rPr>
          <w:sz w:val="20"/>
          <w:szCs w:val="20"/>
          <w:color w:val="auto"/>
        </w:rPr>
      </w:pPr>
    </w:p>
    <w:p>
      <w:pPr>
        <w:ind w:left="40" w:right="59" w:firstLine="566"/>
        <w:spacing w:after="0" w:line="252" w:lineRule="auto"/>
        <w:rPr>
          <w:sz w:val="20"/>
          <w:szCs w:val="20"/>
          <w:color w:val="auto"/>
        </w:rPr>
      </w:pPr>
      <w:r>
        <w:rPr>
          <w:rFonts w:ascii="Arial" w:cs="Arial" w:eastAsia="Arial" w:hAnsi="Arial"/>
          <w:sz w:val="15"/>
          <w:szCs w:val="15"/>
          <w:color w:val="auto"/>
        </w:rPr>
        <w:t xml:space="preserve">The outstanding principal balance of the term loans bears interest at an annual rate equal to the greater of either (i) the prime rate as reported in </w:t>
      </w:r>
      <w:r>
        <w:rPr>
          <w:rFonts w:ascii="Arial" w:cs="Arial" w:eastAsia="Arial" w:hAnsi="Arial"/>
          <w:sz w:val="15"/>
          <w:szCs w:val="15"/>
          <w:i w:val="1"/>
          <w:iCs w:val="1"/>
          <w:color w:val="auto"/>
        </w:rPr>
        <w:t>The Wall Street Journal</w:t>
      </w:r>
      <w:r>
        <w:rPr>
          <w:rFonts w:ascii="Arial" w:cs="Arial" w:eastAsia="Arial" w:hAnsi="Arial"/>
          <w:sz w:val="15"/>
          <w:szCs w:val="15"/>
          <w:color w:val="auto"/>
        </w:rPr>
        <w:t xml:space="preserve"> plus 5.90% or (ii) 9.15%, subject to an ability by the Company, during certain periods (each, a “PIK Deferral Period”), to request a reduction of the then-effective cash-pay interest rate by up to 1.00% per annum (the “Cash Interest Reduction Amount”). Accrued interest is payable monthly following the funding of each term loan. During each PIK Deferral Period, the term loans will bear cash-pay interest, at the reduced amount, and will accrue paid-in-kind interest at a rate equal to the Cash Interest Reduction Amount multiplied by 1.15, which amount will be capitalized and added to the outstanding principal balance of the term loans on each monthly interest payment date during the PIK Deferral Period.</w:t>
      </w:r>
    </w:p>
    <w:p>
      <w:pPr>
        <w:spacing w:after="0" w:line="182" w:lineRule="exact"/>
        <w:rPr>
          <w:sz w:val="20"/>
          <w:szCs w:val="20"/>
          <w:color w:val="auto"/>
        </w:rPr>
      </w:pPr>
    </w:p>
    <w:p>
      <w:pPr>
        <w:ind w:left="40" w:right="59" w:firstLine="566"/>
        <w:spacing w:after="0" w:line="252" w:lineRule="auto"/>
        <w:rPr>
          <w:sz w:val="20"/>
          <w:szCs w:val="20"/>
          <w:color w:val="auto"/>
        </w:rPr>
      </w:pPr>
      <w:r>
        <w:rPr>
          <w:rFonts w:ascii="Arial" w:cs="Arial" w:eastAsia="Arial" w:hAnsi="Arial"/>
          <w:sz w:val="15"/>
          <w:szCs w:val="15"/>
          <w:color w:val="auto"/>
        </w:rPr>
        <w:t>The Company is required to repay the term loans in equal installments of principal and interest commencing on May 1, 2023 through October 1, 2025 (the “Maturity Date”). However, if either the First Milestone or the Second Milestone are achieved prior to May 1, 2023, and no default exists, the amortization commencement date will be automatically extended to November 1, 2023; if both the First Milestone and the Second Milestone are achieved prior to November 1, 2023, and no default exists, the amortization commencement date will be further automatically extended to May 1, 2024 and if any term loans are funded under the fourth tranche noted above prior to May 1, 2024, and no default exists, the amortization commencement date will be further automatically extended to November 1, 2024. On the Maturity Date, all unpaid term loans will be due and payable.</w:t>
      </w:r>
    </w:p>
    <w:p>
      <w:pPr>
        <w:spacing w:after="0" w:line="194" w:lineRule="exact"/>
        <w:rPr>
          <w:sz w:val="20"/>
          <w:szCs w:val="20"/>
          <w:color w:val="auto"/>
        </w:rPr>
      </w:pPr>
    </w:p>
    <w:p>
      <w:pPr>
        <w:ind w:left="40" w:right="119" w:firstLine="566"/>
        <w:spacing w:after="0" w:line="304" w:lineRule="auto"/>
        <w:rPr>
          <w:sz w:val="20"/>
          <w:szCs w:val="20"/>
          <w:color w:val="auto"/>
        </w:rPr>
      </w:pPr>
      <w:r>
        <w:rPr>
          <w:rFonts w:ascii="Arial" w:cs="Arial" w:eastAsia="Arial" w:hAnsi="Arial"/>
          <w:sz w:val="13"/>
          <w:szCs w:val="13"/>
          <w:color w:val="auto"/>
        </w:rPr>
        <w:t>As collateral for the obligations, the Company has granted to Hercules a senior security interest in all of Company’s right, title, and interest in, to and under all of Company’s property, inclusive of intellectual property, which includes one of the Company’s existing license agreements (the “License Agreement”) with Antecip Bioventures II LLC (“Antecip”), an entity owned by Axsome’s Chief Executive Officer and Chairman of the Board, Herriot Tabuteau, M.D., subject to limited exceptions</w:t>
      </w:r>
      <w:r>
        <w:rPr>
          <w:rFonts w:ascii="Arial" w:cs="Arial" w:eastAsia="Arial" w:hAnsi="Arial"/>
          <w:sz w:val="13"/>
          <w:szCs w:val="13"/>
          <w:color w:val="FF0000"/>
        </w:rPr>
        <w:t>.</w:t>
      </w:r>
      <w:r>
        <w:rPr>
          <w:rFonts w:ascii="Arial" w:cs="Arial" w:eastAsia="Arial" w:hAnsi="Arial"/>
          <w:sz w:val="13"/>
          <w:szCs w:val="13"/>
          <w:color w:val="auto"/>
        </w:rPr>
        <w:t xml:space="preserve"> Antecip consented to the collateral assignment of the License Agreement, among other things, under a direct agreement (the “Direct Agreement”) with the Company and Hercules.</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302895</wp:posOffset>
            </wp:positionV>
            <wp:extent cx="5682615" cy="222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82615" cy="22225"/>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14" w:name="page15"/>
    <w:bookmarkEnd w:id="14"/>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 w:right="79" w:firstLine="566"/>
        <w:spacing w:after="0" w:line="253" w:lineRule="auto"/>
        <w:rPr>
          <w:sz w:val="20"/>
          <w:szCs w:val="20"/>
          <w:color w:val="auto"/>
        </w:rPr>
      </w:pPr>
      <w:r>
        <w:rPr>
          <w:rFonts w:ascii="Arial" w:cs="Arial" w:eastAsia="Arial" w:hAnsi="Arial"/>
          <w:sz w:val="15"/>
          <w:szCs w:val="15"/>
          <w:color w:val="auto"/>
        </w:rPr>
        <w:t>The Loan Agreement contains customary representations, warranties and covenants, including covenants by the Company limiting additional indebtedness, liens (including a negative pledge on intellectual property and other assets), guaranties, mergers and consolidations, substantial asset sales, investments and loans, certain corporate changes, transactions with affiliates and fundamental changes. At the initial closing, there were no applicable financial covenants contained in the Loan Agreement. Only after additional amounts are drawn down by the Company in the future, if the Company decides to do so, under the terms set forth in the Loan Agreement, there will be certain limited financial covenants that will apply, including:</w:t>
      </w:r>
    </w:p>
    <w:p>
      <w:pPr>
        <w:spacing w:after="0" w:line="194" w:lineRule="exact"/>
        <w:rPr>
          <w:sz w:val="20"/>
          <w:szCs w:val="20"/>
          <w:color w:val="auto"/>
        </w:rPr>
      </w:pPr>
    </w:p>
    <w:p>
      <w:pPr>
        <w:ind w:left="620" w:right="219" w:hanging="281"/>
        <w:spacing w:after="0" w:line="236" w:lineRule="auto"/>
        <w:tabs>
          <w:tab w:leader="none" w:pos="620" w:val="left"/>
        </w:tabs>
        <w:numPr>
          <w:ilvl w:val="0"/>
          <w:numId w:val="4"/>
        </w:numPr>
        <w:rPr>
          <w:rFonts w:ascii="Arial" w:cs="Arial" w:eastAsia="Arial" w:hAnsi="Arial"/>
          <w:sz w:val="16"/>
          <w:szCs w:val="16"/>
          <w:color w:val="auto"/>
        </w:rPr>
      </w:pPr>
      <w:r>
        <w:rPr>
          <w:rFonts w:ascii="Arial" w:cs="Arial" w:eastAsia="Arial" w:hAnsi="Arial"/>
          <w:sz w:val="16"/>
          <w:szCs w:val="16"/>
          <w:color w:val="auto"/>
        </w:rPr>
        <w:t>Effective upon the date the outstanding principal amount of the advances under the Loan Agreement equals or exceeds $55.0 million, which has not yet occurred, the Company at all times thereafter must maintain cash in an account or accounts in which Hercules has a first priority security interest, in an aggregate amount greater than or equal to $15.0 million, plus the amount of the Company’s accounts payable under U.S. GAAP not paid after the 180th day following the invoice for such account payable (such amount, the “Qualified Cash A/P Amount”).</w:t>
      </w:r>
    </w:p>
    <w:p>
      <w:pPr>
        <w:spacing w:after="0" w:line="156" w:lineRule="exact"/>
        <w:rPr>
          <w:rFonts w:ascii="Arial" w:cs="Arial" w:eastAsia="Arial" w:hAnsi="Arial"/>
          <w:sz w:val="16"/>
          <w:szCs w:val="16"/>
          <w:color w:val="auto"/>
        </w:rPr>
      </w:pPr>
    </w:p>
    <w:p>
      <w:pPr>
        <w:ind w:left="620" w:right="59" w:hanging="281"/>
        <w:spacing w:after="0" w:line="249" w:lineRule="auto"/>
        <w:tabs>
          <w:tab w:leader="none" w:pos="620" w:val="left"/>
        </w:tabs>
        <w:numPr>
          <w:ilvl w:val="0"/>
          <w:numId w:val="4"/>
        </w:numPr>
        <w:rPr>
          <w:rFonts w:ascii="Arial" w:cs="Arial" w:eastAsia="Arial" w:hAnsi="Arial"/>
          <w:sz w:val="15"/>
          <w:szCs w:val="15"/>
          <w:color w:val="auto"/>
        </w:rPr>
      </w:pPr>
      <w:r>
        <w:rPr>
          <w:rFonts w:ascii="Arial" w:cs="Arial" w:eastAsia="Arial" w:hAnsi="Arial"/>
          <w:sz w:val="15"/>
          <w:szCs w:val="15"/>
          <w:color w:val="auto"/>
        </w:rPr>
        <w:t xml:space="preserve">Effective upon the later of (i) the last calendar month of the calendar quarter that is twelve months following the earlier of (x) the date that the First Milestone is achieved and (y) the date that the Second Milestone is achieved, or (ii) the date on which the outstanding principal amount of the term loan advances under the Loan Agreement is equal to or greater than $65.0 million, the Company is required to (A) ensure that at all times its market capitalization exceeds $2.0 billion, and that it maintains cash in an account which Hercules has a first priority security interest in an amount not less than 65% of the sum of the outstanding principal amount of the term loan advances </w:t>
      </w:r>
      <w:r>
        <w:rPr>
          <w:rFonts w:ascii="Arial" w:cs="Arial" w:eastAsia="Arial" w:hAnsi="Arial"/>
          <w:sz w:val="15"/>
          <w:szCs w:val="15"/>
          <w:i w:val="1"/>
          <w:iCs w:val="1"/>
          <w:color w:val="auto"/>
        </w:rPr>
        <w:t>plus</w:t>
      </w:r>
      <w:r>
        <w:rPr>
          <w:rFonts w:ascii="Arial" w:cs="Arial" w:eastAsia="Arial" w:hAnsi="Arial"/>
          <w:sz w:val="15"/>
          <w:szCs w:val="15"/>
          <w:color w:val="auto"/>
        </w:rPr>
        <w:t xml:space="preserve"> the Qualified Cash A/P Amount, (B) ensure that at all times that it maintains cash in an account which Hercules has a first priority security interest in an amount not less than 100% of the sum of the outstanding principal amount of the term loan advances </w:t>
      </w:r>
      <w:r>
        <w:rPr>
          <w:rFonts w:ascii="Arial" w:cs="Arial" w:eastAsia="Arial" w:hAnsi="Arial"/>
          <w:sz w:val="15"/>
          <w:szCs w:val="15"/>
          <w:i w:val="1"/>
          <w:iCs w:val="1"/>
          <w:color w:val="auto"/>
        </w:rPr>
        <w:t>plus</w:t>
      </w:r>
      <w:r>
        <w:rPr>
          <w:rFonts w:ascii="Arial" w:cs="Arial" w:eastAsia="Arial" w:hAnsi="Arial"/>
          <w:sz w:val="15"/>
          <w:szCs w:val="15"/>
          <w:color w:val="auto"/>
        </w:rPr>
        <w:t xml:space="preserve"> the Qualified Cash A/P Amount, or (C) achieve at least 60% of the net product revenue solely from the sale of AXS-05 and AXS-07 (which may include royalty, profit sharing, or sales-based milestone revenue recognized in accordance with GAAP, but will not include any upfront or non-sales-based milestone payments under business development or licensing transactions), measured on a trailing six-month basis as of the date of the Company’s most recent quarterly financial statement, determined on a quarterly basis.</w:t>
      </w:r>
    </w:p>
    <w:p>
      <w:pPr>
        <w:spacing w:after="0" w:line="151" w:lineRule="exact"/>
        <w:rPr>
          <w:rFonts w:ascii="Arial" w:cs="Arial" w:eastAsia="Arial" w:hAnsi="Arial"/>
          <w:sz w:val="15"/>
          <w:szCs w:val="15"/>
          <w:color w:val="auto"/>
        </w:rPr>
      </w:pPr>
    </w:p>
    <w:p>
      <w:pPr>
        <w:ind w:left="620" w:right="139" w:hanging="281"/>
        <w:spacing w:after="0" w:line="365" w:lineRule="auto"/>
        <w:tabs>
          <w:tab w:leader="none" w:pos="620" w:val="left"/>
        </w:tabs>
        <w:numPr>
          <w:ilvl w:val="0"/>
          <w:numId w:val="4"/>
        </w:numPr>
        <w:rPr>
          <w:rFonts w:ascii="Arial" w:cs="Arial" w:eastAsia="Arial" w:hAnsi="Arial"/>
          <w:sz w:val="13"/>
          <w:szCs w:val="13"/>
          <w:color w:val="auto"/>
        </w:rPr>
      </w:pPr>
      <w:r>
        <w:rPr>
          <w:rFonts w:ascii="Arial" w:cs="Arial" w:eastAsia="Arial" w:hAnsi="Arial"/>
          <w:sz w:val="13"/>
          <w:szCs w:val="13"/>
          <w:color w:val="auto"/>
        </w:rPr>
        <w:t>Restrictions on the Company’s ability to incur additional indebtedness, pay dividends, encumber its intellectual property, or engage in certain fundamental business transactions, such as mergers or acquisitions of other businesses, with certain exceptions.</w:t>
      </w:r>
    </w:p>
    <w:p>
      <w:pPr>
        <w:spacing w:after="0" w:line="111" w:lineRule="exact"/>
        <w:rPr>
          <w:sz w:val="20"/>
          <w:szCs w:val="20"/>
          <w:color w:val="auto"/>
        </w:rPr>
      </w:pPr>
    </w:p>
    <w:p>
      <w:pPr>
        <w:ind w:left="40" w:right="59" w:firstLine="566"/>
        <w:spacing w:after="0" w:line="365" w:lineRule="auto"/>
        <w:rPr>
          <w:sz w:val="20"/>
          <w:szCs w:val="20"/>
          <w:color w:val="auto"/>
        </w:rPr>
      </w:pPr>
      <w:r>
        <w:rPr>
          <w:rFonts w:ascii="Arial" w:cs="Arial" w:eastAsia="Arial" w:hAnsi="Arial"/>
          <w:sz w:val="13"/>
          <w:szCs w:val="13"/>
          <w:color w:val="auto"/>
        </w:rPr>
        <w:t>The Company’s obligations under the Loan Agreement are subject to acceleration upon the occurrence of specified events of default, including payment default, insolvency and a material adverse change in the Borrower’s business, operations or financial or other condition.</w:t>
      </w:r>
    </w:p>
    <w:p>
      <w:pPr>
        <w:spacing w:after="0" w:line="123" w:lineRule="exact"/>
        <w:rPr>
          <w:sz w:val="20"/>
          <w:szCs w:val="20"/>
          <w:color w:val="auto"/>
        </w:rPr>
      </w:pPr>
    </w:p>
    <w:p>
      <w:pPr>
        <w:ind w:left="40" w:right="299" w:firstLine="566"/>
        <w:spacing w:after="0" w:line="265" w:lineRule="auto"/>
        <w:rPr>
          <w:sz w:val="20"/>
          <w:szCs w:val="20"/>
          <w:color w:val="auto"/>
        </w:rPr>
      </w:pPr>
      <w:r>
        <w:rPr>
          <w:rFonts w:ascii="Arial" w:cs="Arial" w:eastAsia="Arial" w:hAnsi="Arial"/>
          <w:sz w:val="15"/>
          <w:szCs w:val="15"/>
          <w:color w:val="auto"/>
        </w:rPr>
        <w:t>In addition, the Company is required to pay a final payment fee equal to the greater of (A) $2,910,000 and (B) 4.85% of the aggregate amount of all term loan advances minus the aggregate amount of repayments made. The final payment fee is being accreted and amortized into interest expense using the effective interest rate method over the term of the loan.</w:t>
      </w:r>
    </w:p>
    <w:p>
      <w:pPr>
        <w:spacing w:after="0" w:line="148" w:lineRule="exact"/>
        <w:rPr>
          <w:sz w:val="20"/>
          <w:szCs w:val="20"/>
          <w:color w:val="auto"/>
        </w:rPr>
      </w:pPr>
    </w:p>
    <w:p>
      <w:pPr>
        <w:ind w:left="40" w:right="79" w:firstLine="566"/>
        <w:spacing w:after="0" w:line="310" w:lineRule="auto"/>
        <w:rPr>
          <w:sz w:val="20"/>
          <w:szCs w:val="20"/>
          <w:color w:val="auto"/>
        </w:rPr>
      </w:pPr>
      <w:r>
        <w:rPr>
          <w:rFonts w:ascii="Arial" w:cs="Arial" w:eastAsia="Arial" w:hAnsi="Arial"/>
          <w:sz w:val="13"/>
          <w:szCs w:val="13"/>
          <w:color w:val="auto"/>
        </w:rPr>
        <w:t>The Company may, at its option prepay the term loans in full or in part, subject to a prepayment penalty equal to (i) 2.0% of the principal amount prepaid if the prepayment occurs prior to the first anniversary of the Closing Date, (ii) 1.5% of the principal amount prepaid if the prepayment occurs on or after the first anniversary and prior to the second anniversary of the Closing Date, and (iii) 1.0% of the principal amount prepaid if the prepayment occurs on or after the second anniversary and prior to the third anniversary of the Closing Date.</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302895</wp:posOffset>
            </wp:positionV>
            <wp:extent cx="5682615" cy="222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82615" cy="22225"/>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15" w:name="page16"/>
    <w:bookmarkEnd w:id="15"/>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 w:right="219" w:firstLine="566"/>
        <w:spacing w:after="0" w:line="304" w:lineRule="auto"/>
        <w:rPr>
          <w:sz w:val="20"/>
          <w:szCs w:val="20"/>
          <w:color w:val="auto"/>
        </w:rPr>
      </w:pPr>
      <w:r>
        <w:rPr>
          <w:rFonts w:ascii="Arial" w:cs="Arial" w:eastAsia="Arial" w:hAnsi="Arial"/>
          <w:sz w:val="13"/>
          <w:szCs w:val="13"/>
          <w:color w:val="auto"/>
        </w:rPr>
        <w:t xml:space="preserve">The Company evaluated whether the Hercules Term Loan entered into in September 2020 represented a debt modification or extinguishment in accordance with ASC 470-50, </w:t>
      </w:r>
      <w:r>
        <w:rPr>
          <w:rFonts w:ascii="Arial" w:cs="Arial" w:eastAsia="Arial" w:hAnsi="Arial"/>
          <w:sz w:val="13"/>
          <w:szCs w:val="13"/>
          <w:i w:val="1"/>
          <w:iCs w:val="1"/>
          <w:color w:val="auto"/>
        </w:rPr>
        <w:t>Debt – Modifications and Extinguishments</w:t>
      </w:r>
      <w:r>
        <w:rPr>
          <w:rFonts w:ascii="Arial" w:cs="Arial" w:eastAsia="Arial" w:hAnsi="Arial"/>
          <w:sz w:val="13"/>
          <w:szCs w:val="13"/>
          <w:color w:val="auto"/>
        </w:rPr>
        <w:t>. As a result of the repayment and retirement of the SVB Loan, the loan was accounted for by the Company under the extinguishment accounting model. The Company recorded a loss on extinguishment of debt of approximately $1.2 million on the Company’s statement of operations for the nine months ended September 30, 2020, representing a prepayment premium, the unamortized discount of the SVB Loan and the write-off of deferred financing costs.</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Loan Interest Expense and Amortization</w:t>
      </w:r>
    </w:p>
    <w:p>
      <w:pPr>
        <w:spacing w:after="0" w:line="182" w:lineRule="exact"/>
        <w:rPr>
          <w:sz w:val="20"/>
          <w:szCs w:val="20"/>
          <w:color w:val="auto"/>
        </w:rPr>
      </w:pPr>
    </w:p>
    <w:p>
      <w:pPr>
        <w:ind w:left="40" w:right="279" w:firstLine="566"/>
        <w:spacing w:after="0" w:line="310" w:lineRule="auto"/>
        <w:rPr>
          <w:sz w:val="20"/>
          <w:szCs w:val="20"/>
          <w:color w:val="auto"/>
        </w:rPr>
      </w:pPr>
      <w:r>
        <w:rPr>
          <w:rFonts w:ascii="Arial" w:cs="Arial" w:eastAsia="Arial" w:hAnsi="Arial"/>
          <w:sz w:val="13"/>
          <w:szCs w:val="13"/>
          <w:color w:val="auto"/>
        </w:rPr>
        <w:t>The Company incurred interest expense of $421,004 and $1,179,338 for the three and nine months ended September 30, 2020, respectively, as compared to $383,334 and $979,167 for the three and nine months ended September 30, 2019, respectively. In addition, amortization of the final payment fee was $87,425 and $325,453 for the three and nine months ended September 30, 2020, respectively, as compared to $120,322 and $316,246 for the three and nine months ended September 30, 2019, respectively.</w:t>
      </w:r>
    </w:p>
    <w:p>
      <w:pPr>
        <w:spacing w:after="0" w:line="147"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outstanding debt and unamortized debt discount balances are as follows:</w:t>
      </w: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6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w w:val="85"/>
              </w:rPr>
              <w:t>September 30,</w:t>
            </w:r>
          </w:p>
        </w:tc>
        <w:tc>
          <w:tcPr>
            <w:tcW w:w="120" w:type="dxa"/>
            <w:vAlign w:val="bottom"/>
          </w:tcPr>
          <w:p>
            <w:pPr>
              <w:spacing w:after="0"/>
              <w:rPr>
                <w:sz w:val="14"/>
                <w:szCs w:val="14"/>
                <w:color w:val="auto"/>
              </w:rPr>
            </w:pPr>
          </w:p>
        </w:tc>
        <w:tc>
          <w:tcPr>
            <w:tcW w:w="980" w:type="dxa"/>
            <w:vAlign w:val="bottom"/>
          </w:tcPr>
          <w:p>
            <w:pPr>
              <w:jc w:val="right"/>
              <w:ind w:right="125"/>
              <w:spacing w:after="0"/>
              <w:rPr>
                <w:sz w:val="20"/>
                <w:szCs w:val="20"/>
                <w:color w:val="auto"/>
              </w:rPr>
            </w:pPr>
            <w:r>
              <w:rPr>
                <w:rFonts w:ascii="Arial" w:cs="Arial" w:eastAsia="Arial" w:hAnsi="Arial"/>
                <w:sz w:val="13"/>
                <w:szCs w:val="13"/>
                <w:b w:val="1"/>
                <w:bCs w:val="1"/>
                <w:color w:val="auto"/>
                <w:w w:val="89"/>
              </w:rPr>
              <w:t>December 31,</w:t>
            </w:r>
          </w:p>
        </w:tc>
      </w:tr>
      <w:tr>
        <w:trPr>
          <w:trHeight w:val="176"/>
        </w:trPr>
        <w:tc>
          <w:tcPr>
            <w:tcW w:w="65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45"/>
              <w:spacing w:after="0"/>
              <w:rPr>
                <w:sz w:val="20"/>
                <w:szCs w:val="20"/>
                <w:color w:val="auto"/>
              </w:rPr>
            </w:pPr>
            <w:r>
              <w:rPr>
                <w:rFonts w:ascii="Arial" w:cs="Arial" w:eastAsia="Arial" w:hAnsi="Arial"/>
                <w:sz w:val="13"/>
                <w:szCs w:val="13"/>
                <w:b w:val="1"/>
                <w:bCs w:val="1"/>
                <w:color w:val="auto"/>
              </w:rPr>
              <w:t>2020</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45"/>
              <w:spacing w:after="0"/>
              <w:rPr>
                <w:sz w:val="20"/>
                <w:szCs w:val="20"/>
                <w:color w:val="auto"/>
              </w:rPr>
            </w:pPr>
            <w:r>
              <w:rPr>
                <w:rFonts w:ascii="Arial" w:cs="Arial" w:eastAsia="Arial" w:hAnsi="Arial"/>
                <w:sz w:val="13"/>
                <w:szCs w:val="13"/>
                <w:b w:val="1"/>
                <w:bCs w:val="1"/>
                <w:color w:val="auto"/>
              </w:rPr>
              <w:t>2019</w:t>
            </w:r>
          </w:p>
        </w:tc>
      </w:tr>
      <w:tr>
        <w:trPr>
          <w:trHeight w:val="169"/>
        </w:trPr>
        <w:tc>
          <w:tcPr>
            <w:tcW w:w="6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7"/>
        </w:trPr>
        <w:tc>
          <w:tcPr>
            <w:tcW w:w="658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Total Outstanding Debt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line="177" w:lineRule="exact"/>
              <w:rPr>
                <w:sz w:val="20"/>
                <w:szCs w:val="20"/>
                <w:color w:val="auto"/>
              </w:rPr>
            </w:pPr>
            <w:r>
              <w:rPr>
                <w:rFonts w:ascii="Arial" w:cs="Arial" w:eastAsia="Arial" w:hAnsi="Arial"/>
                <w:sz w:val="16"/>
                <w:szCs w:val="16"/>
                <w:color w:val="auto"/>
              </w:rPr>
              <w:t>50,000,000</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line="177" w:lineRule="exact"/>
              <w:rPr>
                <w:sz w:val="20"/>
                <w:szCs w:val="20"/>
                <w:color w:val="auto"/>
              </w:rPr>
            </w:pPr>
            <w:r>
              <w:rPr>
                <w:rFonts w:ascii="Arial" w:cs="Arial" w:eastAsia="Arial" w:hAnsi="Arial"/>
                <w:sz w:val="16"/>
                <w:szCs w:val="16"/>
                <w:color w:val="auto"/>
              </w:rPr>
              <w:t>20,000,000</w:t>
            </w:r>
          </w:p>
        </w:tc>
      </w:tr>
      <w:tr>
        <w:trPr>
          <w:trHeight w:val="177"/>
        </w:trPr>
        <w:tc>
          <w:tcPr>
            <w:tcW w:w="6580" w:type="dxa"/>
            <w:vAlign w:val="bottom"/>
          </w:tcPr>
          <w:p>
            <w:pPr>
              <w:ind w:left="100"/>
              <w:spacing w:after="0" w:line="177" w:lineRule="exact"/>
              <w:rPr>
                <w:sz w:val="20"/>
                <w:szCs w:val="20"/>
                <w:color w:val="auto"/>
              </w:rPr>
            </w:pPr>
            <w:r>
              <w:rPr>
                <w:rFonts w:ascii="Arial" w:cs="Arial" w:eastAsia="Arial" w:hAnsi="Arial"/>
                <w:sz w:val="16"/>
                <w:szCs w:val="16"/>
                <w:color w:val="auto"/>
              </w:rPr>
              <w:t>Add: accreted liability of final payment fee</w:t>
            </w:r>
          </w:p>
        </w:tc>
        <w:tc>
          <w:tcPr>
            <w:tcW w:w="120" w:type="dxa"/>
            <w:vAlign w:val="bottom"/>
          </w:tcPr>
          <w:p>
            <w:pPr>
              <w:spacing w:after="0"/>
              <w:rPr>
                <w:sz w:val="15"/>
                <w:szCs w:val="15"/>
                <w:color w:val="auto"/>
              </w:rPr>
            </w:pPr>
          </w:p>
        </w:tc>
        <w:tc>
          <w:tcPr>
            <w:tcW w:w="960" w:type="dxa"/>
            <w:vAlign w:val="bottom"/>
          </w:tcPr>
          <w:p>
            <w:pPr>
              <w:jc w:val="right"/>
              <w:spacing w:after="0" w:line="177" w:lineRule="exact"/>
              <w:rPr>
                <w:sz w:val="20"/>
                <w:szCs w:val="20"/>
                <w:color w:val="auto"/>
              </w:rPr>
            </w:pPr>
            <w:r>
              <w:rPr>
                <w:rFonts w:ascii="Arial" w:cs="Arial" w:eastAsia="Arial" w:hAnsi="Arial"/>
                <w:sz w:val="16"/>
                <w:szCs w:val="16"/>
                <w:color w:val="auto"/>
              </w:rPr>
              <w:t>7,690</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line="177" w:lineRule="exact"/>
              <w:rPr>
                <w:sz w:val="20"/>
                <w:szCs w:val="20"/>
                <w:color w:val="auto"/>
              </w:rPr>
            </w:pPr>
            <w:r>
              <w:rPr>
                <w:rFonts w:ascii="Arial" w:cs="Arial" w:eastAsia="Arial" w:hAnsi="Arial"/>
                <w:sz w:val="16"/>
                <w:szCs w:val="16"/>
                <w:color w:val="auto"/>
              </w:rPr>
              <w:t>404,364</w:t>
            </w:r>
          </w:p>
        </w:tc>
      </w:tr>
      <w:tr>
        <w:trPr>
          <w:trHeight w:val="177"/>
        </w:trPr>
        <w:tc>
          <w:tcPr>
            <w:tcW w:w="6580" w:type="dxa"/>
            <w:vAlign w:val="bottom"/>
            <w:shd w:val="clear" w:color="auto" w:fill="CCEEFF"/>
          </w:tcPr>
          <w:p>
            <w:pPr>
              <w:ind w:left="100"/>
              <w:spacing w:after="0" w:line="177" w:lineRule="exact"/>
              <w:rPr>
                <w:sz w:val="20"/>
                <w:szCs w:val="20"/>
                <w:color w:val="auto"/>
              </w:rPr>
            </w:pPr>
            <w:r>
              <w:rPr>
                <w:rFonts w:ascii="Arial" w:cs="Arial" w:eastAsia="Arial" w:hAnsi="Arial"/>
                <w:sz w:val="16"/>
                <w:szCs w:val="16"/>
                <w:color w:val="auto"/>
              </w:rPr>
              <w:t>Less: unamortized debt discount, long-term</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80"/>
              <w:spacing w:after="0" w:line="177" w:lineRule="exact"/>
              <w:rPr>
                <w:sz w:val="20"/>
                <w:szCs w:val="20"/>
                <w:color w:val="auto"/>
              </w:rPr>
            </w:pPr>
            <w:r>
              <w:rPr>
                <w:rFonts w:ascii="Arial" w:cs="Arial" w:eastAsia="Arial" w:hAnsi="Arial"/>
                <w:sz w:val="16"/>
                <w:szCs w:val="16"/>
                <w:color w:val="auto"/>
              </w:rPr>
              <w:t>(1,981,582)</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77" w:lineRule="exact"/>
              <w:rPr>
                <w:sz w:val="20"/>
                <w:szCs w:val="20"/>
                <w:color w:val="auto"/>
              </w:rPr>
            </w:pPr>
            <w:r>
              <w:rPr>
                <w:rFonts w:ascii="Arial" w:cs="Arial" w:eastAsia="Arial" w:hAnsi="Arial"/>
                <w:sz w:val="16"/>
                <w:szCs w:val="16"/>
                <w:color w:val="auto"/>
              </w:rPr>
              <w:t>(405,071)</w:t>
            </w:r>
          </w:p>
        </w:tc>
      </w:tr>
      <w:tr>
        <w:trPr>
          <w:trHeight w:val="177"/>
        </w:trPr>
        <w:tc>
          <w:tcPr>
            <w:tcW w:w="6580" w:type="dxa"/>
            <w:vAlign w:val="bottom"/>
          </w:tcPr>
          <w:p>
            <w:pPr>
              <w:ind w:left="100"/>
              <w:spacing w:after="0" w:line="177" w:lineRule="exact"/>
              <w:rPr>
                <w:sz w:val="20"/>
                <w:szCs w:val="20"/>
                <w:color w:val="auto"/>
              </w:rPr>
            </w:pPr>
            <w:r>
              <w:rPr>
                <w:rFonts w:ascii="Arial" w:cs="Arial" w:eastAsia="Arial" w:hAnsi="Arial"/>
                <w:sz w:val="16"/>
                <w:szCs w:val="16"/>
                <w:color w:val="auto"/>
              </w:rPr>
              <w:t>Less: current portion of long-term debt</w:t>
            </w:r>
          </w:p>
        </w:tc>
        <w:tc>
          <w:tcPr>
            <w:tcW w:w="120" w:type="dxa"/>
            <w:vAlign w:val="bottom"/>
          </w:tcPr>
          <w:p>
            <w:pPr>
              <w:spacing w:after="0"/>
              <w:rPr>
                <w:sz w:val="15"/>
                <w:szCs w:val="15"/>
                <w:color w:val="auto"/>
              </w:rPr>
            </w:pPr>
          </w:p>
        </w:tc>
        <w:tc>
          <w:tcPr>
            <w:tcW w:w="1140" w:type="dxa"/>
            <w:vAlign w:val="bottom"/>
            <w:gridSpan w:val="2"/>
          </w:tcPr>
          <w:p>
            <w:pPr>
              <w:jc w:val="right"/>
              <w:ind w:right="240"/>
              <w:spacing w:after="0" w:line="177"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980" w:type="dxa"/>
            <w:vAlign w:val="bottom"/>
          </w:tcPr>
          <w:p>
            <w:pPr>
              <w:jc w:val="right"/>
              <w:spacing w:after="0" w:line="177" w:lineRule="exact"/>
              <w:rPr>
                <w:sz w:val="20"/>
                <w:szCs w:val="20"/>
                <w:color w:val="auto"/>
              </w:rPr>
            </w:pPr>
            <w:r>
              <w:rPr>
                <w:rFonts w:ascii="Arial" w:cs="Arial" w:eastAsia="Arial" w:hAnsi="Arial"/>
                <w:sz w:val="16"/>
                <w:szCs w:val="16"/>
                <w:color w:val="auto"/>
              </w:rPr>
              <w:t>(2,666,667)</w:t>
            </w:r>
          </w:p>
        </w:tc>
      </w:tr>
      <w:tr>
        <w:trPr>
          <w:trHeight w:val="169"/>
        </w:trPr>
        <w:tc>
          <w:tcPr>
            <w:tcW w:w="6580" w:type="dxa"/>
            <w:vAlign w:val="bottom"/>
            <w:tcBorders>
              <w:top w:val="single" w:sz="8" w:color="CCEEFF"/>
              <w:bottom w:val="single" w:sz="8" w:color="CCEEFF"/>
            </w:tcBorders>
            <w:shd w:val="clear" w:color="auto" w:fill="CCEEFF"/>
          </w:tcPr>
          <w:p>
            <w:pPr>
              <w:ind w:left="20"/>
              <w:spacing w:after="0" w:line="168" w:lineRule="exact"/>
              <w:rPr>
                <w:sz w:val="20"/>
                <w:szCs w:val="20"/>
                <w:color w:val="auto"/>
              </w:rPr>
            </w:pPr>
            <w:r>
              <w:rPr>
                <w:rFonts w:ascii="Arial" w:cs="Arial" w:eastAsia="Arial" w:hAnsi="Arial"/>
                <w:sz w:val="16"/>
                <w:szCs w:val="16"/>
                <w:color w:val="auto"/>
              </w:rPr>
              <w:t>Loan payable, long-term</w:t>
            </w:r>
          </w:p>
        </w:tc>
        <w:tc>
          <w:tcPr>
            <w:tcW w:w="1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line="168" w:lineRule="exact"/>
              <w:rPr>
                <w:sz w:val="20"/>
                <w:szCs w:val="20"/>
                <w:color w:val="auto"/>
              </w:rPr>
            </w:pPr>
            <w:r>
              <w:rPr>
                <w:rFonts w:ascii="Arial" w:cs="Arial" w:eastAsia="Arial" w:hAnsi="Arial"/>
                <w:sz w:val="16"/>
                <w:szCs w:val="16"/>
                <w:color w:val="auto"/>
              </w:rPr>
              <w:t>48,026,108</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line="168" w:lineRule="exact"/>
              <w:rPr>
                <w:sz w:val="20"/>
                <w:szCs w:val="20"/>
                <w:color w:val="auto"/>
              </w:rPr>
            </w:pPr>
            <w:r>
              <w:rPr>
                <w:rFonts w:ascii="Arial" w:cs="Arial" w:eastAsia="Arial" w:hAnsi="Arial"/>
                <w:sz w:val="16"/>
                <w:szCs w:val="16"/>
                <w:color w:val="auto"/>
              </w:rPr>
              <w:t>17,332,626</w:t>
            </w:r>
          </w:p>
        </w:tc>
      </w:tr>
      <w:tr>
        <w:trPr>
          <w:trHeight w:val="20"/>
        </w:trPr>
        <w:tc>
          <w:tcPr>
            <w:tcW w:w="6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52"/>
        </w:trPr>
        <w:tc>
          <w:tcPr>
            <w:tcW w:w="6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77"/>
        </w:trPr>
        <w:tc>
          <w:tcPr>
            <w:tcW w:w="658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Current portion of long-term debt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40"/>
              <w:spacing w:after="0" w:line="177"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line="177" w:lineRule="exact"/>
              <w:rPr>
                <w:sz w:val="20"/>
                <w:szCs w:val="20"/>
                <w:color w:val="auto"/>
              </w:rPr>
            </w:pPr>
            <w:r>
              <w:rPr>
                <w:rFonts w:ascii="Arial" w:cs="Arial" w:eastAsia="Arial" w:hAnsi="Arial"/>
                <w:sz w:val="16"/>
                <w:szCs w:val="16"/>
                <w:color w:val="auto"/>
              </w:rPr>
              <w:t>2,666,667</w:t>
            </w:r>
          </w:p>
        </w:tc>
      </w:tr>
      <w:tr>
        <w:trPr>
          <w:trHeight w:val="177"/>
        </w:trPr>
        <w:tc>
          <w:tcPr>
            <w:tcW w:w="6580" w:type="dxa"/>
            <w:vAlign w:val="bottom"/>
          </w:tcPr>
          <w:p>
            <w:pPr>
              <w:ind w:left="100"/>
              <w:spacing w:after="0" w:line="177" w:lineRule="exact"/>
              <w:rPr>
                <w:sz w:val="20"/>
                <w:szCs w:val="20"/>
                <w:color w:val="auto"/>
              </w:rPr>
            </w:pPr>
            <w:r>
              <w:rPr>
                <w:rFonts w:ascii="Arial" w:cs="Arial" w:eastAsia="Arial" w:hAnsi="Arial"/>
                <w:sz w:val="16"/>
                <w:szCs w:val="16"/>
                <w:color w:val="auto"/>
              </w:rPr>
              <w:t>Less: current portion of unamortized debt discount</w:t>
            </w:r>
          </w:p>
        </w:tc>
        <w:tc>
          <w:tcPr>
            <w:tcW w:w="120" w:type="dxa"/>
            <w:vAlign w:val="bottom"/>
          </w:tcPr>
          <w:p>
            <w:pPr>
              <w:spacing w:after="0"/>
              <w:rPr>
                <w:sz w:val="15"/>
                <w:szCs w:val="15"/>
                <w:color w:val="auto"/>
              </w:rPr>
            </w:pPr>
          </w:p>
        </w:tc>
        <w:tc>
          <w:tcPr>
            <w:tcW w:w="1140" w:type="dxa"/>
            <w:vAlign w:val="bottom"/>
            <w:gridSpan w:val="2"/>
          </w:tcPr>
          <w:p>
            <w:pPr>
              <w:jc w:val="right"/>
              <w:ind w:right="240"/>
              <w:spacing w:after="0" w:line="177"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980" w:type="dxa"/>
            <w:vAlign w:val="bottom"/>
          </w:tcPr>
          <w:p>
            <w:pPr>
              <w:jc w:val="right"/>
              <w:spacing w:after="0" w:line="177" w:lineRule="exact"/>
              <w:rPr>
                <w:sz w:val="20"/>
                <w:szCs w:val="20"/>
                <w:color w:val="auto"/>
              </w:rPr>
            </w:pPr>
            <w:r>
              <w:rPr>
                <w:rFonts w:ascii="Arial" w:cs="Arial" w:eastAsia="Arial" w:hAnsi="Arial"/>
                <w:sz w:val="16"/>
                <w:szCs w:val="16"/>
                <w:color w:val="auto"/>
              </w:rPr>
              <w:t>(64,375)</w:t>
            </w:r>
          </w:p>
        </w:tc>
      </w:tr>
      <w:tr>
        <w:trPr>
          <w:trHeight w:val="169"/>
        </w:trPr>
        <w:tc>
          <w:tcPr>
            <w:tcW w:w="6580" w:type="dxa"/>
            <w:vAlign w:val="bottom"/>
            <w:tcBorders>
              <w:top w:val="single" w:sz="8" w:color="CCEEFF"/>
              <w:bottom w:val="single" w:sz="8" w:color="CCEEFF"/>
            </w:tcBorders>
            <w:shd w:val="clear" w:color="auto" w:fill="CCEEFF"/>
          </w:tcPr>
          <w:p>
            <w:pPr>
              <w:ind w:left="20"/>
              <w:spacing w:after="0" w:line="168" w:lineRule="exact"/>
              <w:rPr>
                <w:sz w:val="20"/>
                <w:szCs w:val="20"/>
                <w:color w:val="auto"/>
              </w:rPr>
            </w:pPr>
            <w:r>
              <w:rPr>
                <w:rFonts w:ascii="Arial" w:cs="Arial" w:eastAsia="Arial" w:hAnsi="Arial"/>
                <w:sz w:val="16"/>
                <w:szCs w:val="16"/>
                <w:color w:val="auto"/>
              </w:rPr>
              <w:t>Loan payable, current portion</w:t>
            </w:r>
          </w:p>
        </w:tc>
        <w:tc>
          <w:tcPr>
            <w:tcW w:w="1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line="168" w:lineRule="exact"/>
              <w:rPr>
                <w:sz w:val="20"/>
                <w:szCs w:val="20"/>
                <w:color w:val="auto"/>
              </w:rPr>
            </w:pPr>
            <w:r>
              <w:rPr>
                <w:rFonts w:ascii="Arial" w:cs="Arial" w:eastAsia="Arial" w:hAnsi="Arial"/>
                <w:sz w:val="16"/>
                <w:szCs w:val="16"/>
                <w:color w:val="auto"/>
              </w:rPr>
              <w:t>—</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line="168" w:lineRule="exact"/>
              <w:rPr>
                <w:sz w:val="20"/>
                <w:szCs w:val="20"/>
                <w:color w:val="auto"/>
              </w:rPr>
            </w:pPr>
            <w:r>
              <w:rPr>
                <w:rFonts w:ascii="Arial" w:cs="Arial" w:eastAsia="Arial" w:hAnsi="Arial"/>
                <w:sz w:val="16"/>
                <w:szCs w:val="16"/>
                <w:color w:val="auto"/>
              </w:rPr>
              <w:t>2,602,292</w:t>
            </w:r>
          </w:p>
        </w:tc>
      </w:tr>
      <w:tr>
        <w:trPr>
          <w:trHeight w:val="20"/>
        </w:trPr>
        <w:tc>
          <w:tcPr>
            <w:tcW w:w="6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left="40" w:right="79" w:firstLine="566"/>
        <w:spacing w:after="0" w:line="238" w:lineRule="auto"/>
        <w:rPr>
          <w:sz w:val="20"/>
          <w:szCs w:val="20"/>
          <w:color w:val="auto"/>
        </w:rPr>
      </w:pPr>
      <w:r>
        <w:rPr>
          <w:rFonts w:ascii="Arial" w:cs="Arial" w:eastAsia="Arial" w:hAnsi="Arial"/>
          <w:sz w:val="16"/>
          <w:szCs w:val="16"/>
          <w:color w:val="auto"/>
        </w:rPr>
        <w:t>In connection with the entry into the Hercules Term Loan, the Company issued to Hercules a warrant to purchase a number of shares of the Company’s common stock equal to 2.5% of the aggregate amount of the Term Loan Advances that are funded. Further information on warrants issued related to this loan and prior debt financings and amendments are disclosed in Note 6 - Stockholders’ Equity under the “Warrants” section.</w:t>
      </w:r>
    </w:p>
    <w:p>
      <w:pPr>
        <w:spacing w:after="0" w:line="154" w:lineRule="exact"/>
        <w:rPr>
          <w:sz w:val="20"/>
          <w:szCs w:val="20"/>
          <w:color w:val="auto"/>
        </w:rPr>
      </w:pPr>
    </w:p>
    <w:p>
      <w:pPr>
        <w:jc w:val="both"/>
        <w:ind w:left="40" w:right="39" w:firstLine="566"/>
        <w:spacing w:after="0" w:line="241" w:lineRule="auto"/>
        <w:rPr>
          <w:sz w:val="20"/>
          <w:szCs w:val="20"/>
          <w:color w:val="auto"/>
        </w:rPr>
      </w:pPr>
      <w:r>
        <w:rPr>
          <w:rFonts w:ascii="Arial" w:cs="Arial" w:eastAsia="Arial" w:hAnsi="Arial"/>
          <w:sz w:val="16"/>
          <w:szCs w:val="16"/>
          <w:color w:val="auto"/>
        </w:rPr>
        <w:t>Amortization of the debt discount in relation to warrants issued as described above was $46,920 and $165,556 for the three and nine months ended September 30, 2020, as compared to $56,602 and $155,496 for the three and nine months ended September 30, 2019, respectively.</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200"/>
        </w:trPr>
        <w:tc>
          <w:tcPr>
            <w:tcW w:w="7680" w:type="dxa"/>
            <w:vAlign w:val="bottom"/>
          </w:tcPr>
          <w:p>
            <w:pPr>
              <w:ind w:left="580"/>
              <w:spacing w:after="0"/>
              <w:rPr>
                <w:sz w:val="20"/>
                <w:szCs w:val="20"/>
                <w:color w:val="auto"/>
              </w:rPr>
            </w:pPr>
            <w:r>
              <w:rPr>
                <w:rFonts w:ascii="Arial" w:cs="Arial" w:eastAsia="Arial" w:hAnsi="Arial"/>
                <w:sz w:val="16"/>
                <w:szCs w:val="16"/>
                <w:color w:val="auto"/>
              </w:rPr>
              <w:t>Scheduled Principal Payments on Outstanding Debt, as of September 30, 2020, are as follows:</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78"/>
        </w:trPr>
        <w:tc>
          <w:tcPr>
            <w:tcW w:w="7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7"/>
        </w:trPr>
        <w:tc>
          <w:tcPr>
            <w:tcW w:w="768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2020</w:t>
            </w:r>
          </w:p>
        </w:tc>
        <w:tc>
          <w:tcPr>
            <w:tcW w:w="2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80"/>
              <w:spacing w:after="0" w:line="177" w:lineRule="exact"/>
              <w:rPr>
                <w:sz w:val="20"/>
                <w:szCs w:val="20"/>
                <w:color w:val="auto"/>
              </w:rPr>
            </w:pPr>
            <w:r>
              <w:rPr>
                <w:rFonts w:ascii="Arial" w:cs="Arial" w:eastAsia="Arial" w:hAnsi="Arial"/>
                <w:sz w:val="16"/>
                <w:szCs w:val="16"/>
                <w:color w:val="auto"/>
              </w:rPr>
              <w:t>—</w:t>
            </w:r>
          </w:p>
        </w:tc>
      </w:tr>
      <w:tr>
        <w:trPr>
          <w:trHeight w:val="177"/>
        </w:trPr>
        <w:tc>
          <w:tcPr>
            <w:tcW w:w="7680" w:type="dxa"/>
            <w:vAlign w:val="bottom"/>
          </w:tcPr>
          <w:p>
            <w:pPr>
              <w:ind w:left="20"/>
              <w:spacing w:after="0" w:line="177" w:lineRule="exact"/>
              <w:rPr>
                <w:sz w:val="20"/>
                <w:szCs w:val="20"/>
                <w:color w:val="auto"/>
              </w:rPr>
            </w:pPr>
            <w:r>
              <w:rPr>
                <w:rFonts w:ascii="Arial" w:cs="Arial" w:eastAsia="Arial" w:hAnsi="Arial"/>
                <w:sz w:val="16"/>
                <w:szCs w:val="16"/>
                <w:color w:val="auto"/>
              </w:rPr>
              <w:t>2021</w:t>
            </w:r>
          </w:p>
        </w:tc>
        <w:tc>
          <w:tcPr>
            <w:tcW w:w="280" w:type="dxa"/>
            <w:vAlign w:val="bottom"/>
          </w:tcPr>
          <w:p>
            <w:pPr>
              <w:spacing w:after="0"/>
              <w:rPr>
                <w:sz w:val="15"/>
                <w:szCs w:val="15"/>
                <w:color w:val="auto"/>
              </w:rPr>
            </w:pPr>
          </w:p>
        </w:tc>
        <w:tc>
          <w:tcPr>
            <w:tcW w:w="980" w:type="dxa"/>
            <w:vAlign w:val="bottom"/>
            <w:gridSpan w:val="2"/>
          </w:tcPr>
          <w:p>
            <w:pPr>
              <w:jc w:val="right"/>
              <w:ind w:right="80"/>
              <w:spacing w:after="0" w:line="177" w:lineRule="exact"/>
              <w:rPr>
                <w:sz w:val="20"/>
                <w:szCs w:val="20"/>
                <w:color w:val="auto"/>
              </w:rPr>
            </w:pPr>
            <w:r>
              <w:rPr>
                <w:rFonts w:ascii="Arial" w:cs="Arial" w:eastAsia="Arial" w:hAnsi="Arial"/>
                <w:sz w:val="16"/>
                <w:szCs w:val="16"/>
                <w:color w:val="auto"/>
              </w:rPr>
              <w:t>—</w:t>
            </w:r>
          </w:p>
        </w:tc>
      </w:tr>
      <w:tr>
        <w:trPr>
          <w:trHeight w:val="177"/>
        </w:trPr>
        <w:tc>
          <w:tcPr>
            <w:tcW w:w="768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2022</w:t>
            </w:r>
          </w:p>
        </w:tc>
        <w:tc>
          <w:tcPr>
            <w:tcW w:w="2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80"/>
              <w:spacing w:after="0" w:line="177" w:lineRule="exact"/>
              <w:rPr>
                <w:sz w:val="20"/>
                <w:szCs w:val="20"/>
                <w:color w:val="auto"/>
              </w:rPr>
            </w:pPr>
            <w:r>
              <w:rPr>
                <w:rFonts w:ascii="Arial" w:cs="Arial" w:eastAsia="Arial" w:hAnsi="Arial"/>
                <w:sz w:val="16"/>
                <w:szCs w:val="16"/>
                <w:color w:val="auto"/>
              </w:rPr>
              <w:t>—</w:t>
            </w:r>
          </w:p>
        </w:tc>
      </w:tr>
      <w:tr>
        <w:trPr>
          <w:trHeight w:val="177"/>
        </w:trPr>
        <w:tc>
          <w:tcPr>
            <w:tcW w:w="7680" w:type="dxa"/>
            <w:vAlign w:val="bottom"/>
          </w:tcPr>
          <w:p>
            <w:pPr>
              <w:ind w:left="20"/>
              <w:spacing w:after="0" w:line="177" w:lineRule="exact"/>
              <w:rPr>
                <w:sz w:val="20"/>
                <w:szCs w:val="20"/>
                <w:color w:val="auto"/>
              </w:rPr>
            </w:pPr>
            <w:r>
              <w:rPr>
                <w:rFonts w:ascii="Arial" w:cs="Arial" w:eastAsia="Arial" w:hAnsi="Arial"/>
                <w:sz w:val="16"/>
                <w:szCs w:val="16"/>
                <w:color w:val="auto"/>
              </w:rPr>
              <w:t>2023</w:t>
            </w:r>
          </w:p>
        </w:tc>
        <w:tc>
          <w:tcPr>
            <w:tcW w:w="280" w:type="dxa"/>
            <w:vAlign w:val="bottom"/>
          </w:tcPr>
          <w:p>
            <w:pPr>
              <w:spacing w:after="0"/>
              <w:rPr>
                <w:sz w:val="15"/>
                <w:szCs w:val="15"/>
                <w:color w:val="auto"/>
              </w:rPr>
            </w:pPr>
          </w:p>
        </w:tc>
        <w:tc>
          <w:tcPr>
            <w:tcW w:w="960" w:type="dxa"/>
            <w:vAlign w:val="bottom"/>
          </w:tcPr>
          <w:p>
            <w:pPr>
              <w:jc w:val="right"/>
              <w:spacing w:after="0" w:line="177" w:lineRule="exact"/>
              <w:rPr>
                <w:sz w:val="20"/>
                <w:szCs w:val="20"/>
                <w:color w:val="auto"/>
              </w:rPr>
            </w:pPr>
            <w:r>
              <w:rPr>
                <w:rFonts w:ascii="Arial" w:cs="Arial" w:eastAsia="Arial" w:hAnsi="Arial"/>
                <w:sz w:val="16"/>
                <w:szCs w:val="16"/>
                <w:color w:val="auto"/>
              </w:rPr>
              <w:t>12,239,903</w:t>
            </w:r>
          </w:p>
        </w:tc>
        <w:tc>
          <w:tcPr>
            <w:tcW w:w="20" w:type="dxa"/>
            <w:vAlign w:val="bottom"/>
          </w:tcPr>
          <w:p>
            <w:pPr>
              <w:spacing w:after="0"/>
              <w:rPr>
                <w:sz w:val="15"/>
                <w:szCs w:val="15"/>
                <w:color w:val="auto"/>
              </w:rPr>
            </w:pPr>
          </w:p>
        </w:tc>
      </w:tr>
      <w:tr>
        <w:trPr>
          <w:trHeight w:val="177"/>
        </w:trPr>
        <w:tc>
          <w:tcPr>
            <w:tcW w:w="768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2024</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77" w:lineRule="exact"/>
              <w:rPr>
                <w:sz w:val="20"/>
                <w:szCs w:val="20"/>
                <w:color w:val="auto"/>
              </w:rPr>
            </w:pPr>
            <w:r>
              <w:rPr>
                <w:rFonts w:ascii="Arial" w:cs="Arial" w:eastAsia="Arial" w:hAnsi="Arial"/>
                <w:sz w:val="16"/>
                <w:szCs w:val="16"/>
                <w:color w:val="auto"/>
              </w:rPr>
              <w:t>19,812,629</w:t>
            </w:r>
          </w:p>
        </w:tc>
        <w:tc>
          <w:tcPr>
            <w:tcW w:w="20" w:type="dxa"/>
            <w:vAlign w:val="bottom"/>
            <w:shd w:val="clear" w:color="auto" w:fill="CCEEFF"/>
          </w:tcPr>
          <w:p>
            <w:pPr>
              <w:spacing w:after="0"/>
              <w:rPr>
                <w:sz w:val="15"/>
                <w:szCs w:val="15"/>
                <w:color w:val="auto"/>
              </w:rPr>
            </w:pPr>
          </w:p>
        </w:tc>
      </w:tr>
      <w:tr>
        <w:trPr>
          <w:trHeight w:val="177"/>
        </w:trPr>
        <w:tc>
          <w:tcPr>
            <w:tcW w:w="7680" w:type="dxa"/>
            <w:vAlign w:val="bottom"/>
            <w:tcBorders>
              <w:bottom w:val="single" w:sz="8" w:color="CCEEFF"/>
            </w:tcBorders>
          </w:tcPr>
          <w:p>
            <w:pPr>
              <w:ind w:left="20"/>
              <w:spacing w:after="0" w:line="177" w:lineRule="exact"/>
              <w:rPr>
                <w:sz w:val="20"/>
                <w:szCs w:val="20"/>
                <w:color w:val="auto"/>
              </w:rPr>
            </w:pPr>
            <w:r>
              <w:rPr>
                <w:rFonts w:ascii="Arial" w:cs="Arial" w:eastAsia="Arial" w:hAnsi="Arial"/>
                <w:sz w:val="16"/>
                <w:szCs w:val="16"/>
                <w:color w:val="auto"/>
              </w:rPr>
              <w:t>2025</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77" w:lineRule="exact"/>
              <w:rPr>
                <w:sz w:val="20"/>
                <w:szCs w:val="20"/>
                <w:color w:val="auto"/>
              </w:rPr>
            </w:pPr>
            <w:r>
              <w:rPr>
                <w:rFonts w:ascii="Arial" w:cs="Arial" w:eastAsia="Arial" w:hAnsi="Arial"/>
                <w:sz w:val="16"/>
                <w:szCs w:val="16"/>
                <w:color w:val="auto"/>
              </w:rPr>
              <w:t>17,947,468</w:t>
            </w:r>
          </w:p>
        </w:tc>
        <w:tc>
          <w:tcPr>
            <w:tcW w:w="20" w:type="dxa"/>
            <w:vAlign w:val="bottom"/>
            <w:tcBorders>
              <w:bottom w:val="single" w:sz="8" w:color="CCEEFF"/>
            </w:tcBorders>
          </w:tcPr>
          <w:p>
            <w:pPr>
              <w:spacing w:after="0"/>
              <w:rPr>
                <w:sz w:val="15"/>
                <w:szCs w:val="15"/>
                <w:color w:val="auto"/>
              </w:rPr>
            </w:pPr>
          </w:p>
        </w:tc>
      </w:tr>
      <w:tr>
        <w:trPr>
          <w:trHeight w:val="169"/>
        </w:trPr>
        <w:tc>
          <w:tcPr>
            <w:tcW w:w="7680" w:type="dxa"/>
            <w:vAlign w:val="bottom"/>
            <w:tcBorders>
              <w:bottom w:val="single" w:sz="8" w:color="CCEEFF"/>
            </w:tcBorders>
            <w:shd w:val="clear" w:color="auto" w:fill="CCEEFF"/>
          </w:tcPr>
          <w:p>
            <w:pPr>
              <w:ind w:left="20"/>
              <w:spacing w:after="0" w:line="168" w:lineRule="exact"/>
              <w:rPr>
                <w:sz w:val="20"/>
                <w:szCs w:val="20"/>
                <w:color w:val="auto"/>
              </w:rPr>
            </w:pPr>
            <w:r>
              <w:rPr>
                <w:rFonts w:ascii="Arial" w:cs="Arial" w:eastAsia="Arial" w:hAnsi="Arial"/>
                <w:sz w:val="16"/>
                <w:szCs w:val="16"/>
                <w:color w:val="auto"/>
              </w:rPr>
              <w:t>Total principal payments outstanding</w:t>
            </w:r>
          </w:p>
        </w:tc>
        <w:tc>
          <w:tcPr>
            <w:tcW w:w="280" w:type="dxa"/>
            <w:vAlign w:val="bottom"/>
            <w:tcBorders>
              <w:bottom w:val="single" w:sz="8" w:color="auto"/>
            </w:tcBorders>
            <w:shd w:val="clear" w:color="auto" w:fill="CCEEFF"/>
          </w:tcPr>
          <w:p>
            <w:pPr>
              <w:jc w:val="right"/>
              <w:ind w:right="127"/>
              <w:spacing w:after="0" w:line="169" w:lineRule="exact"/>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68" w:lineRule="exact"/>
              <w:rPr>
                <w:sz w:val="20"/>
                <w:szCs w:val="20"/>
                <w:color w:val="auto"/>
              </w:rPr>
            </w:pPr>
            <w:r>
              <w:rPr>
                <w:rFonts w:ascii="Arial" w:cs="Arial" w:eastAsia="Arial" w:hAnsi="Arial"/>
                <w:sz w:val="16"/>
                <w:szCs w:val="16"/>
                <w:color w:val="auto"/>
              </w:rPr>
              <w:t>50,000,000</w:t>
            </w:r>
          </w:p>
        </w:tc>
        <w:tc>
          <w:tcPr>
            <w:tcW w:w="20" w:type="dxa"/>
            <w:vAlign w:val="bottom"/>
            <w:tcBorders>
              <w:bottom w:val="single" w:sz="8" w:color="CCEEFF"/>
            </w:tcBorders>
            <w:shd w:val="clear" w:color="auto" w:fill="CCEEFF"/>
          </w:tcPr>
          <w:p>
            <w:pPr>
              <w:spacing w:after="0"/>
              <w:rPr>
                <w:sz w:val="14"/>
                <w:szCs w:val="14"/>
                <w:color w:val="auto"/>
              </w:rPr>
            </w:pPr>
          </w:p>
        </w:tc>
      </w:tr>
      <w:tr>
        <w:trPr>
          <w:trHeight w:val="20"/>
        </w:trPr>
        <w:tc>
          <w:tcPr>
            <w:tcW w:w="7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ind w:left="40" w:right="539" w:firstLine="566"/>
        <w:spacing w:after="0" w:line="251" w:lineRule="auto"/>
        <w:rPr>
          <w:sz w:val="20"/>
          <w:szCs w:val="20"/>
          <w:color w:val="auto"/>
        </w:rPr>
      </w:pPr>
      <w:r>
        <w:rPr>
          <w:rFonts w:ascii="Arial" w:cs="Arial" w:eastAsia="Arial" w:hAnsi="Arial"/>
          <w:sz w:val="16"/>
          <w:szCs w:val="16"/>
          <w:color w:val="auto"/>
        </w:rPr>
        <w:t>The Company was in compliance with all covenants and requirements of its financing arrangements as of and during the nine months ended September 30, 2020.</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302895</wp:posOffset>
            </wp:positionV>
            <wp:extent cx="5682615" cy="222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82615" cy="22225"/>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16" w:name="page17"/>
    <w:bookmarkEnd w:id="16"/>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Note 5. Net Loss per Common Share</w:t>
      </w:r>
    </w:p>
    <w:p>
      <w:pPr>
        <w:spacing w:after="0" w:line="18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following table sets forth the computation of basic and diluted net loss per common share:</w:t>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20" w:type="dxa"/>
            <w:vAlign w:val="bottom"/>
            <w:gridSpan w:val="5"/>
          </w:tcPr>
          <w:p>
            <w:pPr>
              <w:jc w:val="right"/>
              <w:ind w:right="340"/>
              <w:spacing w:after="0"/>
              <w:rPr>
                <w:sz w:val="20"/>
                <w:szCs w:val="20"/>
                <w:color w:val="auto"/>
              </w:rPr>
            </w:pPr>
            <w:r>
              <w:rPr>
                <w:rFonts w:ascii="Arial" w:cs="Arial" w:eastAsia="Arial" w:hAnsi="Arial"/>
                <w:sz w:val="13"/>
                <w:szCs w:val="13"/>
                <w:b w:val="1"/>
                <w:bCs w:val="1"/>
                <w:color w:val="auto"/>
                <w:w w:val="88"/>
              </w:rPr>
              <w:t>Three months ended September 30,</w:t>
            </w:r>
          </w:p>
        </w:tc>
        <w:tc>
          <w:tcPr>
            <w:tcW w:w="180" w:type="dxa"/>
            <w:vAlign w:val="bottom"/>
          </w:tcPr>
          <w:p>
            <w:pPr>
              <w:spacing w:after="0"/>
              <w:rPr>
                <w:sz w:val="14"/>
                <w:szCs w:val="14"/>
                <w:color w:val="auto"/>
              </w:rPr>
            </w:pPr>
          </w:p>
        </w:tc>
        <w:tc>
          <w:tcPr>
            <w:tcW w:w="2280" w:type="dxa"/>
            <w:vAlign w:val="bottom"/>
            <w:gridSpan w:val="4"/>
          </w:tcPr>
          <w:p>
            <w:pPr>
              <w:jc w:val="right"/>
              <w:ind w:right="245"/>
              <w:spacing w:after="0"/>
              <w:rPr>
                <w:sz w:val="20"/>
                <w:szCs w:val="20"/>
                <w:color w:val="auto"/>
              </w:rPr>
            </w:pPr>
            <w:r>
              <w:rPr>
                <w:rFonts w:ascii="Arial" w:cs="Arial" w:eastAsia="Arial" w:hAnsi="Arial"/>
                <w:sz w:val="13"/>
                <w:szCs w:val="13"/>
                <w:b w:val="1"/>
                <w:bCs w:val="1"/>
                <w:color w:val="auto"/>
                <w:w w:val="91"/>
              </w:rPr>
              <w:t>Nine months ended September 30,</w:t>
            </w:r>
          </w:p>
        </w:tc>
      </w:tr>
      <w:tr>
        <w:trPr>
          <w:trHeight w:val="133"/>
        </w:trPr>
        <w:tc>
          <w:tcPr>
            <w:tcW w:w="3980" w:type="dxa"/>
            <w:vAlign w:val="bottom"/>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960" w:type="dxa"/>
            <w:vAlign w:val="bottom"/>
            <w:tcBorders>
              <w:top w:val="single" w:sz="8" w:color="auto"/>
              <w:bottom w:val="single" w:sz="8" w:color="auto"/>
            </w:tcBorders>
          </w:tcPr>
          <w:p>
            <w:pPr>
              <w:jc w:val="right"/>
              <w:ind w:right="368"/>
              <w:spacing w:after="0" w:line="133" w:lineRule="exact"/>
              <w:rPr>
                <w:sz w:val="20"/>
                <w:szCs w:val="20"/>
                <w:color w:val="auto"/>
              </w:rPr>
            </w:pPr>
            <w:r>
              <w:rPr>
                <w:rFonts w:ascii="Arial" w:cs="Arial" w:eastAsia="Arial" w:hAnsi="Arial"/>
                <w:sz w:val="13"/>
                <w:szCs w:val="13"/>
                <w:b w:val="1"/>
                <w:bCs w:val="1"/>
                <w:color w:val="auto"/>
              </w:rPr>
              <w:t>2020</w:t>
            </w:r>
          </w:p>
        </w:tc>
        <w:tc>
          <w:tcPr>
            <w:tcW w:w="140" w:type="dxa"/>
            <w:vAlign w:val="bottom"/>
            <w:tcBorders>
              <w:top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right"/>
              <w:ind w:right="365"/>
              <w:spacing w:after="0" w:line="133" w:lineRule="exact"/>
              <w:rPr>
                <w:sz w:val="20"/>
                <w:szCs w:val="20"/>
                <w:color w:val="auto"/>
              </w:rPr>
            </w:pPr>
            <w:r>
              <w:rPr>
                <w:rFonts w:ascii="Arial" w:cs="Arial" w:eastAsia="Arial" w:hAnsi="Arial"/>
                <w:sz w:val="13"/>
                <w:szCs w:val="13"/>
                <w:b w:val="1"/>
                <w:bCs w:val="1"/>
                <w:color w:val="auto"/>
              </w:rPr>
              <w:t>2019</w:t>
            </w:r>
          </w:p>
        </w:tc>
        <w:tc>
          <w:tcPr>
            <w:tcW w:w="60" w:type="dxa"/>
            <w:vAlign w:val="bottom"/>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960" w:type="dxa"/>
            <w:vAlign w:val="bottom"/>
            <w:tcBorders>
              <w:top w:val="single" w:sz="8" w:color="auto"/>
              <w:bottom w:val="single" w:sz="8" w:color="auto"/>
            </w:tcBorders>
          </w:tcPr>
          <w:p>
            <w:pPr>
              <w:jc w:val="right"/>
              <w:ind w:right="368"/>
              <w:spacing w:after="0" w:line="133" w:lineRule="exact"/>
              <w:rPr>
                <w:sz w:val="20"/>
                <w:szCs w:val="20"/>
                <w:color w:val="auto"/>
              </w:rPr>
            </w:pPr>
            <w:r>
              <w:rPr>
                <w:rFonts w:ascii="Arial" w:cs="Arial" w:eastAsia="Arial" w:hAnsi="Arial"/>
                <w:sz w:val="13"/>
                <w:szCs w:val="13"/>
                <w:b w:val="1"/>
                <w:bCs w:val="1"/>
                <w:color w:val="auto"/>
              </w:rPr>
              <w:t>2020</w:t>
            </w:r>
          </w:p>
        </w:tc>
        <w:tc>
          <w:tcPr>
            <w:tcW w:w="140" w:type="dxa"/>
            <w:vAlign w:val="bottom"/>
            <w:tcBorders>
              <w:top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right"/>
              <w:ind w:right="385"/>
              <w:spacing w:after="0" w:line="133" w:lineRule="exact"/>
              <w:rPr>
                <w:sz w:val="20"/>
                <w:szCs w:val="20"/>
                <w:color w:val="auto"/>
              </w:rPr>
            </w:pPr>
            <w:r>
              <w:rPr>
                <w:rFonts w:ascii="Arial" w:cs="Arial" w:eastAsia="Arial" w:hAnsi="Arial"/>
                <w:sz w:val="13"/>
                <w:szCs w:val="13"/>
                <w:b w:val="1"/>
                <w:bCs w:val="1"/>
                <w:color w:val="auto"/>
              </w:rPr>
              <w:t>2019</w:t>
            </w:r>
          </w:p>
        </w:tc>
      </w:tr>
      <w:tr>
        <w:trPr>
          <w:trHeight w:val="169"/>
        </w:trPr>
        <w:tc>
          <w:tcPr>
            <w:tcW w:w="3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7"/>
        </w:trPr>
        <w:tc>
          <w:tcPr>
            <w:tcW w:w="398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Basic and diluted net loss per common share:</w:t>
            </w: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77"/>
        </w:trPr>
        <w:tc>
          <w:tcPr>
            <w:tcW w:w="3980" w:type="dxa"/>
            <w:vAlign w:val="bottom"/>
          </w:tcPr>
          <w:p>
            <w:pPr>
              <w:ind w:left="20"/>
              <w:spacing w:after="0" w:line="177" w:lineRule="exact"/>
              <w:rPr>
                <w:sz w:val="20"/>
                <w:szCs w:val="20"/>
                <w:color w:val="auto"/>
              </w:rPr>
            </w:pPr>
            <w:r>
              <w:rPr>
                <w:rFonts w:ascii="Arial" w:cs="Arial" w:eastAsia="Arial" w:hAnsi="Arial"/>
                <w:sz w:val="16"/>
                <w:szCs w:val="16"/>
                <w:color w:val="auto"/>
              </w:rPr>
              <w:t>Net loss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line="177" w:lineRule="exact"/>
              <w:rPr>
                <w:sz w:val="20"/>
                <w:szCs w:val="20"/>
                <w:color w:val="auto"/>
              </w:rPr>
            </w:pPr>
            <w:r>
              <w:rPr>
                <w:rFonts w:ascii="Arial" w:cs="Arial" w:eastAsia="Arial" w:hAnsi="Arial"/>
                <w:sz w:val="16"/>
                <w:szCs w:val="16"/>
                <w:color w:val="auto"/>
              </w:rPr>
              <w:t>(22,924,815)</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60"/>
              <w:spacing w:after="0" w:line="177" w:lineRule="exact"/>
              <w:rPr>
                <w:sz w:val="20"/>
                <w:szCs w:val="20"/>
                <w:color w:val="auto"/>
              </w:rPr>
            </w:pPr>
            <w:r>
              <w:rPr>
                <w:rFonts w:ascii="Arial" w:cs="Arial" w:eastAsia="Arial" w:hAnsi="Arial"/>
                <w:sz w:val="16"/>
                <w:szCs w:val="16"/>
                <w:color w:val="auto"/>
              </w:rPr>
              <w:t>(19,135,612)</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line="177" w:lineRule="exact"/>
              <w:rPr>
                <w:sz w:val="20"/>
                <w:szCs w:val="20"/>
                <w:color w:val="auto"/>
              </w:rPr>
            </w:pPr>
            <w:r>
              <w:rPr>
                <w:rFonts w:ascii="Arial" w:cs="Arial" w:eastAsia="Arial" w:hAnsi="Arial"/>
                <w:sz w:val="16"/>
                <w:szCs w:val="16"/>
                <w:color w:val="auto"/>
              </w:rPr>
              <w:t>(73,735,953)</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line="177" w:lineRule="exact"/>
              <w:rPr>
                <w:sz w:val="20"/>
                <w:szCs w:val="20"/>
                <w:color w:val="auto"/>
              </w:rPr>
            </w:pPr>
            <w:r>
              <w:rPr>
                <w:rFonts w:ascii="Arial" w:cs="Arial" w:eastAsia="Arial" w:hAnsi="Arial"/>
                <w:sz w:val="16"/>
                <w:szCs w:val="16"/>
                <w:color w:val="auto"/>
              </w:rPr>
              <w:t>(43,538,202)</w:t>
            </w:r>
          </w:p>
        </w:tc>
      </w:tr>
      <w:tr>
        <w:trPr>
          <w:trHeight w:val="164"/>
        </w:trPr>
        <w:tc>
          <w:tcPr>
            <w:tcW w:w="398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w w:val="93"/>
              </w:rPr>
              <w:t>Weighted average common shares outstanding—basic and</w:t>
            </w: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189"/>
        </w:trPr>
        <w:tc>
          <w:tcPr>
            <w:tcW w:w="3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1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37,311,726</w:t>
            </w:r>
          </w:p>
        </w:tc>
        <w:tc>
          <w:tcPr>
            <w:tcW w:w="14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34,445,489</w:t>
            </w:r>
          </w:p>
        </w:tc>
        <w:tc>
          <w:tcPr>
            <w:tcW w:w="6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37,158,513</w:t>
            </w:r>
          </w:p>
        </w:tc>
        <w:tc>
          <w:tcPr>
            <w:tcW w:w="14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33,771,671</w:t>
            </w:r>
          </w:p>
        </w:tc>
      </w:tr>
      <w:tr>
        <w:trPr>
          <w:trHeight w:val="169"/>
        </w:trPr>
        <w:tc>
          <w:tcPr>
            <w:tcW w:w="3980" w:type="dxa"/>
            <w:vAlign w:val="bottom"/>
          </w:tcPr>
          <w:p>
            <w:pPr>
              <w:ind w:left="20"/>
              <w:spacing w:after="0" w:line="168" w:lineRule="exact"/>
              <w:rPr>
                <w:sz w:val="20"/>
                <w:szCs w:val="20"/>
                <w:color w:val="auto"/>
              </w:rPr>
            </w:pPr>
            <w:r>
              <w:rPr>
                <w:rFonts w:ascii="Arial" w:cs="Arial" w:eastAsia="Arial" w:hAnsi="Arial"/>
                <w:sz w:val="16"/>
                <w:szCs w:val="16"/>
                <w:color w:val="auto"/>
              </w:rPr>
              <w:t>Net loss per common share—basic and diluted</w:t>
            </w:r>
          </w:p>
        </w:tc>
        <w:tc>
          <w:tcPr>
            <w:tcW w:w="180" w:type="dxa"/>
            <w:vAlign w:val="bottom"/>
            <w:tcBorders>
              <w:bottom w:val="single" w:sz="8" w:color="auto"/>
            </w:tcBorders>
          </w:tcPr>
          <w:p>
            <w:pPr>
              <w:jc w:val="right"/>
              <w:ind w:right="27"/>
              <w:spacing w:after="0" w:line="169" w:lineRule="exact"/>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(0.61)</w:t>
            </w:r>
          </w:p>
        </w:tc>
        <w:tc>
          <w:tcPr>
            <w:tcW w:w="140" w:type="dxa"/>
            <w:vAlign w:val="bottom"/>
          </w:tcPr>
          <w:p>
            <w:pPr>
              <w:spacing w:after="0"/>
              <w:rPr>
                <w:sz w:val="14"/>
                <w:szCs w:val="14"/>
                <w:color w:val="auto"/>
              </w:rPr>
            </w:pPr>
          </w:p>
        </w:tc>
        <w:tc>
          <w:tcPr>
            <w:tcW w:w="220" w:type="dxa"/>
            <w:vAlign w:val="bottom"/>
            <w:tcBorders>
              <w:bottom w:val="single" w:sz="8" w:color="auto"/>
            </w:tcBorders>
          </w:tcPr>
          <w:p>
            <w:pPr>
              <w:jc w:val="right"/>
              <w:ind w:right="67"/>
              <w:spacing w:after="0" w:line="169" w:lineRule="exact"/>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(0.56)</w:t>
            </w:r>
          </w:p>
        </w:tc>
        <w:tc>
          <w:tcPr>
            <w:tcW w:w="60" w:type="dxa"/>
            <w:vAlign w:val="bottom"/>
          </w:tcPr>
          <w:p>
            <w:pPr>
              <w:spacing w:after="0"/>
              <w:rPr>
                <w:sz w:val="14"/>
                <w:szCs w:val="14"/>
                <w:color w:val="auto"/>
              </w:rPr>
            </w:pPr>
          </w:p>
        </w:tc>
        <w:tc>
          <w:tcPr>
            <w:tcW w:w="180" w:type="dxa"/>
            <w:vAlign w:val="bottom"/>
            <w:tcBorders>
              <w:bottom w:val="single" w:sz="8" w:color="auto"/>
            </w:tcBorders>
          </w:tcPr>
          <w:p>
            <w:pPr>
              <w:jc w:val="right"/>
              <w:ind w:right="27"/>
              <w:spacing w:after="0" w:line="169" w:lineRule="exact"/>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(1.98)</w:t>
            </w:r>
          </w:p>
        </w:tc>
        <w:tc>
          <w:tcPr>
            <w:tcW w:w="140" w:type="dxa"/>
            <w:vAlign w:val="bottom"/>
          </w:tcPr>
          <w:p>
            <w:pPr>
              <w:spacing w:after="0"/>
              <w:rPr>
                <w:sz w:val="14"/>
                <w:szCs w:val="14"/>
                <w:color w:val="auto"/>
              </w:rPr>
            </w:pPr>
          </w:p>
        </w:tc>
        <w:tc>
          <w:tcPr>
            <w:tcW w:w="240" w:type="dxa"/>
            <w:vAlign w:val="bottom"/>
            <w:tcBorders>
              <w:bottom w:val="single" w:sz="8" w:color="auto"/>
            </w:tcBorders>
          </w:tcPr>
          <w:p>
            <w:pPr>
              <w:jc w:val="right"/>
              <w:ind w:right="87"/>
              <w:spacing w:after="0" w:line="169" w:lineRule="exact"/>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(1.29)</w:t>
            </w:r>
          </w:p>
        </w:tc>
      </w:tr>
      <w:tr>
        <w:trPr>
          <w:trHeight w:val="20"/>
        </w:trPr>
        <w:tc>
          <w:tcPr>
            <w:tcW w:w="3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left="40" w:right="139" w:firstLine="566"/>
        <w:spacing w:after="0" w:line="251" w:lineRule="auto"/>
        <w:rPr>
          <w:sz w:val="20"/>
          <w:szCs w:val="20"/>
          <w:color w:val="auto"/>
        </w:rPr>
      </w:pPr>
      <w:r>
        <w:rPr>
          <w:rFonts w:ascii="Arial" w:cs="Arial" w:eastAsia="Arial" w:hAnsi="Arial"/>
          <w:sz w:val="16"/>
          <w:szCs w:val="16"/>
          <w:color w:val="auto"/>
        </w:rPr>
        <w:t>The following potentially dilutive securities outstanding at September 30, 2020 and 2019 have been excluded from the computation of diluted weighted average shares outstanding, as they would be anti-dilutive:</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1440" w:type="dxa"/>
            <w:vAlign w:val="bottom"/>
            <w:tcBorders>
              <w:bottom w:val="single" w:sz="8" w:color="auto"/>
            </w:tcBorders>
            <w:gridSpan w:val="3"/>
          </w:tcPr>
          <w:p>
            <w:pPr>
              <w:ind w:left="660"/>
              <w:spacing w:after="0"/>
              <w:rPr>
                <w:sz w:val="20"/>
                <w:szCs w:val="20"/>
                <w:color w:val="auto"/>
              </w:rPr>
            </w:pPr>
            <w:r>
              <w:rPr>
                <w:rFonts w:ascii="Arial" w:cs="Arial" w:eastAsia="Arial" w:hAnsi="Arial"/>
                <w:sz w:val="13"/>
                <w:szCs w:val="13"/>
                <w:b w:val="1"/>
                <w:bCs w:val="1"/>
                <w:color w:val="auto"/>
                <w:w w:val="85"/>
              </w:rPr>
              <w:t>September 30,</w:t>
            </w: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33"/>
        </w:trPr>
        <w:tc>
          <w:tcPr>
            <w:tcW w:w="6760" w:type="dxa"/>
            <w:vAlign w:val="bottom"/>
          </w:tcPr>
          <w:p>
            <w:pPr>
              <w:spacing w:after="0"/>
              <w:rPr>
                <w:sz w:val="11"/>
                <w:szCs w:val="11"/>
                <w:color w:val="auto"/>
              </w:rPr>
            </w:pPr>
          </w:p>
        </w:tc>
        <w:tc>
          <w:tcPr>
            <w:tcW w:w="960" w:type="dxa"/>
            <w:vAlign w:val="bottom"/>
            <w:tcBorders>
              <w:bottom w:val="single" w:sz="8" w:color="auto"/>
            </w:tcBorders>
          </w:tcPr>
          <w:p>
            <w:pPr>
              <w:jc w:val="right"/>
              <w:ind w:right="287"/>
              <w:spacing w:after="0" w:line="133" w:lineRule="exact"/>
              <w:rPr>
                <w:sz w:val="20"/>
                <w:szCs w:val="20"/>
                <w:color w:val="auto"/>
              </w:rPr>
            </w:pPr>
            <w:r>
              <w:rPr>
                <w:rFonts w:ascii="Arial" w:cs="Arial" w:eastAsia="Arial" w:hAnsi="Arial"/>
                <w:sz w:val="13"/>
                <w:szCs w:val="13"/>
                <w:b w:val="1"/>
                <w:bCs w:val="1"/>
                <w:color w:val="auto"/>
              </w:rPr>
              <w:t>2020</w:t>
            </w:r>
          </w:p>
        </w:tc>
        <w:tc>
          <w:tcPr>
            <w:tcW w:w="20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65"/>
              <w:spacing w:after="0" w:line="133" w:lineRule="exact"/>
              <w:rPr>
                <w:sz w:val="20"/>
                <w:szCs w:val="20"/>
                <w:color w:val="auto"/>
              </w:rPr>
            </w:pPr>
            <w:r>
              <w:rPr>
                <w:rFonts w:ascii="Arial" w:cs="Arial" w:eastAsia="Arial" w:hAnsi="Arial"/>
                <w:sz w:val="13"/>
                <w:szCs w:val="13"/>
                <w:b w:val="1"/>
                <w:bCs w:val="1"/>
                <w:color w:val="auto"/>
              </w:rPr>
              <w:t>2019</w:t>
            </w:r>
          </w:p>
        </w:tc>
        <w:tc>
          <w:tcPr>
            <w:tcW w:w="60" w:type="dxa"/>
            <w:vAlign w:val="bottom"/>
          </w:tcPr>
          <w:p>
            <w:pPr>
              <w:spacing w:after="0"/>
              <w:rPr>
                <w:sz w:val="11"/>
                <w:szCs w:val="11"/>
                <w:color w:val="auto"/>
              </w:rPr>
            </w:pPr>
          </w:p>
        </w:tc>
      </w:tr>
      <w:tr>
        <w:trPr>
          <w:trHeight w:val="169"/>
        </w:trPr>
        <w:tc>
          <w:tcPr>
            <w:tcW w:w="6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7"/>
        </w:trPr>
        <w:tc>
          <w:tcPr>
            <w:tcW w:w="676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Stock options</w:t>
            </w:r>
          </w:p>
        </w:tc>
        <w:tc>
          <w:tcPr>
            <w:tcW w:w="960" w:type="dxa"/>
            <w:vAlign w:val="bottom"/>
            <w:shd w:val="clear" w:color="auto" w:fill="CCEEFF"/>
          </w:tcPr>
          <w:p>
            <w:pPr>
              <w:jc w:val="right"/>
              <w:spacing w:after="0" w:line="177" w:lineRule="exact"/>
              <w:rPr>
                <w:sz w:val="20"/>
                <w:szCs w:val="20"/>
                <w:color w:val="auto"/>
              </w:rPr>
            </w:pPr>
            <w:r>
              <w:rPr>
                <w:rFonts w:ascii="Arial" w:cs="Arial" w:eastAsia="Arial" w:hAnsi="Arial"/>
                <w:sz w:val="16"/>
                <w:szCs w:val="16"/>
                <w:color w:val="auto"/>
              </w:rPr>
              <w:t>3,909,855</w:t>
            </w: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7" w:lineRule="exact"/>
              <w:rPr>
                <w:sz w:val="20"/>
                <w:szCs w:val="20"/>
                <w:color w:val="auto"/>
              </w:rPr>
            </w:pPr>
            <w:r>
              <w:rPr>
                <w:rFonts w:ascii="Arial" w:cs="Arial" w:eastAsia="Arial" w:hAnsi="Arial"/>
                <w:sz w:val="16"/>
                <w:szCs w:val="16"/>
                <w:color w:val="auto"/>
                <w:w w:val="87"/>
              </w:rPr>
              <w:t>3,184,842</w:t>
            </w:r>
          </w:p>
        </w:tc>
        <w:tc>
          <w:tcPr>
            <w:tcW w:w="60" w:type="dxa"/>
            <w:vAlign w:val="bottom"/>
            <w:shd w:val="clear" w:color="auto" w:fill="CCEEFF"/>
          </w:tcPr>
          <w:p>
            <w:pPr>
              <w:spacing w:after="0"/>
              <w:rPr>
                <w:sz w:val="15"/>
                <w:szCs w:val="15"/>
                <w:color w:val="auto"/>
              </w:rPr>
            </w:pPr>
          </w:p>
        </w:tc>
      </w:tr>
      <w:tr>
        <w:trPr>
          <w:trHeight w:val="177"/>
        </w:trPr>
        <w:tc>
          <w:tcPr>
            <w:tcW w:w="6760" w:type="dxa"/>
            <w:vAlign w:val="bottom"/>
          </w:tcPr>
          <w:p>
            <w:pPr>
              <w:ind w:left="20"/>
              <w:spacing w:after="0" w:line="177" w:lineRule="exact"/>
              <w:rPr>
                <w:sz w:val="20"/>
                <w:szCs w:val="20"/>
                <w:color w:val="auto"/>
              </w:rPr>
            </w:pPr>
            <w:r>
              <w:rPr>
                <w:rFonts w:ascii="Arial" w:cs="Arial" w:eastAsia="Arial" w:hAnsi="Arial"/>
                <w:sz w:val="16"/>
                <w:szCs w:val="16"/>
                <w:color w:val="auto"/>
              </w:rPr>
              <w:t>Restricted stock units</w:t>
            </w:r>
          </w:p>
        </w:tc>
        <w:tc>
          <w:tcPr>
            <w:tcW w:w="960" w:type="dxa"/>
            <w:vAlign w:val="bottom"/>
          </w:tcPr>
          <w:p>
            <w:pPr>
              <w:jc w:val="right"/>
              <w:spacing w:after="0" w:line="177" w:lineRule="exact"/>
              <w:rPr>
                <w:sz w:val="20"/>
                <w:szCs w:val="20"/>
                <w:color w:val="auto"/>
              </w:rPr>
            </w:pPr>
            <w:r>
              <w:rPr>
                <w:rFonts w:ascii="Arial" w:cs="Arial" w:eastAsia="Arial" w:hAnsi="Arial"/>
                <w:sz w:val="16"/>
                <w:szCs w:val="16"/>
                <w:color w:val="auto"/>
              </w:rPr>
              <w:t>155,922</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gridSpan w:val="2"/>
          </w:tcPr>
          <w:p>
            <w:pPr>
              <w:jc w:val="right"/>
              <w:ind w:right="100"/>
              <w:spacing w:after="0" w:line="177" w:lineRule="exact"/>
              <w:rPr>
                <w:sz w:val="20"/>
                <w:szCs w:val="20"/>
                <w:color w:val="auto"/>
              </w:rPr>
            </w:pPr>
            <w:r>
              <w:rPr>
                <w:rFonts w:ascii="Arial" w:cs="Arial" w:eastAsia="Arial" w:hAnsi="Arial"/>
                <w:sz w:val="16"/>
                <w:szCs w:val="16"/>
                <w:color w:val="auto"/>
              </w:rPr>
              <w:t>—</w:t>
            </w:r>
          </w:p>
        </w:tc>
      </w:tr>
      <w:tr>
        <w:trPr>
          <w:trHeight w:val="177"/>
        </w:trPr>
        <w:tc>
          <w:tcPr>
            <w:tcW w:w="676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Warrants</w:t>
            </w:r>
          </w:p>
        </w:tc>
        <w:tc>
          <w:tcPr>
            <w:tcW w:w="960" w:type="dxa"/>
            <w:vAlign w:val="bottom"/>
            <w:tcBorders>
              <w:bottom w:val="single" w:sz="8" w:color="auto"/>
            </w:tcBorders>
            <w:shd w:val="clear" w:color="auto" w:fill="CCEEFF"/>
          </w:tcPr>
          <w:p>
            <w:pPr>
              <w:jc w:val="right"/>
              <w:spacing w:after="0" w:line="177" w:lineRule="exact"/>
              <w:rPr>
                <w:sz w:val="20"/>
                <w:szCs w:val="20"/>
                <w:color w:val="auto"/>
              </w:rPr>
            </w:pPr>
            <w:r>
              <w:rPr>
                <w:rFonts w:ascii="Arial" w:cs="Arial" w:eastAsia="Arial" w:hAnsi="Arial"/>
                <w:sz w:val="16"/>
                <w:szCs w:val="16"/>
                <w:color w:val="auto"/>
              </w:rPr>
              <w:t>15,541</w:t>
            </w:r>
          </w:p>
        </w:tc>
        <w:tc>
          <w:tcPr>
            <w:tcW w:w="2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line="177" w:lineRule="exact"/>
              <w:rPr>
                <w:sz w:val="20"/>
                <w:szCs w:val="20"/>
                <w:color w:val="auto"/>
              </w:rPr>
            </w:pPr>
            <w:r>
              <w:rPr>
                <w:rFonts w:ascii="Arial" w:cs="Arial" w:eastAsia="Arial" w:hAnsi="Arial"/>
                <w:sz w:val="16"/>
                <w:szCs w:val="16"/>
                <w:color w:val="auto"/>
              </w:rPr>
              <w:t>110,603</w:t>
            </w:r>
          </w:p>
        </w:tc>
        <w:tc>
          <w:tcPr>
            <w:tcW w:w="60" w:type="dxa"/>
            <w:vAlign w:val="bottom"/>
            <w:shd w:val="clear" w:color="auto" w:fill="CCEEFF"/>
          </w:tcPr>
          <w:p>
            <w:pPr>
              <w:spacing w:after="0"/>
              <w:rPr>
                <w:sz w:val="15"/>
                <w:szCs w:val="15"/>
                <w:color w:val="auto"/>
              </w:rPr>
            </w:pPr>
          </w:p>
        </w:tc>
      </w:tr>
      <w:tr>
        <w:trPr>
          <w:trHeight w:val="169"/>
        </w:trPr>
        <w:tc>
          <w:tcPr>
            <w:tcW w:w="6760" w:type="dxa"/>
            <w:vAlign w:val="bottom"/>
          </w:tcPr>
          <w:p>
            <w:pPr>
              <w:ind w:left="20"/>
              <w:spacing w:after="0" w:line="168" w:lineRule="exact"/>
              <w:rPr>
                <w:sz w:val="20"/>
                <w:szCs w:val="20"/>
                <w:color w:val="auto"/>
              </w:rPr>
            </w:pPr>
            <w:r>
              <w:rPr>
                <w:rFonts w:ascii="Arial" w:cs="Arial" w:eastAsia="Arial" w:hAnsi="Arial"/>
                <w:sz w:val="16"/>
                <w:szCs w:val="16"/>
                <w:color w:val="auto"/>
              </w:rPr>
              <w:t>Total</w:t>
            </w:r>
          </w:p>
        </w:tc>
        <w:tc>
          <w:tcPr>
            <w:tcW w:w="96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4,081,318</w:t>
            </w:r>
          </w:p>
        </w:tc>
        <w:tc>
          <w:tcPr>
            <w:tcW w:w="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w w:val="87"/>
              </w:rPr>
              <w:t>3,295,445</w:t>
            </w:r>
          </w:p>
        </w:tc>
        <w:tc>
          <w:tcPr>
            <w:tcW w:w="60" w:type="dxa"/>
            <w:vAlign w:val="bottom"/>
          </w:tcPr>
          <w:p>
            <w:pPr>
              <w:spacing w:after="0"/>
              <w:rPr>
                <w:sz w:val="14"/>
                <w:szCs w:val="14"/>
                <w:color w:val="auto"/>
              </w:rPr>
            </w:pPr>
          </w:p>
        </w:tc>
      </w:tr>
      <w:tr>
        <w:trPr>
          <w:trHeight w:val="20"/>
        </w:trPr>
        <w:tc>
          <w:tcPr>
            <w:tcW w:w="67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Note 6. Stockholders’ Equity</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Capital Structure</w:t>
      </w:r>
    </w:p>
    <w:p>
      <w:pPr>
        <w:spacing w:after="0" w:line="186" w:lineRule="exact"/>
        <w:rPr>
          <w:sz w:val="20"/>
          <w:szCs w:val="20"/>
          <w:color w:val="auto"/>
        </w:rPr>
      </w:pPr>
    </w:p>
    <w:p>
      <w:pPr>
        <w:ind w:left="40" w:right="279" w:firstLine="566"/>
        <w:spacing w:after="0" w:line="253" w:lineRule="auto"/>
        <w:rPr>
          <w:sz w:val="20"/>
          <w:szCs w:val="20"/>
          <w:color w:val="auto"/>
        </w:rPr>
      </w:pPr>
      <w:r>
        <w:rPr>
          <w:rFonts w:ascii="Arial" w:cs="Arial" w:eastAsia="Arial" w:hAnsi="Arial"/>
          <w:sz w:val="15"/>
          <w:szCs w:val="15"/>
          <w:color w:val="auto"/>
        </w:rPr>
        <w:t>In May 2019, the Company entered into a Sales Agreement with SVB Leerink (the “May 2019 Sales Agreement”), pursuant to which the Company could sell up to $50 million in shares of its common stock from time to time through SVB Leerink, acting as the Company’s sales agent, in one or more at-the-market offerings utilizing the 2016 Shelf Registration Statement (as defined below). SVB Leerink was entitled to receive a commission of 3.0% of the gross proceeds for any shares sold under the May 2019 Sales Agreement. The shares that were unsold under the May 2019 Sales Agreement at the time of the expiration of the 2016 Shelf Registration Statement were rolled over to the December 2019 Sales Agreement (see below).</w:t>
      </w:r>
    </w:p>
    <w:p>
      <w:pPr>
        <w:spacing w:after="0" w:line="159" w:lineRule="exact"/>
        <w:rPr>
          <w:sz w:val="20"/>
          <w:szCs w:val="20"/>
          <w:color w:val="auto"/>
        </w:rPr>
      </w:pPr>
    </w:p>
    <w:p>
      <w:pPr>
        <w:ind w:left="40" w:right="59" w:firstLine="566"/>
        <w:spacing w:after="0" w:line="253" w:lineRule="auto"/>
        <w:rPr>
          <w:sz w:val="20"/>
          <w:szCs w:val="20"/>
          <w:color w:val="auto"/>
        </w:rPr>
      </w:pPr>
      <w:r>
        <w:rPr>
          <w:rFonts w:ascii="Arial" w:cs="Arial" w:eastAsia="Arial" w:hAnsi="Arial"/>
          <w:sz w:val="15"/>
          <w:szCs w:val="15"/>
          <w:color w:val="auto"/>
        </w:rPr>
        <w:t>In December 2019, the Company entered into a new Sales Agreement with SVB Leerink (the “December 2019 Sales Agreement”), pursuant to which the Company may sell up to $80 million in shares of the Company’s common stock from time to time through SVB Leerink, acting as the Company’s sales agent, in one or more at-the-market offerings utilizing the 2019 Shelf Registration Statement. SVB Leerink is entitled to receive a commission of 3.0% of the gross proceeds for any shares sold under the December 2019 Sales Agreement. The Company received approximately $12.4 million in gross proceeds through the sale of 141,678 shares, of which net proceeds were approximately $12.1 million during the nine months ended September 30, 2020.</w:t>
      </w:r>
    </w:p>
    <w:p>
      <w:pPr>
        <w:spacing w:after="0" w:line="159" w:lineRule="exact"/>
        <w:rPr>
          <w:sz w:val="20"/>
          <w:szCs w:val="20"/>
          <w:color w:val="auto"/>
        </w:rPr>
      </w:pPr>
    </w:p>
    <w:p>
      <w:pPr>
        <w:ind w:left="40" w:right="139" w:firstLine="566"/>
        <w:spacing w:after="0" w:line="265" w:lineRule="auto"/>
        <w:rPr>
          <w:sz w:val="20"/>
          <w:szCs w:val="20"/>
          <w:color w:val="auto"/>
        </w:rPr>
      </w:pPr>
      <w:r>
        <w:rPr>
          <w:rFonts w:ascii="Arial" w:cs="Arial" w:eastAsia="Arial" w:hAnsi="Arial"/>
          <w:sz w:val="15"/>
          <w:szCs w:val="15"/>
          <w:color w:val="auto"/>
        </w:rPr>
        <w:t>In December 2019, the Company completed an underwritten public offering, whereby the Company sold 2,300,000 shares of common stock at a public offering price of $87.00 per share. The Company received gross proceeds of approximately $200.1 million and net proceeds of approximately $187.1 million, after deducting underwriting discounts and offering expenses.</w:t>
      </w:r>
    </w:p>
    <w:p>
      <w:pPr>
        <w:spacing w:after="0" w:line="148" w:lineRule="exact"/>
        <w:rPr>
          <w:sz w:val="20"/>
          <w:szCs w:val="20"/>
          <w:color w:val="auto"/>
        </w:rPr>
      </w:pPr>
    </w:p>
    <w:p>
      <w:pPr>
        <w:jc w:val="both"/>
        <w:ind w:left="40" w:right="139" w:firstLine="566"/>
        <w:spacing w:after="0" w:line="241" w:lineRule="auto"/>
        <w:rPr>
          <w:sz w:val="20"/>
          <w:szCs w:val="20"/>
          <w:color w:val="auto"/>
        </w:rPr>
      </w:pPr>
      <w:r>
        <w:rPr>
          <w:rFonts w:ascii="Arial" w:cs="Arial" w:eastAsia="Arial" w:hAnsi="Arial"/>
          <w:sz w:val="16"/>
          <w:szCs w:val="16"/>
          <w:color w:val="auto"/>
        </w:rPr>
        <w:t>The holders of shares of common stock are entitled to one vote for each share of common stock held at all meetings of stockholders and written actions in lieu of meetings. The holders of shares of common stock are entitled to receive dividends, if and when declared by the board of directors.</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302895</wp:posOffset>
            </wp:positionV>
            <wp:extent cx="5682615" cy="222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82615" cy="22225"/>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17" w:name="page18"/>
    <w:bookmarkEnd w:id="17"/>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Shelf Registration Statement</w:t>
      </w:r>
    </w:p>
    <w:p>
      <w:pPr>
        <w:spacing w:after="0" w:line="221" w:lineRule="exact"/>
        <w:rPr>
          <w:sz w:val="20"/>
          <w:szCs w:val="20"/>
          <w:color w:val="auto"/>
        </w:rPr>
      </w:pPr>
    </w:p>
    <w:p>
      <w:pPr>
        <w:ind w:left="40" w:right="79" w:firstLine="566"/>
        <w:spacing w:after="0" w:line="251" w:lineRule="auto"/>
        <w:rPr>
          <w:sz w:val="20"/>
          <w:szCs w:val="20"/>
          <w:color w:val="auto"/>
        </w:rPr>
      </w:pPr>
      <w:r>
        <w:rPr>
          <w:rFonts w:ascii="Arial" w:cs="Arial" w:eastAsia="Arial" w:hAnsi="Arial"/>
          <w:sz w:val="15"/>
          <w:szCs w:val="15"/>
          <w:color w:val="auto"/>
        </w:rPr>
        <w:t>On December 5, 2019, the Company filed an automatic shelf registration statement (“2019 Shelf Registration Statement”) with the Securities and Exchange Commission (“SEC”) for the issuance of common stock, preferred stock, warrants, rights, debt securities and units. The 2019 Shelf Registration Statement was automatically effective upon filing with the SEC and is currently the Company’s only active shelf registration statement. The 2019 Shelf Registration Statement was filed in part to replace the Company’s previous non-automatic shelf registration statement, which became effective on December 16, 2016, and provided for the issuance of common stock, preferred stock, warrants, rights, debt securities and units up to an aggregate amount of $150.0 million (the “2016 Shelf Registration Statement”). The 2016 Shelf Registration Statement expired on December 16, 2019. Through the date of this report, the Company has issued common stock of approximately $219.8 million pursuant to the 2019 Shelf Registration Statement.</w:t>
      </w:r>
    </w:p>
    <w:p>
      <w:pPr>
        <w:spacing w:after="0" w:line="160" w:lineRule="exact"/>
        <w:rPr>
          <w:sz w:val="20"/>
          <w:szCs w:val="20"/>
          <w:color w:val="auto"/>
        </w:rPr>
      </w:pPr>
    </w:p>
    <w:p>
      <w:pPr>
        <w:ind w:left="40" w:right="79" w:firstLine="566"/>
        <w:spacing w:after="0" w:line="310" w:lineRule="auto"/>
        <w:rPr>
          <w:sz w:val="20"/>
          <w:szCs w:val="20"/>
          <w:color w:val="auto"/>
        </w:rPr>
      </w:pPr>
      <w:r>
        <w:rPr>
          <w:rFonts w:ascii="Arial" w:cs="Arial" w:eastAsia="Arial" w:hAnsi="Arial"/>
          <w:sz w:val="13"/>
          <w:szCs w:val="13"/>
          <w:color w:val="auto"/>
        </w:rPr>
        <w:t>Under SEC rules, the 2019 Shelf Registration Statement allows for the potential future offer and sale by the Company, from time to time, in one or more public offerings, of an indeterminate amount of the Company’s common stock, preferred stock, debt securities, and units at indeterminate prices. At the time any of the securities covered by the 2019 Shelf Registration Statement are offered for sale, a prospectus supplement will be prepared and filed with the SEC containing specific information about the terms of any such offering.</w:t>
      </w:r>
    </w:p>
    <w:p>
      <w:pPr>
        <w:spacing w:after="0" w:line="10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Equity Incentive Plans</w:t>
      </w:r>
    </w:p>
    <w:p>
      <w:pPr>
        <w:spacing w:after="0" w:line="174" w:lineRule="exact"/>
        <w:rPr>
          <w:sz w:val="20"/>
          <w:szCs w:val="20"/>
          <w:color w:val="auto"/>
        </w:rPr>
      </w:pPr>
    </w:p>
    <w:p>
      <w:pPr>
        <w:ind w:left="40" w:right="139" w:firstLine="566"/>
        <w:spacing w:after="0" w:line="251" w:lineRule="auto"/>
        <w:rPr>
          <w:sz w:val="20"/>
          <w:szCs w:val="20"/>
          <w:color w:val="auto"/>
        </w:rPr>
      </w:pPr>
      <w:r>
        <w:rPr>
          <w:rFonts w:ascii="Arial" w:cs="Arial" w:eastAsia="Arial" w:hAnsi="Arial"/>
          <w:sz w:val="16"/>
          <w:szCs w:val="16"/>
          <w:color w:val="auto"/>
        </w:rPr>
        <w:t>There were 4,134,138 shares available for the issuance of stock options or stock-based awards under the Company’s 2015 Omnibus Incentive Compensation Plan at September 30, 2020.</w:t>
      </w:r>
    </w:p>
    <w:p>
      <w:pPr>
        <w:spacing w:after="0" w:line="15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Stock Options</w:t>
      </w:r>
    </w:p>
    <w:p>
      <w:pPr>
        <w:spacing w:after="0" w:line="18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following table sets forth the stock option activity for the nine months ended September 30, 2020:</w:t>
      </w:r>
    </w:p>
    <w:p>
      <w:pPr>
        <w:spacing w:after="0" w:line="178"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4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5"/>
              </w:rPr>
              <w:t>Weighted</w:t>
            </w: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4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60"/>
              <w:spacing w:after="0" w:line="142" w:lineRule="exact"/>
              <w:rPr>
                <w:sz w:val="20"/>
                <w:szCs w:val="20"/>
                <w:color w:val="auto"/>
              </w:rPr>
            </w:pPr>
            <w:r>
              <w:rPr>
                <w:rFonts w:ascii="Arial" w:cs="Arial" w:eastAsia="Arial" w:hAnsi="Arial"/>
                <w:sz w:val="13"/>
                <w:szCs w:val="13"/>
                <w:b w:val="1"/>
                <w:bCs w:val="1"/>
                <w:color w:val="auto"/>
                <w:w w:val="88"/>
              </w:rPr>
              <w:t>Weighted</w:t>
            </w:r>
          </w:p>
        </w:tc>
        <w:tc>
          <w:tcPr>
            <w:tcW w:w="880" w:type="dxa"/>
            <w:vAlign w:val="bottom"/>
            <w:gridSpan w:val="2"/>
          </w:tcPr>
          <w:p>
            <w:pPr>
              <w:jc w:val="center"/>
              <w:ind w:right="140"/>
              <w:spacing w:after="0" w:line="142" w:lineRule="exact"/>
              <w:rPr>
                <w:sz w:val="20"/>
                <w:szCs w:val="20"/>
                <w:color w:val="auto"/>
              </w:rPr>
            </w:pPr>
            <w:r>
              <w:rPr>
                <w:rFonts w:ascii="Arial" w:cs="Arial" w:eastAsia="Arial" w:hAnsi="Arial"/>
                <w:sz w:val="13"/>
                <w:szCs w:val="13"/>
                <w:b w:val="1"/>
                <w:bCs w:val="1"/>
                <w:color w:val="auto"/>
                <w:w w:val="85"/>
              </w:rPr>
              <w:t>average</w:t>
            </w:r>
          </w:p>
        </w:tc>
        <w:tc>
          <w:tcPr>
            <w:tcW w:w="180" w:type="dxa"/>
            <w:vAlign w:val="bottom"/>
          </w:tcPr>
          <w:p>
            <w:pPr>
              <w:spacing w:after="0"/>
              <w:rPr>
                <w:sz w:val="12"/>
                <w:szCs w:val="12"/>
                <w:color w:val="auto"/>
              </w:rPr>
            </w:pPr>
          </w:p>
        </w:tc>
        <w:tc>
          <w:tcPr>
            <w:tcW w:w="1020" w:type="dxa"/>
            <w:vAlign w:val="bottom"/>
            <w:gridSpan w:val="2"/>
          </w:tcPr>
          <w:p>
            <w:pPr>
              <w:ind w:left="120"/>
              <w:spacing w:after="0" w:line="142" w:lineRule="exact"/>
              <w:rPr>
                <w:sz w:val="20"/>
                <w:szCs w:val="20"/>
                <w:color w:val="auto"/>
              </w:rPr>
            </w:pPr>
            <w:r>
              <w:rPr>
                <w:rFonts w:ascii="Arial" w:cs="Arial" w:eastAsia="Arial" w:hAnsi="Arial"/>
                <w:sz w:val="13"/>
                <w:szCs w:val="13"/>
                <w:b w:val="1"/>
                <w:bCs w:val="1"/>
                <w:color w:val="auto"/>
              </w:rPr>
              <w:t>Aggregate</w:t>
            </w:r>
          </w:p>
        </w:tc>
        <w:tc>
          <w:tcPr>
            <w:tcW w:w="0" w:type="dxa"/>
            <w:vAlign w:val="bottom"/>
          </w:tcPr>
          <w:p>
            <w:pPr>
              <w:spacing w:after="0"/>
              <w:rPr>
                <w:sz w:val="1"/>
                <w:szCs w:val="1"/>
                <w:color w:val="auto"/>
              </w:rPr>
            </w:pPr>
          </w:p>
        </w:tc>
      </w:tr>
      <w:tr>
        <w:trPr>
          <w:trHeight w:val="141"/>
        </w:trPr>
        <w:tc>
          <w:tcPr>
            <w:tcW w:w="4860" w:type="dxa"/>
            <w:vAlign w:val="bottom"/>
          </w:tcPr>
          <w:p>
            <w:pPr>
              <w:spacing w:after="0"/>
              <w:rPr>
                <w:sz w:val="12"/>
                <w:szCs w:val="12"/>
                <w:color w:val="auto"/>
              </w:rPr>
            </w:pPr>
          </w:p>
        </w:tc>
        <w:tc>
          <w:tcPr>
            <w:tcW w:w="1020" w:type="dxa"/>
            <w:vAlign w:val="bottom"/>
            <w:gridSpan w:val="2"/>
          </w:tcPr>
          <w:p>
            <w:pPr>
              <w:jc w:val="right"/>
              <w:ind w:right="360"/>
              <w:spacing w:after="0" w:line="142" w:lineRule="exact"/>
              <w:rPr>
                <w:sz w:val="20"/>
                <w:szCs w:val="20"/>
                <w:color w:val="auto"/>
              </w:rPr>
            </w:pPr>
            <w:r>
              <w:rPr>
                <w:rFonts w:ascii="Arial" w:cs="Arial" w:eastAsia="Arial" w:hAnsi="Arial"/>
                <w:sz w:val="13"/>
                <w:szCs w:val="13"/>
                <w:b w:val="1"/>
                <w:bCs w:val="1"/>
                <w:color w:val="auto"/>
              </w:rPr>
              <w:t>Number</w:t>
            </w:r>
          </w:p>
        </w:tc>
        <w:tc>
          <w:tcPr>
            <w:tcW w:w="120" w:type="dxa"/>
            <w:vAlign w:val="bottom"/>
          </w:tcPr>
          <w:p>
            <w:pPr>
              <w:spacing w:after="0"/>
              <w:rPr>
                <w:sz w:val="12"/>
                <w:szCs w:val="12"/>
                <w:color w:val="auto"/>
              </w:rPr>
            </w:pPr>
          </w:p>
        </w:tc>
        <w:tc>
          <w:tcPr>
            <w:tcW w:w="860" w:type="dxa"/>
            <w:vAlign w:val="bottom"/>
            <w:gridSpan w:val="2"/>
          </w:tcPr>
          <w:p>
            <w:pPr>
              <w:jc w:val="center"/>
              <w:ind w:right="240"/>
              <w:spacing w:after="0" w:line="142" w:lineRule="exact"/>
              <w:rPr>
                <w:sz w:val="20"/>
                <w:szCs w:val="20"/>
                <w:color w:val="auto"/>
              </w:rPr>
            </w:pPr>
            <w:r>
              <w:rPr>
                <w:rFonts w:ascii="Arial" w:cs="Arial" w:eastAsia="Arial" w:hAnsi="Arial"/>
                <w:sz w:val="13"/>
                <w:szCs w:val="13"/>
                <w:b w:val="1"/>
                <w:bCs w:val="1"/>
                <w:color w:val="auto"/>
                <w:w w:val="85"/>
              </w:rPr>
              <w:t>average</w:t>
            </w:r>
          </w:p>
        </w:tc>
        <w:tc>
          <w:tcPr>
            <w:tcW w:w="880" w:type="dxa"/>
            <w:vAlign w:val="bottom"/>
            <w:gridSpan w:val="2"/>
          </w:tcPr>
          <w:p>
            <w:pPr>
              <w:jc w:val="right"/>
              <w:ind w:right="200"/>
              <w:spacing w:after="0" w:line="142" w:lineRule="exact"/>
              <w:rPr>
                <w:sz w:val="20"/>
                <w:szCs w:val="20"/>
                <w:color w:val="auto"/>
              </w:rPr>
            </w:pPr>
            <w:r>
              <w:rPr>
                <w:rFonts w:ascii="Arial" w:cs="Arial" w:eastAsia="Arial" w:hAnsi="Arial"/>
                <w:sz w:val="13"/>
                <w:szCs w:val="13"/>
                <w:b w:val="1"/>
                <w:bCs w:val="1"/>
                <w:color w:val="auto"/>
                <w:w w:val="94"/>
              </w:rPr>
              <w:t>contractual</w:t>
            </w:r>
          </w:p>
        </w:tc>
        <w:tc>
          <w:tcPr>
            <w:tcW w:w="180" w:type="dxa"/>
            <w:vAlign w:val="bottom"/>
          </w:tcPr>
          <w:p>
            <w:pPr>
              <w:spacing w:after="0"/>
              <w:rPr>
                <w:sz w:val="12"/>
                <w:szCs w:val="12"/>
                <w:color w:val="auto"/>
              </w:rPr>
            </w:pPr>
          </w:p>
        </w:tc>
        <w:tc>
          <w:tcPr>
            <w:tcW w:w="1020" w:type="dxa"/>
            <w:vAlign w:val="bottom"/>
            <w:gridSpan w:val="2"/>
          </w:tcPr>
          <w:p>
            <w:pPr>
              <w:ind w:left="180"/>
              <w:spacing w:after="0" w:line="142" w:lineRule="exact"/>
              <w:rPr>
                <w:sz w:val="20"/>
                <w:szCs w:val="20"/>
                <w:color w:val="auto"/>
              </w:rPr>
            </w:pPr>
            <w:r>
              <w:rPr>
                <w:rFonts w:ascii="Arial" w:cs="Arial" w:eastAsia="Arial" w:hAnsi="Arial"/>
                <w:sz w:val="13"/>
                <w:szCs w:val="13"/>
                <w:b w:val="1"/>
                <w:bCs w:val="1"/>
                <w:color w:val="auto"/>
              </w:rPr>
              <w:t>intrinsic</w:t>
            </w:r>
          </w:p>
        </w:tc>
        <w:tc>
          <w:tcPr>
            <w:tcW w:w="0" w:type="dxa"/>
            <w:vAlign w:val="bottom"/>
          </w:tcPr>
          <w:p>
            <w:pPr>
              <w:spacing w:after="0"/>
              <w:rPr>
                <w:sz w:val="1"/>
                <w:szCs w:val="1"/>
                <w:color w:val="auto"/>
              </w:rPr>
            </w:pPr>
          </w:p>
        </w:tc>
      </w:tr>
      <w:tr>
        <w:trPr>
          <w:trHeight w:val="161"/>
        </w:trPr>
        <w:tc>
          <w:tcPr>
            <w:tcW w:w="4860" w:type="dxa"/>
            <w:vAlign w:val="bottom"/>
          </w:tcPr>
          <w:p>
            <w:pPr>
              <w:spacing w:after="0"/>
              <w:rPr>
                <w:sz w:val="14"/>
                <w:szCs w:val="14"/>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of shares</w:t>
            </w:r>
          </w:p>
        </w:tc>
        <w:tc>
          <w:tcPr>
            <w:tcW w:w="98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82"/>
              </w:rPr>
              <w:t>exercise price</w:t>
            </w:r>
          </w:p>
        </w:tc>
        <w:tc>
          <w:tcPr>
            <w:tcW w:w="8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term</w:t>
            </w:r>
          </w:p>
        </w:tc>
        <w:tc>
          <w:tcPr>
            <w:tcW w:w="180" w:type="dxa"/>
            <w:vAlign w:val="bottom"/>
          </w:tcPr>
          <w:p>
            <w:pPr>
              <w:spacing w:after="0"/>
              <w:rPr>
                <w:sz w:val="14"/>
                <w:szCs w:val="14"/>
                <w:color w:val="auto"/>
              </w:rPr>
            </w:pPr>
          </w:p>
        </w:tc>
        <w:tc>
          <w:tcPr>
            <w:tcW w:w="1020" w:type="dxa"/>
            <w:vAlign w:val="bottom"/>
            <w:gridSpan w:val="2"/>
          </w:tcPr>
          <w:p>
            <w:pPr>
              <w:ind w:left="260"/>
              <w:spacing w:after="0"/>
              <w:rPr>
                <w:sz w:val="20"/>
                <w:szCs w:val="20"/>
                <w:color w:val="auto"/>
              </w:rPr>
            </w:pPr>
            <w:r>
              <w:rPr>
                <w:rFonts w:ascii="Arial" w:cs="Arial" w:eastAsia="Arial" w:hAnsi="Arial"/>
                <w:sz w:val="13"/>
                <w:szCs w:val="13"/>
                <w:b w:val="1"/>
                <w:bCs w:val="1"/>
                <w:color w:val="auto"/>
              </w:rPr>
              <w:t>value</w:t>
            </w:r>
          </w:p>
        </w:tc>
        <w:tc>
          <w:tcPr>
            <w:tcW w:w="0" w:type="dxa"/>
            <w:vAlign w:val="bottom"/>
          </w:tcPr>
          <w:p>
            <w:pPr>
              <w:spacing w:after="0"/>
              <w:rPr>
                <w:sz w:val="1"/>
                <w:szCs w:val="1"/>
                <w:color w:val="auto"/>
              </w:rPr>
            </w:pPr>
          </w:p>
        </w:tc>
      </w:tr>
      <w:tr>
        <w:trPr>
          <w:trHeight w:val="169"/>
        </w:trPr>
        <w:tc>
          <w:tcPr>
            <w:tcW w:w="4860" w:type="dxa"/>
            <w:vAlign w:val="bottom"/>
            <w:tcBorders>
              <w:top w:val="single" w:sz="8" w:color="CCEEFF"/>
            </w:tcBorders>
            <w:shd w:val="clear" w:color="auto" w:fill="CCEEFF"/>
          </w:tcPr>
          <w:p>
            <w:pPr>
              <w:ind w:left="20"/>
              <w:spacing w:after="0" w:line="168" w:lineRule="exact"/>
              <w:rPr>
                <w:sz w:val="20"/>
                <w:szCs w:val="20"/>
                <w:color w:val="auto"/>
              </w:rPr>
            </w:pPr>
            <w:r>
              <w:rPr>
                <w:rFonts w:ascii="Arial" w:cs="Arial" w:eastAsia="Arial" w:hAnsi="Arial"/>
                <w:sz w:val="16"/>
                <w:szCs w:val="16"/>
                <w:color w:val="auto"/>
              </w:rPr>
              <w:t>Outstanding at December 31, 2019</w:t>
            </w:r>
          </w:p>
        </w:tc>
        <w:tc>
          <w:tcPr>
            <w:tcW w:w="880" w:type="dxa"/>
            <w:vAlign w:val="bottom"/>
            <w:tcBorders>
              <w:top w:val="single" w:sz="8" w:color="auto"/>
            </w:tcBorders>
            <w:shd w:val="clear" w:color="auto" w:fill="CCEEFF"/>
          </w:tcPr>
          <w:p>
            <w:pPr>
              <w:jc w:val="right"/>
              <w:spacing w:after="0" w:line="168" w:lineRule="exact"/>
              <w:rPr>
                <w:sz w:val="20"/>
                <w:szCs w:val="20"/>
                <w:color w:val="auto"/>
              </w:rPr>
            </w:pPr>
            <w:r>
              <w:rPr>
                <w:rFonts w:ascii="Arial" w:cs="Arial" w:eastAsia="Arial" w:hAnsi="Arial"/>
                <w:sz w:val="16"/>
                <w:szCs w:val="16"/>
                <w:color w:val="auto"/>
              </w:rPr>
              <w:t>3,458,447</w:t>
            </w:r>
          </w:p>
        </w:tc>
        <w:tc>
          <w:tcPr>
            <w:tcW w:w="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168" w:lineRule="exact"/>
              <w:rPr>
                <w:sz w:val="20"/>
                <w:szCs w:val="20"/>
                <w:color w:val="auto"/>
              </w:rPr>
            </w:pPr>
            <w:r>
              <w:rPr>
                <w:rFonts w:ascii="Arial" w:cs="Arial" w:eastAsia="Arial" w:hAnsi="Arial"/>
                <w:sz w:val="16"/>
                <w:szCs w:val="16"/>
                <w:color w:val="auto"/>
              </w:rPr>
              <w:t>10.19</w:t>
            </w:r>
          </w:p>
        </w:tc>
        <w:tc>
          <w:tcPr>
            <w:tcW w:w="14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4860" w:type="dxa"/>
            <w:vAlign w:val="bottom"/>
          </w:tcPr>
          <w:p>
            <w:pPr>
              <w:ind w:left="200"/>
              <w:spacing w:after="0" w:line="177" w:lineRule="exact"/>
              <w:rPr>
                <w:sz w:val="20"/>
                <w:szCs w:val="20"/>
                <w:color w:val="auto"/>
              </w:rPr>
            </w:pPr>
            <w:r>
              <w:rPr>
                <w:rFonts w:ascii="Arial" w:cs="Arial" w:eastAsia="Arial" w:hAnsi="Arial"/>
                <w:sz w:val="16"/>
                <w:szCs w:val="16"/>
                <w:color w:val="auto"/>
              </w:rPr>
              <w:t>Granted</w:t>
            </w:r>
          </w:p>
        </w:tc>
        <w:tc>
          <w:tcPr>
            <w:tcW w:w="880" w:type="dxa"/>
            <w:vAlign w:val="bottom"/>
          </w:tcPr>
          <w:p>
            <w:pPr>
              <w:jc w:val="right"/>
              <w:spacing w:after="0" w:line="177" w:lineRule="exact"/>
              <w:rPr>
                <w:sz w:val="20"/>
                <w:szCs w:val="20"/>
                <w:color w:val="auto"/>
              </w:rPr>
            </w:pPr>
            <w:r>
              <w:rPr>
                <w:rFonts w:ascii="Arial" w:cs="Arial" w:eastAsia="Arial" w:hAnsi="Arial"/>
                <w:sz w:val="16"/>
                <w:szCs w:val="16"/>
                <w:color w:val="auto"/>
              </w:rPr>
              <w:t>642,509</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line="177" w:lineRule="exact"/>
              <w:rPr>
                <w:sz w:val="20"/>
                <w:szCs w:val="20"/>
                <w:color w:val="auto"/>
              </w:rPr>
            </w:pPr>
            <w:r>
              <w:rPr>
                <w:rFonts w:ascii="Arial" w:cs="Arial" w:eastAsia="Arial" w:hAnsi="Arial"/>
                <w:sz w:val="16"/>
                <w:szCs w:val="16"/>
                <w:color w:val="auto"/>
              </w:rPr>
              <w:t>54.27</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860" w:type="dxa"/>
            <w:vAlign w:val="bottom"/>
            <w:shd w:val="clear" w:color="auto" w:fill="CCEEFF"/>
          </w:tcPr>
          <w:p>
            <w:pPr>
              <w:ind w:left="200"/>
              <w:spacing w:after="0" w:line="177" w:lineRule="exact"/>
              <w:rPr>
                <w:sz w:val="20"/>
                <w:szCs w:val="20"/>
                <w:color w:val="auto"/>
              </w:rPr>
            </w:pPr>
            <w:r>
              <w:rPr>
                <w:rFonts w:ascii="Arial" w:cs="Arial" w:eastAsia="Arial" w:hAnsi="Arial"/>
                <w:sz w:val="16"/>
                <w:szCs w:val="16"/>
                <w:color w:val="auto"/>
              </w:rPr>
              <w:t>Exercised</w:t>
            </w:r>
          </w:p>
        </w:tc>
        <w:tc>
          <w:tcPr>
            <w:tcW w:w="1020" w:type="dxa"/>
            <w:vAlign w:val="bottom"/>
            <w:gridSpan w:val="2"/>
            <w:shd w:val="clear" w:color="auto" w:fill="CCEEFF"/>
          </w:tcPr>
          <w:p>
            <w:pPr>
              <w:jc w:val="right"/>
              <w:ind w:right="140"/>
              <w:spacing w:after="0" w:line="177" w:lineRule="exact"/>
              <w:rPr>
                <w:sz w:val="20"/>
                <w:szCs w:val="20"/>
                <w:color w:val="auto"/>
              </w:rPr>
            </w:pPr>
            <w:r>
              <w:rPr>
                <w:rFonts w:ascii="Arial" w:cs="Arial" w:eastAsia="Arial" w:hAnsi="Arial"/>
                <w:sz w:val="16"/>
                <w:szCs w:val="16"/>
                <w:color w:val="auto"/>
              </w:rPr>
              <w:t>(123,456)</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7" w:lineRule="exact"/>
              <w:rPr>
                <w:sz w:val="20"/>
                <w:szCs w:val="20"/>
                <w:color w:val="auto"/>
              </w:rPr>
            </w:pPr>
            <w:r>
              <w:rPr>
                <w:rFonts w:ascii="Arial" w:cs="Arial" w:eastAsia="Arial" w:hAnsi="Arial"/>
                <w:sz w:val="16"/>
                <w:szCs w:val="16"/>
                <w:color w:val="auto"/>
              </w:rPr>
              <w:t>8.18</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860" w:type="dxa"/>
            <w:vAlign w:val="bottom"/>
          </w:tcPr>
          <w:p>
            <w:pPr>
              <w:ind w:left="200"/>
              <w:spacing w:after="0" w:line="177" w:lineRule="exact"/>
              <w:rPr>
                <w:sz w:val="20"/>
                <w:szCs w:val="20"/>
                <w:color w:val="auto"/>
              </w:rPr>
            </w:pPr>
            <w:r>
              <w:rPr>
                <w:rFonts w:ascii="Arial" w:cs="Arial" w:eastAsia="Arial" w:hAnsi="Arial"/>
                <w:sz w:val="16"/>
                <w:szCs w:val="16"/>
                <w:color w:val="auto"/>
              </w:rPr>
              <w:t>Forfeited</w:t>
            </w:r>
          </w:p>
        </w:tc>
        <w:tc>
          <w:tcPr>
            <w:tcW w:w="1020" w:type="dxa"/>
            <w:vAlign w:val="bottom"/>
            <w:gridSpan w:val="2"/>
          </w:tcPr>
          <w:p>
            <w:pPr>
              <w:jc w:val="right"/>
              <w:ind w:right="140"/>
              <w:spacing w:after="0" w:line="177" w:lineRule="exact"/>
              <w:rPr>
                <w:sz w:val="20"/>
                <w:szCs w:val="20"/>
                <w:color w:val="auto"/>
              </w:rPr>
            </w:pPr>
            <w:r>
              <w:rPr>
                <w:rFonts w:ascii="Arial" w:cs="Arial" w:eastAsia="Arial" w:hAnsi="Arial"/>
                <w:sz w:val="16"/>
                <w:szCs w:val="16"/>
                <w:color w:val="auto"/>
              </w:rPr>
              <w:t>(67,645)</w:t>
            </w:r>
          </w:p>
        </w:tc>
        <w:tc>
          <w:tcPr>
            <w:tcW w:w="120" w:type="dxa"/>
            <w:vAlign w:val="bottom"/>
          </w:tcPr>
          <w:p>
            <w:pPr>
              <w:spacing w:after="0"/>
              <w:rPr>
                <w:sz w:val="15"/>
                <w:szCs w:val="15"/>
                <w:color w:val="auto"/>
              </w:rPr>
            </w:pPr>
          </w:p>
        </w:tc>
        <w:tc>
          <w:tcPr>
            <w:tcW w:w="720" w:type="dxa"/>
            <w:vAlign w:val="bottom"/>
          </w:tcPr>
          <w:p>
            <w:pPr>
              <w:jc w:val="right"/>
              <w:spacing w:after="0" w:line="177" w:lineRule="exact"/>
              <w:rPr>
                <w:sz w:val="20"/>
                <w:szCs w:val="20"/>
                <w:color w:val="auto"/>
              </w:rPr>
            </w:pPr>
            <w:r>
              <w:rPr>
                <w:rFonts w:ascii="Arial" w:cs="Arial" w:eastAsia="Arial" w:hAnsi="Arial"/>
                <w:sz w:val="16"/>
                <w:szCs w:val="16"/>
                <w:color w:val="auto"/>
              </w:rPr>
              <w:t>41.57</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860" w:type="dxa"/>
            <w:vAlign w:val="bottom"/>
            <w:shd w:val="clear" w:color="auto" w:fill="CCEEFF"/>
          </w:tcPr>
          <w:p>
            <w:pPr>
              <w:ind w:left="200"/>
              <w:spacing w:after="0" w:line="177" w:lineRule="exact"/>
              <w:rPr>
                <w:sz w:val="20"/>
                <w:szCs w:val="20"/>
                <w:color w:val="auto"/>
              </w:rPr>
            </w:pPr>
            <w:r>
              <w:rPr>
                <w:rFonts w:ascii="Arial" w:cs="Arial" w:eastAsia="Arial" w:hAnsi="Arial"/>
                <w:sz w:val="16"/>
                <w:szCs w:val="16"/>
                <w:color w:val="auto"/>
              </w:rPr>
              <w:t>Expired</w:t>
            </w:r>
          </w:p>
        </w:tc>
        <w:tc>
          <w:tcPr>
            <w:tcW w:w="1020" w:type="dxa"/>
            <w:vAlign w:val="bottom"/>
            <w:gridSpan w:val="2"/>
            <w:shd w:val="clear" w:color="auto" w:fill="CCEEFF"/>
          </w:tcPr>
          <w:p>
            <w:pPr>
              <w:jc w:val="right"/>
              <w:ind w:right="200"/>
              <w:spacing w:after="0" w:line="177"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line="177" w:lineRule="exact"/>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860" w:type="dxa"/>
            <w:vAlign w:val="bottom"/>
            <w:tcBorders>
              <w:bottom w:val="single" w:sz="8" w:color="CCEEFF"/>
            </w:tcBorders>
          </w:tcPr>
          <w:p>
            <w:pPr>
              <w:ind w:left="20"/>
              <w:spacing w:after="0" w:line="168" w:lineRule="exact"/>
              <w:rPr>
                <w:sz w:val="20"/>
                <w:szCs w:val="20"/>
                <w:color w:val="auto"/>
              </w:rPr>
            </w:pPr>
            <w:r>
              <w:rPr>
                <w:rFonts w:ascii="Arial" w:cs="Arial" w:eastAsia="Arial" w:hAnsi="Arial"/>
                <w:sz w:val="16"/>
                <w:szCs w:val="16"/>
                <w:color w:val="auto"/>
              </w:rPr>
              <w:t>Outstanding at September 30, 2020</w:t>
            </w:r>
          </w:p>
        </w:tc>
        <w:tc>
          <w:tcPr>
            <w:tcW w:w="880" w:type="dxa"/>
            <w:vAlign w:val="bottom"/>
            <w:tcBorders>
              <w:top w:val="single" w:sz="8" w:color="auto"/>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3,909,855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16.95</w:t>
            </w:r>
          </w:p>
        </w:tc>
        <w:tc>
          <w:tcPr>
            <w:tcW w:w="14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7.5</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ind w:right="27"/>
              <w:spacing w:after="0" w:line="169" w:lineRule="exact"/>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ind w:left="140"/>
              <w:spacing w:after="0" w:line="168" w:lineRule="exact"/>
              <w:rPr>
                <w:sz w:val="20"/>
                <w:szCs w:val="20"/>
                <w:color w:val="auto"/>
              </w:rPr>
            </w:pPr>
            <w:r>
              <w:rPr>
                <w:rFonts w:ascii="Arial" w:cs="Arial" w:eastAsia="Arial" w:hAnsi="Arial"/>
                <w:sz w:val="16"/>
                <w:szCs w:val="16"/>
                <w:color w:val="auto"/>
                <w:w w:val="92"/>
              </w:rPr>
              <w:t>213,789,330</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4860" w:type="dxa"/>
            <w:vAlign w:val="bottom"/>
            <w:tcBorders>
              <w:bottom w:val="single" w:sz="8" w:color="CCEEFF"/>
            </w:tcBorders>
            <w:shd w:val="clear" w:color="auto" w:fill="CCEEFF"/>
          </w:tcPr>
          <w:p>
            <w:pPr>
              <w:ind w:left="20"/>
              <w:spacing w:after="0" w:line="152" w:lineRule="exact"/>
              <w:rPr>
                <w:sz w:val="20"/>
                <w:szCs w:val="20"/>
                <w:color w:val="auto"/>
              </w:rPr>
            </w:pPr>
            <w:r>
              <w:rPr>
                <w:rFonts w:ascii="Arial" w:cs="Arial" w:eastAsia="Arial" w:hAnsi="Arial"/>
                <w:sz w:val="16"/>
                <w:szCs w:val="16"/>
                <w:color w:val="auto"/>
              </w:rPr>
              <w:t>Vested and expected to vest at September 30, 2020</w:t>
            </w:r>
          </w:p>
        </w:tc>
        <w:tc>
          <w:tcPr>
            <w:tcW w:w="88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6"/>
                <w:szCs w:val="16"/>
                <w:color w:val="auto"/>
              </w:rPr>
              <w:t>3,903,686</w:t>
            </w:r>
          </w:p>
        </w:tc>
        <w:tc>
          <w:tcPr>
            <w:tcW w:w="1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6"/>
                <w:szCs w:val="16"/>
                <w:color w:val="auto"/>
              </w:rPr>
              <w:t>16.98</w:t>
            </w:r>
          </w:p>
        </w:tc>
        <w:tc>
          <w:tcPr>
            <w:tcW w:w="14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6"/>
                <w:szCs w:val="16"/>
                <w:color w:val="auto"/>
              </w:rPr>
              <w:t>7.5</w:t>
            </w:r>
          </w:p>
        </w:tc>
        <w:tc>
          <w:tcPr>
            <w:tcW w:w="14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27"/>
              <w:spacing w:after="0" w:line="152" w:lineRule="exact"/>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ind w:left="140"/>
              <w:spacing w:after="0" w:line="152" w:lineRule="exact"/>
              <w:rPr>
                <w:sz w:val="20"/>
                <w:szCs w:val="20"/>
                <w:color w:val="auto"/>
              </w:rPr>
            </w:pPr>
            <w:r>
              <w:rPr>
                <w:rFonts w:ascii="Arial" w:cs="Arial" w:eastAsia="Arial" w:hAnsi="Arial"/>
                <w:sz w:val="16"/>
                <w:szCs w:val="16"/>
                <w:color w:val="auto"/>
                <w:w w:val="92"/>
              </w:rPr>
              <w:t>213,357,801</w:t>
            </w:r>
          </w:p>
        </w:tc>
        <w:tc>
          <w:tcPr>
            <w:tcW w:w="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tcPr>
          <w:p>
            <w:pPr>
              <w:ind w:left="20"/>
              <w:spacing w:after="0"/>
              <w:rPr>
                <w:sz w:val="20"/>
                <w:szCs w:val="20"/>
                <w:color w:val="auto"/>
              </w:rPr>
            </w:pPr>
            <w:r>
              <w:rPr>
                <w:rFonts w:ascii="Arial" w:cs="Arial" w:eastAsia="Arial" w:hAnsi="Arial"/>
                <w:sz w:val="16"/>
                <w:szCs w:val="16"/>
                <w:color w:val="auto"/>
              </w:rPr>
              <w:t>Exercisable at September 30, 2020</w:t>
            </w: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4860" w:type="dxa"/>
            <w:vAlign w:val="bottom"/>
            <w:vMerge w:val="continue"/>
          </w:tcPr>
          <w:p>
            <w:pPr>
              <w:spacing w:after="0"/>
              <w:rPr>
                <w:sz w:val="13"/>
                <w:szCs w:val="13"/>
                <w:color w:val="auto"/>
              </w:rPr>
            </w:pPr>
          </w:p>
        </w:tc>
        <w:tc>
          <w:tcPr>
            <w:tcW w:w="88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6"/>
                <w:szCs w:val="16"/>
                <w:color w:val="auto"/>
              </w:rPr>
              <w:t>2,319,685</w:t>
            </w:r>
          </w:p>
        </w:tc>
        <w:tc>
          <w:tcPr>
            <w:tcW w:w="14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6"/>
                <w:szCs w:val="16"/>
                <w:color w:val="auto"/>
              </w:rPr>
              <w:t>9.99</w:t>
            </w:r>
          </w:p>
        </w:tc>
        <w:tc>
          <w:tcPr>
            <w:tcW w:w="14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6"/>
                <w:szCs w:val="16"/>
                <w:color w:val="auto"/>
              </w:rPr>
              <w:t>6.2</w:t>
            </w:r>
          </w:p>
        </w:tc>
        <w:tc>
          <w:tcPr>
            <w:tcW w:w="140" w:type="dxa"/>
            <w:vAlign w:val="bottom"/>
          </w:tcPr>
          <w:p>
            <w:pPr>
              <w:spacing w:after="0"/>
              <w:rPr>
                <w:sz w:val="13"/>
                <w:szCs w:val="13"/>
                <w:color w:val="auto"/>
              </w:rPr>
            </w:pPr>
          </w:p>
        </w:tc>
        <w:tc>
          <w:tcPr>
            <w:tcW w:w="180" w:type="dxa"/>
            <w:vAlign w:val="bottom"/>
            <w:tcBorders>
              <w:bottom w:val="single" w:sz="8" w:color="auto"/>
            </w:tcBorders>
          </w:tcPr>
          <w:p>
            <w:pPr>
              <w:jc w:val="right"/>
              <w:ind w:right="27"/>
              <w:spacing w:after="0" w:line="152" w:lineRule="exact"/>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ind w:left="140"/>
              <w:spacing w:after="0" w:line="152" w:lineRule="exact"/>
              <w:rPr>
                <w:sz w:val="20"/>
                <w:szCs w:val="20"/>
                <w:color w:val="auto"/>
              </w:rPr>
            </w:pPr>
            <w:r>
              <w:rPr>
                <w:rFonts w:ascii="Arial" w:cs="Arial" w:eastAsia="Arial" w:hAnsi="Arial"/>
                <w:sz w:val="16"/>
                <w:szCs w:val="16"/>
                <w:color w:val="auto"/>
                <w:w w:val="92"/>
              </w:rPr>
              <w:t>142,292,294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left="40" w:right="139" w:firstLine="566"/>
        <w:spacing w:after="0" w:line="234" w:lineRule="auto"/>
        <w:rPr>
          <w:sz w:val="20"/>
          <w:szCs w:val="20"/>
          <w:color w:val="auto"/>
        </w:rPr>
      </w:pPr>
      <w:r>
        <w:rPr>
          <w:rFonts w:ascii="Arial" w:cs="Arial" w:eastAsia="Arial" w:hAnsi="Arial"/>
          <w:sz w:val="16"/>
          <w:szCs w:val="16"/>
          <w:color w:val="auto"/>
        </w:rPr>
        <w:t>The fair value of each stock option grant is estimated on the date of grant using the Black-Scholes option pricing model. The expected term of the Company’s stock options has been determined utilizing the “simplified” method as described in the SEC’s Staff Accounting Bulletin No. 107 relating to stock-based compensation. The simplified method was chosen because the Company has limited historical option exercise experience due to its short operating history. The risk-free interest rate is based on the U.S. Treasury yield in effect at the time of grant for a period approximately equal to the expected term of the award. Expected dividend yield is based on the fact that the Company has never paid cash dividends and does not expect to pay any cash dividends in the foreseeable future. Expected volatility is based on historical volatilities of similar entities within the Company’s industry which were commensurate with the Company’s expected term assumption.</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302895</wp:posOffset>
            </wp:positionV>
            <wp:extent cx="5682615" cy="15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82615" cy="15240"/>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18" w:name="page19"/>
    <w:bookmarkEnd w:id="18"/>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 w:right="79" w:firstLine="566"/>
        <w:spacing w:after="0" w:line="182" w:lineRule="exact"/>
        <w:rPr>
          <w:sz w:val="20"/>
          <w:szCs w:val="20"/>
          <w:color w:val="auto"/>
        </w:rPr>
      </w:pPr>
      <w:r>
        <w:rPr>
          <w:rFonts w:ascii="Arial" w:cs="Arial" w:eastAsia="Arial" w:hAnsi="Arial"/>
          <w:sz w:val="15"/>
          <w:szCs w:val="15"/>
          <w:color w:val="auto"/>
        </w:rPr>
        <w:t>The weighted average grant date fair value of options granted was $34.73 per option for the nine months ended September 30, 2020. As of September 30, 2020, there was $26.9 million of total unrecognized compensation cost related to non-vested stock options which is expected to be recognized over a weighted average period of 3.0 years. These amounts do not include 11,222 options outstanding as of September 30, 2020, which are performance-based and vest upon the achievement of certain corporate milestones. Stock</w:t>
      </w:r>
      <w:r>
        <w:rPr>
          <w:rFonts w:ascii="MS PGothic" w:cs="MS PGothic" w:eastAsia="MS PGothic" w:hAnsi="MS PGothic"/>
          <w:sz w:val="15"/>
          <w:szCs w:val="15"/>
          <w:color w:val="auto"/>
        </w:rPr>
        <w:t>‑</w:t>
      </w:r>
      <w:r>
        <w:rPr>
          <w:rFonts w:ascii="Arial" w:cs="Arial" w:eastAsia="Arial" w:hAnsi="Arial"/>
          <w:sz w:val="15"/>
          <w:szCs w:val="15"/>
          <w:color w:val="auto"/>
        </w:rPr>
        <w:t>based compensation will be measured and recorded if and when it is probable that the milestone will occur.</w:t>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Restricted Stock Units</w:t>
      </w:r>
    </w:p>
    <w:p>
      <w:pPr>
        <w:spacing w:after="0" w:line="186" w:lineRule="exact"/>
        <w:rPr>
          <w:sz w:val="20"/>
          <w:szCs w:val="20"/>
          <w:color w:val="auto"/>
        </w:rPr>
      </w:pPr>
    </w:p>
    <w:p>
      <w:pPr>
        <w:jc w:val="both"/>
        <w:ind w:left="40" w:right="199" w:firstLine="566"/>
        <w:spacing w:after="0" w:line="310" w:lineRule="auto"/>
        <w:rPr>
          <w:sz w:val="20"/>
          <w:szCs w:val="20"/>
          <w:color w:val="auto"/>
        </w:rPr>
      </w:pPr>
      <w:r>
        <w:rPr>
          <w:rFonts w:ascii="Arial" w:cs="Arial" w:eastAsia="Arial" w:hAnsi="Arial"/>
          <w:sz w:val="13"/>
          <w:szCs w:val="13"/>
          <w:color w:val="auto"/>
        </w:rPr>
        <w:t>In 2020, the Company began granting RSUs covering an equal number of its shares of common stock to employees. The fair value of RSUs is determined on the date of the grant based on the market price of its shares of common stock as of that date. The fair value of the RSUs is recognized as an expense ratably over the vesting period of four years. As of September 30, 2020, total compensation cost not yet recognized related to unvested RSUs was $4.7 million, which is expected to be recognized over a weighted-average period of 3.7 years.</w:t>
      </w:r>
    </w:p>
    <w:p>
      <w:pPr>
        <w:spacing w:after="0" w:line="124"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following table sets forth the RSU activity for the nine months ended September 30, 2020:</w:t>
      </w:r>
    </w:p>
    <w:p>
      <w:pPr>
        <w:spacing w:after="0" w:line="178"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4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4"/>
          </w:tcPr>
          <w:p>
            <w:pPr>
              <w:jc w:val="center"/>
              <w:ind w:right="460"/>
              <w:spacing w:after="0"/>
              <w:rPr>
                <w:sz w:val="20"/>
                <w:szCs w:val="20"/>
                <w:color w:val="auto"/>
              </w:rPr>
            </w:pPr>
            <w:r>
              <w:rPr>
                <w:rFonts w:ascii="Arial" w:cs="Arial" w:eastAsia="Arial" w:hAnsi="Arial"/>
                <w:sz w:val="13"/>
                <w:szCs w:val="13"/>
                <w:b w:val="1"/>
                <w:bCs w:val="1"/>
                <w:color w:val="auto"/>
                <w:w w:val="85"/>
              </w:rPr>
              <w:t>Weighted</w:t>
            </w:r>
          </w:p>
        </w:tc>
      </w:tr>
      <w:tr>
        <w:trPr>
          <w:trHeight w:val="141"/>
        </w:trPr>
        <w:tc>
          <w:tcPr>
            <w:tcW w:w="4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ind w:right="540"/>
              <w:spacing w:after="0" w:line="142" w:lineRule="exact"/>
              <w:rPr>
                <w:sz w:val="20"/>
                <w:szCs w:val="20"/>
                <w:color w:val="auto"/>
              </w:rPr>
            </w:pPr>
            <w:r>
              <w:rPr>
                <w:rFonts w:ascii="Arial" w:cs="Arial" w:eastAsia="Arial" w:hAnsi="Arial"/>
                <w:sz w:val="13"/>
                <w:szCs w:val="13"/>
                <w:b w:val="1"/>
                <w:bCs w:val="1"/>
                <w:color w:val="auto"/>
                <w:w w:val="85"/>
              </w:rPr>
              <w:t>average</w:t>
            </w:r>
          </w:p>
        </w:tc>
      </w:tr>
      <w:tr>
        <w:trPr>
          <w:trHeight w:val="141"/>
        </w:trPr>
        <w:tc>
          <w:tcPr>
            <w:tcW w:w="4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440"/>
              <w:spacing w:after="0" w:line="142" w:lineRule="exact"/>
              <w:rPr>
                <w:sz w:val="20"/>
                <w:szCs w:val="20"/>
                <w:color w:val="auto"/>
              </w:rPr>
            </w:pPr>
            <w:r>
              <w:rPr>
                <w:rFonts w:ascii="Arial" w:cs="Arial" w:eastAsia="Arial" w:hAnsi="Arial"/>
                <w:sz w:val="13"/>
                <w:szCs w:val="13"/>
                <w:b w:val="1"/>
                <w:bCs w:val="1"/>
                <w:color w:val="auto"/>
                <w:w w:val="89"/>
              </w:rPr>
              <w:t>Number</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4"/>
          </w:tcPr>
          <w:p>
            <w:pPr>
              <w:jc w:val="center"/>
              <w:ind w:right="460"/>
              <w:spacing w:after="0" w:line="142" w:lineRule="exact"/>
              <w:rPr>
                <w:sz w:val="20"/>
                <w:szCs w:val="20"/>
                <w:color w:val="auto"/>
              </w:rPr>
            </w:pPr>
            <w:r>
              <w:rPr>
                <w:rFonts w:ascii="Arial" w:cs="Arial" w:eastAsia="Arial" w:hAnsi="Arial"/>
                <w:sz w:val="13"/>
                <w:szCs w:val="13"/>
                <w:b w:val="1"/>
                <w:bCs w:val="1"/>
                <w:color w:val="auto"/>
                <w:w w:val="85"/>
              </w:rPr>
              <w:t>grant date</w:t>
            </w:r>
          </w:p>
        </w:tc>
      </w:tr>
      <w:tr>
        <w:trPr>
          <w:trHeight w:val="161"/>
        </w:trPr>
        <w:tc>
          <w:tcPr>
            <w:tcW w:w="4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3"/>
          </w:tcPr>
          <w:p>
            <w:pPr>
              <w:jc w:val="right"/>
              <w:ind w:right="420"/>
              <w:spacing w:after="0"/>
              <w:rPr>
                <w:sz w:val="20"/>
                <w:szCs w:val="20"/>
                <w:color w:val="auto"/>
              </w:rPr>
            </w:pPr>
            <w:r>
              <w:rPr>
                <w:rFonts w:ascii="Arial" w:cs="Arial" w:eastAsia="Arial" w:hAnsi="Arial"/>
                <w:sz w:val="13"/>
                <w:szCs w:val="13"/>
                <w:b w:val="1"/>
                <w:bCs w:val="1"/>
                <w:color w:val="auto"/>
                <w:w w:val="96"/>
              </w:rPr>
              <w:t>of shares</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4"/>
          </w:tcPr>
          <w:p>
            <w:pPr>
              <w:jc w:val="center"/>
              <w:ind w:right="460"/>
              <w:spacing w:after="0"/>
              <w:rPr>
                <w:sz w:val="20"/>
                <w:szCs w:val="20"/>
                <w:color w:val="auto"/>
              </w:rPr>
            </w:pPr>
            <w:r>
              <w:rPr>
                <w:rFonts w:ascii="Arial" w:cs="Arial" w:eastAsia="Arial" w:hAnsi="Arial"/>
                <w:sz w:val="13"/>
                <w:szCs w:val="13"/>
                <w:b w:val="1"/>
                <w:bCs w:val="1"/>
                <w:color w:val="auto"/>
                <w:w w:val="87"/>
              </w:rPr>
              <w:t>fair value</w:t>
            </w:r>
          </w:p>
        </w:tc>
      </w:tr>
      <w:tr>
        <w:trPr>
          <w:trHeight w:val="169"/>
        </w:trPr>
        <w:tc>
          <w:tcPr>
            <w:tcW w:w="4480" w:type="dxa"/>
            <w:vAlign w:val="bottom"/>
            <w:tcBorders>
              <w:top w:val="single" w:sz="8" w:color="CCEEFF"/>
            </w:tcBorders>
            <w:shd w:val="clear" w:color="auto" w:fill="CCEEFF"/>
          </w:tcPr>
          <w:p>
            <w:pPr>
              <w:ind w:left="20"/>
              <w:spacing w:after="0" w:line="168" w:lineRule="exact"/>
              <w:rPr>
                <w:sz w:val="20"/>
                <w:szCs w:val="20"/>
                <w:color w:val="auto"/>
              </w:rPr>
            </w:pPr>
            <w:r>
              <w:rPr>
                <w:rFonts w:ascii="Arial" w:cs="Arial" w:eastAsia="Arial" w:hAnsi="Arial"/>
                <w:sz w:val="16"/>
                <w:szCs w:val="16"/>
                <w:color w:val="auto"/>
              </w:rPr>
              <w:t>Outstanding at December 31, 2019</w:t>
            </w:r>
          </w:p>
        </w:tc>
        <w:tc>
          <w:tcPr>
            <w:tcW w:w="12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spacing w:after="0" w:line="168" w:lineRule="exact"/>
              <w:rPr>
                <w:sz w:val="20"/>
                <w:szCs w:val="20"/>
                <w:color w:val="auto"/>
              </w:rPr>
            </w:pPr>
            <w:r>
              <w:rPr>
                <w:rFonts w:ascii="Arial" w:cs="Arial" w:eastAsia="Arial" w:hAnsi="Arial"/>
                <w:sz w:val="16"/>
                <w:szCs w:val="16"/>
                <w:color w:val="auto"/>
              </w:rPr>
              <w:t>—</w:t>
            </w:r>
          </w:p>
        </w:tc>
        <w:tc>
          <w:tcPr>
            <w:tcW w:w="2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gridSpan w:val="2"/>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spacing w:after="0" w:line="168" w:lineRule="exact"/>
              <w:rPr>
                <w:sz w:val="20"/>
                <w:szCs w:val="20"/>
                <w:color w:val="auto"/>
              </w:rPr>
            </w:pPr>
            <w:r>
              <w:rPr>
                <w:rFonts w:ascii="Arial" w:cs="Arial" w:eastAsia="Arial" w:hAnsi="Arial"/>
                <w:sz w:val="16"/>
                <w:szCs w:val="16"/>
                <w:color w:val="auto"/>
              </w:rPr>
              <w:t>—</w:t>
            </w:r>
          </w:p>
        </w:tc>
        <w:tc>
          <w:tcPr>
            <w:tcW w:w="2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r>
      <w:tr>
        <w:trPr>
          <w:trHeight w:val="177"/>
        </w:trPr>
        <w:tc>
          <w:tcPr>
            <w:tcW w:w="4480" w:type="dxa"/>
            <w:vAlign w:val="bottom"/>
          </w:tcPr>
          <w:p>
            <w:pPr>
              <w:ind w:left="200"/>
              <w:spacing w:after="0" w:line="177" w:lineRule="exact"/>
              <w:rPr>
                <w:sz w:val="20"/>
                <w:szCs w:val="20"/>
                <w:color w:val="auto"/>
              </w:rPr>
            </w:pPr>
            <w:r>
              <w:rPr>
                <w:rFonts w:ascii="Arial" w:cs="Arial" w:eastAsia="Arial" w:hAnsi="Arial"/>
                <w:sz w:val="16"/>
                <w:szCs w:val="16"/>
                <w:color w:val="auto"/>
              </w:rPr>
              <w:t>Granted</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line="177" w:lineRule="exact"/>
              <w:rPr>
                <w:sz w:val="20"/>
                <w:szCs w:val="20"/>
                <w:color w:val="auto"/>
              </w:rPr>
            </w:pPr>
            <w:r>
              <w:rPr>
                <w:rFonts w:ascii="Arial" w:cs="Arial" w:eastAsia="Arial" w:hAnsi="Arial"/>
                <w:sz w:val="16"/>
                <w:szCs w:val="16"/>
                <w:color w:val="auto"/>
              </w:rPr>
              <w:t>156,378</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line="177" w:lineRule="exact"/>
              <w:rPr>
                <w:sz w:val="20"/>
                <w:szCs w:val="20"/>
                <w:color w:val="auto"/>
              </w:rPr>
            </w:pPr>
            <w:r>
              <w:rPr>
                <w:rFonts w:ascii="Arial" w:cs="Arial" w:eastAsia="Arial" w:hAnsi="Arial"/>
                <w:sz w:val="16"/>
                <w:szCs w:val="16"/>
                <w:color w:val="auto"/>
              </w:rPr>
              <w:t>34.67</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7"/>
        </w:trPr>
        <w:tc>
          <w:tcPr>
            <w:tcW w:w="4480" w:type="dxa"/>
            <w:vAlign w:val="bottom"/>
            <w:shd w:val="clear" w:color="auto" w:fill="CCEEFF"/>
          </w:tcPr>
          <w:p>
            <w:pPr>
              <w:ind w:left="200"/>
              <w:spacing w:after="0" w:line="177" w:lineRule="exact"/>
              <w:rPr>
                <w:sz w:val="20"/>
                <w:szCs w:val="20"/>
                <w:color w:val="auto"/>
              </w:rPr>
            </w:pPr>
            <w:r>
              <w:rPr>
                <w:rFonts w:ascii="Arial" w:cs="Arial" w:eastAsia="Arial" w:hAnsi="Arial"/>
                <w:sz w:val="16"/>
                <w:szCs w:val="16"/>
                <w:color w:val="auto"/>
              </w:rPr>
              <w:t>Released</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60"/>
              <w:spacing w:after="0" w:line="177"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gridSpan w:val="3"/>
            <w:shd w:val="clear" w:color="auto" w:fill="CCEEFF"/>
          </w:tcPr>
          <w:p>
            <w:pPr>
              <w:jc w:val="right"/>
              <w:ind w:right="280"/>
              <w:spacing w:after="0" w:line="177" w:lineRule="exact"/>
              <w:rPr>
                <w:sz w:val="20"/>
                <w:szCs w:val="20"/>
                <w:color w:val="auto"/>
              </w:rPr>
            </w:pPr>
            <w:r>
              <w:rPr>
                <w:rFonts w:ascii="Arial" w:cs="Arial" w:eastAsia="Arial" w:hAnsi="Arial"/>
                <w:sz w:val="16"/>
                <w:szCs w:val="16"/>
                <w:color w:val="auto"/>
              </w:rPr>
              <w:t>—</w:t>
            </w:r>
          </w:p>
        </w:tc>
      </w:tr>
      <w:tr>
        <w:trPr>
          <w:trHeight w:val="177"/>
        </w:trPr>
        <w:tc>
          <w:tcPr>
            <w:tcW w:w="4480" w:type="dxa"/>
            <w:vAlign w:val="bottom"/>
          </w:tcPr>
          <w:p>
            <w:pPr>
              <w:ind w:left="200"/>
              <w:spacing w:after="0" w:line="177" w:lineRule="exact"/>
              <w:rPr>
                <w:sz w:val="20"/>
                <w:szCs w:val="20"/>
                <w:color w:val="auto"/>
              </w:rPr>
            </w:pPr>
            <w:r>
              <w:rPr>
                <w:rFonts w:ascii="Arial" w:cs="Arial" w:eastAsia="Arial" w:hAnsi="Arial"/>
                <w:sz w:val="16"/>
                <w:szCs w:val="16"/>
                <w:color w:val="auto"/>
              </w:rPr>
              <w:t>Forfeited</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00"/>
              <w:spacing w:after="0" w:line="177" w:lineRule="exact"/>
              <w:rPr>
                <w:sz w:val="20"/>
                <w:szCs w:val="20"/>
                <w:color w:val="auto"/>
              </w:rPr>
            </w:pPr>
            <w:r>
              <w:rPr>
                <w:rFonts w:ascii="Arial" w:cs="Arial" w:eastAsia="Arial" w:hAnsi="Arial"/>
                <w:sz w:val="16"/>
                <w:szCs w:val="16"/>
                <w:color w:val="auto"/>
              </w:rPr>
              <w:t>(456)</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line="177" w:lineRule="exact"/>
              <w:rPr>
                <w:sz w:val="20"/>
                <w:szCs w:val="20"/>
                <w:color w:val="auto"/>
              </w:rPr>
            </w:pPr>
            <w:r>
              <w:rPr>
                <w:rFonts w:ascii="Arial" w:cs="Arial" w:eastAsia="Arial" w:hAnsi="Arial"/>
                <w:sz w:val="16"/>
                <w:szCs w:val="16"/>
                <w:color w:val="auto"/>
              </w:rPr>
              <w:t>45.14</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4480" w:type="dxa"/>
            <w:vAlign w:val="bottom"/>
            <w:tcBorders>
              <w:top w:val="single" w:sz="8" w:color="CCEEFF"/>
              <w:bottom w:val="single" w:sz="8" w:color="CCEEFF"/>
            </w:tcBorders>
            <w:shd w:val="clear" w:color="auto" w:fill="CCEEFF"/>
          </w:tcPr>
          <w:p>
            <w:pPr>
              <w:ind w:left="20"/>
              <w:spacing w:after="0" w:line="168" w:lineRule="exact"/>
              <w:rPr>
                <w:sz w:val="20"/>
                <w:szCs w:val="20"/>
                <w:color w:val="auto"/>
              </w:rPr>
            </w:pPr>
            <w:r>
              <w:rPr>
                <w:rFonts w:ascii="Arial" w:cs="Arial" w:eastAsia="Arial" w:hAnsi="Arial"/>
                <w:sz w:val="16"/>
                <w:szCs w:val="16"/>
                <w:color w:val="auto"/>
              </w:rPr>
              <w:t>Outstanding at September 30, 2020</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90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66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700" w:type="dxa"/>
            <w:vAlign w:val="bottom"/>
            <w:tcBorders>
              <w:top w:val="single" w:sz="8" w:color="auto"/>
              <w:bottom w:val="single" w:sz="8" w:color="auto"/>
            </w:tcBorders>
            <w:shd w:val="clear" w:color="auto" w:fill="CCEEFF"/>
          </w:tcPr>
          <w:p>
            <w:pPr>
              <w:jc w:val="right"/>
              <w:spacing w:after="0" w:line="168" w:lineRule="exact"/>
              <w:rPr>
                <w:sz w:val="20"/>
                <w:szCs w:val="20"/>
                <w:color w:val="auto"/>
              </w:rPr>
            </w:pPr>
            <w:r>
              <w:rPr>
                <w:rFonts w:ascii="Arial" w:cs="Arial" w:eastAsia="Arial" w:hAnsi="Arial"/>
                <w:sz w:val="16"/>
                <w:szCs w:val="16"/>
                <w:color w:val="auto"/>
              </w:rPr>
              <w:t>155,922</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CCEEFF"/>
              <w:bottom w:val="single" w:sz="8" w:color="auto"/>
            </w:tcBorders>
            <w:gridSpan w:val="2"/>
            <w:shd w:val="clear" w:color="auto" w:fill="CCEEFF"/>
          </w:tcPr>
          <w:p>
            <w:pPr>
              <w:jc w:val="right"/>
              <w:ind w:right="160"/>
              <w:spacing w:after="0" w:line="169" w:lineRule="exact"/>
              <w:rPr>
                <w:sz w:val="20"/>
                <w:szCs w:val="20"/>
                <w:color w:val="auto"/>
              </w:rPr>
            </w:pPr>
            <w:r>
              <w:rPr>
                <w:rFonts w:ascii="Arial" w:cs="Arial" w:eastAsia="Arial" w:hAnsi="Arial"/>
                <w:sz w:val="15"/>
                <w:szCs w:val="15"/>
                <w:color w:val="auto"/>
                <w:w w:val="71"/>
              </w:rPr>
              <w:t>$</w:t>
            </w:r>
          </w:p>
        </w:tc>
        <w:tc>
          <w:tcPr>
            <w:tcW w:w="80" w:type="dxa"/>
            <w:vAlign w:val="bottom"/>
            <w:tcBorders>
              <w:top w:val="single" w:sz="8" w:color="CCEEFF"/>
              <w:bottom w:val="single" w:sz="8" w:color="auto"/>
            </w:tcBorders>
            <w:shd w:val="clear" w:color="auto" w:fill="CCEEFF"/>
          </w:tcPr>
          <w:p>
            <w:pPr>
              <w:spacing w:after="0"/>
              <w:rPr>
                <w:sz w:val="14"/>
                <w:szCs w:val="14"/>
                <w:color w:val="auto"/>
              </w:rPr>
            </w:pPr>
          </w:p>
        </w:tc>
        <w:tc>
          <w:tcPr>
            <w:tcW w:w="740" w:type="dxa"/>
            <w:vAlign w:val="bottom"/>
            <w:tcBorders>
              <w:top w:val="single" w:sz="8" w:color="CCEEFF"/>
              <w:bottom w:val="single" w:sz="8" w:color="auto"/>
            </w:tcBorders>
            <w:shd w:val="clear" w:color="auto" w:fill="CCEEFF"/>
          </w:tcPr>
          <w:p>
            <w:pPr>
              <w:jc w:val="right"/>
              <w:spacing w:after="0" w:line="168" w:lineRule="exact"/>
              <w:rPr>
                <w:sz w:val="20"/>
                <w:szCs w:val="20"/>
                <w:color w:val="auto"/>
              </w:rPr>
            </w:pPr>
            <w:r>
              <w:rPr>
                <w:rFonts w:ascii="Arial" w:cs="Arial" w:eastAsia="Arial" w:hAnsi="Arial"/>
                <w:sz w:val="16"/>
                <w:szCs w:val="16"/>
                <w:color w:val="auto"/>
              </w:rPr>
              <w:t>34.64</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0"/>
        </w:trPr>
        <w:tc>
          <w:tcPr>
            <w:tcW w:w="5500" w:type="dxa"/>
            <w:vAlign w:val="bottom"/>
            <w:gridSpan w:val="3"/>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940" w:type="dxa"/>
            <w:vAlign w:val="bottom"/>
            <w:tcBorders>
              <w:bottom w:val="single" w:sz="8" w:color="auto"/>
            </w:tcBorders>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28"/>
        </w:trPr>
        <w:tc>
          <w:tcPr>
            <w:tcW w:w="8980" w:type="dxa"/>
            <w:vAlign w:val="bottom"/>
            <w:gridSpan w:val="16"/>
          </w:tcPr>
          <w:p>
            <w:pPr>
              <w:ind w:left="580"/>
              <w:spacing w:after="0"/>
              <w:rPr>
                <w:sz w:val="20"/>
                <w:szCs w:val="20"/>
                <w:color w:val="auto"/>
              </w:rPr>
            </w:pPr>
            <w:r>
              <w:rPr>
                <w:rFonts w:ascii="Arial" w:cs="Arial" w:eastAsia="Arial" w:hAnsi="Arial"/>
                <w:sz w:val="16"/>
                <w:szCs w:val="16"/>
                <w:color w:val="auto"/>
                <w:w w:val="88"/>
              </w:rPr>
              <w:t>Stock-based compensation expense recognized for the three and nine months ended September 30, 2020 and 2019 was allocated as</w:t>
            </w:r>
          </w:p>
        </w:tc>
      </w:tr>
      <w:tr>
        <w:trPr>
          <w:trHeight w:val="200"/>
        </w:trPr>
        <w:tc>
          <w:tcPr>
            <w:tcW w:w="4480" w:type="dxa"/>
            <w:vAlign w:val="bottom"/>
          </w:tcPr>
          <w:p>
            <w:pPr>
              <w:ind w:left="20"/>
              <w:spacing w:after="0"/>
              <w:rPr>
                <w:sz w:val="20"/>
                <w:szCs w:val="20"/>
                <w:color w:val="auto"/>
              </w:rPr>
            </w:pPr>
            <w:r>
              <w:rPr>
                <w:rFonts w:ascii="Arial" w:cs="Arial" w:eastAsia="Arial" w:hAnsi="Arial"/>
                <w:sz w:val="16"/>
                <w:szCs w:val="16"/>
                <w:color w:val="auto"/>
              </w:rPr>
              <w:t>follows:</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67"/>
        </w:trPr>
        <w:tc>
          <w:tcPr>
            <w:tcW w:w="4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gridSpan w:val="5"/>
          </w:tcPr>
          <w:p>
            <w:pPr>
              <w:jc w:val="right"/>
              <w:ind w:right="160"/>
              <w:spacing w:after="0"/>
              <w:rPr>
                <w:sz w:val="20"/>
                <w:szCs w:val="20"/>
                <w:color w:val="auto"/>
              </w:rPr>
            </w:pPr>
            <w:r>
              <w:rPr>
                <w:rFonts w:ascii="Arial" w:cs="Arial" w:eastAsia="Arial" w:hAnsi="Arial"/>
                <w:sz w:val="13"/>
                <w:szCs w:val="13"/>
                <w:b w:val="1"/>
                <w:bCs w:val="1"/>
                <w:color w:val="auto"/>
                <w:w w:val="87"/>
              </w:rPr>
              <w:t>Three months ended September 30,</w:t>
            </w:r>
          </w:p>
        </w:tc>
        <w:tc>
          <w:tcPr>
            <w:tcW w:w="100" w:type="dxa"/>
            <w:vAlign w:val="bottom"/>
          </w:tcPr>
          <w:p>
            <w:pPr>
              <w:spacing w:after="0"/>
              <w:rPr>
                <w:sz w:val="24"/>
                <w:szCs w:val="24"/>
                <w:color w:val="auto"/>
              </w:rPr>
            </w:pPr>
          </w:p>
        </w:tc>
        <w:tc>
          <w:tcPr>
            <w:tcW w:w="2180" w:type="dxa"/>
            <w:vAlign w:val="bottom"/>
            <w:gridSpan w:val="8"/>
          </w:tcPr>
          <w:p>
            <w:pPr>
              <w:ind w:left="120"/>
              <w:spacing w:after="0"/>
              <w:rPr>
                <w:sz w:val="20"/>
                <w:szCs w:val="20"/>
                <w:color w:val="auto"/>
              </w:rPr>
            </w:pPr>
            <w:r>
              <w:rPr>
                <w:rFonts w:ascii="Arial" w:cs="Arial" w:eastAsia="Arial" w:hAnsi="Arial"/>
                <w:sz w:val="13"/>
                <w:szCs w:val="13"/>
                <w:b w:val="1"/>
                <w:bCs w:val="1"/>
                <w:color w:val="auto"/>
                <w:w w:val="95"/>
              </w:rPr>
              <w:t>Nine months ended September 30,</w:t>
            </w:r>
          </w:p>
        </w:tc>
      </w:tr>
      <w:tr>
        <w:trPr>
          <w:trHeight w:val="133"/>
        </w:trPr>
        <w:tc>
          <w:tcPr>
            <w:tcW w:w="448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ind w:right="308"/>
              <w:spacing w:after="0" w:line="133" w:lineRule="exact"/>
              <w:rPr>
                <w:sz w:val="20"/>
                <w:szCs w:val="20"/>
                <w:color w:val="auto"/>
              </w:rPr>
            </w:pPr>
            <w:r>
              <w:rPr>
                <w:rFonts w:ascii="Arial" w:cs="Arial" w:eastAsia="Arial" w:hAnsi="Arial"/>
                <w:sz w:val="13"/>
                <w:szCs w:val="13"/>
                <w:b w:val="1"/>
                <w:bCs w:val="1"/>
                <w:color w:val="auto"/>
              </w:rPr>
              <w:t>2020</w:t>
            </w:r>
          </w:p>
        </w:tc>
        <w:tc>
          <w:tcPr>
            <w:tcW w:w="200" w:type="dxa"/>
            <w:vAlign w:val="bottom"/>
            <w:tcBorders>
              <w:top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45"/>
              <w:spacing w:after="0" w:line="133" w:lineRule="exact"/>
              <w:rPr>
                <w:sz w:val="20"/>
                <w:szCs w:val="20"/>
                <w:color w:val="auto"/>
              </w:rPr>
            </w:pPr>
            <w:r>
              <w:rPr>
                <w:rFonts w:ascii="Arial" w:cs="Arial" w:eastAsia="Arial" w:hAnsi="Arial"/>
                <w:sz w:val="13"/>
                <w:szCs w:val="13"/>
                <w:b w:val="1"/>
                <w:bCs w:val="1"/>
                <w:color w:val="auto"/>
              </w:rPr>
              <w:t>2019</w:t>
            </w:r>
          </w:p>
        </w:tc>
        <w:tc>
          <w:tcPr>
            <w:tcW w:w="14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66"/>
              <w:spacing w:after="0" w:line="133" w:lineRule="exact"/>
              <w:rPr>
                <w:sz w:val="20"/>
                <w:szCs w:val="20"/>
                <w:color w:val="auto"/>
              </w:rPr>
            </w:pPr>
            <w:r>
              <w:rPr>
                <w:rFonts w:ascii="Arial" w:cs="Arial" w:eastAsia="Arial" w:hAnsi="Arial"/>
                <w:sz w:val="13"/>
                <w:szCs w:val="13"/>
                <w:b w:val="1"/>
                <w:bCs w:val="1"/>
                <w:color w:val="auto"/>
              </w:rPr>
              <w:t>2020</w:t>
            </w:r>
          </w:p>
        </w:tc>
        <w:tc>
          <w:tcPr>
            <w:tcW w:w="200" w:type="dxa"/>
            <w:vAlign w:val="bottom"/>
            <w:tcBorders>
              <w:top w:val="single" w:sz="8" w:color="auto"/>
              <w:bottom w:val="single" w:sz="8" w:color="auto"/>
            </w:tcBorders>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105"/>
              <w:spacing w:after="0" w:line="133" w:lineRule="exact"/>
              <w:rPr>
                <w:sz w:val="20"/>
                <w:szCs w:val="20"/>
                <w:color w:val="auto"/>
              </w:rPr>
            </w:pPr>
            <w:r>
              <w:rPr>
                <w:rFonts w:ascii="Arial" w:cs="Arial" w:eastAsia="Arial" w:hAnsi="Arial"/>
                <w:sz w:val="13"/>
                <w:szCs w:val="13"/>
                <w:b w:val="1"/>
                <w:bCs w:val="1"/>
                <w:color w:val="auto"/>
              </w:rPr>
              <w:t>2019</w:t>
            </w:r>
          </w:p>
        </w:tc>
        <w:tc>
          <w:tcPr>
            <w:tcW w:w="200" w:type="dxa"/>
            <w:vAlign w:val="bottom"/>
            <w:tcBorders>
              <w:top w:val="single" w:sz="8" w:color="auto"/>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69"/>
        </w:trPr>
        <w:tc>
          <w:tcPr>
            <w:tcW w:w="4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7"/>
        </w:trPr>
        <w:tc>
          <w:tcPr>
            <w:tcW w:w="448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Research and development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77" w:lineRule="exact"/>
              <w:rPr>
                <w:sz w:val="20"/>
                <w:szCs w:val="20"/>
                <w:color w:val="auto"/>
              </w:rPr>
            </w:pPr>
            <w:r>
              <w:rPr>
                <w:rFonts w:ascii="Arial" w:cs="Arial" w:eastAsia="Arial" w:hAnsi="Arial"/>
                <w:sz w:val="16"/>
                <w:szCs w:val="16"/>
                <w:color w:val="auto"/>
              </w:rPr>
              <w:t>860,744</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40"/>
              <w:spacing w:after="0" w:line="177" w:lineRule="exact"/>
              <w:rPr>
                <w:sz w:val="20"/>
                <w:szCs w:val="20"/>
                <w:color w:val="auto"/>
              </w:rPr>
            </w:pPr>
            <w:r>
              <w:rPr>
                <w:rFonts w:ascii="Arial" w:cs="Arial" w:eastAsia="Arial" w:hAnsi="Arial"/>
                <w:sz w:val="16"/>
                <w:szCs w:val="16"/>
                <w:color w:val="auto"/>
              </w:rPr>
              <w:t>286,234</w:t>
            </w:r>
          </w:p>
        </w:tc>
        <w:tc>
          <w:tcPr>
            <w:tcW w:w="100" w:type="dxa"/>
            <w:vAlign w:val="bottom"/>
            <w:shd w:val="clear" w:color="auto" w:fill="CCEEFF"/>
          </w:tcPr>
          <w:p>
            <w:pPr>
              <w:jc w:val="right"/>
              <w:spacing w:after="0" w:line="177" w:lineRule="exact"/>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CEEFF"/>
          </w:tcPr>
          <w:p>
            <w:pPr>
              <w:jc w:val="right"/>
              <w:spacing w:after="0" w:line="177" w:lineRule="exact"/>
              <w:rPr>
                <w:sz w:val="20"/>
                <w:szCs w:val="20"/>
                <w:color w:val="auto"/>
              </w:rPr>
            </w:pPr>
            <w:r>
              <w:rPr>
                <w:rFonts w:ascii="Arial" w:cs="Arial" w:eastAsia="Arial" w:hAnsi="Arial"/>
                <w:sz w:val="16"/>
                <w:szCs w:val="16"/>
                <w:color w:val="auto"/>
              </w:rPr>
              <w:t>2,532,649</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60"/>
              <w:spacing w:after="0" w:line="177" w:lineRule="exact"/>
              <w:rPr>
                <w:sz w:val="20"/>
                <w:szCs w:val="20"/>
                <w:color w:val="auto"/>
              </w:rPr>
            </w:pPr>
            <w:r>
              <w:rPr>
                <w:rFonts w:ascii="Arial" w:cs="Arial" w:eastAsia="Arial" w:hAnsi="Arial"/>
                <w:sz w:val="16"/>
                <w:szCs w:val="16"/>
                <w:color w:val="auto"/>
              </w:rPr>
              <w:t>652,666</w:t>
            </w:r>
          </w:p>
        </w:tc>
        <w:tc>
          <w:tcPr>
            <w:tcW w:w="20" w:type="dxa"/>
            <w:vAlign w:val="bottom"/>
            <w:shd w:val="clear" w:color="auto" w:fill="CCEEFF"/>
          </w:tcPr>
          <w:p>
            <w:pPr>
              <w:spacing w:after="0"/>
              <w:rPr>
                <w:sz w:val="15"/>
                <w:szCs w:val="15"/>
                <w:color w:val="auto"/>
              </w:rPr>
            </w:pPr>
          </w:p>
        </w:tc>
      </w:tr>
      <w:tr>
        <w:trPr>
          <w:trHeight w:val="177"/>
        </w:trPr>
        <w:tc>
          <w:tcPr>
            <w:tcW w:w="4480" w:type="dxa"/>
            <w:vAlign w:val="bottom"/>
            <w:tcBorders>
              <w:bottom w:val="single" w:sz="8" w:color="CCEEFF"/>
            </w:tcBorders>
          </w:tcPr>
          <w:p>
            <w:pPr>
              <w:ind w:left="20"/>
              <w:spacing w:after="0" w:line="177" w:lineRule="exact"/>
              <w:rPr>
                <w:sz w:val="20"/>
                <w:szCs w:val="20"/>
                <w:color w:val="auto"/>
              </w:rPr>
            </w:pPr>
            <w:r>
              <w:rPr>
                <w:rFonts w:ascii="Arial" w:cs="Arial" w:eastAsia="Arial" w:hAnsi="Arial"/>
                <w:sz w:val="16"/>
                <w:szCs w:val="16"/>
                <w:color w:val="auto"/>
              </w:rPr>
              <w:t>General and administrative</w:t>
            </w: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77" w:lineRule="exact"/>
              <w:rPr>
                <w:sz w:val="20"/>
                <w:szCs w:val="20"/>
                <w:color w:val="auto"/>
              </w:rPr>
            </w:pPr>
            <w:r>
              <w:rPr>
                <w:rFonts w:ascii="Arial" w:cs="Arial" w:eastAsia="Arial" w:hAnsi="Arial"/>
                <w:sz w:val="16"/>
                <w:szCs w:val="16"/>
                <w:color w:val="auto"/>
              </w:rPr>
              <w:t>2,008,074</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right"/>
              <w:ind w:right="40"/>
              <w:spacing w:after="0" w:line="177" w:lineRule="exact"/>
              <w:rPr>
                <w:sz w:val="20"/>
                <w:szCs w:val="20"/>
                <w:color w:val="auto"/>
              </w:rPr>
            </w:pPr>
            <w:r>
              <w:rPr>
                <w:rFonts w:ascii="Arial" w:cs="Arial" w:eastAsia="Arial" w:hAnsi="Arial"/>
                <w:sz w:val="16"/>
                <w:szCs w:val="16"/>
                <w:color w:val="auto"/>
              </w:rPr>
              <w:t>870,201</w:t>
            </w: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right"/>
              <w:spacing w:after="0" w:line="177" w:lineRule="exact"/>
              <w:rPr>
                <w:sz w:val="20"/>
                <w:szCs w:val="20"/>
                <w:color w:val="auto"/>
              </w:rPr>
            </w:pPr>
            <w:r>
              <w:rPr>
                <w:rFonts w:ascii="Arial" w:cs="Arial" w:eastAsia="Arial" w:hAnsi="Arial"/>
                <w:sz w:val="16"/>
                <w:szCs w:val="16"/>
                <w:color w:val="auto"/>
              </w:rPr>
              <w:t>6,617,724</w:t>
            </w:r>
          </w:p>
        </w:tc>
        <w:tc>
          <w:tcPr>
            <w:tcW w:w="4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right"/>
              <w:ind w:right="60"/>
              <w:spacing w:after="0" w:line="177" w:lineRule="exact"/>
              <w:rPr>
                <w:sz w:val="20"/>
                <w:szCs w:val="20"/>
                <w:color w:val="auto"/>
              </w:rPr>
            </w:pPr>
            <w:r>
              <w:rPr>
                <w:rFonts w:ascii="Arial" w:cs="Arial" w:eastAsia="Arial" w:hAnsi="Arial"/>
                <w:sz w:val="16"/>
                <w:szCs w:val="16"/>
                <w:color w:val="auto"/>
              </w:rPr>
              <w:t>2,648,635</w:t>
            </w:r>
          </w:p>
        </w:tc>
        <w:tc>
          <w:tcPr>
            <w:tcW w:w="20" w:type="dxa"/>
            <w:vAlign w:val="bottom"/>
            <w:tcBorders>
              <w:bottom w:val="single" w:sz="8" w:color="CCEEFF"/>
            </w:tcBorders>
          </w:tcPr>
          <w:p>
            <w:pPr>
              <w:spacing w:after="0"/>
              <w:rPr>
                <w:sz w:val="15"/>
                <w:szCs w:val="15"/>
                <w:color w:val="auto"/>
              </w:rPr>
            </w:pPr>
          </w:p>
        </w:tc>
      </w:tr>
      <w:tr>
        <w:trPr>
          <w:trHeight w:val="169"/>
        </w:trPr>
        <w:tc>
          <w:tcPr>
            <w:tcW w:w="4480" w:type="dxa"/>
            <w:vAlign w:val="bottom"/>
            <w:tcBorders>
              <w:bottom w:val="single" w:sz="8" w:color="CCEEFF"/>
            </w:tcBorders>
            <w:shd w:val="clear" w:color="auto" w:fill="CCEEFF"/>
          </w:tcPr>
          <w:p>
            <w:pPr>
              <w:ind w:left="20"/>
              <w:spacing w:after="0" w:line="168" w:lineRule="exact"/>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68" w:lineRule="exact"/>
              <w:rPr>
                <w:sz w:val="20"/>
                <w:szCs w:val="20"/>
                <w:color w:val="auto"/>
              </w:rPr>
            </w:pPr>
            <w:r>
              <w:rPr>
                <w:rFonts w:ascii="Arial" w:cs="Arial" w:eastAsia="Arial" w:hAnsi="Arial"/>
                <w:sz w:val="16"/>
                <w:szCs w:val="16"/>
                <w:color w:val="auto"/>
              </w:rPr>
              <w:t>2,868,818</w:t>
            </w:r>
          </w:p>
        </w:tc>
        <w:tc>
          <w:tcPr>
            <w:tcW w:w="2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47"/>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gridSpan w:val="2"/>
            <w:shd w:val="clear" w:color="auto" w:fill="CCEEFF"/>
          </w:tcPr>
          <w:p>
            <w:pPr>
              <w:jc w:val="right"/>
              <w:ind w:right="40"/>
              <w:spacing w:after="0" w:line="168" w:lineRule="exact"/>
              <w:rPr>
                <w:sz w:val="20"/>
                <w:szCs w:val="20"/>
                <w:color w:val="auto"/>
              </w:rPr>
            </w:pPr>
            <w:r>
              <w:rPr>
                <w:rFonts w:ascii="Arial" w:cs="Arial" w:eastAsia="Arial" w:hAnsi="Arial"/>
                <w:sz w:val="16"/>
                <w:szCs w:val="16"/>
                <w:color w:val="auto"/>
              </w:rPr>
              <w:t>1,156,435</w:t>
            </w:r>
          </w:p>
        </w:tc>
        <w:tc>
          <w:tcPr>
            <w:tcW w:w="100" w:type="dxa"/>
            <w:vAlign w:val="bottom"/>
            <w:tcBorders>
              <w:bottom w:val="single" w:sz="8" w:color="auto"/>
            </w:tcBorders>
            <w:shd w:val="clear" w:color="auto" w:fill="CCEEFF"/>
          </w:tcPr>
          <w:p>
            <w:pPr>
              <w:jc w:val="right"/>
              <w:spacing w:after="0" w:line="168" w:lineRule="exact"/>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gridSpan w:val="2"/>
            <w:shd w:val="clear" w:color="auto" w:fill="CCEEFF"/>
          </w:tcPr>
          <w:p>
            <w:pPr>
              <w:jc w:val="right"/>
              <w:spacing w:after="0" w:line="168" w:lineRule="exact"/>
              <w:rPr>
                <w:sz w:val="20"/>
                <w:szCs w:val="20"/>
                <w:color w:val="auto"/>
              </w:rPr>
            </w:pPr>
            <w:r>
              <w:rPr>
                <w:rFonts w:ascii="Arial" w:cs="Arial" w:eastAsia="Arial" w:hAnsi="Arial"/>
                <w:sz w:val="16"/>
                <w:szCs w:val="16"/>
                <w:color w:val="auto"/>
              </w:rPr>
              <w:t>9,150,373</w:t>
            </w:r>
          </w:p>
        </w:tc>
        <w:tc>
          <w:tcPr>
            <w:tcW w:w="4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gridSpan w:val="2"/>
            <w:shd w:val="clear" w:color="auto" w:fill="CCEEFF"/>
          </w:tcPr>
          <w:p>
            <w:pPr>
              <w:jc w:val="right"/>
              <w:ind w:right="60"/>
              <w:spacing w:after="0" w:line="168" w:lineRule="exact"/>
              <w:rPr>
                <w:sz w:val="20"/>
                <w:szCs w:val="20"/>
                <w:color w:val="auto"/>
              </w:rPr>
            </w:pPr>
            <w:r>
              <w:rPr>
                <w:rFonts w:ascii="Arial" w:cs="Arial" w:eastAsia="Arial" w:hAnsi="Arial"/>
                <w:sz w:val="16"/>
                <w:szCs w:val="16"/>
                <w:color w:val="auto"/>
              </w:rPr>
              <w:t>3,301,301</w:t>
            </w:r>
          </w:p>
        </w:tc>
        <w:tc>
          <w:tcPr>
            <w:tcW w:w="20" w:type="dxa"/>
            <w:vAlign w:val="bottom"/>
            <w:tcBorders>
              <w:bottom w:val="single" w:sz="8" w:color="CCEEFF"/>
            </w:tcBorders>
            <w:shd w:val="clear" w:color="auto" w:fill="CCEEFF"/>
          </w:tcPr>
          <w:p>
            <w:pPr>
              <w:spacing w:after="0"/>
              <w:rPr>
                <w:sz w:val="14"/>
                <w:szCs w:val="14"/>
                <w:color w:val="auto"/>
              </w:rPr>
            </w:pPr>
          </w:p>
        </w:tc>
      </w:tr>
      <w:tr>
        <w:trPr>
          <w:trHeight w:val="20"/>
        </w:trPr>
        <w:tc>
          <w:tcPr>
            <w:tcW w:w="4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Warrants</w:t>
      </w:r>
    </w:p>
    <w:p>
      <w:pPr>
        <w:spacing w:after="0" w:line="18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following table summarizes warrant activity for the nine months ended September 30, 2020:</w:t>
      </w:r>
    </w:p>
    <w:p>
      <w:pPr>
        <w:spacing w:after="0" w:line="166"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3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Weighted</w:t>
            </w:r>
          </w:p>
        </w:tc>
        <w:tc>
          <w:tcPr>
            <w:tcW w:w="0" w:type="dxa"/>
            <w:vAlign w:val="bottom"/>
          </w:tcPr>
          <w:p>
            <w:pPr>
              <w:spacing w:after="0"/>
              <w:rPr>
                <w:sz w:val="1"/>
                <w:szCs w:val="1"/>
                <w:color w:val="auto"/>
              </w:rPr>
            </w:pPr>
          </w:p>
        </w:tc>
      </w:tr>
      <w:tr>
        <w:trPr>
          <w:trHeight w:val="141"/>
        </w:trPr>
        <w:tc>
          <w:tcPr>
            <w:tcW w:w="33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center"/>
              <w:ind w:right="180"/>
              <w:spacing w:after="0" w:line="142" w:lineRule="exact"/>
              <w:rPr>
                <w:sz w:val="20"/>
                <w:szCs w:val="20"/>
                <w:color w:val="auto"/>
              </w:rPr>
            </w:pPr>
            <w:r>
              <w:rPr>
                <w:rFonts w:ascii="Arial" w:cs="Arial" w:eastAsia="Arial" w:hAnsi="Arial"/>
                <w:sz w:val="13"/>
                <w:szCs w:val="13"/>
                <w:b w:val="1"/>
                <w:bCs w:val="1"/>
                <w:color w:val="auto"/>
                <w:w w:val="85"/>
              </w:rPr>
              <w:t>average</w:t>
            </w:r>
          </w:p>
        </w:tc>
        <w:tc>
          <w:tcPr>
            <w:tcW w:w="0" w:type="dxa"/>
            <w:vAlign w:val="bottom"/>
          </w:tcPr>
          <w:p>
            <w:pPr>
              <w:spacing w:after="0"/>
              <w:rPr>
                <w:sz w:val="1"/>
                <w:szCs w:val="1"/>
                <w:color w:val="auto"/>
              </w:rPr>
            </w:pPr>
          </w:p>
        </w:tc>
      </w:tr>
      <w:tr>
        <w:trPr>
          <w:trHeight w:val="161"/>
        </w:trPr>
        <w:tc>
          <w:tcPr>
            <w:tcW w:w="33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Warrants</w:t>
            </w:r>
          </w:p>
        </w:tc>
        <w:tc>
          <w:tcPr>
            <w:tcW w:w="20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2"/>
              </w:rPr>
              <w:t>exercise price</w:t>
            </w:r>
          </w:p>
        </w:tc>
        <w:tc>
          <w:tcPr>
            <w:tcW w:w="0" w:type="dxa"/>
            <w:vAlign w:val="bottom"/>
          </w:tcPr>
          <w:p>
            <w:pPr>
              <w:spacing w:after="0"/>
              <w:rPr>
                <w:sz w:val="1"/>
                <w:szCs w:val="1"/>
                <w:color w:val="auto"/>
              </w:rPr>
            </w:pPr>
          </w:p>
        </w:tc>
      </w:tr>
      <w:tr>
        <w:trPr>
          <w:trHeight w:val="169"/>
        </w:trPr>
        <w:tc>
          <w:tcPr>
            <w:tcW w:w="3320" w:type="dxa"/>
            <w:vAlign w:val="bottom"/>
            <w:tcBorders>
              <w:top w:val="single" w:sz="8" w:color="CCEEFF"/>
            </w:tcBorders>
            <w:shd w:val="clear" w:color="auto" w:fill="CCEEFF"/>
          </w:tcPr>
          <w:p>
            <w:pPr>
              <w:ind w:left="20"/>
              <w:spacing w:after="0" w:line="168" w:lineRule="exact"/>
              <w:rPr>
                <w:sz w:val="20"/>
                <w:szCs w:val="20"/>
                <w:color w:val="auto"/>
              </w:rPr>
            </w:pPr>
            <w:r>
              <w:rPr>
                <w:rFonts w:ascii="Arial" w:cs="Arial" w:eastAsia="Arial" w:hAnsi="Arial"/>
                <w:sz w:val="16"/>
                <w:szCs w:val="16"/>
                <w:color w:val="auto"/>
              </w:rPr>
              <w:t>Outstanding at December 31, 2019</w:t>
            </w:r>
          </w:p>
        </w:tc>
        <w:tc>
          <w:tcPr>
            <w:tcW w:w="320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line="168" w:lineRule="exact"/>
              <w:rPr>
                <w:sz w:val="20"/>
                <w:szCs w:val="20"/>
                <w:color w:val="auto"/>
              </w:rPr>
            </w:pPr>
            <w:r>
              <w:rPr>
                <w:rFonts w:ascii="Arial" w:cs="Arial" w:eastAsia="Arial" w:hAnsi="Arial"/>
                <w:sz w:val="16"/>
                <w:szCs w:val="16"/>
                <w:color w:val="auto"/>
              </w:rPr>
              <w:t>69,656</w:t>
            </w:r>
          </w:p>
        </w:tc>
        <w:tc>
          <w:tcPr>
            <w:tcW w:w="2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21"/>
              <w:spacing w:after="0" w:line="168" w:lineRule="exact"/>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line="168" w:lineRule="exact"/>
              <w:rPr>
                <w:sz w:val="20"/>
                <w:szCs w:val="20"/>
                <w:color w:val="auto"/>
              </w:rPr>
            </w:pPr>
            <w:r>
              <w:rPr>
                <w:rFonts w:ascii="Arial" w:cs="Arial" w:eastAsia="Arial" w:hAnsi="Arial"/>
                <w:sz w:val="16"/>
                <w:szCs w:val="16"/>
                <w:color w:val="auto"/>
              </w:rPr>
              <w:t>7.21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3320" w:type="dxa"/>
            <w:vAlign w:val="bottom"/>
          </w:tcPr>
          <w:p>
            <w:pPr>
              <w:ind w:left="200"/>
              <w:spacing w:after="0" w:line="177" w:lineRule="exact"/>
              <w:rPr>
                <w:sz w:val="20"/>
                <w:szCs w:val="20"/>
                <w:color w:val="auto"/>
              </w:rPr>
            </w:pPr>
            <w:r>
              <w:rPr>
                <w:rFonts w:ascii="Arial" w:cs="Arial" w:eastAsia="Arial" w:hAnsi="Arial"/>
                <w:sz w:val="16"/>
                <w:szCs w:val="16"/>
                <w:color w:val="auto"/>
              </w:rPr>
              <w:t>Issued</w:t>
            </w:r>
          </w:p>
        </w:tc>
        <w:tc>
          <w:tcPr>
            <w:tcW w:w="4120" w:type="dxa"/>
            <w:vAlign w:val="bottom"/>
            <w:gridSpan w:val="2"/>
          </w:tcPr>
          <w:p>
            <w:pPr>
              <w:jc w:val="right"/>
              <w:spacing w:after="0" w:line="177" w:lineRule="exact"/>
              <w:rPr>
                <w:sz w:val="20"/>
                <w:szCs w:val="20"/>
                <w:color w:val="auto"/>
              </w:rPr>
            </w:pPr>
            <w:r>
              <w:rPr>
                <w:rFonts w:ascii="Arial" w:cs="Arial" w:eastAsia="Arial" w:hAnsi="Arial"/>
                <w:sz w:val="16"/>
                <w:szCs w:val="16"/>
                <w:color w:val="auto"/>
              </w:rPr>
              <w:t>15,541</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spacing w:after="0" w:line="177" w:lineRule="exact"/>
              <w:rPr>
                <w:sz w:val="20"/>
                <w:szCs w:val="20"/>
                <w:color w:val="auto"/>
              </w:rPr>
            </w:pPr>
            <w:r>
              <w:rPr>
                <w:rFonts w:ascii="Arial" w:cs="Arial" w:eastAsia="Arial" w:hAnsi="Arial"/>
                <w:sz w:val="16"/>
                <w:szCs w:val="16"/>
                <w:color w:val="auto"/>
              </w:rPr>
              <w:t>80.43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320" w:type="dxa"/>
            <w:vAlign w:val="bottom"/>
            <w:shd w:val="clear" w:color="auto" w:fill="CCEEFF"/>
          </w:tcPr>
          <w:p>
            <w:pPr>
              <w:ind w:left="200"/>
              <w:spacing w:after="0" w:line="177" w:lineRule="exact"/>
              <w:rPr>
                <w:sz w:val="20"/>
                <w:szCs w:val="20"/>
                <w:color w:val="auto"/>
              </w:rPr>
            </w:pPr>
            <w:r>
              <w:rPr>
                <w:rFonts w:ascii="Arial" w:cs="Arial" w:eastAsia="Arial" w:hAnsi="Arial"/>
                <w:sz w:val="16"/>
                <w:szCs w:val="16"/>
                <w:color w:val="auto"/>
              </w:rPr>
              <w:t>Exercised</w:t>
            </w:r>
          </w:p>
        </w:tc>
        <w:tc>
          <w:tcPr>
            <w:tcW w:w="4320" w:type="dxa"/>
            <w:vAlign w:val="bottom"/>
            <w:gridSpan w:val="3"/>
            <w:shd w:val="clear" w:color="auto" w:fill="CCEEFF"/>
          </w:tcPr>
          <w:p>
            <w:pPr>
              <w:jc w:val="right"/>
              <w:ind w:right="180"/>
              <w:spacing w:after="0" w:line="177" w:lineRule="exact"/>
              <w:rPr>
                <w:sz w:val="20"/>
                <w:szCs w:val="20"/>
                <w:color w:val="auto"/>
              </w:rPr>
            </w:pPr>
            <w:r>
              <w:rPr>
                <w:rFonts w:ascii="Arial" w:cs="Arial" w:eastAsia="Arial" w:hAnsi="Arial"/>
                <w:sz w:val="16"/>
                <w:szCs w:val="16"/>
                <w:color w:val="auto"/>
              </w:rPr>
              <w:t>(69,656)</w:t>
            </w: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77" w:lineRule="exact"/>
              <w:rPr>
                <w:sz w:val="20"/>
                <w:szCs w:val="20"/>
                <w:color w:val="auto"/>
              </w:rPr>
            </w:pPr>
            <w:r>
              <w:rPr>
                <w:rFonts w:ascii="Arial" w:cs="Arial" w:eastAsia="Arial" w:hAnsi="Arial"/>
                <w:sz w:val="16"/>
                <w:szCs w:val="16"/>
                <w:color w:val="auto"/>
              </w:rPr>
              <w:t>7.21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320" w:type="dxa"/>
            <w:vAlign w:val="bottom"/>
          </w:tcPr>
          <w:p>
            <w:pPr>
              <w:ind w:left="20"/>
              <w:spacing w:after="0" w:line="168" w:lineRule="exact"/>
              <w:rPr>
                <w:sz w:val="20"/>
                <w:szCs w:val="20"/>
                <w:color w:val="auto"/>
              </w:rPr>
            </w:pPr>
            <w:r>
              <w:rPr>
                <w:rFonts w:ascii="Arial" w:cs="Arial" w:eastAsia="Arial" w:hAnsi="Arial"/>
                <w:sz w:val="16"/>
                <w:szCs w:val="16"/>
                <w:color w:val="auto"/>
              </w:rPr>
              <w:t>Outstanding at September 30, 2020</w:t>
            </w:r>
          </w:p>
        </w:tc>
        <w:tc>
          <w:tcPr>
            <w:tcW w:w="320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15,541</w:t>
            </w:r>
          </w:p>
        </w:tc>
        <w:tc>
          <w:tcPr>
            <w:tcW w:w="200" w:type="dxa"/>
            <w:vAlign w:val="bottom"/>
          </w:tcPr>
          <w:p>
            <w:pPr>
              <w:spacing w:after="0"/>
              <w:rPr>
                <w:sz w:val="14"/>
                <w:szCs w:val="14"/>
                <w:color w:val="auto"/>
              </w:rPr>
            </w:pPr>
          </w:p>
        </w:tc>
        <w:tc>
          <w:tcPr>
            <w:tcW w:w="200" w:type="dxa"/>
            <w:vAlign w:val="bottom"/>
            <w:tcBorders>
              <w:bottom w:val="single" w:sz="8" w:color="auto"/>
            </w:tcBorders>
          </w:tcPr>
          <w:p>
            <w:pPr>
              <w:jc w:val="right"/>
              <w:ind w:right="21"/>
              <w:spacing w:after="0" w:line="168" w:lineRule="exact"/>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80.43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3200" w:type="dxa"/>
            <w:vAlign w:val="bottom"/>
            <w:vMerge w:val="restart"/>
          </w:tcPr>
          <w:p>
            <w:pPr>
              <w:jc w:val="right"/>
              <w:ind w:right="1881"/>
              <w:spacing w:after="0"/>
              <w:rPr>
                <w:sz w:val="20"/>
                <w:szCs w:val="20"/>
                <w:color w:val="auto"/>
              </w:rPr>
            </w:pPr>
            <w:r>
              <w:rPr>
                <w:rFonts w:ascii="Arial" w:cs="Arial" w:eastAsia="Arial" w:hAnsi="Arial"/>
                <w:sz w:val="16"/>
                <w:szCs w:val="16"/>
                <w:color w:val="auto"/>
              </w:rPr>
              <w:t>19</w:t>
            </w: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7"/>
        </w:trPr>
        <w:tc>
          <w:tcPr>
            <w:tcW w:w="3320" w:type="dxa"/>
            <w:vAlign w:val="bottom"/>
          </w:tcPr>
          <w:p>
            <w:pPr>
              <w:spacing w:after="0"/>
              <w:rPr>
                <w:sz w:val="24"/>
                <w:szCs w:val="24"/>
                <w:color w:val="auto"/>
              </w:rPr>
            </w:pPr>
          </w:p>
        </w:tc>
        <w:tc>
          <w:tcPr>
            <w:tcW w:w="320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6"/>
        </w:trPr>
        <w:tc>
          <w:tcPr>
            <w:tcW w:w="33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69" w:right="1440" w:bottom="1440" w:gutter="0" w:footer="0" w:header="0"/>
        </w:sectPr>
      </w:pPr>
    </w:p>
    <w:bookmarkStart w:id="19" w:name="page20"/>
    <w:bookmarkEnd w:id="19"/>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Outstanding Warrants</w:t>
      </w:r>
    </w:p>
    <w:p>
      <w:pPr>
        <w:spacing w:after="0" w:line="170" w:lineRule="exact"/>
        <w:rPr>
          <w:sz w:val="20"/>
          <w:szCs w:val="20"/>
          <w:color w:val="auto"/>
        </w:rPr>
      </w:pPr>
    </w:p>
    <w:p>
      <w:pPr>
        <w:ind w:left="40" w:right="59" w:firstLine="566"/>
        <w:spacing w:after="0" w:line="297" w:lineRule="auto"/>
        <w:rPr>
          <w:sz w:val="20"/>
          <w:szCs w:val="20"/>
          <w:color w:val="auto"/>
        </w:rPr>
      </w:pPr>
      <w:r>
        <w:rPr>
          <w:rFonts w:ascii="Arial" w:cs="Arial" w:eastAsia="Arial" w:hAnsi="Arial"/>
          <w:sz w:val="13"/>
          <w:szCs w:val="13"/>
          <w:color w:val="auto"/>
        </w:rPr>
        <w:t>In connection with the first advance of the 2020 Term Loan, Hercules Capital Inc. received warrants to purchase an aggregate 15,541 shares of the Company’s common stock at an exercise price of $80.43 per share, which was the volume weighted average price of the Company’s common stock over the ten-day trading period immediately preceding the initial closing, subject to certain limited adjustments as specified in the warrant. The warrants are exercisable for seven years from the date of issuance. The warrants were classified as a component of stockholders’ equity. The relative fair value of the warrants of approximately $0.9 million at the time of issuance, which was determined using the Black-Scholes option-pricing model, was recorded as additional paid-in capital and reduced the carrying value of the debt. The discount on the debt is being amortized to interest expense over the term of the debt utilizing the effective interest rate method.</w:t>
      </w:r>
    </w:p>
    <w:p>
      <w:pPr>
        <w:spacing w:after="0" w:line="120"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Fully Exercised Warrants</w:t>
      </w:r>
    </w:p>
    <w:p>
      <w:pPr>
        <w:spacing w:after="0" w:line="170" w:lineRule="exact"/>
        <w:rPr>
          <w:sz w:val="20"/>
          <w:szCs w:val="20"/>
          <w:color w:val="auto"/>
        </w:rPr>
      </w:pPr>
    </w:p>
    <w:p>
      <w:pPr>
        <w:ind w:left="40" w:right="99" w:firstLine="566"/>
        <w:spacing w:after="0" w:line="295" w:lineRule="auto"/>
        <w:rPr>
          <w:sz w:val="20"/>
          <w:szCs w:val="20"/>
          <w:color w:val="auto"/>
        </w:rPr>
      </w:pPr>
      <w:r>
        <w:rPr>
          <w:rFonts w:ascii="Arial" w:cs="Arial" w:eastAsia="Arial" w:hAnsi="Arial"/>
          <w:sz w:val="13"/>
          <w:szCs w:val="13"/>
          <w:color w:val="auto"/>
        </w:rPr>
        <w:t>In connection with the 2016 Original Term Loan, SVB and Life Science Loans, LLC (“Life Science”) received warrants to purchase an aggregate of 65,228 shares of the Company’s common stock at an exercise price of $7.41 per share, which were exercisable for seven years from the date of issuance. The warrants were classified as a component of stockholders’ equity. In September 2019, SVB exercised in full the 32,614 warrants it received in connection with the 2016 Original Term Loan via a cashless exercise. The Company issued SVB 24,328 shares of its common stock in connection with the warrant exercise, and did not receive any cash proceeds. In addition, in May 2020, Life Science exercised in full the 32,614 warrants it received in connection with the 2016 Original Term Loan via a cashless exercise. The Company issued Life Science 29,982 shares of its common stock in connection with the warrant exercise and did not receive any cash proceeds. As of September 30, 2020, none of the warrants issued in connection with the 2016 Original Term Loan were outstanding.</w:t>
      </w:r>
    </w:p>
    <w:p>
      <w:pPr>
        <w:spacing w:after="0" w:line="122" w:lineRule="exact"/>
        <w:rPr>
          <w:sz w:val="20"/>
          <w:szCs w:val="20"/>
          <w:color w:val="auto"/>
        </w:rPr>
      </w:pPr>
    </w:p>
    <w:p>
      <w:pPr>
        <w:ind w:left="40" w:right="139" w:firstLine="566"/>
        <w:spacing w:after="0" w:line="292" w:lineRule="auto"/>
        <w:rPr>
          <w:sz w:val="20"/>
          <w:szCs w:val="20"/>
          <w:color w:val="auto"/>
        </w:rPr>
      </w:pPr>
      <w:r>
        <w:rPr>
          <w:rFonts w:ascii="Arial" w:cs="Arial" w:eastAsia="Arial" w:hAnsi="Arial"/>
          <w:sz w:val="13"/>
          <w:szCs w:val="13"/>
          <w:color w:val="auto"/>
        </w:rPr>
        <w:t>Additionally, in connection with the 2016 Amended Term Loan, SVB and WestRiver received warrants to purchase an aggregate 15,750 shares of the Company’s common stock at an exercise price of $3.06 per share, which were exercisable for seven years from the date of issuance. Both warrants issued in connection with the 2016 Original Term Loan and the 2016 Amended Term Loan were classified as a component of stockholders’ equity. Prior to entering into the 2019 Term Loan, the fair value of these warrants and the closing costs were recorded as debt discounts and were being amortized using the effective interest rate method over the term of the loan. In August 2019, SVB exercised in full the 7,875 warrants it received in connection with the 2016 Amended Term Loan via a cashless exercise. The Company issued SVB 6,969 shares of its common stock in connection with the warrant exercise, and did not receive any cash proceeds. In August 2020, WestRiver exercised in full the 7,875 warrants it received in connection with the 2016 Amended Term Loan via a cashless exercise. The Company issued SVB 7,579 shares of its common stock in connection with the warrant exercise, and did not receive any cash proceeds. As of September 30, 2020, none of the warrants issued in connection with the 2016 Amended Term Loan were outstanding.</w:t>
      </w:r>
    </w:p>
    <w:p>
      <w:pPr>
        <w:spacing w:after="0" w:line="126" w:lineRule="exact"/>
        <w:rPr>
          <w:sz w:val="20"/>
          <w:szCs w:val="20"/>
          <w:color w:val="auto"/>
        </w:rPr>
      </w:pPr>
    </w:p>
    <w:p>
      <w:pPr>
        <w:ind w:left="40" w:right="99" w:firstLine="566"/>
        <w:spacing w:after="0" w:line="241" w:lineRule="auto"/>
        <w:rPr>
          <w:sz w:val="20"/>
          <w:szCs w:val="20"/>
          <w:color w:val="auto"/>
        </w:rPr>
      </w:pPr>
      <w:r>
        <w:rPr>
          <w:rFonts w:ascii="Arial" w:cs="Arial" w:eastAsia="Arial" w:hAnsi="Arial"/>
          <w:sz w:val="16"/>
          <w:szCs w:val="16"/>
          <w:color w:val="auto"/>
        </w:rPr>
        <w:t>Due to the debt modification upon entry of the 2019 Term Loan, the unamortized balance of the deferred debt issuance costs incurred with the 2016 Amended Term Loan continued to be amortized through maturity in February 2023 along with the debt issuance costs of the 2019 Term Loan utilizing the effective interest rate method.</w:t>
      </w:r>
    </w:p>
    <w:p>
      <w:pPr>
        <w:spacing w:after="0" w:line="153" w:lineRule="exact"/>
        <w:rPr>
          <w:sz w:val="20"/>
          <w:szCs w:val="20"/>
          <w:color w:val="auto"/>
        </w:rPr>
      </w:pPr>
    </w:p>
    <w:p>
      <w:pPr>
        <w:ind w:left="40" w:right="39" w:firstLine="566"/>
        <w:spacing w:after="0" w:line="294" w:lineRule="auto"/>
        <w:rPr>
          <w:sz w:val="20"/>
          <w:szCs w:val="20"/>
          <w:color w:val="auto"/>
        </w:rPr>
      </w:pPr>
      <w:r>
        <w:rPr>
          <w:rFonts w:ascii="Arial" w:cs="Arial" w:eastAsia="Arial" w:hAnsi="Arial"/>
          <w:sz w:val="13"/>
          <w:szCs w:val="13"/>
          <w:color w:val="auto"/>
        </w:rPr>
        <w:t>In connection with the 2019 Term Loan, SVB and WestRiver received warrants to purchase an aggregate of 70,000 shares of the Company’s common stock at a price per share equal to $8.10 (the “March 2019 Warrants”). The warrants would initially be earned based upon the usage of the facility and are exercisable until March 4, 2026. The warrants were classified as a component of stockholder’s equity, of which 58,332 warrants were immediately exercisable and the remaining 11,668 warrants could be earned based on usage of the second tranche of the 2019 Term Loan. The additional warrants were initially immediately exercisable if and when the Term B Loan Advance was funded (however, the March 2019 Warrants were amended in connection with the First Amendment to the 2019 Term Loan, as discussed below). The relative fair value of the warrants of approximately $0.4 million at the time of issuance, which was determined using the Black-Scholes option-pricing model, was recorded as additional paid-in capital and reduced the carrying value of the debt. The discount on the debt is being amortized to interest expense over the term of the debt utilizing the effective interest rate method.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302895</wp:posOffset>
            </wp:positionV>
            <wp:extent cx="5682615" cy="222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82615" cy="22225"/>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20" w:name="page21"/>
    <w:bookmarkEnd w:id="20"/>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 w:right="119" w:firstLine="566"/>
        <w:spacing w:after="0" w:line="249" w:lineRule="auto"/>
        <w:rPr>
          <w:sz w:val="20"/>
          <w:szCs w:val="20"/>
          <w:color w:val="auto"/>
        </w:rPr>
      </w:pPr>
      <w:r>
        <w:rPr>
          <w:rFonts w:ascii="Arial" w:cs="Arial" w:eastAsia="Arial" w:hAnsi="Arial"/>
          <w:sz w:val="15"/>
          <w:szCs w:val="15"/>
          <w:color w:val="auto"/>
        </w:rPr>
        <w:t>In connection with the First Amendment to the 2019 Term Loan, the March 2019 Warrants were amended to fix the number of shares that may be issued upon exercise of each such March 2019 Warrant at 29,167 shares of common stock, and SVB and WestRiver were issued new warrants (the “July 2019 Warrants”), which were to become exercisable only upon funding of the Term B Loan Advance, to purchase 5,750 shares of the Company’s common stock at a price per share equal to $25.71. The July 2019 Warrants replaced the portion of the March 2019 Warrants that could originally be earned by SVB and WestRiver upon funding of the Term B Loan Advance. Because the Company did not draw down on the Term B Loan Advance by December 31, 2019, the July 2019 Warrants have been terminated. In December 2019, SVB exercised in full its portion of 29,167 warrants it received in connection with the 2019 Term Loan via a cashless exercise. The Company issued SVB 24,185 shares of its common stock in connection with the warrant exercise and did not receive any cash proceeds. In August 2020, WestRiver exercised in full its portion of 29,167 warrants it received in connection with the 2019 Term Loan via a cashless exercise. The Company issued SVB 26,270 shares of its common stock in connection with the warrant exercise and did not receive any cash proceeds. As of September 30, 2020, none of the warrants issued in connection with the First Amendment to the 2019 Term Loan were outstanding.</w:t>
      </w:r>
    </w:p>
    <w:p>
      <w:pPr>
        <w:spacing w:after="0" w:line="152" w:lineRule="exact"/>
        <w:rPr>
          <w:sz w:val="20"/>
          <w:szCs w:val="20"/>
          <w:color w:val="auto"/>
        </w:rPr>
      </w:pPr>
    </w:p>
    <w:p>
      <w:pPr>
        <w:ind w:left="40" w:right="299" w:firstLine="566"/>
        <w:spacing w:after="0" w:line="365" w:lineRule="auto"/>
        <w:rPr>
          <w:sz w:val="20"/>
          <w:szCs w:val="20"/>
          <w:color w:val="auto"/>
        </w:rPr>
      </w:pPr>
      <w:r>
        <w:rPr>
          <w:rFonts w:ascii="Arial" w:cs="Arial" w:eastAsia="Arial" w:hAnsi="Arial"/>
          <w:sz w:val="13"/>
          <w:szCs w:val="13"/>
          <w:color w:val="auto"/>
        </w:rPr>
        <w:t>In relation to the retirement of the 2019 Term Loan, the unamortized portion of the debt issuance costs from the issuance of these warrants were fully extinguished and are included in the $1.2 million loss on extinguishment of debt on the statement of operations.</w:t>
      </w:r>
    </w:p>
    <w:p>
      <w:pPr>
        <w:spacing w:after="0" w:line="24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Note 7. License Agreements</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Exclusive License Agreement with Pfizer</w:t>
      </w:r>
    </w:p>
    <w:p>
      <w:pPr>
        <w:spacing w:after="0" w:line="217" w:lineRule="exact"/>
        <w:rPr>
          <w:sz w:val="20"/>
          <w:szCs w:val="20"/>
          <w:color w:val="auto"/>
        </w:rPr>
      </w:pPr>
    </w:p>
    <w:p>
      <w:pPr>
        <w:ind w:left="40" w:right="39" w:firstLine="566"/>
        <w:spacing w:after="0" w:line="258" w:lineRule="auto"/>
        <w:rPr>
          <w:sz w:val="20"/>
          <w:szCs w:val="20"/>
          <w:color w:val="auto"/>
        </w:rPr>
      </w:pPr>
      <w:r>
        <w:rPr>
          <w:rFonts w:ascii="Arial" w:cs="Arial" w:eastAsia="Arial" w:hAnsi="Arial"/>
          <w:sz w:val="15"/>
          <w:szCs w:val="15"/>
          <w:color w:val="auto"/>
        </w:rPr>
        <w:t>In January 2020, the Company entered into an exclusive license agreement with Pfizer Inc. (“Pfizer”) for Pfizer’s clinical and nonclinical data, and intellectual property for reboxetine, the active pharmaceutical ingredient in AXS-12 which the Company is developing for the treatment of narcolepsy. The agreement also provides the Company exclusive rights to develop and commercialize esreboxetine, a new late-stage product candidate now referred to as AXS-14, in the U.S. for the treatment of fibromyalgia.</w:t>
      </w:r>
    </w:p>
    <w:p>
      <w:pPr>
        <w:spacing w:after="0" w:line="143" w:lineRule="exact"/>
        <w:rPr>
          <w:sz w:val="20"/>
          <w:szCs w:val="20"/>
          <w:color w:val="auto"/>
        </w:rPr>
      </w:pPr>
    </w:p>
    <w:p>
      <w:pPr>
        <w:ind w:left="40" w:right="79" w:firstLine="566"/>
        <w:spacing w:after="0" w:line="300" w:lineRule="auto"/>
        <w:rPr>
          <w:sz w:val="20"/>
          <w:szCs w:val="20"/>
          <w:color w:val="auto"/>
        </w:rPr>
      </w:pPr>
      <w:r>
        <w:rPr>
          <w:rFonts w:ascii="Arial" w:cs="Arial" w:eastAsia="Arial" w:hAnsi="Arial"/>
          <w:sz w:val="13"/>
          <w:szCs w:val="13"/>
          <w:color w:val="auto"/>
        </w:rPr>
        <w:t>Under the terms of the agreement, Pfizer received 82,019 shares of the Company’s common stock having a stated value of $8.0 million, based on the average closing price of the Company’s common stock for the ten prior trading days of $97.54, in consideration for the license and rights and also received an upfront cash payment of $3.0 million. The Company determined that the fair value of each share of common stock granted to Pfizer on the closing date of January 9, 2020 was $87.24, based on the closing price of the Company’s stock on that date. As a result, the fair value of the stock issued was $7.2 million and therefore, the total research and development expense recognized was $10.2 million related to the Pfizer license agreement during the nine months ended September 30, 2020.</w:t>
      </w:r>
    </w:p>
    <w:p>
      <w:pPr>
        <w:spacing w:after="0" w:line="117" w:lineRule="exact"/>
        <w:rPr>
          <w:sz w:val="20"/>
          <w:szCs w:val="20"/>
          <w:color w:val="auto"/>
        </w:rPr>
      </w:pPr>
    </w:p>
    <w:p>
      <w:pPr>
        <w:ind w:left="40" w:right="199" w:firstLine="566"/>
        <w:spacing w:after="0" w:line="324" w:lineRule="auto"/>
        <w:rPr>
          <w:sz w:val="20"/>
          <w:szCs w:val="20"/>
          <w:color w:val="auto"/>
        </w:rPr>
      </w:pPr>
      <w:r>
        <w:rPr>
          <w:rFonts w:ascii="Arial" w:cs="Arial" w:eastAsia="Arial" w:hAnsi="Arial"/>
          <w:sz w:val="13"/>
          <w:szCs w:val="13"/>
          <w:color w:val="auto"/>
        </w:rPr>
        <w:t>Pfizer can also receive up to $323 million in regulatory and sales milestones, and tiered mid-single to low double-digit royalties on future sales. Pfizer will also have a right of first negotiation on any potential future strategic transactions involving AXS-12 and AXS-14. During the nine months ended September 30, 2020, no milestone payments or royalties were paid to Pfizer by the Company.</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302895</wp:posOffset>
            </wp:positionV>
            <wp:extent cx="5682615" cy="222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82615" cy="22225"/>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21" w:name="page22"/>
    <w:bookmarkEnd w:id="21"/>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Exclusive License Agreements with Antecip</w:t>
      </w:r>
    </w:p>
    <w:p>
      <w:pPr>
        <w:spacing w:after="0" w:line="170" w:lineRule="exact"/>
        <w:rPr>
          <w:sz w:val="20"/>
          <w:szCs w:val="20"/>
          <w:color w:val="auto"/>
        </w:rPr>
      </w:pPr>
    </w:p>
    <w:p>
      <w:pPr>
        <w:ind w:left="40" w:right="59" w:firstLine="566"/>
        <w:spacing w:after="0" w:line="290" w:lineRule="auto"/>
        <w:rPr>
          <w:sz w:val="20"/>
          <w:szCs w:val="20"/>
          <w:color w:val="auto"/>
        </w:rPr>
      </w:pPr>
      <w:r>
        <w:rPr>
          <w:rFonts w:ascii="Arial" w:cs="Arial" w:eastAsia="Arial" w:hAnsi="Arial"/>
          <w:sz w:val="13"/>
          <w:szCs w:val="13"/>
          <w:color w:val="auto"/>
        </w:rPr>
        <w:t>In 2012, the Company entered into three exclusive license agreements with Antecip, in which it was granted exclusive licenses to develop, manufacture, and commercialize Antecip’s patents and applications related to the development of AXS-02, AXS-05, and AXS-04, a product candidate that is currently in early stage development, anywhere in the world for human therapeutic, veterinary, and diagnostic use. Pursuant to the agreements, the Company is required to use commercially reasonable efforts to develop, obtain regulatory approval for and commercialize AXS-02, AXS-05, and AXS-04. Under the terms of the agreements, the Company is required to pay to Antecip a royalty equal to 4.5% for AXS-02, 3.0% for AXS-05, and 1.5% for AXS-04, of net sales of products containing the licensed technology by the Company, its affiliates, or permitted sublicensees. These royalty payments are subject to reduction by an amount up to 50.0% of any required payments to third parties. Unless earlier terminated by a party for cause or by the Company for convenience, the agreements shall remain in effect on a product-by-product and country-by-country basis until the later to occur of (i) the applicable product is no longer covered by a valid claim in that country or (ii) 10 years from the first commercial sale of the applicable product in that country. Upon expiration of the agreements with respect to a product in a country, the Company’s license grant for that product in that country will become a fully paid-up, royalty-free, perpetual non-exclusive license. If Antecip terminates any of the agreements for cause, or if the Company exercises its right to terminate any of the agreements for convenience, the rights granted to the Company under such terminated agreement will revert to Antecip. To date, the Company has not been required to make any payments to Antecip under any of the license agreements.</w:t>
      </w:r>
    </w:p>
    <w:p>
      <w:pPr>
        <w:spacing w:after="0" w:line="304" w:lineRule="exact"/>
        <w:rPr>
          <w:sz w:val="20"/>
          <w:szCs w:val="20"/>
          <w:color w:val="auto"/>
        </w:rPr>
      </w:pPr>
    </w:p>
    <w:p>
      <w:pPr>
        <w:ind w:left="40" w:right="379" w:firstLine="566"/>
        <w:spacing w:after="0" w:line="251" w:lineRule="auto"/>
        <w:rPr>
          <w:sz w:val="20"/>
          <w:szCs w:val="20"/>
          <w:color w:val="auto"/>
        </w:rPr>
      </w:pPr>
      <w:r>
        <w:rPr>
          <w:rFonts w:ascii="Arial" w:cs="Arial" w:eastAsia="Arial" w:hAnsi="Arial"/>
          <w:sz w:val="16"/>
          <w:szCs w:val="16"/>
          <w:color w:val="auto"/>
        </w:rPr>
        <w:t>In connection with the 2020 Term Loan, the Company entered into a Direct Agreement with Antecip pursuant to which Antecip consented to the collateral assignment of the License Agreement to Hercules, among other things.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302895</wp:posOffset>
            </wp:positionV>
            <wp:extent cx="5682615" cy="222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82615" cy="22225"/>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22" w:name="page23"/>
    <w:bookmarkEnd w:id="22"/>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174" w:lineRule="exact"/>
        <w:rPr>
          <w:sz w:val="20"/>
          <w:szCs w:val="20"/>
          <w:color w:val="auto"/>
        </w:rPr>
      </w:pPr>
    </w:p>
    <w:p>
      <w:pPr>
        <w:ind w:left="40" w:right="79" w:firstLine="566"/>
        <w:spacing w:after="0" w:line="255" w:lineRule="auto"/>
        <w:rPr>
          <w:sz w:val="20"/>
          <w:szCs w:val="20"/>
          <w:color w:val="auto"/>
        </w:rPr>
      </w:pPr>
      <w:r>
        <w:rPr>
          <w:rFonts w:ascii="Arial" w:cs="Arial" w:eastAsia="Arial" w:hAnsi="Arial"/>
          <w:sz w:val="15"/>
          <w:szCs w:val="15"/>
          <w:i w:val="1"/>
          <w:iCs w:val="1"/>
          <w:color w:val="auto"/>
        </w:rPr>
        <w:t>The following discussion and analysis contains forward-looking statements about our plans and expectations of what may happen in the future. Forward-looking statements are based on a number of assumptions and estimates that are inherently subject to significant risks and uncertainties, and our results could differ materially from the results anticipated by our forward-looking statements as a result of many known or unknown factors, including, but not limited to, those factors discussed in “Risk Factors.” See also the “Cautionary Note Regarding Forward-Looking Statements” set forth at the beginning of this report.</w:t>
      </w:r>
    </w:p>
    <w:p>
      <w:pPr>
        <w:spacing w:after="0" w:line="145" w:lineRule="exact"/>
        <w:rPr>
          <w:sz w:val="20"/>
          <w:szCs w:val="20"/>
          <w:color w:val="auto"/>
        </w:rPr>
      </w:pPr>
    </w:p>
    <w:p>
      <w:pPr>
        <w:ind w:left="40" w:right="179" w:firstLine="566"/>
        <w:spacing w:after="0" w:line="258" w:lineRule="auto"/>
        <w:rPr>
          <w:sz w:val="20"/>
          <w:szCs w:val="20"/>
          <w:color w:val="auto"/>
        </w:rPr>
      </w:pPr>
      <w:r>
        <w:rPr>
          <w:rFonts w:ascii="Arial" w:cs="Arial" w:eastAsia="Arial" w:hAnsi="Arial"/>
          <w:sz w:val="15"/>
          <w:szCs w:val="15"/>
          <w:i w:val="1"/>
          <w:iCs w:val="1"/>
          <w:color w:val="auto"/>
        </w:rPr>
        <w:t>You should read the following discussion and analysis in conjunction with the unaudited interim consolidated financial statements, and the related footnotes thereto, appearing elsewhere in this report, and in conjunction with management’s discussion and analysis and the audited consolidated financial statements included in our Annual Report on Form 10-K for the year ended December 31, 2019 which was filed with the Securities and Exchange Commission, or SEC, on March 12, 2020</w:t>
      </w:r>
      <w:r>
        <w:rPr>
          <w:rFonts w:ascii="Arial" w:cs="Arial" w:eastAsia="Arial" w:hAnsi="Arial"/>
          <w:sz w:val="15"/>
          <w:szCs w:val="15"/>
          <w:color w:val="auto"/>
        </w:rPr>
        <w:t>.</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Overview</w:t>
      </w:r>
    </w:p>
    <w:p>
      <w:pPr>
        <w:spacing w:after="0" w:line="186" w:lineRule="exact"/>
        <w:rPr>
          <w:sz w:val="20"/>
          <w:szCs w:val="20"/>
          <w:color w:val="auto"/>
        </w:rPr>
      </w:pPr>
    </w:p>
    <w:p>
      <w:pPr>
        <w:ind w:left="40" w:right="119" w:firstLine="566"/>
        <w:spacing w:after="0" w:line="293" w:lineRule="auto"/>
        <w:rPr>
          <w:sz w:val="20"/>
          <w:szCs w:val="20"/>
          <w:color w:val="auto"/>
        </w:rPr>
      </w:pPr>
      <w:r>
        <w:rPr>
          <w:rFonts w:ascii="Arial" w:cs="Arial" w:eastAsia="Arial" w:hAnsi="Arial"/>
          <w:sz w:val="13"/>
          <w:szCs w:val="13"/>
          <w:color w:val="auto"/>
        </w:rPr>
        <w:t>We are a biopharmaceutical company developing novel therapies for the management of central nervous system, or CNS, disorders for which there are limited treatment options. For the many people facing unsatisfactory treatments for CNS disorders, we accelerate the invention and adoption of life-changing medicines. Our core CNS portfolio includes five CNS product candidates, AXS-05, AXS-07, AXS-09, AXS-12, and AXS-14 which are being developed for multiple indications. AXS-05 is being developed for the treatment of major depressive disorder (MDD), treatment resistant depression (TRD), Alzheimer’s disease (AD) agitation, and as an aid to smoking cessation treatment. AXS-07 is being developed for the acute treatment of migraine. AXS-12 is being developed for the treatment of narcolepsy. AXS-14 is being developed for the treatment of fibromyalgia. Additionally, we are currently evaluating other product candidates, such as AXS-09, which we intend to develop for CNS disorders. The Axsome Pain and Primary Care business unit, or Axsome PPC, houses our pain and primary care assets. We aim to become a fully integrated biopharmaceutical company that develops and commercializes differentiated therapies that expand the treatment options available and improves the lives of patients living with CNS disorders.</w:t>
      </w:r>
    </w:p>
    <w:p>
      <w:pPr>
        <w:spacing w:after="0" w:line="315" w:lineRule="exact"/>
        <w:rPr>
          <w:sz w:val="20"/>
          <w:szCs w:val="20"/>
          <w:color w:val="auto"/>
        </w:rPr>
      </w:pPr>
    </w:p>
    <w:p>
      <w:pPr>
        <w:ind w:left="40" w:right="59" w:firstLine="566"/>
        <w:spacing w:after="0" w:line="179" w:lineRule="exact"/>
        <w:rPr>
          <w:sz w:val="20"/>
          <w:szCs w:val="20"/>
          <w:color w:val="auto"/>
        </w:rPr>
      </w:pPr>
      <w:r>
        <w:rPr>
          <w:rFonts w:ascii="Arial" w:cs="Arial" w:eastAsia="Arial" w:hAnsi="Arial"/>
          <w:sz w:val="15"/>
          <w:szCs w:val="15"/>
          <w:color w:val="auto"/>
        </w:rPr>
        <w:t>AXS-05 is a novel, oral, investigational NMDA, or N-methyl-D-aspartate, receptor antagonist with multimodal activity under development for the treatment of CNS disorders. AXS-05 consists of a proprietary formulation and dose of bupropion and dextromethorphan, or DM, and utilizes our metabolic inhibition technology. The DM component of AXS-05 is a non-competitive NMDA, receptor antagonist, also known as a glutamate receptor modulator. The DM component of AXS-05 is also a sigma-1 receptor agonist, nicotinic acetylcholine receptor antagonist, and inhibitor of the serotonin and norepinephrine transporters. The bupropion component of AXS-05 serves to increase the bioavailability of dextromethorphan, and is a norepinephrine and dopamine reuptake inhibitor, and a nicotinic acetylcholine receptor antagonist. We intend to seek U.S. Food and Drug Administration, or FDA, approval for AXS</w:t>
      </w:r>
      <w:r>
        <w:rPr>
          <w:rFonts w:ascii="MS PGothic" w:cs="MS PGothic" w:eastAsia="MS PGothic" w:hAnsi="MS PGothic"/>
          <w:sz w:val="15"/>
          <w:szCs w:val="15"/>
          <w:color w:val="auto"/>
        </w:rPr>
        <w:t>‑</w:t>
      </w:r>
      <w:r>
        <w:rPr>
          <w:rFonts w:ascii="Arial" w:cs="Arial" w:eastAsia="Arial" w:hAnsi="Arial"/>
          <w:sz w:val="15"/>
          <w:szCs w:val="15"/>
          <w:color w:val="auto"/>
        </w:rPr>
        <w:t>05 utilizing the 505(b)(2) regulatory development pathway. AXS-05 has been granted FDA Breakthrough Therapy designation for both the treatment of MDD and the treatment of Alzheimer’s disease agitation, as well as Fast Track designations for the treatment of Alzheimer’s disease agitation and treatment resistant depression.</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302895</wp:posOffset>
            </wp:positionV>
            <wp:extent cx="5682615" cy="222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82615" cy="22225"/>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23" w:name="page24"/>
    <w:bookmarkEnd w:id="23"/>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 w:right="39" w:firstLine="566"/>
        <w:spacing w:after="0" w:line="291" w:lineRule="auto"/>
        <w:rPr>
          <w:sz w:val="20"/>
          <w:szCs w:val="20"/>
          <w:color w:val="auto"/>
        </w:rPr>
      </w:pPr>
      <w:r>
        <w:rPr>
          <w:rFonts w:ascii="Arial" w:cs="Arial" w:eastAsia="Arial" w:hAnsi="Arial"/>
          <w:sz w:val="13"/>
          <w:szCs w:val="13"/>
          <w:color w:val="auto"/>
        </w:rPr>
        <w:t>We have completed two pivotal, one Phase 2 and one Phase 3, trials of AXS-05 in MDD, which we refer to as the ASCEND and GEMINI trials, respectively. AXS-05 achieved the primary endpoint in both the ASCEND and GEMINI trials. We plan to submit a New Drug Application, or NDA, for AXS-05 for the treatment of MDD supported by the positive results from the ASCEND and GEMINI trials. A Phase 3, open-label, long-term safety study with AXS-05 in patients with MDD and TRD known as the COMET trial was recently completed. Additionally, three Phase 2 open-label efficacy sub-studies of the COMET trial have recently completed. These sub-studies evaluated the efficacy and safety of AXS-05 in three clinically pertinent MDD patient populations: the COMET-TRD trial in treatment resistant MDD (TRD), the COMET-AU trial in antidepressant unresponsive MDD, and the COMET-SI trial in MDD with suicidal ideation. We have completed a Phase 3 trial of AXS-05 in TRD, which we refer to as the STRIDE-1 trial, which met key secondary endpoints but did not reach statistical significance on the primary endpoint. Additionally, we have initiated the MERIT (Mechanistic Evaluation of Response in TRD) trial, a Phase 2, double-blind, placebo-controlled, randomized withdrawal study in patients with TRD. We have also completed a Phase 2/3 trial of AXS-05 in AD agitation, which we refer to as the ADVANCE-1 trial. AXS-05 achieved the primary endpoint in the ADVANCE-1 trial. AXS-05 is also being developed as an aid to smoking cessation treatment and a positive Phase 2 trial in this indication has been completed under a research collaboration between us and Duke University.</w:t>
      </w:r>
    </w:p>
    <w:p>
      <w:pPr>
        <w:spacing w:after="0" w:line="313" w:lineRule="exact"/>
        <w:rPr>
          <w:sz w:val="20"/>
          <w:szCs w:val="20"/>
          <w:color w:val="auto"/>
        </w:rPr>
      </w:pPr>
    </w:p>
    <w:p>
      <w:pPr>
        <w:ind w:left="40" w:right="99" w:firstLine="566"/>
        <w:spacing w:after="0" w:line="253" w:lineRule="auto"/>
        <w:rPr>
          <w:sz w:val="20"/>
          <w:szCs w:val="20"/>
          <w:color w:val="auto"/>
        </w:rPr>
      </w:pPr>
      <w:r>
        <w:rPr>
          <w:rFonts w:ascii="Arial" w:cs="Arial" w:eastAsia="Arial" w:hAnsi="Arial"/>
          <w:sz w:val="14"/>
          <w:szCs w:val="14"/>
          <w:color w:val="auto"/>
        </w:rPr>
        <w:t>AXS-07 is a novel, oral, rapidly absorbed, multi-mechanistic, investigational medicine under development for the acute treatment of migraine. AXS-07 consists of MoSEIC™, or Molecular Solubility Enhanced Inclusion Complex, meloxicam and rizatriptan. Meloxicam is a long-acting nonsteroidal anti-inflammatory drug, or NSAID, with COX-2, an enzyme involved in inflammation and pain pathways, preferential inhibition and potent pain-relieving effects. However, standard meloxicam has an extended time to maximum plasma concentration, or T</w:t>
      </w:r>
      <w:r>
        <w:rPr>
          <w:rFonts w:ascii="Arial" w:cs="Arial" w:eastAsia="Arial" w:hAnsi="Arial"/>
          <w:sz w:val="20"/>
          <w:szCs w:val="20"/>
          <w:color w:val="auto"/>
          <w:vertAlign w:val="subscript"/>
        </w:rPr>
        <w:t>max</w:t>
      </w:r>
      <w:r>
        <w:rPr>
          <w:rFonts w:ascii="Arial" w:cs="Arial" w:eastAsia="Arial" w:hAnsi="Arial"/>
          <w:sz w:val="14"/>
          <w:szCs w:val="14"/>
          <w:color w:val="auto"/>
        </w:rPr>
        <w:t>, which delays its onset of action. AXS-07 utilizes our proprietary MoSEIC™ technology to substantially increase the solubility and speed the absorption of meloxicam while potentially maintaining durability of action. Meloxicam is a new molecular entity for migraine enabled by our MoSEIC™ technology. Rizatriptan is a 5-HT</w:t>
      </w:r>
      <w:r>
        <w:rPr>
          <w:rFonts w:ascii="Arial" w:cs="Arial" w:eastAsia="Arial" w:hAnsi="Arial"/>
          <w:sz w:val="20"/>
          <w:szCs w:val="20"/>
          <w:color w:val="auto"/>
          <w:vertAlign w:val="subscript"/>
        </w:rPr>
        <w:t>1B/D</w:t>
      </w:r>
      <w:r>
        <w:rPr>
          <w:rFonts w:ascii="Arial" w:cs="Arial" w:eastAsia="Arial" w:hAnsi="Arial"/>
          <w:sz w:val="14"/>
          <w:szCs w:val="14"/>
          <w:color w:val="auto"/>
        </w:rPr>
        <w:t xml:space="preserve"> agonist that inhibits calcitonin gene-related peptide (CGRP)-mediated vasodilation, has been shown to have central trigeminal antinociceptive activity, and may reduce the release of inflammatory mediators from trigeminal nerves. Rizatriptan is approved as a single agent for the acute treatment of migraine. We intend to seek FDA approval for AXS-07 utilizing the 505(b)(2) regulatory development pathway.</w:t>
      </w:r>
    </w:p>
    <w:p>
      <w:pPr>
        <w:spacing w:after="0" w:line="162" w:lineRule="exact"/>
        <w:rPr>
          <w:sz w:val="20"/>
          <w:szCs w:val="20"/>
          <w:color w:val="auto"/>
        </w:rPr>
      </w:pPr>
    </w:p>
    <w:p>
      <w:pPr>
        <w:ind w:left="40" w:right="219" w:firstLine="566"/>
        <w:spacing w:after="0" w:line="310" w:lineRule="auto"/>
        <w:rPr>
          <w:sz w:val="20"/>
          <w:szCs w:val="20"/>
          <w:color w:val="auto"/>
        </w:rPr>
      </w:pPr>
      <w:r>
        <w:rPr>
          <w:rFonts w:ascii="Arial" w:cs="Arial" w:eastAsia="Arial" w:hAnsi="Arial"/>
          <w:sz w:val="13"/>
          <w:szCs w:val="13"/>
          <w:color w:val="auto"/>
        </w:rPr>
        <w:t>We have completed two Phase 3 trials of AXS-07 for the acute treatment of migraine, which we refer to as the MOMENTUM and INTERCEPT trials. AXS-07 achieved the co-primary endpoints in both the MOMENTUM and INTERCEPT trials. We plan to submit an NDA for AXS-07 for the acute treatment of migraine supported by the positive results from the MOMENTUM and INTERCEPT trials. An open-label, long-term, safety study of AXS-07 in patients with migraine known as the MOVEMENT trial has recently completed.</w:t>
      </w:r>
    </w:p>
    <w:p>
      <w:pPr>
        <w:spacing w:after="0" w:line="124" w:lineRule="exact"/>
        <w:rPr>
          <w:sz w:val="20"/>
          <w:szCs w:val="20"/>
          <w:color w:val="auto"/>
        </w:rPr>
      </w:pPr>
    </w:p>
    <w:p>
      <w:pPr>
        <w:ind w:left="40" w:right="99" w:firstLine="566"/>
        <w:spacing w:after="0" w:line="253" w:lineRule="auto"/>
        <w:rPr>
          <w:sz w:val="20"/>
          <w:szCs w:val="20"/>
          <w:color w:val="auto"/>
        </w:rPr>
      </w:pPr>
      <w:r>
        <w:rPr>
          <w:rFonts w:ascii="Arial" w:cs="Arial" w:eastAsia="Arial" w:hAnsi="Arial"/>
          <w:sz w:val="15"/>
          <w:szCs w:val="15"/>
          <w:color w:val="auto"/>
        </w:rPr>
        <w:t>AXS-09 is an oral, investigational NMDA receptor antagonist with multimodal activity consisting of esbupropion and DM, which is being developed for the treatment of CNS disorders. AXS-09 contains esbupropion, the chirally pure S-enantiomer of bupropion, as compared to the company’s first generation product candidate AXS-05 which contains racemic bupropion, equal amounts of the S- and R-enantiomers. We have demonstrated in a Phase 1 trial that DM plasma levels are substantially increased into a potentially therapeutic range with repeated administration of AXS-09. Results of this Phase 1 trial coupled with preclinical data also indicate the potential for enhanced absorption and therapeutic effect of the S-enantiomer as compared to the R-enantiomer.</w:t>
      </w:r>
    </w:p>
    <w:p>
      <w:pPr>
        <w:spacing w:after="0" w:line="159" w:lineRule="exact"/>
        <w:rPr>
          <w:sz w:val="20"/>
          <w:szCs w:val="20"/>
          <w:color w:val="auto"/>
        </w:rPr>
      </w:pPr>
    </w:p>
    <w:p>
      <w:pPr>
        <w:ind w:left="40" w:right="59" w:firstLine="566"/>
        <w:spacing w:after="0" w:line="238" w:lineRule="auto"/>
        <w:rPr>
          <w:sz w:val="20"/>
          <w:szCs w:val="20"/>
          <w:color w:val="auto"/>
        </w:rPr>
      </w:pPr>
      <w:r>
        <w:rPr>
          <w:rFonts w:ascii="Arial" w:cs="Arial" w:eastAsia="Arial" w:hAnsi="Arial"/>
          <w:sz w:val="16"/>
          <w:szCs w:val="16"/>
          <w:color w:val="auto"/>
        </w:rPr>
        <w:t>AXS-12, reboxetine, is a novel, oral, investigational medicine in development for the treatment of narcolepsy. AXS-12 is a highly selective and potent norepinephrine reuptake inhibitor. AXS-12 has been granted FDA Breakthrough Therapy designation and Orphan Drug Designation for the treatment of narcolepsy. We have completed a Phase 2 trial with AXS-12, which we refer to as the CONCERT trial. AXS-12 achieved the primary endpoint in the CONCERT trial.</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302895</wp:posOffset>
            </wp:positionV>
            <wp:extent cx="5682615" cy="222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82615" cy="22225"/>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24" w:name="page25"/>
    <w:bookmarkEnd w:id="24"/>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 w:right="259" w:firstLine="566"/>
        <w:spacing w:after="0" w:line="258" w:lineRule="auto"/>
        <w:rPr>
          <w:sz w:val="20"/>
          <w:szCs w:val="20"/>
          <w:color w:val="auto"/>
        </w:rPr>
      </w:pPr>
      <w:r>
        <w:rPr>
          <w:rFonts w:ascii="Arial" w:cs="Arial" w:eastAsia="Arial" w:hAnsi="Arial"/>
          <w:sz w:val="15"/>
          <w:szCs w:val="15"/>
          <w:color w:val="auto"/>
        </w:rPr>
        <w:t>AXS-14, esreboxetine, is a novel, oral, investigational medicine in development for the treatment of fibromyalgia. AXS-14 is a highly selective and potent norepinephrine reuptake inhibitor. We are initially developing esreboxetine for the treatment of fibromyalgia. Esreboxetine, the SS-enantiomer of reboxetine, is more potent and selective than racemic reboxetine. We have in-licensed data from Pfizer which includes a completed Phase 2 trial and Phase 3 trial in fibromyalgia, both of which were positive.</w:t>
      </w:r>
    </w:p>
    <w:p>
      <w:pPr>
        <w:spacing w:after="0" w:line="143" w:lineRule="exact"/>
        <w:rPr>
          <w:sz w:val="20"/>
          <w:szCs w:val="20"/>
          <w:color w:val="auto"/>
        </w:rPr>
      </w:pPr>
    </w:p>
    <w:p>
      <w:pPr>
        <w:ind w:left="40" w:right="339" w:firstLine="566"/>
        <w:spacing w:after="0" w:line="304" w:lineRule="auto"/>
        <w:rPr>
          <w:sz w:val="20"/>
          <w:szCs w:val="20"/>
          <w:color w:val="auto"/>
        </w:rPr>
      </w:pPr>
      <w:r>
        <w:rPr>
          <w:rFonts w:ascii="Arial" w:cs="Arial" w:eastAsia="Arial" w:hAnsi="Arial"/>
          <w:sz w:val="13"/>
          <w:szCs w:val="13"/>
          <w:color w:val="auto"/>
        </w:rPr>
        <w:t>Since our incorporation in January 2012, our operations to date have included organizing and staffing our company, business planning, raising capital, developing our compounds, and engaging in other discovery and preclinical activities. Prior to our initial public offering, or IPO, in November 2015, we financed our operations primarily through private placements of our convertible notes and subsequent to our IPO, through proceeds from sales of our common stock and warrants to purchase shares of our common stock to equity investors and debt borrowings. For a further discussion, see the section entitled “Liquidity and Capital Resources” below.</w:t>
      </w:r>
    </w:p>
    <w:p>
      <w:pPr>
        <w:spacing w:after="0" w:line="114" w:lineRule="exact"/>
        <w:rPr>
          <w:sz w:val="20"/>
          <w:szCs w:val="20"/>
          <w:color w:val="auto"/>
        </w:rPr>
      </w:pPr>
    </w:p>
    <w:p>
      <w:pPr>
        <w:ind w:left="40" w:right="119" w:firstLine="566"/>
        <w:spacing w:after="0" w:line="365" w:lineRule="auto"/>
        <w:rPr>
          <w:sz w:val="20"/>
          <w:szCs w:val="20"/>
          <w:color w:val="auto"/>
        </w:rPr>
      </w:pPr>
      <w:r>
        <w:rPr>
          <w:rFonts w:ascii="Arial" w:cs="Arial" w:eastAsia="Arial" w:hAnsi="Arial"/>
          <w:sz w:val="13"/>
          <w:szCs w:val="13"/>
          <w:color w:val="auto"/>
        </w:rPr>
        <w:t>Our ability to become profitable depends on our ability to generate revenue. We do not expect to generate significant revenue unless and until we or our collaborators obtain marketing approval for and successfully commercialize one of our product candidates.</w:t>
      </w:r>
    </w:p>
    <w:p>
      <w:pPr>
        <w:spacing w:after="0" w:line="76" w:lineRule="exact"/>
        <w:rPr>
          <w:sz w:val="20"/>
          <w:szCs w:val="20"/>
          <w:color w:val="auto"/>
        </w:rPr>
      </w:pPr>
    </w:p>
    <w:p>
      <w:pPr>
        <w:ind w:left="600"/>
        <w:spacing w:after="0"/>
        <w:rPr>
          <w:sz w:val="20"/>
          <w:szCs w:val="20"/>
          <w:color w:val="auto"/>
        </w:rPr>
      </w:pPr>
      <w:r>
        <w:rPr>
          <w:rFonts w:ascii="Arial" w:cs="Arial" w:eastAsia="Arial" w:hAnsi="Arial"/>
          <w:sz w:val="15"/>
          <w:szCs w:val="15"/>
          <w:color w:val="auto"/>
        </w:rPr>
        <w:t>We have incurred significant operating expenses and net losses since inception. We incurred net losses of $73.7 million and</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3"/>
          <w:szCs w:val="13"/>
          <w:color w:val="auto"/>
        </w:rPr>
        <w:t>$43.5 million for the nine months ended September 30, 2020 and 2019, respectively. Our accumulated deficit as of September 30, 2020 was</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3"/>
          <w:szCs w:val="13"/>
          <w:color w:val="auto"/>
        </w:rPr>
        <w:t>$249.6 million, and we expect to incur significant expenses and increasing operating losses for the foreseeable future. We expect to continue</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5"/>
          <w:szCs w:val="15"/>
          <w:color w:val="auto"/>
        </w:rPr>
        <w:t>to incur expenses in connection with the development of our product candidates, including with respect to conducting clinical trials and</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3"/>
          <w:szCs w:val="13"/>
          <w:color w:val="auto"/>
        </w:rPr>
        <w:t>seeking regulatory approval for our current product candidates and any other product candidates that we develop or in-license and advance to</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3"/>
          <w:szCs w:val="13"/>
          <w:color w:val="auto"/>
        </w:rPr>
        <w:t>clinical development. In preparation for obtaining regulatory approval for our product candidates, we expect to incur significant expenses in</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3"/>
          <w:szCs w:val="13"/>
          <w:color w:val="auto"/>
        </w:rPr>
        <w:t>order to create an infrastructure and market readiness to support the commercialization of the product candidate, including manufacturing,</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3"/>
          <w:szCs w:val="13"/>
          <w:color w:val="auto"/>
        </w:rPr>
        <w:t>sales, marketing, and distribution functions. Further, we have incurred and will continue to incur additional costs associated with operating as</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3"/>
          <w:szCs w:val="13"/>
          <w:color w:val="auto"/>
        </w:rPr>
        <w:t>a public company. Accordingly, we will need additional financing to support our continuing operations. We will seek to fund our operations</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3"/>
          <w:szCs w:val="13"/>
          <w:color w:val="auto"/>
        </w:rPr>
        <w:t>through public and/or private equity, debt financings or other sources. Adequate additional financing may not be available to us on acceptable</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3"/>
          <w:szCs w:val="13"/>
          <w:color w:val="auto"/>
        </w:rPr>
        <w:t>terms, or at all. Our failure to raise capital as and when needed would have a negative impact on our financial condition and our ability to</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6"/>
          <w:szCs w:val="16"/>
          <w:color w:val="auto"/>
        </w:rPr>
        <w:t>pursue our business strategy. We will need to generate significant revenue to achieve profitability, and we may never do so.</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Year to Date and Recent Developments</w:t>
      </w:r>
    </w:p>
    <w:p>
      <w:pPr>
        <w:spacing w:after="0" w:line="186"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AXS-05</w:t>
      </w:r>
    </w:p>
    <w:p>
      <w:pPr>
        <w:spacing w:after="0" w:line="182" w:lineRule="exact"/>
        <w:rPr>
          <w:sz w:val="20"/>
          <w:szCs w:val="20"/>
          <w:color w:val="auto"/>
        </w:rPr>
      </w:pPr>
    </w:p>
    <w:p>
      <w:pPr>
        <w:ind w:left="600"/>
        <w:spacing w:after="0"/>
        <w:rPr>
          <w:sz w:val="20"/>
          <w:szCs w:val="20"/>
          <w:color w:val="auto"/>
        </w:rPr>
      </w:pPr>
      <w:r>
        <w:rPr>
          <w:rFonts w:ascii="Arial" w:cs="Arial" w:eastAsia="Arial" w:hAnsi="Arial"/>
          <w:sz w:val="16"/>
          <w:szCs w:val="16"/>
          <w:color w:val="auto"/>
        </w:rPr>
        <w:t>In March 2020, we announced topline results of the STRIDE-1 Phase 3 trial of AXS-05 in TRD.</w:t>
      </w:r>
    </w:p>
    <w:p>
      <w:pPr>
        <w:spacing w:after="0" w:line="182" w:lineRule="exact"/>
        <w:rPr>
          <w:sz w:val="20"/>
          <w:szCs w:val="20"/>
          <w:color w:val="auto"/>
        </w:rPr>
      </w:pPr>
    </w:p>
    <w:p>
      <w:pPr>
        <w:ind w:left="600"/>
        <w:spacing w:after="0"/>
        <w:rPr>
          <w:sz w:val="20"/>
          <w:szCs w:val="20"/>
          <w:color w:val="auto"/>
        </w:rPr>
      </w:pPr>
      <w:r>
        <w:rPr>
          <w:rFonts w:ascii="Arial" w:cs="Arial" w:eastAsia="Arial" w:hAnsi="Arial"/>
          <w:sz w:val="15"/>
          <w:szCs w:val="15"/>
          <w:color w:val="auto"/>
        </w:rPr>
        <w:t>In April 2020, we announced that AXS-05 met the primary endpoint in the ADVANCE-1 Phase 2/3 trial in AD agitation.</w:t>
      </w:r>
    </w:p>
    <w:p>
      <w:pPr>
        <w:spacing w:after="0" w:line="19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In June 2020, we received FDA Breakthrough Therapy designation for AXS-05 for the treatment of AD agitation.</w:t>
      </w:r>
    </w:p>
    <w:p>
      <w:pPr>
        <w:spacing w:after="0" w:line="182" w:lineRule="exact"/>
        <w:rPr>
          <w:sz w:val="20"/>
          <w:szCs w:val="20"/>
          <w:color w:val="auto"/>
        </w:rPr>
      </w:pPr>
    </w:p>
    <w:p>
      <w:pPr>
        <w:ind w:left="600"/>
        <w:spacing w:after="0"/>
        <w:rPr>
          <w:sz w:val="20"/>
          <w:szCs w:val="20"/>
          <w:color w:val="auto"/>
        </w:rPr>
      </w:pPr>
      <w:r>
        <w:rPr>
          <w:rFonts w:ascii="Arial" w:cs="Arial" w:eastAsia="Arial" w:hAnsi="Arial"/>
          <w:sz w:val="16"/>
          <w:szCs w:val="16"/>
          <w:color w:val="auto"/>
        </w:rPr>
        <w:t>In July 2020, we completed a successful FDA pre-NDA meeting for AXS-05 for the treatment of MDD.</w:t>
      </w:r>
    </w:p>
    <w:p>
      <w:pPr>
        <w:spacing w:after="0" w:line="182" w:lineRule="exact"/>
        <w:rPr>
          <w:sz w:val="20"/>
          <w:szCs w:val="20"/>
          <w:color w:val="auto"/>
        </w:rPr>
      </w:pPr>
    </w:p>
    <w:p>
      <w:pPr>
        <w:ind w:left="40" w:right="299" w:firstLine="566"/>
        <w:spacing w:after="0" w:line="238" w:lineRule="auto"/>
        <w:rPr>
          <w:sz w:val="20"/>
          <w:szCs w:val="20"/>
          <w:color w:val="auto"/>
        </w:rPr>
      </w:pPr>
      <w:r>
        <w:rPr>
          <w:rFonts w:ascii="Arial" w:cs="Arial" w:eastAsia="Arial" w:hAnsi="Arial"/>
          <w:sz w:val="16"/>
          <w:szCs w:val="16"/>
          <w:color w:val="auto"/>
        </w:rPr>
        <w:t>In August 2020, we announced the initiation of three Phase 2 open-label efficacy sub-studies of our COMET trial which will evaluate the efficacy and safety of AXS-05 in three clinically pertinent MDD patient populations: (i) the COMET-TRD trial in treatment resistant MDD (TRD), (ii) the COMET-AU trial in antidepressant unresponsive MDD, and (iii) the COMET-SI trial in MDD with suicidal ideation.</w:t>
      </w:r>
    </w:p>
    <w:p>
      <w:pPr>
        <w:spacing w:after="0" w:line="166" w:lineRule="exact"/>
        <w:rPr>
          <w:sz w:val="20"/>
          <w:szCs w:val="20"/>
          <w:color w:val="auto"/>
        </w:rPr>
      </w:pPr>
    </w:p>
    <w:p>
      <w:pPr>
        <w:ind w:left="40" w:right="199" w:firstLine="566"/>
        <w:spacing w:after="0" w:line="251" w:lineRule="auto"/>
        <w:rPr>
          <w:sz w:val="20"/>
          <w:szCs w:val="20"/>
          <w:color w:val="auto"/>
        </w:rPr>
      </w:pPr>
      <w:r>
        <w:rPr>
          <w:rFonts w:ascii="Arial" w:cs="Arial" w:eastAsia="Arial" w:hAnsi="Arial"/>
          <w:sz w:val="16"/>
          <w:szCs w:val="16"/>
          <w:color w:val="auto"/>
        </w:rPr>
        <w:t>In August 2020, we announced our initiation of the MERIT (Mechanistic Evaluation of Response in TRD) trial, a Phase 2, double-blind, placebo-controlled, randomized withdrawal study in patients with TRD.</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302895</wp:posOffset>
            </wp:positionV>
            <wp:extent cx="5682615" cy="222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82615" cy="22225"/>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25" w:name="page26"/>
    <w:bookmarkEnd w:id="25"/>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 w:right="359" w:firstLine="566"/>
        <w:spacing w:after="0" w:line="251" w:lineRule="auto"/>
        <w:rPr>
          <w:sz w:val="20"/>
          <w:szCs w:val="20"/>
          <w:color w:val="auto"/>
        </w:rPr>
      </w:pPr>
      <w:r>
        <w:rPr>
          <w:rFonts w:ascii="Arial" w:cs="Arial" w:eastAsia="Arial" w:hAnsi="Arial"/>
          <w:sz w:val="16"/>
          <w:szCs w:val="16"/>
          <w:color w:val="auto"/>
        </w:rPr>
        <w:t>In August 2020, we confirmed pivotal status and advancement of AXS-05 for the treatment of AD agitation based on successful FDA Breakthrough Therapy meeting.</w:t>
      </w:r>
    </w:p>
    <w:p>
      <w:pPr>
        <w:spacing w:after="0" w:line="157" w:lineRule="exact"/>
        <w:rPr>
          <w:sz w:val="20"/>
          <w:szCs w:val="20"/>
          <w:color w:val="auto"/>
        </w:rPr>
      </w:pPr>
    </w:p>
    <w:p>
      <w:pPr>
        <w:ind w:left="40" w:right="559" w:firstLine="566"/>
        <w:spacing w:after="0" w:line="251" w:lineRule="auto"/>
        <w:rPr>
          <w:sz w:val="20"/>
          <w:szCs w:val="20"/>
          <w:color w:val="auto"/>
        </w:rPr>
      </w:pPr>
      <w:r>
        <w:rPr>
          <w:rFonts w:ascii="Arial" w:cs="Arial" w:eastAsia="Arial" w:hAnsi="Arial"/>
          <w:sz w:val="16"/>
          <w:szCs w:val="16"/>
          <w:color w:val="auto"/>
        </w:rPr>
        <w:t>In September 2020, we presented new data from our GEMINI Phase 3 trial with AXS-05 demonstrating rapid and significant improvements in patient-reported outcomes in MDD.</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AXS-07</w:t>
      </w:r>
    </w:p>
    <w:p>
      <w:pPr>
        <w:spacing w:after="0" w:line="182" w:lineRule="exact"/>
        <w:rPr>
          <w:sz w:val="20"/>
          <w:szCs w:val="20"/>
          <w:color w:val="auto"/>
        </w:rPr>
      </w:pPr>
    </w:p>
    <w:p>
      <w:pPr>
        <w:ind w:left="40" w:right="199" w:firstLine="566"/>
        <w:spacing w:after="0" w:line="188" w:lineRule="exact"/>
        <w:rPr>
          <w:sz w:val="20"/>
          <w:szCs w:val="20"/>
          <w:color w:val="auto"/>
        </w:rPr>
      </w:pPr>
      <w:r>
        <w:rPr>
          <w:rFonts w:ascii="Arial" w:cs="Arial" w:eastAsia="Arial" w:hAnsi="Arial"/>
          <w:sz w:val="16"/>
          <w:szCs w:val="16"/>
          <w:color w:val="auto"/>
        </w:rPr>
        <w:t>In April 2020, we announced that AXS-07 met the co</w:t>
      </w:r>
      <w:r>
        <w:rPr>
          <w:rFonts w:ascii="MS PGothic" w:cs="MS PGothic" w:eastAsia="MS PGothic" w:hAnsi="MS PGothic"/>
          <w:sz w:val="16"/>
          <w:szCs w:val="16"/>
          <w:color w:val="auto"/>
        </w:rPr>
        <w:t>‑</w:t>
      </w:r>
      <w:r>
        <w:rPr>
          <w:rFonts w:ascii="Arial" w:cs="Arial" w:eastAsia="Arial" w:hAnsi="Arial"/>
          <w:sz w:val="16"/>
          <w:szCs w:val="16"/>
          <w:color w:val="auto"/>
        </w:rPr>
        <w:t>primary endpoints in the INTERCEPT Phase 3 trial in the early treatment of migraine.</w:t>
      </w:r>
    </w:p>
    <w:p>
      <w:pPr>
        <w:spacing w:after="0" w:line="167" w:lineRule="exact"/>
        <w:rPr>
          <w:sz w:val="20"/>
          <w:szCs w:val="20"/>
          <w:color w:val="auto"/>
        </w:rPr>
      </w:pPr>
    </w:p>
    <w:p>
      <w:pPr>
        <w:ind w:left="40" w:right="519" w:firstLine="566"/>
        <w:spacing w:after="0" w:line="251" w:lineRule="auto"/>
        <w:rPr>
          <w:sz w:val="20"/>
          <w:szCs w:val="20"/>
          <w:color w:val="auto"/>
        </w:rPr>
      </w:pPr>
      <w:r>
        <w:rPr>
          <w:rFonts w:ascii="Arial" w:cs="Arial" w:eastAsia="Arial" w:hAnsi="Arial"/>
          <w:sz w:val="16"/>
          <w:szCs w:val="16"/>
          <w:color w:val="auto"/>
        </w:rPr>
        <w:t>In August 2020, we announced that we completed a successful FDA pre-NDA-meeting for AXS-07 for the acute treatment of migraine.</w:t>
      </w:r>
    </w:p>
    <w:p>
      <w:pPr>
        <w:spacing w:after="0" w:line="157" w:lineRule="exact"/>
        <w:rPr>
          <w:sz w:val="20"/>
          <w:szCs w:val="20"/>
          <w:color w:val="auto"/>
        </w:rPr>
      </w:pPr>
    </w:p>
    <w:p>
      <w:pPr>
        <w:ind w:left="40" w:right="179" w:firstLine="566"/>
        <w:spacing w:after="0" w:line="251" w:lineRule="auto"/>
        <w:rPr>
          <w:sz w:val="20"/>
          <w:szCs w:val="20"/>
          <w:color w:val="auto"/>
        </w:rPr>
      </w:pPr>
      <w:r>
        <w:rPr>
          <w:rFonts w:ascii="Arial" w:cs="Arial" w:eastAsia="Arial" w:hAnsi="Arial"/>
          <w:sz w:val="16"/>
          <w:szCs w:val="16"/>
          <w:color w:val="auto"/>
        </w:rPr>
        <w:t>In September 2020, we presented new data from our MOMENTUM Phase 3 trial with AXS-07 demonstrating rapid onset of action and reduced symptom recurrence in the acute treatment of migraine.</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AXS-12 and AXS-14</w:t>
      </w:r>
    </w:p>
    <w:p>
      <w:pPr>
        <w:spacing w:after="0" w:line="182" w:lineRule="exact"/>
        <w:rPr>
          <w:sz w:val="20"/>
          <w:szCs w:val="20"/>
          <w:color w:val="auto"/>
        </w:rPr>
      </w:pPr>
    </w:p>
    <w:p>
      <w:pPr>
        <w:ind w:left="40" w:right="39" w:firstLine="566"/>
        <w:spacing w:after="0" w:line="241" w:lineRule="auto"/>
        <w:rPr>
          <w:sz w:val="20"/>
          <w:szCs w:val="20"/>
          <w:color w:val="auto"/>
        </w:rPr>
      </w:pPr>
      <w:r>
        <w:rPr>
          <w:rFonts w:ascii="Arial" w:cs="Arial" w:eastAsia="Arial" w:hAnsi="Arial"/>
          <w:sz w:val="16"/>
          <w:szCs w:val="16"/>
          <w:color w:val="auto"/>
        </w:rPr>
        <w:t>In January 2020, we entered into an exclusive license agreement with Pfizer Inc. for Pfizer's clinical and nonclinical data, and intellectual property for reboxetine, the active pharmaceutical ingredient in AXS-12, and esreboxetine, the active pharmaceutical ingredient in AXS-14.</w:t>
      </w:r>
    </w:p>
    <w:p>
      <w:pPr>
        <w:spacing w:after="0" w:line="165" w:lineRule="exact"/>
        <w:rPr>
          <w:sz w:val="20"/>
          <w:szCs w:val="20"/>
          <w:color w:val="auto"/>
        </w:rPr>
      </w:pPr>
    </w:p>
    <w:p>
      <w:pPr>
        <w:ind w:left="600"/>
        <w:spacing w:after="0"/>
        <w:rPr>
          <w:sz w:val="20"/>
          <w:szCs w:val="20"/>
          <w:color w:val="auto"/>
        </w:rPr>
      </w:pPr>
      <w:r>
        <w:rPr>
          <w:rFonts w:ascii="Arial" w:cs="Arial" w:eastAsia="Arial" w:hAnsi="Arial"/>
          <w:sz w:val="16"/>
          <w:szCs w:val="16"/>
          <w:color w:val="auto"/>
        </w:rPr>
        <w:t>In August 2020, we received FDA Breakthrough Therapy designation for AXS-12 for the treatment of narcolepsy.</w:t>
      </w:r>
    </w:p>
    <w:p>
      <w:pPr>
        <w:spacing w:after="0" w:line="182" w:lineRule="exact"/>
        <w:rPr>
          <w:sz w:val="20"/>
          <w:szCs w:val="20"/>
          <w:color w:val="auto"/>
        </w:rPr>
      </w:pPr>
    </w:p>
    <w:p>
      <w:pPr>
        <w:ind w:left="40" w:right="659" w:firstLine="566"/>
        <w:spacing w:after="0" w:line="251" w:lineRule="auto"/>
        <w:rPr>
          <w:sz w:val="20"/>
          <w:szCs w:val="20"/>
          <w:color w:val="auto"/>
        </w:rPr>
      </w:pPr>
      <w:r>
        <w:rPr>
          <w:rFonts w:ascii="Arial" w:cs="Arial" w:eastAsia="Arial" w:hAnsi="Arial"/>
          <w:sz w:val="16"/>
          <w:szCs w:val="16"/>
          <w:color w:val="auto"/>
        </w:rPr>
        <w:t>In September 2020, we announced the expedited development of AXS-12 for the treatment of narcolepsy based on an FDA Breakthrough Therapy meeting.</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Corporate/Financings</w:t>
      </w:r>
    </w:p>
    <w:p>
      <w:pPr>
        <w:spacing w:after="0" w:line="182" w:lineRule="exact"/>
        <w:rPr>
          <w:sz w:val="20"/>
          <w:szCs w:val="20"/>
          <w:color w:val="auto"/>
        </w:rPr>
      </w:pPr>
    </w:p>
    <w:p>
      <w:pPr>
        <w:ind w:left="600"/>
        <w:spacing w:after="0"/>
        <w:rPr>
          <w:sz w:val="20"/>
          <w:szCs w:val="20"/>
          <w:color w:val="auto"/>
        </w:rPr>
      </w:pPr>
      <w:r>
        <w:rPr>
          <w:rFonts w:ascii="Arial" w:cs="Arial" w:eastAsia="Arial" w:hAnsi="Arial"/>
          <w:sz w:val="13"/>
          <w:szCs w:val="13"/>
          <w:color w:val="auto"/>
        </w:rPr>
        <w:t>In February 2020, we promoted Mark Jacobson from his role of Senior Vice President, Operations to the role of Chief Operating</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6"/>
          <w:szCs w:val="16"/>
          <w:color w:val="auto"/>
        </w:rPr>
        <w:t>Officer.</w:t>
      </w:r>
    </w:p>
    <w:p>
      <w:pPr>
        <w:spacing w:after="0" w:line="168" w:lineRule="exact"/>
        <w:rPr>
          <w:sz w:val="20"/>
          <w:szCs w:val="20"/>
          <w:color w:val="auto"/>
        </w:rPr>
      </w:pPr>
    </w:p>
    <w:p>
      <w:pPr>
        <w:ind w:left="40" w:right="899" w:firstLine="566"/>
        <w:spacing w:after="0" w:line="251" w:lineRule="auto"/>
        <w:rPr>
          <w:sz w:val="20"/>
          <w:szCs w:val="20"/>
          <w:color w:val="auto"/>
        </w:rPr>
      </w:pPr>
      <w:r>
        <w:rPr>
          <w:rFonts w:ascii="Arial" w:cs="Arial" w:eastAsia="Arial" w:hAnsi="Arial"/>
          <w:sz w:val="16"/>
          <w:szCs w:val="16"/>
          <w:color w:val="auto"/>
        </w:rPr>
        <w:t>In April 2020, we disclosed that Myrtle Potter will not stand for re-election as a director at our 2020 Annual Meeting of Stockholders because of her other professional responsibilities.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In June 2020, we entered into a 12-month lease at 22 Cortlandt Street, New York, NY 10007 effective as of August 1, 2020.</w:t>
      </w:r>
    </w:p>
    <w:p>
      <w:pPr>
        <w:spacing w:after="0" w:line="182" w:lineRule="exact"/>
        <w:rPr>
          <w:sz w:val="20"/>
          <w:szCs w:val="20"/>
          <w:color w:val="auto"/>
        </w:rPr>
      </w:pPr>
    </w:p>
    <w:p>
      <w:pPr>
        <w:ind w:left="40" w:right="679" w:firstLine="566"/>
        <w:spacing w:after="0" w:line="284" w:lineRule="auto"/>
        <w:rPr>
          <w:sz w:val="20"/>
          <w:szCs w:val="20"/>
          <w:color w:val="auto"/>
        </w:rPr>
      </w:pPr>
      <w:r>
        <w:rPr>
          <w:rFonts w:ascii="Arial" w:cs="Arial" w:eastAsia="Arial" w:hAnsi="Arial"/>
          <w:sz w:val="15"/>
          <w:szCs w:val="15"/>
          <w:color w:val="auto"/>
        </w:rPr>
        <w:t>In September 2020, we disclosed that David Marek agreed to continue his employment as Chief Commercial Officer of the Company through December 31, 2020. Mr. Marek intends to pursue other professional and personal endeavors.</w:t>
      </w:r>
    </w:p>
    <w:p>
      <w:pPr>
        <w:spacing w:after="0" w:line="134" w:lineRule="exact"/>
        <w:rPr>
          <w:sz w:val="20"/>
          <w:szCs w:val="20"/>
          <w:color w:val="auto"/>
        </w:rPr>
      </w:pPr>
    </w:p>
    <w:p>
      <w:pPr>
        <w:ind w:left="40" w:right="119" w:firstLine="566"/>
        <w:spacing w:after="0" w:line="251" w:lineRule="auto"/>
        <w:rPr>
          <w:sz w:val="20"/>
          <w:szCs w:val="20"/>
          <w:color w:val="auto"/>
        </w:rPr>
      </w:pPr>
      <w:r>
        <w:rPr>
          <w:rFonts w:ascii="Arial" w:cs="Arial" w:eastAsia="Arial" w:hAnsi="Arial"/>
          <w:sz w:val="16"/>
          <w:szCs w:val="16"/>
          <w:color w:val="auto"/>
        </w:rPr>
        <w:t>In September 2020, we entered into a $225 million term loan facility with Hercules Capital, Inc., or Hercules, and repaid and retired our term loan facility with Silicon Valley Bank, or SVB.</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Commercial</w:t>
      </w:r>
    </w:p>
    <w:p>
      <w:pPr>
        <w:spacing w:after="0" w:line="182" w:lineRule="exact"/>
        <w:rPr>
          <w:sz w:val="20"/>
          <w:szCs w:val="20"/>
          <w:color w:val="auto"/>
        </w:rPr>
      </w:pPr>
    </w:p>
    <w:p>
      <w:pPr>
        <w:ind w:left="40" w:right="339" w:firstLine="566"/>
        <w:spacing w:after="0" w:line="251" w:lineRule="auto"/>
        <w:rPr>
          <w:sz w:val="20"/>
          <w:szCs w:val="20"/>
          <w:color w:val="auto"/>
        </w:rPr>
      </w:pPr>
      <w:r>
        <w:rPr>
          <w:rFonts w:ascii="Arial" w:cs="Arial" w:eastAsia="Arial" w:hAnsi="Arial"/>
          <w:sz w:val="16"/>
          <w:szCs w:val="16"/>
          <w:color w:val="auto"/>
        </w:rPr>
        <w:t>In November 2020, we announced the partnership with Veeva Systems to build our Digital-Centric Commercialization (DCC™) platform.</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302895</wp:posOffset>
            </wp:positionV>
            <wp:extent cx="5682615" cy="222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82615" cy="22225"/>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26" w:name="page27"/>
    <w:bookmarkEnd w:id="26"/>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Financial Overview</w:t>
      </w:r>
    </w:p>
    <w:p>
      <w:pPr>
        <w:spacing w:after="0" w:line="186"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Revenue</w:t>
      </w:r>
    </w:p>
    <w:p>
      <w:pPr>
        <w:spacing w:after="0" w:line="182" w:lineRule="exact"/>
        <w:rPr>
          <w:sz w:val="20"/>
          <w:szCs w:val="20"/>
          <w:color w:val="auto"/>
        </w:rPr>
      </w:pPr>
    </w:p>
    <w:p>
      <w:pPr>
        <w:ind w:left="40" w:right="119" w:firstLine="566"/>
        <w:spacing w:after="0" w:line="297" w:lineRule="auto"/>
        <w:rPr>
          <w:sz w:val="20"/>
          <w:szCs w:val="20"/>
          <w:color w:val="auto"/>
        </w:rPr>
      </w:pPr>
      <w:r>
        <w:rPr>
          <w:rFonts w:ascii="Arial" w:cs="Arial" w:eastAsia="Arial" w:hAnsi="Arial"/>
          <w:sz w:val="13"/>
          <w:szCs w:val="13"/>
          <w:color w:val="auto"/>
        </w:rPr>
        <w:t>We have not generated any revenue since we commenced operations and we do not expect to generate any revenue in the near future. To the extent we enter into additional licensing or collaboration arrangements, we may have sources of revenue in the future. We expect that any revenue we generate will fluctuate from quarter to quarter as a result of the amount and timing of payments that we may recognize upon the sale of our product candidates, to the extent that any product candidates are successfully commercialized, and the amount and timing of fees, reimbursements, and milestone and other payments received under any future licensing or collaboration arrangements. If we fail to complete the development of our product candidates in a timely manner or obtain regulatory approval for them, our ability to generate future revenue, and our results of operations and financial position, would be materially and adversely affected.</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182" w:lineRule="exact"/>
        <w:rPr>
          <w:sz w:val="20"/>
          <w:szCs w:val="20"/>
          <w:color w:val="auto"/>
        </w:rPr>
      </w:pPr>
    </w:p>
    <w:p>
      <w:pPr>
        <w:ind w:left="40" w:right="139" w:firstLine="566"/>
        <w:spacing w:after="0" w:line="238" w:lineRule="auto"/>
        <w:rPr>
          <w:sz w:val="20"/>
          <w:szCs w:val="20"/>
          <w:color w:val="auto"/>
        </w:rPr>
      </w:pPr>
      <w:r>
        <w:rPr>
          <w:rFonts w:ascii="Arial" w:cs="Arial" w:eastAsia="Arial" w:hAnsi="Arial"/>
          <w:sz w:val="16"/>
          <w:szCs w:val="16"/>
          <w:color w:val="auto"/>
        </w:rPr>
        <w:t>Research and development expenses primarily include preclinical studies, clinical trials, manufacturing costs, regulatory costs, employee salaries and benefits, stock-based compensation expense; contract services, including external research and development expenses incurred under arrangements with third parties, such as contract research organizations, or CROs, facilities costs; overhead costs, depreciation, and other related costs.</w:t>
      </w:r>
    </w:p>
    <w:p>
      <w:pPr>
        <w:spacing w:after="0" w:line="166" w:lineRule="exact"/>
        <w:rPr>
          <w:sz w:val="20"/>
          <w:szCs w:val="20"/>
          <w:color w:val="auto"/>
        </w:rPr>
      </w:pPr>
    </w:p>
    <w:p>
      <w:pPr>
        <w:ind w:left="40" w:right="99" w:firstLine="566"/>
        <w:spacing w:after="0" w:line="292" w:lineRule="auto"/>
        <w:rPr>
          <w:sz w:val="20"/>
          <w:szCs w:val="20"/>
          <w:color w:val="auto"/>
        </w:rPr>
      </w:pPr>
      <w:r>
        <w:rPr>
          <w:rFonts w:ascii="Arial" w:cs="Arial" w:eastAsia="Arial" w:hAnsi="Arial"/>
          <w:sz w:val="13"/>
          <w:szCs w:val="13"/>
          <w:color w:val="auto"/>
        </w:rPr>
        <w:t>Research and development activities are central to our business model. We will incur substantial costs beyond our present and planned clinical trials in order to file a New Drug Application, or an NDA, for any of our product candidates. It is difficult to determine with certainty the costs and duration of our current or future clinical trials and preclinical studies, or if, when, or to what extent we will generate revenue from the commercialization and sale of our product candidates if we obtain regulatory approval. We may never succeed in achieving regulatory approval. The duration, costs, and timing of clinical trials and development of our product candidates will depend on a variety of factors, including the uncertainties of future clinical trials and preclinical studies, uncertainties in clinical trial enrollment rate, and significant and changing government regulation. In addition, the probability of success for each product candidate will depend on numerous factors, including competition, manufacturing capability, and commercial viability. We will determine which programs to pursue and how much to fund each program in response to the scientific and clinical success of each product candidate, as well as an assessment of each product candidate’s commercial potential. Management considers many factors in developing the estimates and assumptions that are used in the preparation of our unaudited interim consolidated financial statements.</w:t>
      </w:r>
    </w:p>
    <w:p>
      <w:pPr>
        <w:spacing w:after="0" w:line="315" w:lineRule="exact"/>
        <w:rPr>
          <w:sz w:val="20"/>
          <w:szCs w:val="20"/>
          <w:color w:val="auto"/>
        </w:rPr>
      </w:pPr>
    </w:p>
    <w:p>
      <w:pPr>
        <w:ind w:left="40" w:right="219" w:firstLine="566"/>
        <w:spacing w:after="0" w:line="252" w:lineRule="auto"/>
        <w:rPr>
          <w:sz w:val="20"/>
          <w:szCs w:val="20"/>
          <w:color w:val="auto"/>
        </w:rPr>
      </w:pPr>
      <w:r>
        <w:rPr>
          <w:rFonts w:ascii="Arial" w:cs="Arial" w:eastAsia="Arial" w:hAnsi="Arial"/>
          <w:sz w:val="15"/>
          <w:szCs w:val="15"/>
          <w:color w:val="auto"/>
        </w:rPr>
        <w:t>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This process may result in actual results differing materially from those estimated amounts used in the preparation of our unaudited interim consolidated financial statements if these results differ from historical experience, or other assumptions do not turn out to be substantially accurate, even if such assumptions are reasonable when made.</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302895</wp:posOffset>
            </wp:positionV>
            <wp:extent cx="5682615" cy="222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82615" cy="22225"/>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27" w:name="page28"/>
    <w:bookmarkEnd w:id="27"/>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 w:right="339" w:firstLine="566"/>
        <w:spacing w:after="0" w:line="251" w:lineRule="auto"/>
        <w:rPr>
          <w:sz w:val="20"/>
          <w:szCs w:val="20"/>
          <w:color w:val="auto"/>
        </w:rPr>
      </w:pPr>
      <w:r>
        <w:rPr>
          <w:rFonts w:ascii="Arial" w:cs="Arial" w:eastAsia="Arial" w:hAnsi="Arial"/>
          <w:sz w:val="16"/>
          <w:szCs w:val="16"/>
          <w:color w:val="auto"/>
        </w:rPr>
        <w:t>The following table summarizes our research and development expenses for our primary programs for the three and nine months ended September 30, 2020 and 2019:</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4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60" w:type="dxa"/>
            <w:vAlign w:val="bottom"/>
            <w:gridSpan w:val="3"/>
          </w:tcPr>
          <w:p>
            <w:pPr>
              <w:jc w:val="right"/>
              <w:ind w:right="443"/>
              <w:spacing w:after="0"/>
              <w:rPr>
                <w:sz w:val="20"/>
                <w:szCs w:val="20"/>
                <w:color w:val="auto"/>
              </w:rPr>
            </w:pPr>
            <w:r>
              <w:rPr>
                <w:rFonts w:ascii="Arial" w:cs="Arial" w:eastAsia="Arial" w:hAnsi="Arial"/>
                <w:sz w:val="13"/>
                <w:szCs w:val="13"/>
                <w:b w:val="1"/>
                <w:bCs w:val="1"/>
                <w:color w:val="auto"/>
              </w:rPr>
              <w:t>Three months ended</w:t>
            </w:r>
          </w:p>
        </w:tc>
        <w:tc>
          <w:tcPr>
            <w:tcW w:w="220" w:type="dxa"/>
            <w:vAlign w:val="bottom"/>
          </w:tcPr>
          <w:p>
            <w:pPr>
              <w:spacing w:after="0"/>
              <w:rPr>
                <w:sz w:val="13"/>
                <w:szCs w:val="13"/>
                <w:color w:val="auto"/>
              </w:rPr>
            </w:pPr>
          </w:p>
        </w:tc>
        <w:tc>
          <w:tcPr>
            <w:tcW w:w="2020" w:type="dxa"/>
            <w:vAlign w:val="bottom"/>
            <w:gridSpan w:val="4"/>
          </w:tcPr>
          <w:p>
            <w:pPr>
              <w:jc w:val="center"/>
              <w:ind w:right="220"/>
              <w:spacing w:after="0"/>
              <w:rPr>
                <w:sz w:val="20"/>
                <w:szCs w:val="20"/>
                <w:color w:val="auto"/>
              </w:rPr>
            </w:pPr>
            <w:r>
              <w:rPr>
                <w:rFonts w:ascii="Arial" w:cs="Arial" w:eastAsia="Arial" w:hAnsi="Arial"/>
                <w:sz w:val="13"/>
                <w:szCs w:val="13"/>
                <w:b w:val="1"/>
                <w:bCs w:val="1"/>
                <w:color w:val="auto"/>
                <w:w w:val="86"/>
              </w:rPr>
              <w:t>Nine months ended</w:t>
            </w:r>
          </w:p>
        </w:tc>
      </w:tr>
      <w:tr>
        <w:trPr>
          <w:trHeight w:val="161"/>
        </w:trPr>
        <w:tc>
          <w:tcPr>
            <w:tcW w:w="4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gridSpan w:val="3"/>
          </w:tcPr>
          <w:p>
            <w:pPr>
              <w:jc w:val="right"/>
              <w:ind w:right="623"/>
              <w:spacing w:after="0"/>
              <w:rPr>
                <w:sz w:val="20"/>
                <w:szCs w:val="20"/>
                <w:color w:val="auto"/>
              </w:rPr>
            </w:pPr>
            <w:r>
              <w:rPr>
                <w:rFonts w:ascii="Arial" w:cs="Arial" w:eastAsia="Arial" w:hAnsi="Arial"/>
                <w:sz w:val="13"/>
                <w:szCs w:val="13"/>
                <w:b w:val="1"/>
                <w:bCs w:val="1"/>
                <w:color w:val="auto"/>
              </w:rPr>
              <w:t>September 30,</w:t>
            </w:r>
          </w:p>
        </w:tc>
        <w:tc>
          <w:tcPr>
            <w:tcW w:w="220" w:type="dxa"/>
            <w:vAlign w:val="bottom"/>
          </w:tcPr>
          <w:p>
            <w:pPr>
              <w:spacing w:after="0"/>
              <w:rPr>
                <w:sz w:val="14"/>
                <w:szCs w:val="14"/>
                <w:color w:val="auto"/>
              </w:rPr>
            </w:pPr>
          </w:p>
        </w:tc>
        <w:tc>
          <w:tcPr>
            <w:tcW w:w="2020" w:type="dxa"/>
            <w:vAlign w:val="bottom"/>
            <w:gridSpan w:val="4"/>
          </w:tcPr>
          <w:p>
            <w:pPr>
              <w:jc w:val="center"/>
              <w:ind w:right="260"/>
              <w:spacing w:after="0"/>
              <w:rPr>
                <w:sz w:val="20"/>
                <w:szCs w:val="20"/>
                <w:color w:val="auto"/>
              </w:rPr>
            </w:pPr>
            <w:r>
              <w:rPr>
                <w:rFonts w:ascii="Arial" w:cs="Arial" w:eastAsia="Arial" w:hAnsi="Arial"/>
                <w:sz w:val="13"/>
                <w:szCs w:val="13"/>
                <w:b w:val="1"/>
                <w:bCs w:val="1"/>
                <w:color w:val="auto"/>
                <w:w w:val="85"/>
              </w:rPr>
              <w:t>September 30,</w:t>
            </w:r>
          </w:p>
        </w:tc>
      </w:tr>
      <w:tr>
        <w:trPr>
          <w:trHeight w:val="546"/>
        </w:trPr>
        <w:tc>
          <w:tcPr>
            <w:tcW w:w="4520" w:type="dxa"/>
            <w:vAlign w:val="bottom"/>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ind w:right="326"/>
              <w:spacing w:after="0"/>
              <w:rPr>
                <w:sz w:val="20"/>
                <w:szCs w:val="20"/>
                <w:color w:val="auto"/>
              </w:rPr>
            </w:pPr>
            <w:r>
              <w:rPr>
                <w:rFonts w:ascii="Arial" w:cs="Arial" w:eastAsia="Arial" w:hAnsi="Arial"/>
                <w:sz w:val="13"/>
                <w:szCs w:val="13"/>
                <w:b w:val="1"/>
                <w:bCs w:val="1"/>
                <w:color w:val="auto"/>
              </w:rPr>
              <w:t>2020</w:t>
            </w:r>
          </w:p>
        </w:tc>
        <w:tc>
          <w:tcPr>
            <w:tcW w:w="24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ind w:right="323"/>
              <w:spacing w:after="0"/>
              <w:rPr>
                <w:sz w:val="20"/>
                <w:szCs w:val="20"/>
                <w:color w:val="auto"/>
              </w:rPr>
            </w:pPr>
            <w:r>
              <w:rPr>
                <w:rFonts w:ascii="Arial" w:cs="Arial" w:eastAsia="Arial" w:hAnsi="Arial"/>
                <w:sz w:val="13"/>
                <w:szCs w:val="13"/>
                <w:b w:val="1"/>
                <w:bCs w:val="1"/>
                <w:color w:val="auto"/>
              </w:rPr>
              <w:t>2019</w:t>
            </w:r>
          </w:p>
        </w:tc>
        <w:tc>
          <w:tcPr>
            <w:tcW w:w="22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ind w:right="306"/>
              <w:spacing w:after="0"/>
              <w:rPr>
                <w:sz w:val="20"/>
                <w:szCs w:val="20"/>
                <w:color w:val="auto"/>
              </w:rPr>
            </w:pPr>
            <w:r>
              <w:rPr>
                <w:rFonts w:ascii="Arial" w:cs="Arial" w:eastAsia="Arial" w:hAnsi="Arial"/>
                <w:sz w:val="13"/>
                <w:szCs w:val="13"/>
                <w:b w:val="1"/>
                <w:bCs w:val="1"/>
                <w:color w:val="auto"/>
              </w:rPr>
              <w:t>2020</w:t>
            </w:r>
          </w:p>
        </w:tc>
        <w:tc>
          <w:tcPr>
            <w:tcW w:w="24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3"/>
                <w:szCs w:val="13"/>
                <w:b w:val="1"/>
                <w:bCs w:val="1"/>
                <w:color w:val="auto"/>
              </w:rPr>
              <w:t>2019</w:t>
            </w:r>
          </w:p>
        </w:tc>
        <w:tc>
          <w:tcPr>
            <w:tcW w:w="20" w:type="dxa"/>
            <w:vAlign w:val="bottom"/>
          </w:tcPr>
          <w:p>
            <w:pPr>
              <w:spacing w:after="0"/>
              <w:rPr>
                <w:sz w:val="24"/>
                <w:szCs w:val="24"/>
                <w:color w:val="auto"/>
              </w:rPr>
            </w:pPr>
          </w:p>
        </w:tc>
      </w:tr>
      <w:tr>
        <w:trPr>
          <w:trHeight w:val="133"/>
        </w:trPr>
        <w:tc>
          <w:tcPr>
            <w:tcW w:w="4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77"/>
        </w:trPr>
        <w:tc>
          <w:tcPr>
            <w:tcW w:w="4520" w:type="dxa"/>
            <w:vAlign w:val="bottom"/>
            <w:shd w:val="clear" w:color="auto" w:fill="CCEEFF"/>
          </w:tcPr>
          <w:p>
            <w:pPr>
              <w:ind w:left="200"/>
              <w:spacing w:after="0" w:line="177" w:lineRule="exact"/>
              <w:rPr>
                <w:sz w:val="20"/>
                <w:szCs w:val="20"/>
                <w:color w:val="auto"/>
              </w:rPr>
            </w:pPr>
            <w:r>
              <w:rPr>
                <w:rFonts w:ascii="Arial" w:cs="Arial" w:eastAsia="Arial" w:hAnsi="Arial"/>
                <w:sz w:val="16"/>
                <w:szCs w:val="16"/>
                <w:color w:val="auto"/>
              </w:rPr>
              <w:t>AXS-05</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177" w:lineRule="exact"/>
              <w:rPr>
                <w:sz w:val="20"/>
                <w:szCs w:val="20"/>
                <w:color w:val="auto"/>
              </w:rPr>
            </w:pPr>
            <w:r>
              <w:rPr>
                <w:rFonts w:ascii="Arial" w:cs="Arial" w:eastAsia="Arial" w:hAnsi="Arial"/>
                <w:sz w:val="16"/>
                <w:szCs w:val="16"/>
                <w:color w:val="auto"/>
              </w:rPr>
              <w:t>8,449,823</w:t>
            </w:r>
          </w:p>
        </w:tc>
        <w:tc>
          <w:tcPr>
            <w:tcW w:w="240" w:type="dxa"/>
            <w:vAlign w:val="bottom"/>
            <w:shd w:val="clear" w:color="auto" w:fill="CCEEFF"/>
          </w:tcPr>
          <w:p>
            <w:pPr>
              <w:jc w:val="right"/>
              <w:ind w:right="61"/>
              <w:spacing w:after="0" w:line="177" w:lineRule="exact"/>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line="177" w:lineRule="exact"/>
              <w:rPr>
                <w:sz w:val="20"/>
                <w:szCs w:val="20"/>
                <w:color w:val="auto"/>
              </w:rPr>
            </w:pPr>
            <w:r>
              <w:rPr>
                <w:rFonts w:ascii="Arial" w:cs="Arial" w:eastAsia="Arial" w:hAnsi="Arial"/>
                <w:sz w:val="16"/>
                <w:szCs w:val="16"/>
                <w:color w:val="auto"/>
              </w:rPr>
              <w:t>7,829,826</w:t>
            </w:r>
          </w:p>
        </w:tc>
        <w:tc>
          <w:tcPr>
            <w:tcW w:w="220" w:type="dxa"/>
            <w:vAlign w:val="bottom"/>
            <w:shd w:val="clear" w:color="auto" w:fill="CCEEFF"/>
          </w:tcPr>
          <w:p>
            <w:pPr>
              <w:jc w:val="right"/>
              <w:ind w:right="41"/>
              <w:spacing w:after="0" w:line="177" w:lineRule="exact"/>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line="177" w:lineRule="exact"/>
              <w:rPr>
                <w:sz w:val="20"/>
                <w:szCs w:val="20"/>
                <w:color w:val="auto"/>
              </w:rPr>
            </w:pPr>
            <w:r>
              <w:rPr>
                <w:rFonts w:ascii="Arial" w:cs="Arial" w:eastAsia="Arial" w:hAnsi="Arial"/>
                <w:sz w:val="16"/>
                <w:szCs w:val="16"/>
                <w:color w:val="auto"/>
              </w:rPr>
              <w:t>23,025,122</w:t>
            </w:r>
          </w:p>
        </w:tc>
        <w:tc>
          <w:tcPr>
            <w:tcW w:w="240" w:type="dxa"/>
            <w:vAlign w:val="bottom"/>
            <w:shd w:val="clear" w:color="auto" w:fill="CCEEFF"/>
          </w:tcPr>
          <w:p>
            <w:pPr>
              <w:jc w:val="right"/>
              <w:ind w:right="41"/>
              <w:spacing w:after="0" w:line="177" w:lineRule="exact"/>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line="177" w:lineRule="exact"/>
              <w:rPr>
                <w:sz w:val="20"/>
                <w:szCs w:val="20"/>
                <w:color w:val="auto"/>
              </w:rPr>
            </w:pPr>
            <w:r>
              <w:rPr>
                <w:rFonts w:ascii="Arial" w:cs="Arial" w:eastAsia="Arial" w:hAnsi="Arial"/>
                <w:sz w:val="16"/>
                <w:szCs w:val="16"/>
                <w:color w:val="auto"/>
              </w:rPr>
              <w:t>15,491,879</w:t>
            </w:r>
          </w:p>
        </w:tc>
        <w:tc>
          <w:tcPr>
            <w:tcW w:w="20" w:type="dxa"/>
            <w:vAlign w:val="bottom"/>
            <w:shd w:val="clear" w:color="auto" w:fill="CCEEFF"/>
          </w:tcPr>
          <w:p>
            <w:pPr>
              <w:spacing w:after="0"/>
              <w:rPr>
                <w:sz w:val="15"/>
                <w:szCs w:val="15"/>
                <w:color w:val="auto"/>
              </w:rPr>
            </w:pPr>
          </w:p>
        </w:tc>
      </w:tr>
      <w:tr>
        <w:trPr>
          <w:trHeight w:val="177"/>
        </w:trPr>
        <w:tc>
          <w:tcPr>
            <w:tcW w:w="4520" w:type="dxa"/>
            <w:vAlign w:val="bottom"/>
          </w:tcPr>
          <w:p>
            <w:pPr>
              <w:ind w:left="200"/>
              <w:spacing w:after="0" w:line="177" w:lineRule="exact"/>
              <w:rPr>
                <w:sz w:val="20"/>
                <w:szCs w:val="20"/>
                <w:color w:val="auto"/>
              </w:rPr>
            </w:pPr>
            <w:r>
              <w:rPr>
                <w:rFonts w:ascii="Arial" w:cs="Arial" w:eastAsia="Arial" w:hAnsi="Arial"/>
                <w:sz w:val="16"/>
                <w:szCs w:val="16"/>
                <w:color w:val="auto"/>
              </w:rPr>
              <w:t>AXS-07</w:t>
            </w:r>
          </w:p>
        </w:tc>
        <w:tc>
          <w:tcPr>
            <w:tcW w:w="220" w:type="dxa"/>
            <w:vAlign w:val="bottom"/>
          </w:tcPr>
          <w:p>
            <w:pPr>
              <w:spacing w:after="0"/>
              <w:rPr>
                <w:sz w:val="15"/>
                <w:szCs w:val="15"/>
                <w:color w:val="auto"/>
              </w:rPr>
            </w:pPr>
          </w:p>
        </w:tc>
        <w:tc>
          <w:tcPr>
            <w:tcW w:w="860" w:type="dxa"/>
            <w:vAlign w:val="bottom"/>
          </w:tcPr>
          <w:p>
            <w:pPr>
              <w:jc w:val="right"/>
              <w:spacing w:after="0" w:line="177" w:lineRule="exact"/>
              <w:rPr>
                <w:sz w:val="20"/>
                <w:szCs w:val="20"/>
                <w:color w:val="auto"/>
              </w:rPr>
            </w:pPr>
            <w:r>
              <w:rPr>
                <w:rFonts w:ascii="Arial" w:cs="Arial" w:eastAsia="Arial" w:hAnsi="Arial"/>
                <w:sz w:val="16"/>
                <w:szCs w:val="16"/>
                <w:color w:val="auto"/>
              </w:rPr>
              <w:t>3,612,943</w:t>
            </w:r>
          </w:p>
        </w:tc>
        <w:tc>
          <w:tcPr>
            <w:tcW w:w="240" w:type="dxa"/>
            <w:vAlign w:val="bottom"/>
          </w:tcPr>
          <w:p>
            <w:pPr>
              <w:spacing w:after="0"/>
              <w:rPr>
                <w:sz w:val="15"/>
                <w:szCs w:val="15"/>
                <w:color w:val="auto"/>
              </w:rPr>
            </w:pPr>
          </w:p>
        </w:tc>
        <w:tc>
          <w:tcPr>
            <w:tcW w:w="860" w:type="dxa"/>
            <w:vAlign w:val="bottom"/>
          </w:tcPr>
          <w:p>
            <w:pPr>
              <w:jc w:val="right"/>
              <w:spacing w:after="0" w:line="177" w:lineRule="exact"/>
              <w:rPr>
                <w:sz w:val="20"/>
                <w:szCs w:val="20"/>
                <w:color w:val="auto"/>
              </w:rPr>
            </w:pPr>
            <w:r>
              <w:rPr>
                <w:rFonts w:ascii="Arial" w:cs="Arial" w:eastAsia="Arial" w:hAnsi="Arial"/>
                <w:sz w:val="16"/>
                <w:szCs w:val="16"/>
                <w:color w:val="auto"/>
              </w:rPr>
              <w:t>6,177,098</w:t>
            </w:r>
          </w:p>
        </w:tc>
        <w:tc>
          <w:tcPr>
            <w:tcW w:w="220" w:type="dxa"/>
            <w:vAlign w:val="bottom"/>
          </w:tcPr>
          <w:p>
            <w:pPr>
              <w:spacing w:after="0"/>
              <w:rPr>
                <w:sz w:val="15"/>
                <w:szCs w:val="15"/>
                <w:color w:val="auto"/>
              </w:rPr>
            </w:pPr>
          </w:p>
        </w:tc>
        <w:tc>
          <w:tcPr>
            <w:tcW w:w="860" w:type="dxa"/>
            <w:vAlign w:val="bottom"/>
          </w:tcPr>
          <w:p>
            <w:pPr>
              <w:jc w:val="right"/>
              <w:spacing w:after="0" w:line="177" w:lineRule="exact"/>
              <w:rPr>
                <w:sz w:val="20"/>
                <w:szCs w:val="20"/>
                <w:color w:val="auto"/>
              </w:rPr>
            </w:pPr>
            <w:r>
              <w:rPr>
                <w:rFonts w:ascii="Arial" w:cs="Arial" w:eastAsia="Arial" w:hAnsi="Arial"/>
                <w:sz w:val="16"/>
                <w:szCs w:val="16"/>
                <w:color w:val="auto"/>
              </w:rPr>
              <w:t>12,543,714</w:t>
            </w:r>
          </w:p>
        </w:tc>
        <w:tc>
          <w:tcPr>
            <w:tcW w:w="240" w:type="dxa"/>
            <w:vAlign w:val="bottom"/>
          </w:tcPr>
          <w:p>
            <w:pPr>
              <w:spacing w:after="0"/>
              <w:rPr>
                <w:sz w:val="15"/>
                <w:szCs w:val="15"/>
                <w:color w:val="auto"/>
              </w:rPr>
            </w:pPr>
          </w:p>
        </w:tc>
        <w:tc>
          <w:tcPr>
            <w:tcW w:w="900" w:type="dxa"/>
            <w:vAlign w:val="bottom"/>
          </w:tcPr>
          <w:p>
            <w:pPr>
              <w:jc w:val="right"/>
              <w:spacing w:after="0" w:line="177" w:lineRule="exact"/>
              <w:rPr>
                <w:sz w:val="20"/>
                <w:szCs w:val="20"/>
                <w:color w:val="auto"/>
              </w:rPr>
            </w:pPr>
            <w:r>
              <w:rPr>
                <w:rFonts w:ascii="Arial" w:cs="Arial" w:eastAsia="Arial" w:hAnsi="Arial"/>
                <w:sz w:val="16"/>
                <w:szCs w:val="16"/>
                <w:color w:val="auto"/>
              </w:rPr>
              <w:t>13,914,286</w:t>
            </w:r>
          </w:p>
        </w:tc>
        <w:tc>
          <w:tcPr>
            <w:tcW w:w="20" w:type="dxa"/>
            <w:vAlign w:val="bottom"/>
          </w:tcPr>
          <w:p>
            <w:pPr>
              <w:spacing w:after="0"/>
              <w:rPr>
                <w:sz w:val="15"/>
                <w:szCs w:val="15"/>
                <w:color w:val="auto"/>
              </w:rPr>
            </w:pPr>
          </w:p>
        </w:tc>
      </w:tr>
      <w:tr>
        <w:trPr>
          <w:trHeight w:val="177"/>
        </w:trPr>
        <w:tc>
          <w:tcPr>
            <w:tcW w:w="4520" w:type="dxa"/>
            <w:vAlign w:val="bottom"/>
            <w:shd w:val="clear" w:color="auto" w:fill="CCEEFF"/>
          </w:tcPr>
          <w:p>
            <w:pPr>
              <w:ind w:left="200"/>
              <w:spacing w:after="0" w:line="177" w:lineRule="exact"/>
              <w:rPr>
                <w:sz w:val="20"/>
                <w:szCs w:val="20"/>
                <w:color w:val="auto"/>
              </w:rPr>
            </w:pPr>
            <w:r>
              <w:rPr>
                <w:rFonts w:ascii="Arial" w:cs="Arial" w:eastAsia="Arial" w:hAnsi="Arial"/>
                <w:sz w:val="16"/>
                <w:szCs w:val="16"/>
                <w:color w:val="auto"/>
              </w:rPr>
              <w:t>AXS-12</w:t>
            </w: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77" w:lineRule="exact"/>
              <w:rPr>
                <w:sz w:val="20"/>
                <w:szCs w:val="20"/>
                <w:color w:val="auto"/>
              </w:rPr>
            </w:pPr>
            <w:r>
              <w:rPr>
                <w:rFonts w:ascii="Arial" w:cs="Arial" w:eastAsia="Arial" w:hAnsi="Arial"/>
                <w:sz w:val="16"/>
                <w:szCs w:val="16"/>
                <w:color w:val="auto"/>
              </w:rPr>
              <w:t>653,456</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77" w:lineRule="exact"/>
              <w:rPr>
                <w:sz w:val="20"/>
                <w:szCs w:val="20"/>
                <w:color w:val="auto"/>
              </w:rPr>
            </w:pPr>
            <w:r>
              <w:rPr>
                <w:rFonts w:ascii="Arial" w:cs="Arial" w:eastAsia="Arial" w:hAnsi="Arial"/>
                <w:sz w:val="16"/>
                <w:szCs w:val="16"/>
                <w:color w:val="auto"/>
              </w:rPr>
              <w:t>487,703</w:t>
            </w: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77" w:lineRule="exact"/>
              <w:rPr>
                <w:sz w:val="20"/>
                <w:szCs w:val="20"/>
                <w:color w:val="auto"/>
              </w:rPr>
            </w:pPr>
            <w:r>
              <w:rPr>
                <w:rFonts w:ascii="Arial" w:cs="Arial" w:eastAsia="Arial" w:hAnsi="Arial"/>
                <w:sz w:val="16"/>
                <w:szCs w:val="16"/>
                <w:color w:val="auto"/>
              </w:rPr>
              <w:t>6,364,419</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77" w:lineRule="exact"/>
              <w:rPr>
                <w:sz w:val="20"/>
                <w:szCs w:val="20"/>
                <w:color w:val="auto"/>
              </w:rPr>
            </w:pPr>
            <w:r>
              <w:rPr>
                <w:rFonts w:ascii="Arial" w:cs="Arial" w:eastAsia="Arial" w:hAnsi="Arial"/>
                <w:sz w:val="16"/>
                <w:szCs w:val="16"/>
                <w:color w:val="auto"/>
              </w:rPr>
              <w:t>1,363,852</w:t>
            </w:r>
          </w:p>
        </w:tc>
        <w:tc>
          <w:tcPr>
            <w:tcW w:w="20" w:type="dxa"/>
            <w:vAlign w:val="bottom"/>
            <w:shd w:val="clear" w:color="auto" w:fill="CCEEFF"/>
          </w:tcPr>
          <w:p>
            <w:pPr>
              <w:spacing w:after="0"/>
              <w:rPr>
                <w:sz w:val="15"/>
                <w:szCs w:val="15"/>
                <w:color w:val="auto"/>
              </w:rPr>
            </w:pPr>
          </w:p>
        </w:tc>
      </w:tr>
      <w:tr>
        <w:trPr>
          <w:trHeight w:val="177"/>
        </w:trPr>
        <w:tc>
          <w:tcPr>
            <w:tcW w:w="4520" w:type="dxa"/>
            <w:vAlign w:val="bottom"/>
          </w:tcPr>
          <w:p>
            <w:pPr>
              <w:ind w:left="200"/>
              <w:spacing w:after="0" w:line="177" w:lineRule="exact"/>
              <w:rPr>
                <w:sz w:val="20"/>
                <w:szCs w:val="20"/>
                <w:color w:val="auto"/>
              </w:rPr>
            </w:pPr>
            <w:r>
              <w:rPr>
                <w:rFonts w:ascii="Arial" w:cs="Arial" w:eastAsia="Arial" w:hAnsi="Arial"/>
                <w:sz w:val="16"/>
                <w:szCs w:val="16"/>
                <w:color w:val="auto"/>
              </w:rPr>
              <w:t>AXS-14</w:t>
            </w:r>
          </w:p>
        </w:tc>
        <w:tc>
          <w:tcPr>
            <w:tcW w:w="220" w:type="dxa"/>
            <w:vAlign w:val="bottom"/>
          </w:tcPr>
          <w:p>
            <w:pPr>
              <w:spacing w:after="0"/>
              <w:rPr>
                <w:sz w:val="15"/>
                <w:szCs w:val="15"/>
                <w:color w:val="auto"/>
              </w:rPr>
            </w:pPr>
          </w:p>
        </w:tc>
        <w:tc>
          <w:tcPr>
            <w:tcW w:w="860" w:type="dxa"/>
            <w:vAlign w:val="bottom"/>
          </w:tcPr>
          <w:p>
            <w:pPr>
              <w:jc w:val="right"/>
              <w:spacing w:after="0" w:line="177" w:lineRule="exact"/>
              <w:rPr>
                <w:sz w:val="20"/>
                <w:szCs w:val="20"/>
                <w:color w:val="auto"/>
              </w:rPr>
            </w:pPr>
            <w:r>
              <w:rPr>
                <w:rFonts w:ascii="Arial" w:cs="Arial" w:eastAsia="Arial" w:hAnsi="Arial"/>
                <w:sz w:val="16"/>
                <w:szCs w:val="16"/>
                <w:color w:val="auto"/>
              </w:rPr>
              <w:t>515</w:t>
            </w:r>
          </w:p>
        </w:tc>
        <w:tc>
          <w:tcPr>
            <w:tcW w:w="240" w:type="dxa"/>
            <w:vAlign w:val="bottom"/>
          </w:tcPr>
          <w:p>
            <w:pPr>
              <w:spacing w:after="0"/>
              <w:rPr>
                <w:sz w:val="15"/>
                <w:szCs w:val="15"/>
                <w:color w:val="auto"/>
              </w:rPr>
            </w:pPr>
          </w:p>
        </w:tc>
        <w:tc>
          <w:tcPr>
            <w:tcW w:w="860" w:type="dxa"/>
            <w:vAlign w:val="bottom"/>
          </w:tcPr>
          <w:p>
            <w:pPr>
              <w:jc w:val="right"/>
              <w:spacing w:after="0" w:line="177"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860" w:type="dxa"/>
            <w:vAlign w:val="bottom"/>
          </w:tcPr>
          <w:p>
            <w:pPr>
              <w:jc w:val="right"/>
              <w:spacing w:after="0" w:line="177" w:lineRule="exact"/>
              <w:rPr>
                <w:sz w:val="20"/>
                <w:szCs w:val="20"/>
                <w:color w:val="auto"/>
              </w:rPr>
            </w:pPr>
            <w:r>
              <w:rPr>
                <w:rFonts w:ascii="Arial" w:cs="Arial" w:eastAsia="Arial" w:hAnsi="Arial"/>
                <w:sz w:val="16"/>
                <w:szCs w:val="16"/>
                <w:color w:val="auto"/>
              </w:rPr>
              <w:t>5,078,184</w:t>
            </w:r>
          </w:p>
        </w:tc>
        <w:tc>
          <w:tcPr>
            <w:tcW w:w="240" w:type="dxa"/>
            <w:vAlign w:val="bottom"/>
          </w:tcPr>
          <w:p>
            <w:pPr>
              <w:spacing w:after="0"/>
              <w:rPr>
                <w:sz w:val="15"/>
                <w:szCs w:val="15"/>
                <w:color w:val="auto"/>
              </w:rPr>
            </w:pPr>
          </w:p>
        </w:tc>
        <w:tc>
          <w:tcPr>
            <w:tcW w:w="920" w:type="dxa"/>
            <w:vAlign w:val="bottom"/>
            <w:gridSpan w:val="2"/>
          </w:tcPr>
          <w:p>
            <w:pPr>
              <w:jc w:val="right"/>
              <w:ind w:right="80"/>
              <w:spacing w:after="0" w:line="177" w:lineRule="exact"/>
              <w:rPr>
                <w:sz w:val="20"/>
                <w:szCs w:val="20"/>
                <w:color w:val="auto"/>
              </w:rPr>
            </w:pPr>
            <w:r>
              <w:rPr>
                <w:rFonts w:ascii="Arial" w:cs="Arial" w:eastAsia="Arial" w:hAnsi="Arial"/>
                <w:sz w:val="16"/>
                <w:szCs w:val="16"/>
                <w:color w:val="auto"/>
              </w:rPr>
              <w:t>—</w:t>
            </w:r>
          </w:p>
        </w:tc>
      </w:tr>
      <w:tr>
        <w:trPr>
          <w:trHeight w:val="177"/>
        </w:trPr>
        <w:tc>
          <w:tcPr>
            <w:tcW w:w="4520" w:type="dxa"/>
            <w:vAlign w:val="bottom"/>
            <w:shd w:val="clear" w:color="auto" w:fill="CCEEFF"/>
          </w:tcPr>
          <w:p>
            <w:pPr>
              <w:ind w:left="200"/>
              <w:spacing w:after="0" w:line="177" w:lineRule="exact"/>
              <w:rPr>
                <w:sz w:val="20"/>
                <w:szCs w:val="20"/>
                <w:color w:val="auto"/>
              </w:rPr>
            </w:pPr>
            <w:r>
              <w:rPr>
                <w:rFonts w:ascii="Arial" w:cs="Arial" w:eastAsia="Arial" w:hAnsi="Arial"/>
                <w:sz w:val="16"/>
                <w:szCs w:val="16"/>
                <w:color w:val="auto"/>
              </w:rPr>
              <w:t>AXS-02</w:t>
            </w: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77" w:lineRule="exact"/>
              <w:rPr>
                <w:sz w:val="20"/>
                <w:szCs w:val="20"/>
                <w:color w:val="auto"/>
              </w:rPr>
            </w:pPr>
            <w:r>
              <w:rPr>
                <w:rFonts w:ascii="Arial" w:cs="Arial" w:eastAsia="Arial" w:hAnsi="Arial"/>
                <w:sz w:val="16"/>
                <w:szCs w:val="16"/>
                <w:color w:val="auto"/>
              </w:rPr>
              <w:t>39,661</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77" w:lineRule="exact"/>
              <w:rPr>
                <w:sz w:val="20"/>
                <w:szCs w:val="20"/>
                <w:color w:val="auto"/>
              </w:rPr>
            </w:pPr>
            <w:r>
              <w:rPr>
                <w:rFonts w:ascii="Arial" w:cs="Arial" w:eastAsia="Arial" w:hAnsi="Arial"/>
                <w:sz w:val="16"/>
                <w:szCs w:val="16"/>
                <w:color w:val="auto"/>
              </w:rPr>
              <w:t>174,253</w:t>
            </w: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77" w:lineRule="exact"/>
              <w:rPr>
                <w:sz w:val="20"/>
                <w:szCs w:val="20"/>
                <w:color w:val="auto"/>
              </w:rPr>
            </w:pPr>
            <w:r>
              <w:rPr>
                <w:rFonts w:ascii="Arial" w:cs="Arial" w:eastAsia="Arial" w:hAnsi="Arial"/>
                <w:sz w:val="16"/>
                <w:szCs w:val="16"/>
                <w:color w:val="auto"/>
              </w:rPr>
              <w:t>130,928</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77" w:lineRule="exact"/>
              <w:rPr>
                <w:sz w:val="20"/>
                <w:szCs w:val="20"/>
                <w:color w:val="auto"/>
              </w:rPr>
            </w:pPr>
            <w:r>
              <w:rPr>
                <w:rFonts w:ascii="Arial" w:cs="Arial" w:eastAsia="Arial" w:hAnsi="Arial"/>
                <w:sz w:val="16"/>
                <w:szCs w:val="16"/>
                <w:color w:val="auto"/>
              </w:rPr>
              <w:t>264,155</w:t>
            </w:r>
          </w:p>
        </w:tc>
        <w:tc>
          <w:tcPr>
            <w:tcW w:w="20" w:type="dxa"/>
            <w:vAlign w:val="bottom"/>
            <w:shd w:val="clear" w:color="auto" w:fill="CCEEFF"/>
          </w:tcPr>
          <w:p>
            <w:pPr>
              <w:spacing w:after="0"/>
              <w:rPr>
                <w:sz w:val="15"/>
                <w:szCs w:val="15"/>
                <w:color w:val="auto"/>
              </w:rPr>
            </w:pPr>
          </w:p>
        </w:tc>
      </w:tr>
      <w:tr>
        <w:trPr>
          <w:trHeight w:val="177"/>
        </w:trPr>
        <w:tc>
          <w:tcPr>
            <w:tcW w:w="4520" w:type="dxa"/>
            <w:vAlign w:val="bottom"/>
          </w:tcPr>
          <w:p>
            <w:pPr>
              <w:ind w:left="200"/>
              <w:spacing w:after="0" w:line="177" w:lineRule="exact"/>
              <w:rPr>
                <w:sz w:val="20"/>
                <w:szCs w:val="20"/>
                <w:color w:val="auto"/>
              </w:rPr>
            </w:pPr>
            <w:r>
              <w:rPr>
                <w:rFonts w:ascii="Arial" w:cs="Arial" w:eastAsia="Arial" w:hAnsi="Arial"/>
                <w:sz w:val="16"/>
                <w:szCs w:val="16"/>
                <w:color w:val="auto"/>
              </w:rPr>
              <w:t>Other research and development</w:t>
            </w:r>
          </w:p>
        </w:tc>
        <w:tc>
          <w:tcPr>
            <w:tcW w:w="220" w:type="dxa"/>
            <w:vAlign w:val="bottom"/>
          </w:tcPr>
          <w:p>
            <w:pPr>
              <w:spacing w:after="0"/>
              <w:rPr>
                <w:sz w:val="15"/>
                <w:szCs w:val="15"/>
                <w:color w:val="auto"/>
              </w:rPr>
            </w:pPr>
          </w:p>
        </w:tc>
        <w:tc>
          <w:tcPr>
            <w:tcW w:w="860" w:type="dxa"/>
            <w:vAlign w:val="bottom"/>
          </w:tcPr>
          <w:p>
            <w:pPr>
              <w:jc w:val="right"/>
              <w:spacing w:after="0" w:line="177" w:lineRule="exact"/>
              <w:rPr>
                <w:sz w:val="20"/>
                <w:szCs w:val="20"/>
                <w:color w:val="auto"/>
              </w:rPr>
            </w:pPr>
            <w:r>
              <w:rPr>
                <w:rFonts w:ascii="Arial" w:cs="Arial" w:eastAsia="Arial" w:hAnsi="Arial"/>
                <w:sz w:val="16"/>
                <w:szCs w:val="16"/>
                <w:color w:val="auto"/>
              </w:rPr>
              <w:t>1,178,351</w:t>
            </w:r>
          </w:p>
        </w:tc>
        <w:tc>
          <w:tcPr>
            <w:tcW w:w="240" w:type="dxa"/>
            <w:vAlign w:val="bottom"/>
          </w:tcPr>
          <w:p>
            <w:pPr>
              <w:spacing w:after="0"/>
              <w:rPr>
                <w:sz w:val="15"/>
                <w:szCs w:val="15"/>
                <w:color w:val="auto"/>
              </w:rPr>
            </w:pPr>
          </w:p>
        </w:tc>
        <w:tc>
          <w:tcPr>
            <w:tcW w:w="860" w:type="dxa"/>
            <w:vAlign w:val="bottom"/>
          </w:tcPr>
          <w:p>
            <w:pPr>
              <w:jc w:val="right"/>
              <w:spacing w:after="0" w:line="177" w:lineRule="exact"/>
              <w:rPr>
                <w:sz w:val="20"/>
                <w:szCs w:val="20"/>
                <w:color w:val="auto"/>
              </w:rPr>
            </w:pPr>
            <w:r>
              <w:rPr>
                <w:rFonts w:ascii="Arial" w:cs="Arial" w:eastAsia="Arial" w:hAnsi="Arial"/>
                <w:sz w:val="16"/>
                <w:szCs w:val="16"/>
                <w:color w:val="auto"/>
              </w:rPr>
              <w:t>880,459</w:t>
            </w:r>
          </w:p>
        </w:tc>
        <w:tc>
          <w:tcPr>
            <w:tcW w:w="220" w:type="dxa"/>
            <w:vAlign w:val="bottom"/>
          </w:tcPr>
          <w:p>
            <w:pPr>
              <w:spacing w:after="0"/>
              <w:rPr>
                <w:sz w:val="15"/>
                <w:szCs w:val="15"/>
                <w:color w:val="auto"/>
              </w:rPr>
            </w:pPr>
          </w:p>
        </w:tc>
        <w:tc>
          <w:tcPr>
            <w:tcW w:w="860" w:type="dxa"/>
            <w:vAlign w:val="bottom"/>
          </w:tcPr>
          <w:p>
            <w:pPr>
              <w:jc w:val="right"/>
              <w:spacing w:after="0" w:line="177" w:lineRule="exact"/>
              <w:rPr>
                <w:sz w:val="20"/>
                <w:szCs w:val="20"/>
                <w:color w:val="auto"/>
              </w:rPr>
            </w:pPr>
            <w:r>
              <w:rPr>
                <w:rFonts w:ascii="Arial" w:cs="Arial" w:eastAsia="Arial" w:hAnsi="Arial"/>
                <w:sz w:val="16"/>
                <w:szCs w:val="16"/>
                <w:color w:val="auto"/>
              </w:rPr>
              <w:t>3,184,834</w:t>
            </w:r>
          </w:p>
        </w:tc>
        <w:tc>
          <w:tcPr>
            <w:tcW w:w="240" w:type="dxa"/>
            <w:vAlign w:val="bottom"/>
          </w:tcPr>
          <w:p>
            <w:pPr>
              <w:spacing w:after="0"/>
              <w:rPr>
                <w:sz w:val="15"/>
                <w:szCs w:val="15"/>
                <w:color w:val="auto"/>
              </w:rPr>
            </w:pPr>
          </w:p>
        </w:tc>
        <w:tc>
          <w:tcPr>
            <w:tcW w:w="900" w:type="dxa"/>
            <w:vAlign w:val="bottom"/>
          </w:tcPr>
          <w:p>
            <w:pPr>
              <w:jc w:val="right"/>
              <w:spacing w:after="0" w:line="177" w:lineRule="exact"/>
              <w:rPr>
                <w:sz w:val="20"/>
                <w:szCs w:val="20"/>
                <w:color w:val="auto"/>
              </w:rPr>
            </w:pPr>
            <w:r>
              <w:rPr>
                <w:rFonts w:ascii="Arial" w:cs="Arial" w:eastAsia="Arial" w:hAnsi="Arial"/>
                <w:sz w:val="16"/>
                <w:szCs w:val="16"/>
                <w:color w:val="auto"/>
              </w:rPr>
              <w:t>2,754,958</w:t>
            </w:r>
          </w:p>
        </w:tc>
        <w:tc>
          <w:tcPr>
            <w:tcW w:w="20" w:type="dxa"/>
            <w:vAlign w:val="bottom"/>
          </w:tcPr>
          <w:p>
            <w:pPr>
              <w:spacing w:after="0"/>
              <w:rPr>
                <w:sz w:val="15"/>
                <w:szCs w:val="15"/>
                <w:color w:val="auto"/>
              </w:rPr>
            </w:pPr>
          </w:p>
        </w:tc>
      </w:tr>
      <w:tr>
        <w:trPr>
          <w:trHeight w:val="177"/>
        </w:trPr>
        <w:tc>
          <w:tcPr>
            <w:tcW w:w="4520" w:type="dxa"/>
            <w:vAlign w:val="bottom"/>
            <w:shd w:val="clear" w:color="auto" w:fill="CCEEFF"/>
          </w:tcPr>
          <w:p>
            <w:pPr>
              <w:ind w:left="200"/>
              <w:spacing w:after="0" w:line="177" w:lineRule="exact"/>
              <w:rPr>
                <w:sz w:val="20"/>
                <w:szCs w:val="20"/>
                <w:color w:val="auto"/>
              </w:rPr>
            </w:pPr>
            <w:r>
              <w:rPr>
                <w:rFonts w:ascii="Arial" w:cs="Arial" w:eastAsia="Arial" w:hAnsi="Arial"/>
                <w:sz w:val="16"/>
                <w:szCs w:val="16"/>
                <w:color w:val="auto"/>
              </w:rPr>
              <w:t>Stock-based compensation</w:t>
            </w:r>
          </w:p>
        </w:tc>
        <w:tc>
          <w:tcPr>
            <w:tcW w:w="2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line="177" w:lineRule="exact"/>
              <w:rPr>
                <w:sz w:val="20"/>
                <w:szCs w:val="20"/>
                <w:color w:val="auto"/>
              </w:rPr>
            </w:pPr>
            <w:r>
              <w:rPr>
                <w:rFonts w:ascii="Arial" w:cs="Arial" w:eastAsia="Arial" w:hAnsi="Arial"/>
                <w:sz w:val="16"/>
                <w:szCs w:val="16"/>
                <w:color w:val="auto"/>
              </w:rPr>
              <w:t>860,744</w:t>
            </w:r>
          </w:p>
        </w:tc>
        <w:tc>
          <w:tcPr>
            <w:tcW w:w="2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line="177" w:lineRule="exact"/>
              <w:rPr>
                <w:sz w:val="20"/>
                <w:szCs w:val="20"/>
                <w:color w:val="auto"/>
              </w:rPr>
            </w:pPr>
            <w:r>
              <w:rPr>
                <w:rFonts w:ascii="Arial" w:cs="Arial" w:eastAsia="Arial" w:hAnsi="Arial"/>
                <w:sz w:val="16"/>
                <w:szCs w:val="16"/>
                <w:color w:val="auto"/>
              </w:rPr>
              <w:t>286,234</w:t>
            </w:r>
          </w:p>
        </w:tc>
        <w:tc>
          <w:tcPr>
            <w:tcW w:w="2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line="177" w:lineRule="exact"/>
              <w:rPr>
                <w:sz w:val="20"/>
                <w:szCs w:val="20"/>
                <w:color w:val="auto"/>
              </w:rPr>
            </w:pPr>
            <w:r>
              <w:rPr>
                <w:rFonts w:ascii="Arial" w:cs="Arial" w:eastAsia="Arial" w:hAnsi="Arial"/>
                <w:sz w:val="16"/>
                <w:szCs w:val="16"/>
                <w:color w:val="auto"/>
              </w:rPr>
              <w:t>2,532,649</w:t>
            </w:r>
          </w:p>
        </w:tc>
        <w:tc>
          <w:tcPr>
            <w:tcW w:w="2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line="177" w:lineRule="exact"/>
              <w:rPr>
                <w:sz w:val="20"/>
                <w:szCs w:val="20"/>
                <w:color w:val="auto"/>
              </w:rPr>
            </w:pPr>
            <w:r>
              <w:rPr>
                <w:rFonts w:ascii="Arial" w:cs="Arial" w:eastAsia="Arial" w:hAnsi="Arial"/>
                <w:sz w:val="16"/>
                <w:szCs w:val="16"/>
                <w:color w:val="auto"/>
              </w:rPr>
              <w:t>652,666</w:t>
            </w:r>
          </w:p>
        </w:tc>
        <w:tc>
          <w:tcPr>
            <w:tcW w:w="20" w:type="dxa"/>
            <w:vAlign w:val="bottom"/>
            <w:shd w:val="clear" w:color="auto" w:fill="CCEEFF"/>
          </w:tcPr>
          <w:p>
            <w:pPr>
              <w:spacing w:after="0"/>
              <w:rPr>
                <w:sz w:val="15"/>
                <w:szCs w:val="15"/>
                <w:color w:val="auto"/>
              </w:rPr>
            </w:pPr>
          </w:p>
        </w:tc>
      </w:tr>
      <w:tr>
        <w:trPr>
          <w:trHeight w:val="169"/>
        </w:trPr>
        <w:tc>
          <w:tcPr>
            <w:tcW w:w="4520" w:type="dxa"/>
            <w:vAlign w:val="bottom"/>
          </w:tcPr>
          <w:p>
            <w:pPr>
              <w:ind w:left="20"/>
              <w:spacing w:after="0" w:line="168" w:lineRule="exact"/>
              <w:rPr>
                <w:sz w:val="20"/>
                <w:szCs w:val="20"/>
                <w:color w:val="auto"/>
              </w:rPr>
            </w:pPr>
            <w:r>
              <w:rPr>
                <w:rFonts w:ascii="Arial" w:cs="Arial" w:eastAsia="Arial" w:hAnsi="Arial"/>
                <w:sz w:val="16"/>
                <w:szCs w:val="16"/>
                <w:color w:val="auto"/>
              </w:rPr>
              <w:t>Total research and development expenses</w:t>
            </w:r>
          </w:p>
        </w:tc>
        <w:tc>
          <w:tcPr>
            <w:tcW w:w="220" w:type="dxa"/>
            <w:vAlign w:val="bottom"/>
            <w:tcBorders>
              <w:bottom w:val="single" w:sz="8" w:color="auto"/>
            </w:tcBorders>
          </w:tcPr>
          <w:p>
            <w:pPr>
              <w:jc w:val="right"/>
              <w:ind w:right="67"/>
              <w:spacing w:after="0" w:line="169" w:lineRule="exact"/>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w w:val="99"/>
              </w:rPr>
              <w:t>14,795,493</w:t>
            </w:r>
          </w:p>
        </w:tc>
        <w:tc>
          <w:tcPr>
            <w:tcW w:w="240" w:type="dxa"/>
            <w:vAlign w:val="bottom"/>
            <w:tcBorders>
              <w:bottom w:val="single" w:sz="8" w:color="auto"/>
            </w:tcBorders>
          </w:tcPr>
          <w:p>
            <w:pPr>
              <w:jc w:val="right"/>
              <w:ind w:right="61"/>
              <w:spacing w:after="0" w:line="168" w:lineRule="exact"/>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w w:val="99"/>
              </w:rPr>
              <w:t>15,835,573</w:t>
            </w:r>
          </w:p>
        </w:tc>
        <w:tc>
          <w:tcPr>
            <w:tcW w:w="220" w:type="dxa"/>
            <w:vAlign w:val="bottom"/>
            <w:tcBorders>
              <w:bottom w:val="single" w:sz="8" w:color="auto"/>
            </w:tcBorders>
          </w:tcPr>
          <w:p>
            <w:pPr>
              <w:jc w:val="right"/>
              <w:ind w:right="41"/>
              <w:spacing w:after="0" w:line="168" w:lineRule="exact"/>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52,859,850</w:t>
            </w:r>
          </w:p>
        </w:tc>
        <w:tc>
          <w:tcPr>
            <w:tcW w:w="240" w:type="dxa"/>
            <w:vAlign w:val="bottom"/>
            <w:tcBorders>
              <w:bottom w:val="single" w:sz="8" w:color="auto"/>
            </w:tcBorders>
          </w:tcPr>
          <w:p>
            <w:pPr>
              <w:jc w:val="right"/>
              <w:ind w:right="41"/>
              <w:spacing w:after="0" w:line="168"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34,441,796</w:t>
            </w:r>
          </w:p>
        </w:tc>
        <w:tc>
          <w:tcPr>
            <w:tcW w:w="20" w:type="dxa"/>
            <w:vAlign w:val="bottom"/>
          </w:tcPr>
          <w:p>
            <w:pPr>
              <w:spacing w:after="0"/>
              <w:rPr>
                <w:sz w:val="14"/>
                <w:szCs w:val="14"/>
                <w:color w:val="auto"/>
              </w:rPr>
            </w:pPr>
          </w:p>
        </w:tc>
      </w:tr>
      <w:tr>
        <w:trPr>
          <w:trHeight w:val="20"/>
        </w:trPr>
        <w:tc>
          <w:tcPr>
            <w:tcW w:w="4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4" w:lineRule="exact"/>
        <w:rPr>
          <w:sz w:val="20"/>
          <w:szCs w:val="20"/>
          <w:color w:val="auto"/>
        </w:rPr>
      </w:pPr>
    </w:p>
    <w:p>
      <w:pPr>
        <w:ind w:left="600"/>
        <w:spacing w:after="0"/>
        <w:rPr>
          <w:sz w:val="20"/>
          <w:szCs w:val="20"/>
          <w:color w:val="auto"/>
        </w:rPr>
      </w:pPr>
      <w:r>
        <w:rPr>
          <w:rFonts w:ascii="Arial" w:cs="Arial" w:eastAsia="Arial" w:hAnsi="Arial"/>
          <w:sz w:val="15"/>
          <w:szCs w:val="15"/>
          <w:color w:val="auto"/>
        </w:rPr>
        <w:t>Other research and development expenses primarily consist of employee salaries and benefits, facilities and overhead costs.</w:t>
      </w:r>
    </w:p>
    <w:p>
      <w:pPr>
        <w:spacing w:after="0" w:line="193"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General and Administrative Expenses</w:t>
      </w:r>
    </w:p>
    <w:p>
      <w:pPr>
        <w:spacing w:after="0" w:line="182" w:lineRule="exact"/>
        <w:rPr>
          <w:sz w:val="20"/>
          <w:szCs w:val="20"/>
          <w:color w:val="auto"/>
        </w:rPr>
      </w:pPr>
    </w:p>
    <w:p>
      <w:pPr>
        <w:ind w:left="40" w:right="179" w:firstLine="566"/>
        <w:spacing w:after="0" w:line="258" w:lineRule="auto"/>
        <w:rPr>
          <w:sz w:val="20"/>
          <w:szCs w:val="20"/>
          <w:color w:val="auto"/>
        </w:rPr>
      </w:pPr>
      <w:r>
        <w:rPr>
          <w:rFonts w:ascii="Arial" w:cs="Arial" w:eastAsia="Arial" w:hAnsi="Arial"/>
          <w:sz w:val="15"/>
          <w:szCs w:val="15"/>
          <w:color w:val="auto"/>
        </w:rPr>
        <w:t>General and administrative expenses primarily consist of salaries and related costs for personnel in executive, finance, commercial, and operational functions, including stock-based compensation and travel expenses. Other general and administrative expenses include facility-related costs, insurance expense, and professional fees for legal and accounting services and patent filing and prosecution costs. General and administrative expenses are expensed when incurred.</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Interest income (expense)</w:t>
      </w:r>
    </w:p>
    <w:p>
      <w:pPr>
        <w:spacing w:after="0" w:line="182" w:lineRule="exact"/>
        <w:rPr>
          <w:sz w:val="20"/>
          <w:szCs w:val="20"/>
          <w:color w:val="auto"/>
        </w:rPr>
      </w:pPr>
    </w:p>
    <w:p>
      <w:pPr>
        <w:ind w:left="40" w:right="39" w:firstLine="566"/>
        <w:spacing w:after="0" w:line="258" w:lineRule="auto"/>
        <w:rPr>
          <w:sz w:val="20"/>
          <w:szCs w:val="20"/>
          <w:color w:val="auto"/>
        </w:rPr>
      </w:pPr>
      <w:r>
        <w:rPr>
          <w:rFonts w:ascii="Arial" w:cs="Arial" w:eastAsia="Arial" w:hAnsi="Arial"/>
          <w:sz w:val="15"/>
          <w:szCs w:val="15"/>
          <w:color w:val="auto"/>
        </w:rPr>
        <w:t>Interest income (expense) primarily consists of cash interest and non-cash costs related to our previous term loan with SVB and current term loan with Hercules (see “Liquidity and Capital Resources” below for a further discussion) and also the interest we receive from SVB on our cash sweep account. We record costs incurred in connection with the issuance of debt as a direct deduction from the debt liability. We amortize these costs over the term of our debt agreements in our consolidated statement of operations.</w:t>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Critical Accounting Policies and Significant Judgments and Estimates</w:t>
      </w:r>
    </w:p>
    <w:p>
      <w:pPr>
        <w:spacing w:after="0" w:line="186" w:lineRule="exact"/>
        <w:rPr>
          <w:sz w:val="20"/>
          <w:szCs w:val="20"/>
          <w:color w:val="auto"/>
        </w:rPr>
      </w:pPr>
    </w:p>
    <w:p>
      <w:pPr>
        <w:ind w:left="40" w:right="199" w:firstLine="566"/>
        <w:spacing w:after="0" w:line="252" w:lineRule="auto"/>
        <w:rPr>
          <w:sz w:val="20"/>
          <w:szCs w:val="20"/>
          <w:color w:val="auto"/>
        </w:rPr>
      </w:pPr>
      <w:r>
        <w:rPr>
          <w:rFonts w:ascii="Arial" w:cs="Arial" w:eastAsia="Arial" w:hAnsi="Arial"/>
          <w:sz w:val="15"/>
          <w:szCs w:val="15"/>
          <w:color w:val="auto"/>
        </w:rPr>
        <w:t>This discussion and analysis of our financial condition and results of operations is based on our consolidated financial statements, which have been prepared in accordance with generally accepted accounting principles in the United States of America, or U.S. GAAP. The preparation of these consolidated financial statements requires us to make estimates and assumptions that affect the reported amounts of assets and liabilities, disclosure of contingent assets and liabilities at the date of the consolidated financial statements and the reported amounts of expenses during the reported period. In accordance with GAAP, we base our estimates on historical experience and on various other assumptions that we believe are reasonable under the circumstances. Actual results may differ from these estimates under different assumptions or conditions.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302895</wp:posOffset>
            </wp:positionV>
            <wp:extent cx="5682615" cy="222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82615" cy="22225"/>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28" w:name="page29"/>
    <w:bookmarkEnd w:id="28"/>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 w:right="59" w:firstLine="566"/>
        <w:spacing w:after="0" w:line="238" w:lineRule="auto"/>
        <w:rPr>
          <w:sz w:val="20"/>
          <w:szCs w:val="20"/>
          <w:color w:val="auto"/>
        </w:rPr>
      </w:pPr>
      <w:r>
        <w:rPr>
          <w:rFonts w:ascii="Arial" w:cs="Arial" w:eastAsia="Arial" w:hAnsi="Arial"/>
          <w:sz w:val="16"/>
          <w:szCs w:val="16"/>
          <w:color w:val="auto"/>
        </w:rPr>
        <w:t>There have been no material changes to our critical accounting policies since the beginning of our fiscal year. Our critical accounting policies are described in “Management’s Discussion and Analysis of Financial Condition and Results of Operations” included in our Annual Report on Form 10-K for the year ended December 31, 2019 and in the notes to the condensed consolidated financial statements appearing elsewhere in this Quarterly Report on Form 10-Q.</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Results of Operations</w:t>
      </w:r>
    </w:p>
    <w:p>
      <w:pPr>
        <w:spacing w:after="0" w:line="18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following table summarizes our results of operations for the periods indicated:</w:t>
      </w:r>
    </w:p>
    <w:p>
      <w:pPr>
        <w:spacing w:after="0" w:line="178"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4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00" w:type="dxa"/>
            <w:vAlign w:val="bottom"/>
            <w:gridSpan w:val="5"/>
          </w:tcPr>
          <w:p>
            <w:pPr>
              <w:jc w:val="right"/>
              <w:ind w:right="740"/>
              <w:spacing w:after="0"/>
              <w:rPr>
                <w:sz w:val="20"/>
                <w:szCs w:val="20"/>
                <w:color w:val="auto"/>
              </w:rPr>
            </w:pPr>
            <w:r>
              <w:rPr>
                <w:rFonts w:ascii="Arial" w:cs="Arial" w:eastAsia="Arial" w:hAnsi="Arial"/>
                <w:sz w:val="13"/>
                <w:szCs w:val="13"/>
                <w:b w:val="1"/>
                <w:bCs w:val="1"/>
                <w:color w:val="auto"/>
              </w:rPr>
              <w:t>Three months ended</w:t>
            </w:r>
          </w:p>
        </w:tc>
        <w:tc>
          <w:tcPr>
            <w:tcW w:w="220" w:type="dxa"/>
            <w:vAlign w:val="bottom"/>
          </w:tcPr>
          <w:p>
            <w:pPr>
              <w:spacing w:after="0"/>
              <w:rPr>
                <w:sz w:val="13"/>
                <w:szCs w:val="13"/>
                <w:color w:val="auto"/>
              </w:rPr>
            </w:pPr>
          </w:p>
        </w:tc>
        <w:tc>
          <w:tcPr>
            <w:tcW w:w="2120" w:type="dxa"/>
            <w:vAlign w:val="bottom"/>
            <w:gridSpan w:val="4"/>
          </w:tcPr>
          <w:p>
            <w:pPr>
              <w:jc w:val="right"/>
              <w:ind w:right="563"/>
              <w:spacing w:after="0"/>
              <w:rPr>
                <w:sz w:val="20"/>
                <w:szCs w:val="20"/>
                <w:color w:val="auto"/>
              </w:rPr>
            </w:pPr>
            <w:r>
              <w:rPr>
                <w:rFonts w:ascii="Arial" w:cs="Arial" w:eastAsia="Arial" w:hAnsi="Arial"/>
                <w:sz w:val="13"/>
                <w:szCs w:val="13"/>
                <w:b w:val="1"/>
                <w:bCs w:val="1"/>
                <w:color w:val="auto"/>
              </w:rPr>
              <w:t>Nine months ended</w:t>
            </w:r>
          </w:p>
        </w:tc>
      </w:tr>
      <w:tr>
        <w:trPr>
          <w:trHeight w:val="161"/>
        </w:trPr>
        <w:tc>
          <w:tcPr>
            <w:tcW w:w="40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September 30,</w:t>
            </w:r>
          </w:p>
        </w:tc>
        <w:tc>
          <w:tcPr>
            <w:tcW w:w="8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jc w:val="right"/>
              <w:ind w:right="723"/>
              <w:spacing w:after="0"/>
              <w:rPr>
                <w:sz w:val="20"/>
                <w:szCs w:val="20"/>
                <w:color w:val="auto"/>
              </w:rPr>
            </w:pPr>
            <w:r>
              <w:rPr>
                <w:rFonts w:ascii="Arial" w:cs="Arial" w:eastAsia="Arial" w:hAnsi="Arial"/>
                <w:sz w:val="13"/>
                <w:szCs w:val="13"/>
                <w:b w:val="1"/>
                <w:bCs w:val="1"/>
                <w:color w:val="auto"/>
              </w:rPr>
              <w:t>September 30,</w:t>
            </w:r>
          </w:p>
        </w:tc>
      </w:tr>
      <w:tr>
        <w:trPr>
          <w:trHeight w:val="133"/>
        </w:trPr>
        <w:tc>
          <w:tcPr>
            <w:tcW w:w="40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386"/>
              <w:spacing w:after="0" w:line="133" w:lineRule="exact"/>
              <w:rPr>
                <w:sz w:val="20"/>
                <w:szCs w:val="20"/>
                <w:color w:val="auto"/>
              </w:rPr>
            </w:pPr>
            <w:r>
              <w:rPr>
                <w:rFonts w:ascii="Arial" w:cs="Arial" w:eastAsia="Arial" w:hAnsi="Arial"/>
                <w:sz w:val="13"/>
                <w:szCs w:val="13"/>
                <w:b w:val="1"/>
                <w:bCs w:val="1"/>
                <w:color w:val="auto"/>
              </w:rPr>
              <w:t>2020</w:t>
            </w:r>
          </w:p>
        </w:tc>
        <w:tc>
          <w:tcPr>
            <w:tcW w:w="14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63"/>
              <w:spacing w:after="0" w:line="133" w:lineRule="exact"/>
              <w:rPr>
                <w:sz w:val="20"/>
                <w:szCs w:val="20"/>
                <w:color w:val="auto"/>
              </w:rPr>
            </w:pPr>
            <w:r>
              <w:rPr>
                <w:rFonts w:ascii="Arial" w:cs="Arial" w:eastAsia="Arial" w:hAnsi="Arial"/>
                <w:sz w:val="13"/>
                <w:szCs w:val="13"/>
                <w:b w:val="1"/>
                <w:bCs w:val="1"/>
                <w:color w:val="auto"/>
              </w:rPr>
              <w:t>2019</w:t>
            </w:r>
          </w:p>
        </w:tc>
        <w:tc>
          <w:tcPr>
            <w:tcW w:w="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386"/>
              <w:spacing w:after="0" w:line="133" w:lineRule="exact"/>
              <w:rPr>
                <w:sz w:val="20"/>
                <w:szCs w:val="20"/>
                <w:color w:val="auto"/>
              </w:rPr>
            </w:pPr>
            <w:r>
              <w:rPr>
                <w:rFonts w:ascii="Arial" w:cs="Arial" w:eastAsia="Arial" w:hAnsi="Arial"/>
                <w:sz w:val="13"/>
                <w:szCs w:val="13"/>
                <w:b w:val="1"/>
                <w:bCs w:val="1"/>
                <w:color w:val="auto"/>
              </w:rPr>
              <w:t>2020</w:t>
            </w:r>
          </w:p>
        </w:tc>
        <w:tc>
          <w:tcPr>
            <w:tcW w:w="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363"/>
              <w:spacing w:after="0" w:line="133" w:lineRule="exact"/>
              <w:rPr>
                <w:sz w:val="20"/>
                <w:szCs w:val="20"/>
                <w:color w:val="auto"/>
              </w:rPr>
            </w:pPr>
            <w:r>
              <w:rPr>
                <w:rFonts w:ascii="Arial" w:cs="Arial" w:eastAsia="Arial" w:hAnsi="Arial"/>
                <w:sz w:val="13"/>
                <w:szCs w:val="13"/>
                <w:b w:val="1"/>
                <w:bCs w:val="1"/>
                <w:color w:val="auto"/>
              </w:rPr>
              <w:t>2019</w:t>
            </w:r>
          </w:p>
        </w:tc>
      </w:tr>
      <w:tr>
        <w:trPr>
          <w:trHeight w:val="133"/>
        </w:trPr>
        <w:tc>
          <w:tcPr>
            <w:tcW w:w="4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77"/>
        </w:trPr>
        <w:tc>
          <w:tcPr>
            <w:tcW w:w="408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Operating expenses:</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77"/>
        </w:trPr>
        <w:tc>
          <w:tcPr>
            <w:tcW w:w="4080" w:type="dxa"/>
            <w:vAlign w:val="bottom"/>
          </w:tcPr>
          <w:p>
            <w:pPr>
              <w:ind w:left="200"/>
              <w:spacing w:after="0" w:line="177" w:lineRule="exact"/>
              <w:rPr>
                <w:sz w:val="20"/>
                <w:szCs w:val="20"/>
                <w:color w:val="auto"/>
              </w:rPr>
            </w:pPr>
            <w:r>
              <w:rPr>
                <w:rFonts w:ascii="Arial" w:cs="Arial" w:eastAsia="Arial" w:hAnsi="Arial"/>
                <w:sz w:val="16"/>
                <w:szCs w:val="16"/>
                <w:color w:val="auto"/>
              </w:rPr>
              <w:t>Research and development</w:t>
            </w:r>
          </w:p>
        </w:tc>
        <w:tc>
          <w:tcPr>
            <w:tcW w:w="220" w:type="dxa"/>
            <w:vAlign w:val="bottom"/>
          </w:tcPr>
          <w:p>
            <w:pPr>
              <w:jc w:val="right"/>
              <w:ind w:right="41"/>
              <w:spacing w:after="0" w:line="177" w:lineRule="exact"/>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line="177" w:lineRule="exact"/>
              <w:rPr>
                <w:sz w:val="20"/>
                <w:szCs w:val="20"/>
                <w:color w:val="auto"/>
              </w:rPr>
            </w:pPr>
            <w:r>
              <w:rPr>
                <w:rFonts w:ascii="Arial" w:cs="Arial" w:eastAsia="Arial" w:hAnsi="Arial"/>
                <w:sz w:val="16"/>
                <w:szCs w:val="16"/>
                <w:color w:val="auto"/>
              </w:rPr>
              <w:t>14,795,493</w:t>
            </w:r>
          </w:p>
        </w:tc>
        <w:tc>
          <w:tcPr>
            <w:tcW w:w="140" w:type="dxa"/>
            <w:vAlign w:val="bottom"/>
          </w:tcPr>
          <w:p>
            <w:pPr>
              <w:spacing w:after="0"/>
              <w:rPr>
                <w:sz w:val="15"/>
                <w:szCs w:val="15"/>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line="177" w:lineRule="exact"/>
              <w:rPr>
                <w:sz w:val="20"/>
                <w:szCs w:val="20"/>
                <w:color w:val="auto"/>
              </w:rPr>
            </w:pPr>
            <w:r>
              <w:rPr>
                <w:rFonts w:ascii="Arial" w:cs="Arial" w:eastAsia="Arial" w:hAnsi="Arial"/>
                <w:sz w:val="16"/>
                <w:szCs w:val="16"/>
                <w:color w:val="auto"/>
                <w:w w:val="94"/>
              </w:rPr>
              <w:t>15,835,573</w:t>
            </w:r>
          </w:p>
        </w:tc>
        <w:tc>
          <w:tcPr>
            <w:tcW w:w="80" w:type="dxa"/>
            <w:vAlign w:val="bottom"/>
          </w:tcPr>
          <w:p>
            <w:pPr>
              <w:spacing w:after="0"/>
              <w:rPr>
                <w:sz w:val="15"/>
                <w:szCs w:val="15"/>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line="177" w:lineRule="exact"/>
              <w:rPr>
                <w:sz w:val="20"/>
                <w:szCs w:val="20"/>
                <w:color w:val="auto"/>
              </w:rPr>
            </w:pPr>
            <w:r>
              <w:rPr>
                <w:rFonts w:ascii="Arial" w:cs="Arial" w:eastAsia="Arial" w:hAnsi="Arial"/>
                <w:sz w:val="16"/>
                <w:szCs w:val="16"/>
                <w:color w:val="auto"/>
              </w:rPr>
              <w:t>52,859,850</w:t>
            </w:r>
          </w:p>
        </w:tc>
        <w:tc>
          <w:tcPr>
            <w:tcW w:w="40" w:type="dxa"/>
            <w:vAlign w:val="bottom"/>
          </w:tcPr>
          <w:p>
            <w:pPr>
              <w:spacing w:after="0"/>
              <w:rPr>
                <w:sz w:val="15"/>
                <w:szCs w:val="15"/>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line="177" w:lineRule="exact"/>
              <w:rPr>
                <w:sz w:val="20"/>
                <w:szCs w:val="20"/>
                <w:color w:val="auto"/>
              </w:rPr>
            </w:pPr>
            <w:r>
              <w:rPr>
                <w:rFonts w:ascii="Arial" w:cs="Arial" w:eastAsia="Arial" w:hAnsi="Arial"/>
                <w:sz w:val="16"/>
                <w:szCs w:val="16"/>
                <w:color w:val="auto"/>
              </w:rPr>
              <w:t>34,441,796</w:t>
            </w:r>
          </w:p>
        </w:tc>
      </w:tr>
      <w:tr>
        <w:trPr>
          <w:trHeight w:val="177"/>
        </w:trPr>
        <w:tc>
          <w:tcPr>
            <w:tcW w:w="4080" w:type="dxa"/>
            <w:vAlign w:val="bottom"/>
            <w:shd w:val="clear" w:color="auto" w:fill="CCEEFF"/>
          </w:tcPr>
          <w:p>
            <w:pPr>
              <w:ind w:left="200"/>
              <w:spacing w:after="0" w:line="177" w:lineRule="exact"/>
              <w:rPr>
                <w:sz w:val="20"/>
                <w:szCs w:val="20"/>
                <w:color w:val="auto"/>
              </w:rPr>
            </w:pPr>
            <w:r>
              <w:rPr>
                <w:rFonts w:ascii="Arial" w:cs="Arial" w:eastAsia="Arial" w:hAnsi="Arial"/>
                <w:sz w:val="16"/>
                <w:szCs w:val="16"/>
                <w:color w:val="auto"/>
              </w:rPr>
              <w:t>General and administrative</w:t>
            </w:r>
          </w:p>
        </w:tc>
        <w:tc>
          <w:tcPr>
            <w:tcW w:w="2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77" w:lineRule="exact"/>
              <w:rPr>
                <w:sz w:val="20"/>
                <w:szCs w:val="20"/>
                <w:color w:val="auto"/>
              </w:rPr>
            </w:pPr>
            <w:r>
              <w:rPr>
                <w:rFonts w:ascii="Arial" w:cs="Arial" w:eastAsia="Arial" w:hAnsi="Arial"/>
                <w:sz w:val="16"/>
                <w:szCs w:val="16"/>
                <w:color w:val="auto"/>
              </w:rPr>
              <w:t>6,331,308</w:t>
            </w:r>
          </w:p>
        </w:tc>
        <w:tc>
          <w:tcPr>
            <w:tcW w:w="14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line="177" w:lineRule="exact"/>
              <w:rPr>
                <w:sz w:val="20"/>
                <w:szCs w:val="20"/>
                <w:color w:val="auto"/>
              </w:rPr>
            </w:pPr>
            <w:r>
              <w:rPr>
                <w:rFonts w:ascii="Arial" w:cs="Arial" w:eastAsia="Arial" w:hAnsi="Arial"/>
                <w:sz w:val="16"/>
                <w:szCs w:val="16"/>
                <w:color w:val="auto"/>
              </w:rPr>
              <w:t>3,111,662</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77" w:lineRule="exact"/>
              <w:rPr>
                <w:sz w:val="20"/>
                <w:szCs w:val="20"/>
                <w:color w:val="auto"/>
              </w:rPr>
            </w:pPr>
            <w:r>
              <w:rPr>
                <w:rFonts w:ascii="Arial" w:cs="Arial" w:eastAsia="Arial" w:hAnsi="Arial"/>
                <w:sz w:val="16"/>
                <w:szCs w:val="16"/>
                <w:color w:val="auto"/>
              </w:rPr>
              <w:t>18,537,242</w:t>
            </w:r>
          </w:p>
        </w:tc>
        <w:tc>
          <w:tcPr>
            <w:tcW w:w="4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77" w:lineRule="exact"/>
              <w:rPr>
                <w:sz w:val="20"/>
                <w:szCs w:val="20"/>
                <w:color w:val="auto"/>
              </w:rPr>
            </w:pPr>
            <w:r>
              <w:rPr>
                <w:rFonts w:ascii="Arial" w:cs="Arial" w:eastAsia="Arial" w:hAnsi="Arial"/>
                <w:sz w:val="16"/>
                <w:szCs w:val="16"/>
                <w:color w:val="auto"/>
              </w:rPr>
              <w:t>8,375,131</w:t>
            </w:r>
          </w:p>
        </w:tc>
      </w:tr>
      <w:tr>
        <w:trPr>
          <w:trHeight w:val="169"/>
        </w:trPr>
        <w:tc>
          <w:tcPr>
            <w:tcW w:w="4080" w:type="dxa"/>
            <w:vAlign w:val="bottom"/>
            <w:tcBorders>
              <w:bottom w:val="single" w:sz="8" w:color="CCEEFF"/>
            </w:tcBorders>
          </w:tcPr>
          <w:p>
            <w:pPr>
              <w:ind w:left="20"/>
              <w:spacing w:after="0" w:line="168" w:lineRule="exact"/>
              <w:rPr>
                <w:sz w:val="20"/>
                <w:szCs w:val="20"/>
                <w:color w:val="auto"/>
              </w:rPr>
            </w:pPr>
            <w:r>
              <w:rPr>
                <w:rFonts w:ascii="Arial" w:cs="Arial" w:eastAsia="Arial" w:hAnsi="Arial"/>
                <w:sz w:val="16"/>
                <w:szCs w:val="16"/>
                <w:color w:val="auto"/>
              </w:rPr>
              <w:t>Total operating expenses</w:t>
            </w: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21,126,801</w:t>
            </w:r>
          </w:p>
        </w:tc>
        <w:tc>
          <w:tcPr>
            <w:tcW w:w="1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w w:val="94"/>
              </w:rPr>
              <w:t>18,947,235</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71,397,092</w:t>
            </w:r>
          </w:p>
        </w:tc>
        <w:tc>
          <w:tcPr>
            <w:tcW w:w="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42,816,927</w:t>
            </w:r>
          </w:p>
        </w:tc>
      </w:tr>
      <w:tr>
        <w:trPr>
          <w:trHeight w:val="169"/>
        </w:trPr>
        <w:tc>
          <w:tcPr>
            <w:tcW w:w="4080" w:type="dxa"/>
            <w:vAlign w:val="bottom"/>
            <w:shd w:val="clear" w:color="auto" w:fill="CCEEFF"/>
          </w:tcPr>
          <w:p>
            <w:pPr>
              <w:ind w:left="20"/>
              <w:spacing w:after="0" w:line="168" w:lineRule="exact"/>
              <w:rPr>
                <w:sz w:val="20"/>
                <w:szCs w:val="20"/>
                <w:color w:val="auto"/>
              </w:rPr>
            </w:pPr>
            <w:r>
              <w:rPr>
                <w:rFonts w:ascii="Arial" w:cs="Arial" w:eastAsia="Arial" w:hAnsi="Arial"/>
                <w:sz w:val="16"/>
                <w:szCs w:val="16"/>
                <w:color w:val="auto"/>
              </w:rPr>
              <w:t>Loss from operations</w:t>
            </w: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8" w:lineRule="exact"/>
              <w:rPr>
                <w:sz w:val="20"/>
                <w:szCs w:val="20"/>
                <w:color w:val="auto"/>
              </w:rPr>
            </w:pPr>
            <w:r>
              <w:rPr>
                <w:rFonts w:ascii="Arial" w:cs="Arial" w:eastAsia="Arial" w:hAnsi="Arial"/>
                <w:sz w:val="16"/>
                <w:szCs w:val="16"/>
                <w:color w:val="auto"/>
              </w:rPr>
              <w:t>(21,126,801)</w:t>
            </w: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8" w:lineRule="exact"/>
              <w:rPr>
                <w:sz w:val="20"/>
                <w:szCs w:val="20"/>
                <w:color w:val="auto"/>
              </w:rPr>
            </w:pPr>
            <w:r>
              <w:rPr>
                <w:rFonts w:ascii="Arial" w:cs="Arial" w:eastAsia="Arial" w:hAnsi="Arial"/>
                <w:sz w:val="16"/>
                <w:szCs w:val="16"/>
                <w:color w:val="auto"/>
                <w:w w:val="88"/>
              </w:rPr>
              <w:t>(18,947,235)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8" w:lineRule="exact"/>
              <w:rPr>
                <w:sz w:val="20"/>
                <w:szCs w:val="20"/>
                <w:color w:val="auto"/>
              </w:rPr>
            </w:pPr>
            <w:r>
              <w:rPr>
                <w:rFonts w:ascii="Arial" w:cs="Arial" w:eastAsia="Arial" w:hAnsi="Arial"/>
                <w:sz w:val="16"/>
                <w:szCs w:val="16"/>
                <w:color w:val="auto"/>
              </w:rPr>
              <w:t>(71,397,092)</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8" w:lineRule="exact"/>
              <w:rPr>
                <w:sz w:val="20"/>
                <w:szCs w:val="20"/>
                <w:color w:val="auto"/>
              </w:rPr>
            </w:pPr>
            <w:r>
              <w:rPr>
                <w:rFonts w:ascii="Arial" w:cs="Arial" w:eastAsia="Arial" w:hAnsi="Arial"/>
                <w:sz w:val="16"/>
                <w:szCs w:val="16"/>
                <w:color w:val="auto"/>
              </w:rPr>
              <w:t>(42,816,927)</w:t>
            </w:r>
          </w:p>
        </w:tc>
      </w:tr>
      <w:tr>
        <w:trPr>
          <w:trHeight w:val="177"/>
        </w:trPr>
        <w:tc>
          <w:tcPr>
            <w:tcW w:w="4080" w:type="dxa"/>
            <w:vAlign w:val="bottom"/>
          </w:tcPr>
          <w:p>
            <w:pPr>
              <w:ind w:left="20"/>
              <w:spacing w:after="0" w:line="177" w:lineRule="exact"/>
              <w:rPr>
                <w:sz w:val="20"/>
                <w:szCs w:val="20"/>
                <w:color w:val="auto"/>
              </w:rPr>
            </w:pPr>
            <w:r>
              <w:rPr>
                <w:rFonts w:ascii="Arial" w:cs="Arial" w:eastAsia="Arial" w:hAnsi="Arial"/>
                <w:sz w:val="16"/>
                <w:szCs w:val="16"/>
                <w:color w:val="auto"/>
              </w:rPr>
              <w:t>Interest income (expense)</w:t>
            </w:r>
          </w:p>
        </w:tc>
        <w:tc>
          <w:tcPr>
            <w:tcW w:w="220" w:type="dxa"/>
            <w:vAlign w:val="bottom"/>
          </w:tcPr>
          <w:p>
            <w:pPr>
              <w:spacing w:after="0"/>
              <w:rPr>
                <w:sz w:val="15"/>
                <w:szCs w:val="15"/>
                <w:color w:val="auto"/>
              </w:rPr>
            </w:pPr>
          </w:p>
        </w:tc>
        <w:tc>
          <w:tcPr>
            <w:tcW w:w="1080" w:type="dxa"/>
            <w:vAlign w:val="bottom"/>
            <w:gridSpan w:val="2"/>
          </w:tcPr>
          <w:p>
            <w:pPr>
              <w:jc w:val="right"/>
              <w:ind w:right="140"/>
              <w:spacing w:after="0" w:line="177" w:lineRule="exact"/>
              <w:rPr>
                <w:sz w:val="20"/>
                <w:szCs w:val="20"/>
                <w:color w:val="auto"/>
              </w:rPr>
            </w:pPr>
            <w:r>
              <w:rPr>
                <w:rFonts w:ascii="Arial" w:cs="Arial" w:eastAsia="Arial" w:hAnsi="Arial"/>
                <w:sz w:val="16"/>
                <w:szCs w:val="16"/>
                <w:color w:val="auto"/>
              </w:rPr>
              <w:t>(551,002)</w:t>
            </w:r>
          </w:p>
        </w:tc>
        <w:tc>
          <w:tcPr>
            <w:tcW w:w="320" w:type="dxa"/>
            <w:vAlign w:val="bottom"/>
          </w:tcPr>
          <w:p>
            <w:pPr>
              <w:spacing w:after="0"/>
              <w:rPr>
                <w:sz w:val="15"/>
                <w:szCs w:val="15"/>
                <w:color w:val="auto"/>
              </w:rPr>
            </w:pPr>
          </w:p>
        </w:tc>
        <w:tc>
          <w:tcPr>
            <w:tcW w:w="900" w:type="dxa"/>
            <w:vAlign w:val="bottom"/>
            <w:gridSpan w:val="2"/>
          </w:tcPr>
          <w:p>
            <w:pPr>
              <w:jc w:val="right"/>
              <w:ind w:right="60"/>
              <w:spacing w:after="0" w:line="177" w:lineRule="exact"/>
              <w:rPr>
                <w:sz w:val="20"/>
                <w:szCs w:val="20"/>
                <w:color w:val="auto"/>
              </w:rPr>
            </w:pPr>
            <w:r>
              <w:rPr>
                <w:rFonts w:ascii="Arial" w:cs="Arial" w:eastAsia="Arial" w:hAnsi="Arial"/>
                <w:sz w:val="16"/>
                <w:szCs w:val="16"/>
                <w:color w:val="auto"/>
              </w:rPr>
              <w:t>(327,825)</w:t>
            </w:r>
          </w:p>
        </w:tc>
        <w:tc>
          <w:tcPr>
            <w:tcW w:w="220" w:type="dxa"/>
            <w:vAlign w:val="bottom"/>
          </w:tcPr>
          <w:p>
            <w:pPr>
              <w:spacing w:after="0"/>
              <w:rPr>
                <w:sz w:val="15"/>
                <w:szCs w:val="15"/>
                <w:color w:val="auto"/>
              </w:rPr>
            </w:pPr>
          </w:p>
        </w:tc>
        <w:tc>
          <w:tcPr>
            <w:tcW w:w="980" w:type="dxa"/>
            <w:vAlign w:val="bottom"/>
            <w:gridSpan w:val="2"/>
          </w:tcPr>
          <w:p>
            <w:pPr>
              <w:jc w:val="right"/>
              <w:ind w:right="40"/>
              <w:spacing w:after="0" w:line="177" w:lineRule="exact"/>
              <w:rPr>
                <w:sz w:val="20"/>
                <w:szCs w:val="20"/>
                <w:color w:val="auto"/>
              </w:rPr>
            </w:pPr>
            <w:r>
              <w:rPr>
                <w:rFonts w:ascii="Arial" w:cs="Arial" w:eastAsia="Arial" w:hAnsi="Arial"/>
                <w:sz w:val="16"/>
                <w:szCs w:val="16"/>
                <w:color w:val="auto"/>
              </w:rPr>
              <w:t>(1,091,849)</w:t>
            </w:r>
          </w:p>
        </w:tc>
        <w:tc>
          <w:tcPr>
            <w:tcW w:w="200" w:type="dxa"/>
            <w:vAlign w:val="bottom"/>
          </w:tcPr>
          <w:p>
            <w:pPr>
              <w:spacing w:after="0"/>
              <w:rPr>
                <w:sz w:val="15"/>
                <w:szCs w:val="15"/>
                <w:color w:val="auto"/>
              </w:rPr>
            </w:pPr>
          </w:p>
        </w:tc>
        <w:tc>
          <w:tcPr>
            <w:tcW w:w="940" w:type="dxa"/>
            <w:vAlign w:val="bottom"/>
          </w:tcPr>
          <w:p>
            <w:pPr>
              <w:jc w:val="right"/>
              <w:spacing w:after="0" w:line="177" w:lineRule="exact"/>
              <w:rPr>
                <w:sz w:val="20"/>
                <w:szCs w:val="20"/>
                <w:color w:val="auto"/>
              </w:rPr>
            </w:pPr>
            <w:r>
              <w:rPr>
                <w:rFonts w:ascii="Arial" w:cs="Arial" w:eastAsia="Arial" w:hAnsi="Arial"/>
                <w:sz w:val="16"/>
                <w:szCs w:val="16"/>
                <w:color w:val="auto"/>
              </w:rPr>
              <w:t>(860,723)</w:t>
            </w:r>
          </w:p>
        </w:tc>
      </w:tr>
      <w:tr>
        <w:trPr>
          <w:trHeight w:val="177"/>
        </w:trPr>
        <w:tc>
          <w:tcPr>
            <w:tcW w:w="408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Tax Credit</w:t>
            </w:r>
          </w:p>
        </w:tc>
        <w:tc>
          <w:tcPr>
            <w:tcW w:w="2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00"/>
              <w:spacing w:after="0" w:line="177" w:lineRule="exact"/>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7" w:lineRule="exact"/>
              <w:rPr>
                <w:sz w:val="20"/>
                <w:szCs w:val="20"/>
                <w:color w:val="auto"/>
              </w:rPr>
            </w:pPr>
            <w:r>
              <w:rPr>
                <w:rFonts w:ascii="Arial" w:cs="Arial" w:eastAsia="Arial" w:hAnsi="Arial"/>
                <w:sz w:val="16"/>
                <w:szCs w:val="16"/>
                <w:color w:val="auto"/>
              </w:rPr>
              <w:t>139,448</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line="177"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7" w:lineRule="exact"/>
              <w:rPr>
                <w:sz w:val="20"/>
                <w:szCs w:val="20"/>
                <w:color w:val="auto"/>
              </w:rPr>
            </w:pPr>
            <w:r>
              <w:rPr>
                <w:rFonts w:ascii="Arial" w:cs="Arial" w:eastAsia="Arial" w:hAnsi="Arial"/>
                <w:sz w:val="16"/>
                <w:szCs w:val="16"/>
                <w:color w:val="auto"/>
              </w:rPr>
              <w:t>139,448</w:t>
            </w:r>
          </w:p>
        </w:tc>
      </w:tr>
      <w:tr>
        <w:trPr>
          <w:trHeight w:val="177"/>
        </w:trPr>
        <w:tc>
          <w:tcPr>
            <w:tcW w:w="4080" w:type="dxa"/>
            <w:vAlign w:val="bottom"/>
          </w:tcPr>
          <w:p>
            <w:pPr>
              <w:ind w:left="20"/>
              <w:spacing w:after="0" w:line="177" w:lineRule="exact"/>
              <w:rPr>
                <w:sz w:val="20"/>
                <w:szCs w:val="20"/>
                <w:color w:val="auto"/>
              </w:rPr>
            </w:pPr>
            <w:r>
              <w:rPr>
                <w:rFonts w:ascii="Arial" w:cs="Arial" w:eastAsia="Arial" w:hAnsi="Arial"/>
                <w:sz w:val="16"/>
                <w:szCs w:val="16"/>
                <w:color w:val="auto"/>
              </w:rPr>
              <w:t>Loss on extinguishment of debt</w:t>
            </w:r>
          </w:p>
        </w:tc>
        <w:tc>
          <w:tcPr>
            <w:tcW w:w="220" w:type="dxa"/>
            <w:vAlign w:val="bottom"/>
          </w:tcPr>
          <w:p>
            <w:pPr>
              <w:spacing w:after="0"/>
              <w:rPr>
                <w:sz w:val="15"/>
                <w:szCs w:val="15"/>
                <w:color w:val="auto"/>
              </w:rPr>
            </w:pPr>
          </w:p>
        </w:tc>
        <w:tc>
          <w:tcPr>
            <w:tcW w:w="1080" w:type="dxa"/>
            <w:vAlign w:val="bottom"/>
            <w:gridSpan w:val="2"/>
          </w:tcPr>
          <w:p>
            <w:pPr>
              <w:jc w:val="right"/>
              <w:ind w:right="140"/>
              <w:spacing w:after="0" w:line="177" w:lineRule="exact"/>
              <w:rPr>
                <w:sz w:val="20"/>
                <w:szCs w:val="20"/>
                <w:color w:val="auto"/>
              </w:rPr>
            </w:pPr>
            <w:r>
              <w:rPr>
                <w:rFonts w:ascii="Arial" w:cs="Arial" w:eastAsia="Arial" w:hAnsi="Arial"/>
                <w:sz w:val="16"/>
                <w:szCs w:val="16"/>
                <w:color w:val="auto"/>
              </w:rPr>
              <w:t>(1,247,012)</w:t>
            </w:r>
          </w:p>
        </w:tc>
        <w:tc>
          <w:tcPr>
            <w:tcW w:w="320" w:type="dxa"/>
            <w:vAlign w:val="bottom"/>
          </w:tcPr>
          <w:p>
            <w:pPr>
              <w:spacing w:after="0"/>
              <w:rPr>
                <w:sz w:val="15"/>
                <w:szCs w:val="15"/>
                <w:color w:val="auto"/>
              </w:rPr>
            </w:pPr>
          </w:p>
        </w:tc>
        <w:tc>
          <w:tcPr>
            <w:tcW w:w="900" w:type="dxa"/>
            <w:vAlign w:val="bottom"/>
            <w:gridSpan w:val="2"/>
          </w:tcPr>
          <w:p>
            <w:pPr>
              <w:jc w:val="right"/>
              <w:ind w:right="120"/>
              <w:spacing w:after="0" w:line="177"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980" w:type="dxa"/>
            <w:vAlign w:val="bottom"/>
            <w:gridSpan w:val="2"/>
          </w:tcPr>
          <w:p>
            <w:pPr>
              <w:jc w:val="right"/>
              <w:ind w:right="40"/>
              <w:spacing w:after="0" w:line="177" w:lineRule="exact"/>
              <w:rPr>
                <w:sz w:val="20"/>
                <w:szCs w:val="20"/>
                <w:color w:val="auto"/>
              </w:rPr>
            </w:pPr>
            <w:r>
              <w:rPr>
                <w:rFonts w:ascii="Arial" w:cs="Arial" w:eastAsia="Arial" w:hAnsi="Arial"/>
                <w:sz w:val="16"/>
                <w:szCs w:val="16"/>
                <w:color w:val="auto"/>
              </w:rPr>
              <w:t>(1,247,012)</w:t>
            </w:r>
          </w:p>
        </w:tc>
        <w:tc>
          <w:tcPr>
            <w:tcW w:w="200" w:type="dxa"/>
            <w:vAlign w:val="bottom"/>
          </w:tcPr>
          <w:p>
            <w:pPr>
              <w:spacing w:after="0"/>
              <w:rPr>
                <w:sz w:val="15"/>
                <w:szCs w:val="15"/>
                <w:color w:val="auto"/>
              </w:rPr>
            </w:pPr>
          </w:p>
        </w:tc>
        <w:tc>
          <w:tcPr>
            <w:tcW w:w="940" w:type="dxa"/>
            <w:vAlign w:val="bottom"/>
          </w:tcPr>
          <w:p>
            <w:pPr>
              <w:jc w:val="right"/>
              <w:spacing w:after="0" w:line="177" w:lineRule="exact"/>
              <w:rPr>
                <w:sz w:val="20"/>
                <w:szCs w:val="20"/>
                <w:color w:val="auto"/>
              </w:rPr>
            </w:pPr>
            <w:r>
              <w:rPr>
                <w:rFonts w:ascii="Arial" w:cs="Arial" w:eastAsia="Arial" w:hAnsi="Arial"/>
                <w:sz w:val="16"/>
                <w:szCs w:val="16"/>
                <w:color w:val="auto"/>
              </w:rPr>
              <w:t>—</w:t>
            </w:r>
          </w:p>
        </w:tc>
      </w:tr>
      <w:tr>
        <w:trPr>
          <w:trHeight w:val="169"/>
        </w:trPr>
        <w:tc>
          <w:tcPr>
            <w:tcW w:w="4080" w:type="dxa"/>
            <w:vAlign w:val="bottom"/>
            <w:tcBorders>
              <w:top w:val="single" w:sz="8" w:color="CCEEFF"/>
              <w:bottom w:val="single" w:sz="8" w:color="CCEEFF"/>
            </w:tcBorders>
            <w:shd w:val="clear" w:color="auto" w:fill="CCEEFF"/>
          </w:tcPr>
          <w:p>
            <w:pPr>
              <w:ind w:left="20"/>
              <w:spacing w:after="0" w:line="168" w:lineRule="exact"/>
              <w:rPr>
                <w:sz w:val="20"/>
                <w:szCs w:val="20"/>
                <w:color w:val="auto"/>
              </w:rPr>
            </w:pPr>
            <w:r>
              <w:rPr>
                <w:rFonts w:ascii="Arial" w:cs="Arial" w:eastAsia="Arial" w:hAnsi="Arial"/>
                <w:sz w:val="16"/>
                <w:szCs w:val="16"/>
                <w:color w:val="auto"/>
              </w:rPr>
              <w:t>Net loss</w:t>
            </w:r>
          </w:p>
        </w:tc>
        <w:tc>
          <w:tcPr>
            <w:tcW w:w="220" w:type="dxa"/>
            <w:vAlign w:val="bottom"/>
            <w:tcBorders>
              <w:top w:val="single" w:sz="8" w:color="auto"/>
              <w:bottom w:val="single" w:sz="8" w:color="auto"/>
            </w:tcBorders>
            <w:shd w:val="clear" w:color="auto" w:fill="CCEEFF"/>
          </w:tcPr>
          <w:p>
            <w:pPr>
              <w:jc w:val="right"/>
              <w:ind w:right="41"/>
              <w:spacing w:after="0" w:line="168" w:lineRule="exact"/>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line="168" w:lineRule="exact"/>
              <w:rPr>
                <w:sz w:val="20"/>
                <w:szCs w:val="20"/>
                <w:color w:val="auto"/>
              </w:rPr>
            </w:pPr>
            <w:r>
              <w:rPr>
                <w:rFonts w:ascii="Arial" w:cs="Arial" w:eastAsia="Arial" w:hAnsi="Arial"/>
                <w:sz w:val="16"/>
                <w:szCs w:val="16"/>
                <w:color w:val="auto"/>
              </w:rPr>
              <w:t>(22,924,815)</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67"/>
              <w:spacing w:after="0" w:line="169" w:lineRule="exact"/>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line="168" w:lineRule="exact"/>
              <w:rPr>
                <w:sz w:val="20"/>
                <w:szCs w:val="20"/>
                <w:color w:val="auto"/>
              </w:rPr>
            </w:pPr>
            <w:r>
              <w:rPr>
                <w:rFonts w:ascii="Arial" w:cs="Arial" w:eastAsia="Arial" w:hAnsi="Arial"/>
                <w:sz w:val="16"/>
                <w:szCs w:val="16"/>
                <w:color w:val="auto"/>
                <w:w w:val="88"/>
              </w:rPr>
              <w:t>(19,135,612)</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67"/>
              <w:spacing w:after="0" w:line="169" w:lineRule="exact"/>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line="168" w:lineRule="exact"/>
              <w:rPr>
                <w:sz w:val="20"/>
                <w:szCs w:val="20"/>
                <w:color w:val="auto"/>
              </w:rPr>
            </w:pPr>
            <w:r>
              <w:rPr>
                <w:rFonts w:ascii="Arial" w:cs="Arial" w:eastAsia="Arial" w:hAnsi="Arial"/>
                <w:sz w:val="16"/>
                <w:szCs w:val="16"/>
                <w:color w:val="auto"/>
              </w:rPr>
              <w:t>(73,735,953)</w:t>
            </w: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47"/>
              <w:spacing w:after="0" w:line="169" w:lineRule="exact"/>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line="168" w:lineRule="exact"/>
              <w:rPr>
                <w:sz w:val="20"/>
                <w:szCs w:val="20"/>
                <w:color w:val="auto"/>
              </w:rPr>
            </w:pPr>
            <w:r>
              <w:rPr>
                <w:rFonts w:ascii="Arial" w:cs="Arial" w:eastAsia="Arial" w:hAnsi="Arial"/>
                <w:sz w:val="16"/>
                <w:szCs w:val="16"/>
                <w:color w:val="auto"/>
              </w:rPr>
              <w:t>(43,538,202)</w:t>
            </w:r>
          </w:p>
        </w:tc>
      </w:tr>
      <w:tr>
        <w:trPr>
          <w:trHeight w:val="20"/>
        </w:trPr>
        <w:tc>
          <w:tcPr>
            <w:tcW w:w="4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Comparison of the Three Months Ended September 30, 2020 and 2019</w:t>
      </w:r>
    </w:p>
    <w:p>
      <w:pPr>
        <w:spacing w:after="0" w:line="182" w:lineRule="exact"/>
        <w:rPr>
          <w:sz w:val="20"/>
          <w:szCs w:val="20"/>
          <w:color w:val="auto"/>
        </w:rPr>
      </w:pPr>
    </w:p>
    <w:p>
      <w:pPr>
        <w:ind w:left="40" w:right="59" w:firstLine="566"/>
        <w:spacing w:after="0" w:line="265" w:lineRule="auto"/>
        <w:rPr>
          <w:sz w:val="20"/>
          <w:szCs w:val="20"/>
          <w:color w:val="auto"/>
        </w:rPr>
      </w:pPr>
      <w:r>
        <w:rPr>
          <w:rFonts w:ascii="Arial" w:cs="Arial" w:eastAsia="Arial" w:hAnsi="Arial"/>
          <w:sz w:val="15"/>
          <w:szCs w:val="15"/>
          <w:i w:val="1"/>
          <w:iCs w:val="1"/>
          <w:color w:val="auto"/>
        </w:rPr>
        <w:t xml:space="preserve">Research and Development Expenses. </w:t>
      </w:r>
      <w:r>
        <w:rPr>
          <w:rFonts w:ascii="Arial" w:cs="Arial" w:eastAsia="Arial" w:hAnsi="Arial"/>
          <w:sz w:val="15"/>
          <w:szCs w:val="15"/>
          <w:color w:val="auto"/>
        </w:rPr>
        <w:t>Our research and development expenses for the three months ended September 30, 2020 were</w:t>
      </w:r>
      <w:r>
        <w:rPr>
          <w:rFonts w:ascii="Arial" w:cs="Arial" w:eastAsia="Arial" w:hAnsi="Arial"/>
          <w:sz w:val="15"/>
          <w:szCs w:val="15"/>
          <w:i w:val="1"/>
          <w:iCs w:val="1"/>
          <w:color w:val="auto"/>
        </w:rPr>
        <w:t xml:space="preserve"> </w:t>
      </w:r>
      <w:r>
        <w:rPr>
          <w:rFonts w:ascii="Arial" w:cs="Arial" w:eastAsia="Arial" w:hAnsi="Arial"/>
          <w:sz w:val="15"/>
          <w:szCs w:val="15"/>
          <w:color w:val="auto"/>
        </w:rPr>
        <w:t>$14.8 million, compared to $15.8 million for the three months ended September 30, 2019, a decrease of $1.0 million. The decrease was driven by the completion of several of our clinical trials which were ongoing in the comparable prior period.</w:t>
      </w:r>
    </w:p>
    <w:p>
      <w:pPr>
        <w:spacing w:after="0" w:line="136" w:lineRule="exact"/>
        <w:rPr>
          <w:sz w:val="20"/>
          <w:szCs w:val="20"/>
          <w:color w:val="auto"/>
        </w:rPr>
      </w:pPr>
    </w:p>
    <w:p>
      <w:pPr>
        <w:jc w:val="both"/>
        <w:ind w:left="40" w:right="339" w:firstLine="566"/>
        <w:spacing w:after="0" w:line="265" w:lineRule="auto"/>
        <w:rPr>
          <w:sz w:val="20"/>
          <w:szCs w:val="20"/>
          <w:color w:val="auto"/>
        </w:rPr>
      </w:pPr>
      <w:r>
        <w:rPr>
          <w:rFonts w:ascii="Arial" w:cs="Arial" w:eastAsia="Arial" w:hAnsi="Arial"/>
          <w:sz w:val="15"/>
          <w:szCs w:val="15"/>
          <w:i w:val="1"/>
          <w:iCs w:val="1"/>
          <w:color w:val="auto"/>
        </w:rPr>
        <w:t xml:space="preserve">General and Administrative Expenses. </w:t>
      </w:r>
      <w:r>
        <w:rPr>
          <w:rFonts w:ascii="Arial" w:cs="Arial" w:eastAsia="Arial" w:hAnsi="Arial"/>
          <w:sz w:val="15"/>
          <w:szCs w:val="15"/>
          <w:color w:val="auto"/>
        </w:rPr>
        <w:t>Our general and administrative expenses for the three months ended September 30, 2020</w:t>
      </w:r>
      <w:r>
        <w:rPr>
          <w:rFonts w:ascii="Arial" w:cs="Arial" w:eastAsia="Arial" w:hAnsi="Arial"/>
          <w:sz w:val="15"/>
          <w:szCs w:val="15"/>
          <w:i w:val="1"/>
          <w:iCs w:val="1"/>
          <w:color w:val="auto"/>
        </w:rPr>
        <w:t xml:space="preserve"> </w:t>
      </w:r>
      <w:r>
        <w:rPr>
          <w:rFonts w:ascii="Arial" w:cs="Arial" w:eastAsia="Arial" w:hAnsi="Arial"/>
          <w:sz w:val="15"/>
          <w:szCs w:val="15"/>
          <w:color w:val="auto"/>
        </w:rPr>
        <w:t>were $6.3 million, compared to $3.1 million for the three months ended September 30, 2019, an increase of $3.2 million. The change was primarily due to an increase in stock compensation expense, along with the build-out of the commercial function.</w:t>
      </w:r>
    </w:p>
    <w:p>
      <w:pPr>
        <w:spacing w:after="0" w:line="148" w:lineRule="exact"/>
        <w:rPr>
          <w:sz w:val="20"/>
          <w:szCs w:val="20"/>
          <w:color w:val="auto"/>
        </w:rPr>
      </w:pPr>
    </w:p>
    <w:p>
      <w:pPr>
        <w:ind w:left="40" w:right="359" w:firstLine="566"/>
        <w:spacing w:after="0" w:line="310" w:lineRule="auto"/>
        <w:rPr>
          <w:sz w:val="20"/>
          <w:szCs w:val="20"/>
          <w:color w:val="auto"/>
        </w:rPr>
      </w:pPr>
      <w:r>
        <w:rPr>
          <w:rFonts w:ascii="Arial" w:cs="Arial" w:eastAsia="Arial" w:hAnsi="Arial"/>
          <w:sz w:val="13"/>
          <w:szCs w:val="13"/>
          <w:i w:val="1"/>
          <w:iCs w:val="1"/>
          <w:color w:val="auto"/>
        </w:rPr>
        <w:t xml:space="preserve">Interest Income (Expense). </w:t>
      </w:r>
      <w:r>
        <w:rPr>
          <w:rFonts w:ascii="Arial" w:cs="Arial" w:eastAsia="Arial" w:hAnsi="Arial"/>
          <w:sz w:val="13"/>
          <w:szCs w:val="13"/>
          <w:color w:val="auto"/>
        </w:rPr>
        <w:t>Interest income (expense) for the three months ended September 30, 2020 was an expense of $0.6</w:t>
      </w:r>
      <w:r>
        <w:rPr>
          <w:rFonts w:ascii="Arial" w:cs="Arial" w:eastAsia="Arial" w:hAnsi="Arial"/>
          <w:sz w:val="13"/>
          <w:szCs w:val="13"/>
          <w:i w:val="1"/>
          <w:iCs w:val="1"/>
          <w:color w:val="auto"/>
        </w:rPr>
        <w:t xml:space="preserve"> </w:t>
      </w:r>
      <w:r>
        <w:rPr>
          <w:rFonts w:ascii="Arial" w:cs="Arial" w:eastAsia="Arial" w:hAnsi="Arial"/>
          <w:sz w:val="13"/>
          <w:szCs w:val="13"/>
          <w:color w:val="auto"/>
        </w:rPr>
        <w:t>million, compared to an expense of $0.3 million for the three months ended September 30, 2019, an increase of $0.3 million. The interest expense incurred during these periods was fairly consistent, however, the offset of interest income earned during the three months ended September 30, 2020 was lower by $0.2 million due to a lower interest rate on our cash sweep account.</w:t>
      </w:r>
    </w:p>
    <w:p>
      <w:pPr>
        <w:spacing w:after="0" w:line="124" w:lineRule="exact"/>
        <w:rPr>
          <w:sz w:val="20"/>
          <w:szCs w:val="20"/>
          <w:color w:val="auto"/>
        </w:rPr>
      </w:pPr>
    </w:p>
    <w:p>
      <w:pPr>
        <w:ind w:left="40" w:right="239" w:firstLine="566"/>
        <w:spacing w:after="0" w:line="241" w:lineRule="auto"/>
        <w:rPr>
          <w:sz w:val="20"/>
          <w:szCs w:val="20"/>
          <w:color w:val="auto"/>
        </w:rPr>
      </w:pPr>
      <w:r>
        <w:rPr>
          <w:rFonts w:ascii="Arial" w:cs="Arial" w:eastAsia="Arial" w:hAnsi="Arial"/>
          <w:sz w:val="16"/>
          <w:szCs w:val="16"/>
          <w:i w:val="1"/>
          <w:iCs w:val="1"/>
          <w:color w:val="auto"/>
        </w:rPr>
        <w:t xml:space="preserve">Tax Credit. </w:t>
      </w:r>
      <w:r>
        <w:rPr>
          <w:rFonts w:ascii="Arial" w:cs="Arial" w:eastAsia="Arial" w:hAnsi="Arial"/>
          <w:sz w:val="16"/>
          <w:szCs w:val="16"/>
          <w:color w:val="auto"/>
        </w:rPr>
        <w:t>Tax credit income for the three months ended September 30, 2019 was $0.1 million. This represents the receipt by</w:t>
      </w:r>
      <w:r>
        <w:rPr>
          <w:rFonts w:ascii="Arial" w:cs="Arial" w:eastAsia="Arial" w:hAnsi="Arial"/>
          <w:sz w:val="16"/>
          <w:szCs w:val="16"/>
          <w:i w:val="1"/>
          <w:iCs w:val="1"/>
          <w:color w:val="auto"/>
        </w:rPr>
        <w:t xml:space="preserve"> </w:t>
      </w:r>
      <w:r>
        <w:rPr>
          <w:rFonts w:ascii="Arial" w:cs="Arial" w:eastAsia="Arial" w:hAnsi="Arial"/>
          <w:sz w:val="16"/>
          <w:szCs w:val="16"/>
          <w:color w:val="auto"/>
        </w:rPr>
        <w:t>Axsome Therapeutics Australia PTY LTD, our Australian subsidiary, of the Australia Tax Incentive Credit related to the 2018 research and development expenses incurred for our product candidates.</w:t>
      </w:r>
    </w:p>
    <w:p>
      <w:pPr>
        <w:spacing w:after="0" w:line="165" w:lineRule="exact"/>
        <w:rPr>
          <w:sz w:val="20"/>
          <w:szCs w:val="20"/>
          <w:color w:val="auto"/>
        </w:rPr>
      </w:pPr>
    </w:p>
    <w:p>
      <w:pPr>
        <w:ind w:left="40" w:right="79" w:firstLine="566"/>
        <w:spacing w:after="0" w:line="253" w:lineRule="auto"/>
        <w:rPr>
          <w:sz w:val="20"/>
          <w:szCs w:val="20"/>
          <w:color w:val="auto"/>
        </w:rPr>
      </w:pPr>
      <w:r>
        <w:rPr>
          <w:rFonts w:ascii="Arial" w:cs="Arial" w:eastAsia="Arial" w:hAnsi="Arial"/>
          <w:sz w:val="15"/>
          <w:szCs w:val="15"/>
          <w:i w:val="1"/>
          <w:iCs w:val="1"/>
          <w:color w:val="auto"/>
        </w:rPr>
        <w:t xml:space="preserve">Loss on extinguishment of debt. </w:t>
      </w:r>
      <w:r>
        <w:rPr>
          <w:rFonts w:ascii="Arial" w:cs="Arial" w:eastAsia="Arial" w:hAnsi="Arial"/>
          <w:sz w:val="15"/>
          <w:szCs w:val="15"/>
          <w:color w:val="auto"/>
        </w:rPr>
        <w:t>In September 2020, we entered into a Loan and Security Agreement, or the Loan Agreement, with</w:t>
      </w:r>
      <w:r>
        <w:rPr>
          <w:rFonts w:ascii="Arial" w:cs="Arial" w:eastAsia="Arial" w:hAnsi="Arial"/>
          <w:sz w:val="15"/>
          <w:szCs w:val="15"/>
          <w:i w:val="1"/>
          <w:iCs w:val="1"/>
          <w:color w:val="auto"/>
        </w:rPr>
        <w:t xml:space="preserve"> </w:t>
      </w:r>
      <w:r>
        <w:rPr>
          <w:rFonts w:ascii="Arial" w:cs="Arial" w:eastAsia="Arial" w:hAnsi="Arial"/>
          <w:sz w:val="15"/>
          <w:szCs w:val="15"/>
          <w:color w:val="auto"/>
        </w:rPr>
        <w:t>Hercules for a term loan of up to $225.0 million, which we refer to as the 2020 Term Loan. A portion of the first tranche which was funded upon execution of the 2020 Term Loan was used to repay our 2019 Term Loan with SVB. As a result of the repayment of the 2019 Term Loan, we recorded a loss on the extinguishment of debt of approximately $1.2 million representing the difference between the amount paid to SVB and the carrying amount of the 2019 Term Loan. Included in the loss on extinguishment of debt is the prepayment premium, the unamortized discount and the write-off of deferred financing costs.</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302895</wp:posOffset>
            </wp:positionV>
            <wp:extent cx="5682615" cy="222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82615" cy="22225"/>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29" w:name="page30"/>
    <w:bookmarkEnd w:id="29"/>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Comparison of the Nine Months Ended September 30, 2020 and 2019</w:t>
      </w:r>
    </w:p>
    <w:p>
      <w:pPr>
        <w:spacing w:after="0" w:line="182" w:lineRule="exact"/>
        <w:rPr>
          <w:sz w:val="20"/>
          <w:szCs w:val="20"/>
          <w:color w:val="auto"/>
        </w:rPr>
      </w:pPr>
    </w:p>
    <w:p>
      <w:pPr>
        <w:ind w:left="40" w:right="79" w:firstLine="566"/>
        <w:spacing w:after="0" w:line="252" w:lineRule="auto"/>
        <w:rPr>
          <w:sz w:val="20"/>
          <w:szCs w:val="20"/>
          <w:color w:val="auto"/>
        </w:rPr>
      </w:pPr>
      <w:r>
        <w:rPr>
          <w:rFonts w:ascii="Arial" w:cs="Arial" w:eastAsia="Arial" w:hAnsi="Arial"/>
          <w:sz w:val="15"/>
          <w:szCs w:val="15"/>
          <w:i w:val="1"/>
          <w:iCs w:val="1"/>
          <w:color w:val="auto"/>
        </w:rPr>
        <w:t xml:space="preserve">Research and Development Expenses. </w:t>
      </w:r>
      <w:r>
        <w:rPr>
          <w:rFonts w:ascii="Arial" w:cs="Arial" w:eastAsia="Arial" w:hAnsi="Arial"/>
          <w:sz w:val="15"/>
          <w:szCs w:val="15"/>
          <w:color w:val="auto"/>
        </w:rPr>
        <w:t>Our research and development expenses for the nine months ended September 30, 2020 were</w:t>
      </w:r>
      <w:r>
        <w:rPr>
          <w:rFonts w:ascii="Arial" w:cs="Arial" w:eastAsia="Arial" w:hAnsi="Arial"/>
          <w:sz w:val="15"/>
          <w:szCs w:val="15"/>
          <w:i w:val="1"/>
          <w:iCs w:val="1"/>
          <w:color w:val="auto"/>
        </w:rPr>
        <w:t xml:space="preserve"> </w:t>
      </w:r>
      <w:r>
        <w:rPr>
          <w:rFonts w:ascii="Arial" w:cs="Arial" w:eastAsia="Arial" w:hAnsi="Arial"/>
          <w:sz w:val="15"/>
          <w:szCs w:val="15"/>
          <w:color w:val="auto"/>
        </w:rPr>
        <w:t>$52.9 million, compared to $34.4 million for the nine months ended September 30, 2019, an increase of $18.5 million. R&amp;D expense during the 2020 fiscal year included a one-time charge of $10.2 million for the Pfizer license agreement, of which $7.2 million was non-cash related. The remaining increase was due primarily to ongoing spend for our active clinical trials in the beginning of the year which include the STRIDE-1, ADVANCE-1, and INTERCEPT trials, close-out costs for our previously completed GEMINI, MOMENTUM, and CONCERT trials, along with costs associated with the AXS-05 and AXS-07 open-label safety studies, COMET and MERIT studies, and study costs related to our new drug application submission for AXS-05 and AXS-07.</w:t>
      </w:r>
    </w:p>
    <w:p>
      <w:pPr>
        <w:spacing w:after="0" w:line="159" w:lineRule="exact"/>
        <w:rPr>
          <w:sz w:val="20"/>
          <w:szCs w:val="20"/>
          <w:color w:val="auto"/>
        </w:rPr>
      </w:pPr>
    </w:p>
    <w:p>
      <w:pPr>
        <w:ind w:left="40" w:right="139" w:firstLine="566"/>
        <w:spacing w:after="0" w:line="265" w:lineRule="auto"/>
        <w:rPr>
          <w:sz w:val="20"/>
          <w:szCs w:val="20"/>
          <w:color w:val="auto"/>
        </w:rPr>
      </w:pPr>
      <w:r>
        <w:rPr>
          <w:rFonts w:ascii="Arial" w:cs="Arial" w:eastAsia="Arial" w:hAnsi="Arial"/>
          <w:sz w:val="15"/>
          <w:szCs w:val="15"/>
          <w:i w:val="1"/>
          <w:iCs w:val="1"/>
          <w:color w:val="auto"/>
        </w:rPr>
        <w:t xml:space="preserve">General and Administrative Expenses. </w:t>
      </w:r>
      <w:r>
        <w:rPr>
          <w:rFonts w:ascii="Arial" w:cs="Arial" w:eastAsia="Arial" w:hAnsi="Arial"/>
          <w:sz w:val="15"/>
          <w:szCs w:val="15"/>
          <w:color w:val="auto"/>
        </w:rPr>
        <w:t>Our general and administrative expenses for the nine months ended September 30, 2020 was</w:t>
      </w:r>
      <w:r>
        <w:rPr>
          <w:rFonts w:ascii="Arial" w:cs="Arial" w:eastAsia="Arial" w:hAnsi="Arial"/>
          <w:sz w:val="15"/>
          <w:szCs w:val="15"/>
          <w:i w:val="1"/>
          <w:iCs w:val="1"/>
          <w:color w:val="auto"/>
        </w:rPr>
        <w:t xml:space="preserve"> </w:t>
      </w:r>
      <w:r>
        <w:rPr>
          <w:rFonts w:ascii="Arial" w:cs="Arial" w:eastAsia="Arial" w:hAnsi="Arial"/>
          <w:sz w:val="15"/>
          <w:szCs w:val="15"/>
          <w:color w:val="auto"/>
        </w:rPr>
        <w:t>$18.5 million, compared to $8.4 million for the nine months ended September 30, 2019, an increase of $10.1 million. The change was primarily due to an increase in stock compensation expense, along with the build-out of the commercial function.</w:t>
      </w:r>
    </w:p>
    <w:p>
      <w:pPr>
        <w:spacing w:after="0" w:line="148" w:lineRule="exact"/>
        <w:rPr>
          <w:sz w:val="20"/>
          <w:szCs w:val="20"/>
          <w:color w:val="auto"/>
        </w:rPr>
      </w:pPr>
    </w:p>
    <w:p>
      <w:pPr>
        <w:ind w:left="40" w:right="59" w:firstLine="566"/>
        <w:spacing w:after="0" w:line="241" w:lineRule="auto"/>
        <w:rPr>
          <w:sz w:val="20"/>
          <w:szCs w:val="20"/>
          <w:color w:val="auto"/>
        </w:rPr>
      </w:pPr>
      <w:r>
        <w:rPr>
          <w:rFonts w:ascii="Arial" w:cs="Arial" w:eastAsia="Arial" w:hAnsi="Arial"/>
          <w:sz w:val="16"/>
          <w:szCs w:val="16"/>
          <w:i w:val="1"/>
          <w:iCs w:val="1"/>
          <w:color w:val="auto"/>
        </w:rPr>
        <w:t xml:space="preserve">Interest Income (Expense). </w:t>
      </w:r>
      <w:r>
        <w:rPr>
          <w:rFonts w:ascii="Arial" w:cs="Arial" w:eastAsia="Arial" w:hAnsi="Arial"/>
          <w:sz w:val="16"/>
          <w:szCs w:val="16"/>
          <w:color w:val="auto"/>
        </w:rPr>
        <w:t>Interest income (expense) for the nine months ended September 30, 2020 was an expense of $1.1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an expense of $0.9 million for the nine months ended September 30, 2019, an increase of $0.2 million. The increase was driven by a higher outstanding principal amount on our debt in 2020 as compared to 2019.</w:t>
      </w:r>
    </w:p>
    <w:p>
      <w:pPr>
        <w:spacing w:after="0" w:line="165" w:lineRule="exact"/>
        <w:rPr>
          <w:sz w:val="20"/>
          <w:szCs w:val="20"/>
          <w:color w:val="auto"/>
        </w:rPr>
      </w:pPr>
    </w:p>
    <w:p>
      <w:pPr>
        <w:ind w:left="40" w:right="239" w:firstLine="566"/>
        <w:spacing w:after="0" w:line="241" w:lineRule="auto"/>
        <w:rPr>
          <w:sz w:val="20"/>
          <w:szCs w:val="20"/>
          <w:color w:val="auto"/>
        </w:rPr>
      </w:pPr>
      <w:r>
        <w:rPr>
          <w:rFonts w:ascii="Arial" w:cs="Arial" w:eastAsia="Arial" w:hAnsi="Arial"/>
          <w:sz w:val="16"/>
          <w:szCs w:val="16"/>
          <w:i w:val="1"/>
          <w:iCs w:val="1"/>
          <w:color w:val="auto"/>
        </w:rPr>
        <w:t xml:space="preserve">Tax Credit. </w:t>
      </w:r>
      <w:r>
        <w:rPr>
          <w:rFonts w:ascii="Arial" w:cs="Arial" w:eastAsia="Arial" w:hAnsi="Arial"/>
          <w:sz w:val="16"/>
          <w:szCs w:val="16"/>
          <w:color w:val="auto"/>
        </w:rPr>
        <w:t>Tax credit income for the nine months ended September 30, 2019 was $0.1 million. This represents the receipt by</w:t>
      </w:r>
      <w:r>
        <w:rPr>
          <w:rFonts w:ascii="Arial" w:cs="Arial" w:eastAsia="Arial" w:hAnsi="Arial"/>
          <w:sz w:val="16"/>
          <w:szCs w:val="16"/>
          <w:i w:val="1"/>
          <w:iCs w:val="1"/>
          <w:color w:val="auto"/>
        </w:rPr>
        <w:t xml:space="preserve"> </w:t>
      </w:r>
      <w:r>
        <w:rPr>
          <w:rFonts w:ascii="Arial" w:cs="Arial" w:eastAsia="Arial" w:hAnsi="Arial"/>
          <w:sz w:val="16"/>
          <w:szCs w:val="16"/>
          <w:color w:val="auto"/>
        </w:rPr>
        <w:t>Axsome Therapeutics Australia PTY LTD, our Australian subsidiary, of the Australia Tax Incentive Credit related to the 2018 research and development expenses incurred for our product candidates.</w:t>
      </w:r>
    </w:p>
    <w:p>
      <w:pPr>
        <w:spacing w:after="0" w:line="165" w:lineRule="exact"/>
        <w:rPr>
          <w:sz w:val="20"/>
          <w:szCs w:val="20"/>
          <w:color w:val="auto"/>
        </w:rPr>
      </w:pPr>
    </w:p>
    <w:p>
      <w:pPr>
        <w:ind w:left="40" w:right="179" w:firstLine="566"/>
        <w:spacing w:after="0" w:line="255" w:lineRule="auto"/>
        <w:rPr>
          <w:sz w:val="20"/>
          <w:szCs w:val="20"/>
          <w:color w:val="auto"/>
        </w:rPr>
      </w:pPr>
      <w:r>
        <w:rPr>
          <w:rFonts w:ascii="Arial" w:cs="Arial" w:eastAsia="Arial" w:hAnsi="Arial"/>
          <w:sz w:val="15"/>
          <w:szCs w:val="15"/>
          <w:i w:val="1"/>
          <w:iCs w:val="1"/>
          <w:color w:val="auto"/>
        </w:rPr>
        <w:t xml:space="preserve">Loss on extinguishment of debt. </w:t>
      </w:r>
      <w:r>
        <w:rPr>
          <w:rFonts w:ascii="Arial" w:cs="Arial" w:eastAsia="Arial" w:hAnsi="Arial"/>
          <w:sz w:val="15"/>
          <w:szCs w:val="15"/>
          <w:color w:val="auto"/>
        </w:rPr>
        <w:t>In September 2020, we entered into the Loan Agreement with Hercules. A portion of the first</w:t>
      </w:r>
      <w:r>
        <w:rPr>
          <w:rFonts w:ascii="Arial" w:cs="Arial" w:eastAsia="Arial" w:hAnsi="Arial"/>
          <w:sz w:val="15"/>
          <w:szCs w:val="15"/>
          <w:i w:val="1"/>
          <w:iCs w:val="1"/>
          <w:color w:val="auto"/>
        </w:rPr>
        <w:t xml:space="preserve"> </w:t>
      </w:r>
      <w:r>
        <w:rPr>
          <w:rFonts w:ascii="Arial" w:cs="Arial" w:eastAsia="Arial" w:hAnsi="Arial"/>
          <w:sz w:val="15"/>
          <w:szCs w:val="15"/>
          <w:color w:val="auto"/>
        </w:rPr>
        <w:t>tranche which was funded upon execution of the 2020 Term Loan was used to repay our 2019 Term Loan with SVB. As a result of the repayment of the 2019 Term Loan, we recorded a loss on the extinguishment of debt of approximately $1.2 million representing the difference between the amount paid to SVB and the carrying amount of the 2019 Term Loan. Included in the loss on extinguishment of debt is the prepayment premium, the unamortized discount and the write-off of deferred financing costs.</w:t>
      </w:r>
    </w:p>
    <w:p>
      <w:pPr>
        <w:spacing w:after="0" w:line="15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Liquidity and Capital Resources</w:t>
      </w:r>
    </w:p>
    <w:p>
      <w:pPr>
        <w:spacing w:after="0" w:line="186" w:lineRule="exact"/>
        <w:rPr>
          <w:sz w:val="20"/>
          <w:szCs w:val="20"/>
          <w:color w:val="auto"/>
        </w:rPr>
      </w:pPr>
    </w:p>
    <w:p>
      <w:pPr>
        <w:ind w:left="40" w:right="119" w:firstLine="566"/>
        <w:spacing w:after="0" w:line="251" w:lineRule="auto"/>
        <w:rPr>
          <w:sz w:val="20"/>
          <w:szCs w:val="20"/>
          <w:color w:val="auto"/>
        </w:rPr>
      </w:pPr>
      <w:r>
        <w:rPr>
          <w:rFonts w:ascii="Arial" w:cs="Arial" w:eastAsia="Arial" w:hAnsi="Arial"/>
          <w:sz w:val="16"/>
          <w:szCs w:val="16"/>
          <w:color w:val="auto"/>
        </w:rPr>
        <w:t>Since our inception through September 30, 2020, we have financed our operations primarily through proceeds from equity offerings and debt borrowings. See discussion below.</w:t>
      </w:r>
    </w:p>
    <w:p>
      <w:pPr>
        <w:spacing w:after="0" w:line="157" w:lineRule="exact"/>
        <w:rPr>
          <w:sz w:val="20"/>
          <w:szCs w:val="20"/>
          <w:color w:val="auto"/>
        </w:rPr>
      </w:pPr>
    </w:p>
    <w:p>
      <w:pPr>
        <w:jc w:val="both"/>
        <w:ind w:left="40" w:right="79" w:firstLine="566"/>
        <w:spacing w:after="0" w:line="241" w:lineRule="auto"/>
        <w:rPr>
          <w:sz w:val="20"/>
          <w:szCs w:val="20"/>
          <w:color w:val="auto"/>
        </w:rPr>
      </w:pPr>
      <w:r>
        <w:rPr>
          <w:rFonts w:ascii="Arial" w:cs="Arial" w:eastAsia="Arial" w:hAnsi="Arial"/>
          <w:sz w:val="16"/>
          <w:szCs w:val="16"/>
          <w:color w:val="auto"/>
        </w:rPr>
        <w:t>In November 2015, we completed our IPO, in which we sold 5,666,667 shares of common stock at an offering price to the public of $9.00 per share. We received gross proceeds of approximately $51.0 million and net proceeds of approximately $45.5 million, after deducting underwriting discounts and commissions and offering-related transaction costs.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302895</wp:posOffset>
            </wp:positionV>
            <wp:extent cx="5682615" cy="222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82615" cy="22225"/>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30" w:name="page31"/>
    <w:bookmarkEnd w:id="30"/>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 w:right="139" w:firstLine="566"/>
        <w:spacing w:after="0" w:line="250" w:lineRule="auto"/>
        <w:rPr>
          <w:sz w:val="20"/>
          <w:szCs w:val="20"/>
          <w:color w:val="auto"/>
        </w:rPr>
      </w:pPr>
      <w:r>
        <w:rPr>
          <w:rFonts w:ascii="Arial" w:cs="Arial" w:eastAsia="Arial" w:hAnsi="Arial"/>
          <w:sz w:val="15"/>
          <w:szCs w:val="15"/>
          <w:color w:val="auto"/>
        </w:rPr>
        <w:t>In November 2016, we entered into a loan and security agreement with SVB for a term loan of up to $20.0 million, which we refer to as the 2016 Original Term Loan. The initial tranche of $10.0 million was funded shortly after executing the loan agreement. Because we did not achieve the conditional criteria to access the second and third tranches before the specified dates, the $10.0 million in additional term loan advances expired. In November 2018, we amended the 2016 Original Term Loan to provide an additional $4.0 million growth capital loan, related to our narcolepsy clinical program with AXS-12. We refer to the 2016 Original Term Loan, as amended in November 2018, as the 2016 Amended Term Loan. The additional capital under the 2016 Amended Term Loan was available to be drawn, at our option, subject to the achievement of a specified clinical milestone. Our obligations under the 2016 Amended Term Loan, along with our ability to draw down on the additional $4.0 million tranche, were considered to be performed and completed in connection with the establishment of the 2019 Term Loan (see below).</w:t>
      </w:r>
    </w:p>
    <w:p>
      <w:pPr>
        <w:spacing w:after="0" w:line="199" w:lineRule="exact"/>
        <w:rPr>
          <w:sz w:val="20"/>
          <w:szCs w:val="20"/>
          <w:color w:val="auto"/>
        </w:rPr>
      </w:pPr>
    </w:p>
    <w:p>
      <w:pPr>
        <w:ind w:left="40" w:right="119" w:firstLine="566"/>
        <w:spacing w:after="0" w:line="252" w:lineRule="auto"/>
        <w:rPr>
          <w:sz w:val="20"/>
          <w:szCs w:val="20"/>
          <w:color w:val="auto"/>
        </w:rPr>
      </w:pPr>
      <w:r>
        <w:rPr>
          <w:rFonts w:ascii="Arial" w:cs="Arial" w:eastAsia="Arial" w:hAnsi="Arial"/>
          <w:sz w:val="15"/>
          <w:szCs w:val="15"/>
          <w:color w:val="auto"/>
        </w:rPr>
        <w:t>On December 1, 2016, we filed a shelf registration statement with the SEC for the issuance of common stock, preferred stock, warrants, rights, debt securities and units up to an aggregate amount of $150.0 million, which we refer to as the 2016 Shelf Registration Statement. On December 16, 2016, the 2016 Shelf Registration Statement was declared effective by the SEC. As discussed in greater detail below, we completed an offering of common stock in March 2017, entered into a sales agreement in October 2017 pursuant to which we sold shares of our common stock from time to time in an at-the-market offering until completion of the offering in January 2019, and completed a registered direct offering priced at the market in December 2017 and September 2018, each utilizing the 2016 Shelf Registration Statement. The 2016 Shelf Registration Statement expired on December 16, 2019.</w:t>
      </w:r>
    </w:p>
    <w:p>
      <w:pPr>
        <w:spacing w:after="0" w:line="182" w:lineRule="exact"/>
        <w:rPr>
          <w:sz w:val="20"/>
          <w:szCs w:val="20"/>
          <w:color w:val="auto"/>
        </w:rPr>
      </w:pPr>
    </w:p>
    <w:p>
      <w:pPr>
        <w:ind w:left="40" w:right="219" w:firstLine="566"/>
        <w:spacing w:after="0" w:line="241" w:lineRule="auto"/>
        <w:rPr>
          <w:sz w:val="20"/>
          <w:szCs w:val="20"/>
          <w:color w:val="auto"/>
        </w:rPr>
      </w:pPr>
      <w:r>
        <w:rPr>
          <w:rFonts w:ascii="Arial" w:cs="Arial" w:eastAsia="Arial" w:hAnsi="Arial"/>
          <w:sz w:val="16"/>
          <w:szCs w:val="16"/>
          <w:color w:val="auto"/>
        </w:rPr>
        <w:t>In March 2017, we completed an underwritten public offering, whereby we sold 4,304,813 shares of our common stock at a public offering price of $3.74 per share. We received gross proceeds of approximately $16.1 million and net proceeds of approximately $14.8 million, net of underwriting discounts and offering expenses.</w:t>
      </w:r>
    </w:p>
    <w:p>
      <w:pPr>
        <w:spacing w:after="0" w:line="153" w:lineRule="exact"/>
        <w:rPr>
          <w:sz w:val="20"/>
          <w:szCs w:val="20"/>
          <w:color w:val="auto"/>
        </w:rPr>
      </w:pPr>
    </w:p>
    <w:p>
      <w:pPr>
        <w:ind w:left="40" w:right="59" w:firstLine="566"/>
        <w:spacing w:after="0" w:line="253" w:lineRule="auto"/>
        <w:rPr>
          <w:sz w:val="20"/>
          <w:szCs w:val="20"/>
          <w:color w:val="auto"/>
        </w:rPr>
      </w:pPr>
      <w:r>
        <w:rPr>
          <w:rFonts w:ascii="Arial" w:cs="Arial" w:eastAsia="Arial" w:hAnsi="Arial"/>
          <w:sz w:val="15"/>
          <w:szCs w:val="15"/>
          <w:color w:val="auto"/>
        </w:rPr>
        <w:t>In October 2017, we entered into an “at-the-market” sales agreement, or the 2017 Sales Agreement, with Leerink Partners LLC, now known as SVB Leerink, pursuant to which we could sell up to $30 million of shares of our common stock from time to time through SVB Leerink, acting as our sales agent, in one or more at-the-market offerings. In January 2019, we raised approximately $25.8 million in gross proceeds through the sale of 3,164,015 shares under the 2017 Sales Agreement. Upon completion of the final sale fully exhausting the $30 million of shares available for sale, the 2017 Sales Agreement was automatically terminated, SVB Leerink received a commission of 3.0% of the gross proceeds for all shares sold under the 2017 Sales Agreement.</w:t>
      </w:r>
    </w:p>
    <w:p>
      <w:pPr>
        <w:spacing w:after="0" w:line="147" w:lineRule="exact"/>
        <w:rPr>
          <w:sz w:val="20"/>
          <w:szCs w:val="20"/>
          <w:color w:val="auto"/>
        </w:rPr>
      </w:pPr>
    </w:p>
    <w:p>
      <w:pPr>
        <w:ind w:left="40" w:right="99" w:firstLine="566"/>
        <w:spacing w:after="0" w:line="294" w:lineRule="auto"/>
        <w:rPr>
          <w:sz w:val="20"/>
          <w:szCs w:val="20"/>
          <w:color w:val="auto"/>
        </w:rPr>
      </w:pPr>
      <w:r>
        <w:rPr>
          <w:rFonts w:ascii="Arial" w:cs="Arial" w:eastAsia="Arial" w:hAnsi="Arial"/>
          <w:sz w:val="13"/>
          <w:szCs w:val="13"/>
          <w:color w:val="auto"/>
        </w:rPr>
        <w:t>In December 2017, we completed a registered direct offering priced at the market, which we refer to the as the 2017 Registered Direct Offering, whereby we sold an aggregate of $9.5 million worth of units, or Units, at a purchase price of $5.325 per Unit, with each Unit consisting of (i) one share of our common stock, and (ii) a warrant to purchase one share of our common stock, or Common Warrant, at an exercise price equal to $5.25 per share. We sold an aggregate of 1,783,587 Units in the 2017 Registered Direct Offering for gross proceeds of approximately $9.5 million and net proceeds of approximately $8.8 million, after deducting placement agent fees and offering expenses. Additionally, we issued warrants to purchase up to 107,015 shares of our common stock at an exercise price of $6.6562 per share to certain investors affiliated with H.C. Wainwright &amp; Co., LLC, placement agent for the offering, which we refer to as the Placement Agent Warrants. The Placement Agent Warrants had the same terms as the Common Warrants, except for the difference in exercise price noted above. Both the Common Warrants and the Placement Agent Warrants expired on December 11, 2018.</w:t>
      </w:r>
    </w:p>
    <w:p>
      <w:pPr>
        <w:spacing w:after="0" w:line="315" w:lineRule="exact"/>
        <w:rPr>
          <w:sz w:val="20"/>
          <w:szCs w:val="20"/>
          <w:color w:val="auto"/>
        </w:rPr>
      </w:pPr>
    </w:p>
    <w:p>
      <w:pPr>
        <w:ind w:left="40" w:right="59" w:firstLine="566"/>
        <w:spacing w:after="0" w:line="253" w:lineRule="auto"/>
        <w:rPr>
          <w:sz w:val="20"/>
          <w:szCs w:val="20"/>
          <w:color w:val="auto"/>
        </w:rPr>
      </w:pPr>
      <w:r>
        <w:rPr>
          <w:rFonts w:ascii="Arial" w:cs="Arial" w:eastAsia="Arial" w:hAnsi="Arial"/>
          <w:sz w:val="15"/>
          <w:szCs w:val="15"/>
          <w:color w:val="auto"/>
        </w:rPr>
        <w:t>In September 2018, we entered into a purchase agreement with certain institutional and accredited investors, which we refer to as the RDO Investors, for the sale by us directly to the RDO Investors of an aggregate of 2,966,667 shares of our common stock, at a purchase price of $3.00 per share, which we refer to as the 2018 Registered Direct Offering, for gross proceeds of approximately $8.9 million. The 2018 Registered Direct Offering closed on October 1, 2018, and we received estimated net proceeds of approximately $8.8 million, after deducting transaction expenses. The 2,966,667 shares of common stock sold in the 2018 Registered Direct Offering were offered and sold by us directly to the RDO Investors, without a placement agent, underwriter, broker or dealer.</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302895</wp:posOffset>
            </wp:positionV>
            <wp:extent cx="5682615" cy="222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82615" cy="22225"/>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31" w:name="page32"/>
    <w:bookmarkEnd w:id="31"/>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 w:right="59" w:firstLine="566"/>
        <w:spacing w:after="0" w:line="292" w:lineRule="auto"/>
        <w:rPr>
          <w:sz w:val="20"/>
          <w:szCs w:val="20"/>
          <w:color w:val="auto"/>
        </w:rPr>
      </w:pPr>
      <w:r>
        <w:rPr>
          <w:rFonts w:ascii="Arial" w:cs="Arial" w:eastAsia="Arial" w:hAnsi="Arial"/>
          <w:sz w:val="13"/>
          <w:szCs w:val="13"/>
          <w:color w:val="auto"/>
        </w:rPr>
        <w:t>In March 2019, we entered into a loan and security agreement with SVB and WestRiver Innovation Lending Fund VIII, L.P., or WestRiver, for a term loan up to $24.0 million, which completely replaced the 2016 Amended Term Loan. The initial tranche of $20.0 million was funded shortly after executing the loan agreement. The second tranche of $4.0 million, or the Term B Loan Advance, was available to be drawn, at our option, subject to the achievement of a pre-determined clinical milestone related to our clinical trial for AXS-12 in narcolepsy. A portion of the initial tranche was used to satisfy our existing obligations under our November 2016 term loan facility with SVB, as amended in November 2018, and such obligations are considered fully repaid and extinguished. In May 2019, we entered into a Sales Agreement with SVB Leerink, or the May 2019 Sales Agreement, pursuant to which we could sell up to $50 million in shares of our common stock from time to time through SVB Leerink, acting as our sale’s agent, in one or more at-the-market offerings utilizing the 2016 Shelf Registration Statement (as defined below). SVB Leerink was entitled to receive a commission of 3.0% of the gross proceeds for any shares sold under the May 2019 Sales Agreement. The shares that were unsold under the May 2019 Sales Agreement at the time of the expiration of the 2016 Shelf Registration Statement were rolled over to the December 2019 Sales Agreement (see below).</w:t>
      </w:r>
    </w:p>
    <w:p>
      <w:pPr>
        <w:spacing w:after="0" w:line="315" w:lineRule="exact"/>
        <w:rPr>
          <w:sz w:val="20"/>
          <w:szCs w:val="20"/>
          <w:color w:val="auto"/>
        </w:rPr>
      </w:pPr>
    </w:p>
    <w:p>
      <w:pPr>
        <w:ind w:left="40" w:right="59" w:firstLine="566"/>
        <w:spacing w:after="0" w:line="294" w:lineRule="auto"/>
        <w:rPr>
          <w:sz w:val="20"/>
          <w:szCs w:val="20"/>
          <w:color w:val="auto"/>
        </w:rPr>
      </w:pPr>
      <w:r>
        <w:rPr>
          <w:rFonts w:ascii="Arial" w:cs="Arial" w:eastAsia="Arial" w:hAnsi="Arial"/>
          <w:sz w:val="13"/>
          <w:szCs w:val="13"/>
          <w:color w:val="auto"/>
        </w:rPr>
        <w:t>In July 2019, we entered into the first amendment to the 2019 Term Loan, or the First Amendment to the 2019 Term Loan. Under the First Amendment to the 2019 Term Loan, the interest-only monthly payment period of the 2019 Term Loan was extended to 18 months after the date of the 2019 Term Loan, which was extendable to 24 months upon receipt by us of the Term B Loan Advance. Our ability to draw down the Term B Loan Advance was extended to December 31, 2019, subject to our achievement of a pre-determined milestone event prior to or on December 31, 2019. We did not draw down on the Term B Loan Advance, and therefore, the interest-only monthly payment period was not extended. The Loan Advances were set to mature on February 1, 2023; however, the 2019 Term Loan was fully paid and our obligations under the 2019 Term Loan were fully extinguished in connection with our establishment of the 2020 Term Loan. See the subsection below titled “July 2019 First Amendment to Loan and Security Agreement – Silicon Valley Bank” under the “Contractual Obligations and Commitments” section below for a further description of the First Amendment to the 2019 Term Loan.</w:t>
      </w:r>
    </w:p>
    <w:p>
      <w:pPr>
        <w:spacing w:after="0" w:line="303" w:lineRule="exact"/>
        <w:rPr>
          <w:sz w:val="20"/>
          <w:szCs w:val="20"/>
          <w:color w:val="auto"/>
        </w:rPr>
      </w:pPr>
    </w:p>
    <w:p>
      <w:pPr>
        <w:jc w:val="both"/>
        <w:ind w:left="40" w:right="159" w:firstLine="566"/>
        <w:spacing w:after="0" w:line="265" w:lineRule="auto"/>
        <w:rPr>
          <w:sz w:val="20"/>
          <w:szCs w:val="20"/>
          <w:color w:val="auto"/>
        </w:rPr>
      </w:pPr>
      <w:r>
        <w:rPr>
          <w:rFonts w:ascii="Arial" w:cs="Arial" w:eastAsia="Arial" w:hAnsi="Arial"/>
          <w:sz w:val="15"/>
          <w:szCs w:val="15"/>
          <w:color w:val="auto"/>
        </w:rPr>
        <w:t>On December 5, 2019, we filed an automatic shelf registration statement with the SEC for the issuance of common stock, preferred stock, warrants, rights, debt securities and units up to an unlimited amount, which we refer to as the 2019 Shelf Registration Statement. The 2019 Shelf Registration Statement was automatically was declared effective by the SEC upon filing.</w:t>
      </w:r>
    </w:p>
    <w:p>
      <w:pPr>
        <w:spacing w:after="0" w:line="136" w:lineRule="exact"/>
        <w:rPr>
          <w:sz w:val="20"/>
          <w:szCs w:val="20"/>
          <w:color w:val="auto"/>
        </w:rPr>
      </w:pPr>
    </w:p>
    <w:p>
      <w:pPr>
        <w:ind w:left="40" w:right="99" w:firstLine="566"/>
        <w:spacing w:after="0" w:line="235" w:lineRule="auto"/>
        <w:rPr>
          <w:sz w:val="20"/>
          <w:szCs w:val="20"/>
          <w:color w:val="auto"/>
        </w:rPr>
      </w:pPr>
      <w:r>
        <w:rPr>
          <w:rFonts w:ascii="Arial" w:cs="Arial" w:eastAsia="Arial" w:hAnsi="Arial"/>
          <w:sz w:val="16"/>
          <w:szCs w:val="16"/>
          <w:color w:val="auto"/>
        </w:rPr>
        <w:t>In December 2019, we entered into a new Sales Agreement with SVB Leerink, or the December 2019 Sales Agreement, pursuant to which we may sell up to $80 million in shares of our common stock from time to time through SVB Leerink, acting as our sales agent, in one or more at-the-market offerings utilizing the 2019 Shelf Registration Statement. SVB Leerink is entitled to receive a commission of 3.0% of the gross proceeds for any shares sold under the December 2019 Sales Agreement. We received approximately $12.4 million in gross proceeds through the sale of 141,678 shares, of which net proceeds were approximately $12.1 million during the nine months ended September 30, 2020.</w:t>
      </w:r>
    </w:p>
    <w:p>
      <w:pPr>
        <w:spacing w:after="0" w:line="169" w:lineRule="exact"/>
        <w:rPr>
          <w:sz w:val="20"/>
          <w:szCs w:val="20"/>
          <w:color w:val="auto"/>
        </w:rPr>
      </w:pPr>
    </w:p>
    <w:p>
      <w:pPr>
        <w:jc w:val="both"/>
        <w:ind w:left="40" w:right="319" w:firstLine="566"/>
        <w:spacing w:after="0" w:line="241" w:lineRule="auto"/>
        <w:rPr>
          <w:sz w:val="20"/>
          <w:szCs w:val="20"/>
          <w:color w:val="auto"/>
        </w:rPr>
      </w:pPr>
      <w:r>
        <w:rPr>
          <w:rFonts w:ascii="Arial" w:cs="Arial" w:eastAsia="Arial" w:hAnsi="Arial"/>
          <w:sz w:val="16"/>
          <w:szCs w:val="16"/>
          <w:color w:val="auto"/>
        </w:rPr>
        <w:t>In December 2019, we completed an underwritten public offering, whereby we sold 2,300,000 shares of our common stock at a public offering price of $87.00 per share. We received gross proceeds of approximately $200.1 million and net proceeds of approximately $187.1 million, after deducting underwriting discounts and offering expenses.</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302895</wp:posOffset>
            </wp:positionV>
            <wp:extent cx="5682615" cy="222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82615" cy="22225"/>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32" w:name="page33"/>
    <w:bookmarkEnd w:id="32"/>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 w:right="79" w:firstLine="566"/>
        <w:spacing w:after="0" w:line="292" w:lineRule="auto"/>
        <w:rPr>
          <w:sz w:val="20"/>
          <w:szCs w:val="20"/>
          <w:color w:val="auto"/>
        </w:rPr>
      </w:pPr>
      <w:r>
        <w:rPr>
          <w:rFonts w:ascii="Arial" w:cs="Arial" w:eastAsia="Arial" w:hAnsi="Arial"/>
          <w:sz w:val="13"/>
          <w:szCs w:val="13"/>
          <w:color w:val="auto"/>
        </w:rPr>
        <w:t>In September 2020, we entered into the Loan Agreement with Hercules for the 2020 Term Loan, which consists of several tranches in an aggregate amount of up to $225.0 million. The first tranche consists of term loans in the amount of $60.0 million, of which $50.0 million was funded shortly after executing the Loan Agreement and the remaining $10.0 million is available at our option at any time through September 15, 2021. A portion of the initial tranche was used to repay the 2019 Term Loan along with associated final payment fees. The remaining $115 million may be drawn at our option, in three separate tranches, as described below under “Contractual Obligations - September 2020 Loan and Security Agreement – Hercules.” The 2020 Term Loan bears interest at a calculated prime-based variable rate currently at 9.15%. It matures in October 2025 and has an initial interest-only payment period of 30 months, which may be extended to up to 48 months upon the drawing of future tranches. In the future, we may conduct additional offerings of one or more of the securities covered by the 2019 Shelf Registration Statement in such amounts, prices and terms to be announced when and if the securities are offered. At the time any of our securities covered by the 2019 Shelf Registration Statement are offered for sale, a prospectus supplement will be prepared and filed with the SEC containing specific information about the terms of any such offering.</w:t>
      </w:r>
    </w:p>
    <w:p>
      <w:pPr>
        <w:spacing w:after="0" w:line="315" w:lineRule="exact"/>
        <w:rPr>
          <w:sz w:val="20"/>
          <w:szCs w:val="20"/>
          <w:color w:val="auto"/>
        </w:rPr>
      </w:pPr>
    </w:p>
    <w:p>
      <w:pPr>
        <w:ind w:left="40" w:right="99" w:firstLine="566"/>
        <w:spacing w:after="0" w:line="238" w:lineRule="auto"/>
        <w:rPr>
          <w:sz w:val="20"/>
          <w:szCs w:val="20"/>
          <w:color w:val="auto"/>
        </w:rPr>
      </w:pPr>
      <w:r>
        <w:rPr>
          <w:rFonts w:ascii="Arial" w:cs="Arial" w:eastAsia="Arial" w:hAnsi="Arial"/>
          <w:sz w:val="16"/>
          <w:szCs w:val="16"/>
          <w:color w:val="auto"/>
        </w:rPr>
        <w:t>We believe our currently available cash along with the committed capital from the Hercules facility will be sufficient to fund our anticipated operating cash requirements into at least 2024. Because the process of evaluating product candidates in clinical trials is costly and the timing of progress in these trials is uncertain, it is possible that the assumptions upon which we have based this estimate may prove to be wrong, and we could use our capital resources sooner than we currently expect.</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Cash Flows</w:t>
      </w:r>
    </w:p>
    <w:p>
      <w:pPr>
        <w:spacing w:after="0" w:line="182"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following table summarizes our primary sources and uses of cash for the periods indicated:</w:t>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jc w:val="right"/>
              <w:ind w:right="245"/>
              <w:spacing w:after="0"/>
              <w:rPr>
                <w:sz w:val="20"/>
                <w:szCs w:val="20"/>
                <w:color w:val="auto"/>
              </w:rPr>
            </w:pPr>
            <w:r>
              <w:rPr>
                <w:rFonts w:ascii="Arial" w:cs="Arial" w:eastAsia="Arial" w:hAnsi="Arial"/>
                <w:sz w:val="13"/>
                <w:szCs w:val="13"/>
                <w:b w:val="1"/>
                <w:bCs w:val="1"/>
                <w:color w:val="auto"/>
                <w:w w:val="89"/>
              </w:rPr>
              <w:t>Nine months ended September 30,</w:t>
            </w:r>
          </w:p>
        </w:tc>
      </w:tr>
      <w:tr>
        <w:trPr>
          <w:trHeight w:val="133"/>
        </w:trPr>
        <w:tc>
          <w:tcPr>
            <w:tcW w:w="65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367"/>
              <w:spacing w:after="0" w:line="133" w:lineRule="exact"/>
              <w:rPr>
                <w:sz w:val="20"/>
                <w:szCs w:val="20"/>
                <w:color w:val="auto"/>
              </w:rPr>
            </w:pPr>
            <w:r>
              <w:rPr>
                <w:rFonts w:ascii="Arial" w:cs="Arial" w:eastAsia="Arial" w:hAnsi="Arial"/>
                <w:sz w:val="13"/>
                <w:szCs w:val="13"/>
                <w:b w:val="1"/>
                <w:bCs w:val="1"/>
                <w:color w:val="auto"/>
              </w:rPr>
              <w:t>2020</w:t>
            </w:r>
          </w:p>
        </w:tc>
        <w:tc>
          <w:tcPr>
            <w:tcW w:w="1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365"/>
              <w:spacing w:after="0" w:line="133" w:lineRule="exact"/>
              <w:rPr>
                <w:sz w:val="20"/>
                <w:szCs w:val="20"/>
                <w:color w:val="auto"/>
              </w:rPr>
            </w:pPr>
            <w:r>
              <w:rPr>
                <w:rFonts w:ascii="Arial" w:cs="Arial" w:eastAsia="Arial" w:hAnsi="Arial"/>
                <w:sz w:val="13"/>
                <w:szCs w:val="13"/>
                <w:b w:val="1"/>
                <w:bCs w:val="1"/>
                <w:color w:val="auto"/>
              </w:rPr>
              <w:t>2019</w:t>
            </w:r>
          </w:p>
        </w:tc>
      </w:tr>
      <w:tr>
        <w:trPr>
          <w:trHeight w:val="133"/>
        </w:trPr>
        <w:tc>
          <w:tcPr>
            <w:tcW w:w="6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77"/>
        </w:trPr>
        <w:tc>
          <w:tcPr>
            <w:tcW w:w="650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Net cash (used in) provided by:</w:t>
            </w: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77"/>
        </w:trPr>
        <w:tc>
          <w:tcPr>
            <w:tcW w:w="6500" w:type="dxa"/>
            <w:vAlign w:val="bottom"/>
          </w:tcPr>
          <w:p>
            <w:pPr>
              <w:ind w:left="200"/>
              <w:spacing w:after="0" w:line="177" w:lineRule="exact"/>
              <w:rPr>
                <w:sz w:val="20"/>
                <w:szCs w:val="20"/>
                <w:color w:val="auto"/>
              </w:rPr>
            </w:pPr>
            <w:r>
              <w:rPr>
                <w:rFonts w:ascii="Arial" w:cs="Arial" w:eastAsia="Arial" w:hAnsi="Arial"/>
                <w:sz w:val="16"/>
                <w:szCs w:val="16"/>
                <w:color w:val="auto"/>
              </w:rPr>
              <w:t>Operating activities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line="177" w:lineRule="exact"/>
              <w:rPr>
                <w:sz w:val="20"/>
                <w:szCs w:val="20"/>
                <w:color w:val="auto"/>
              </w:rPr>
            </w:pPr>
            <w:r>
              <w:rPr>
                <w:rFonts w:ascii="Arial" w:cs="Arial" w:eastAsia="Arial" w:hAnsi="Arial"/>
                <w:sz w:val="16"/>
                <w:szCs w:val="16"/>
                <w:color w:val="auto"/>
              </w:rPr>
              <w:t>(57,903,052)</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line="177" w:lineRule="exact"/>
              <w:rPr>
                <w:sz w:val="20"/>
                <w:szCs w:val="20"/>
                <w:color w:val="auto"/>
              </w:rPr>
            </w:pPr>
            <w:r>
              <w:rPr>
                <w:rFonts w:ascii="Arial" w:cs="Arial" w:eastAsia="Arial" w:hAnsi="Arial"/>
                <w:sz w:val="16"/>
                <w:szCs w:val="16"/>
                <w:color w:val="auto"/>
              </w:rPr>
              <w:t>(28,807,908)</w:t>
            </w:r>
          </w:p>
        </w:tc>
      </w:tr>
      <w:tr>
        <w:trPr>
          <w:trHeight w:val="177"/>
        </w:trPr>
        <w:tc>
          <w:tcPr>
            <w:tcW w:w="6500" w:type="dxa"/>
            <w:vAlign w:val="bottom"/>
            <w:shd w:val="clear" w:color="auto" w:fill="CCEEFF"/>
          </w:tcPr>
          <w:p>
            <w:pPr>
              <w:ind w:left="200"/>
              <w:spacing w:after="0" w:line="177" w:lineRule="exact"/>
              <w:rPr>
                <w:sz w:val="20"/>
                <w:szCs w:val="20"/>
                <w:color w:val="auto"/>
              </w:rPr>
            </w:pPr>
            <w:r>
              <w:rPr>
                <w:rFonts w:ascii="Arial" w:cs="Arial" w:eastAsia="Arial" w:hAnsi="Arial"/>
                <w:sz w:val="16"/>
                <w:szCs w:val="16"/>
                <w:color w:val="auto"/>
              </w:rPr>
              <w:t>Investing activities</w:t>
            </w:r>
          </w:p>
        </w:tc>
        <w:tc>
          <w:tcPr>
            <w:tcW w:w="2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line="177" w:lineRule="exact"/>
              <w:rPr>
                <w:sz w:val="20"/>
                <w:szCs w:val="20"/>
                <w:color w:val="auto"/>
              </w:rPr>
            </w:pPr>
            <w:r>
              <w:rPr>
                <w:rFonts w:ascii="Arial" w:cs="Arial" w:eastAsia="Arial" w:hAnsi="Arial"/>
                <w:sz w:val="16"/>
                <w:szCs w:val="16"/>
                <w:color w:val="auto"/>
              </w:rPr>
              <w:t>(25,604)</w:t>
            </w: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7" w:lineRule="exact"/>
              <w:rPr>
                <w:sz w:val="20"/>
                <w:szCs w:val="20"/>
                <w:color w:val="auto"/>
              </w:rPr>
            </w:pPr>
            <w:r>
              <w:rPr>
                <w:rFonts w:ascii="Arial" w:cs="Arial" w:eastAsia="Arial" w:hAnsi="Arial"/>
                <w:sz w:val="16"/>
                <w:szCs w:val="16"/>
                <w:color w:val="auto"/>
              </w:rPr>
              <w:t>(14,660)</w:t>
            </w:r>
          </w:p>
        </w:tc>
      </w:tr>
      <w:tr>
        <w:trPr>
          <w:trHeight w:val="177"/>
        </w:trPr>
        <w:tc>
          <w:tcPr>
            <w:tcW w:w="6500" w:type="dxa"/>
            <w:vAlign w:val="bottom"/>
            <w:tcBorders>
              <w:bottom w:val="single" w:sz="8" w:color="CCEEFF"/>
            </w:tcBorders>
          </w:tcPr>
          <w:p>
            <w:pPr>
              <w:ind w:left="200"/>
              <w:spacing w:after="0" w:line="177" w:lineRule="exact"/>
              <w:rPr>
                <w:sz w:val="20"/>
                <w:szCs w:val="20"/>
                <w:color w:val="auto"/>
              </w:rPr>
            </w:pPr>
            <w:r>
              <w:rPr>
                <w:rFonts w:ascii="Arial" w:cs="Arial" w:eastAsia="Arial" w:hAnsi="Arial"/>
                <w:sz w:val="16"/>
                <w:szCs w:val="16"/>
                <w:color w:val="auto"/>
              </w:rPr>
              <w:t>Financing activities</w:t>
            </w: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77" w:lineRule="exact"/>
              <w:rPr>
                <w:sz w:val="20"/>
                <w:szCs w:val="20"/>
                <w:color w:val="auto"/>
              </w:rPr>
            </w:pPr>
            <w:r>
              <w:rPr>
                <w:rFonts w:ascii="Arial" w:cs="Arial" w:eastAsia="Arial" w:hAnsi="Arial"/>
                <w:sz w:val="16"/>
                <w:szCs w:val="16"/>
                <w:color w:val="auto"/>
              </w:rPr>
              <w:t>40,322,781</w:t>
            </w:r>
          </w:p>
        </w:tc>
        <w:tc>
          <w:tcPr>
            <w:tcW w:w="1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77" w:lineRule="exact"/>
              <w:rPr>
                <w:sz w:val="20"/>
                <w:szCs w:val="20"/>
                <w:color w:val="auto"/>
              </w:rPr>
            </w:pPr>
            <w:r>
              <w:rPr>
                <w:rFonts w:ascii="Arial" w:cs="Arial" w:eastAsia="Arial" w:hAnsi="Arial"/>
                <w:sz w:val="16"/>
                <w:szCs w:val="16"/>
                <w:color w:val="auto"/>
              </w:rPr>
              <w:t>58,495,687</w:t>
            </w:r>
          </w:p>
        </w:tc>
      </w:tr>
      <w:tr>
        <w:trPr>
          <w:trHeight w:val="169"/>
        </w:trPr>
        <w:tc>
          <w:tcPr>
            <w:tcW w:w="6500" w:type="dxa"/>
            <w:vAlign w:val="bottom"/>
            <w:tcBorders>
              <w:bottom w:val="single" w:sz="8" w:color="CCEEFF"/>
            </w:tcBorders>
            <w:shd w:val="clear" w:color="auto" w:fill="CCEEFF"/>
          </w:tcPr>
          <w:p>
            <w:pPr>
              <w:ind w:left="20"/>
              <w:spacing w:after="0" w:line="168" w:lineRule="exact"/>
              <w:rPr>
                <w:sz w:val="20"/>
                <w:szCs w:val="20"/>
                <w:color w:val="auto"/>
              </w:rPr>
            </w:pPr>
            <w:r>
              <w:rPr>
                <w:rFonts w:ascii="Arial" w:cs="Arial" w:eastAsia="Arial" w:hAnsi="Arial"/>
                <w:sz w:val="16"/>
                <w:szCs w:val="16"/>
                <w:color w:val="auto"/>
              </w:rPr>
              <w:t>Net increase (decrease) in cash</w:t>
            </w:r>
          </w:p>
        </w:tc>
        <w:tc>
          <w:tcPr>
            <w:tcW w:w="200" w:type="dxa"/>
            <w:vAlign w:val="bottom"/>
            <w:tcBorders>
              <w:bottom w:val="single" w:sz="8" w:color="auto"/>
            </w:tcBorders>
            <w:shd w:val="clear" w:color="auto" w:fill="CCEEFF"/>
          </w:tcPr>
          <w:p>
            <w:pPr>
              <w:jc w:val="right"/>
              <w:ind w:right="47"/>
              <w:spacing w:after="0" w:line="169" w:lineRule="exact"/>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line="168" w:lineRule="exact"/>
              <w:rPr>
                <w:sz w:val="20"/>
                <w:szCs w:val="20"/>
                <w:color w:val="auto"/>
              </w:rPr>
            </w:pPr>
            <w:r>
              <w:rPr>
                <w:rFonts w:ascii="Arial" w:cs="Arial" w:eastAsia="Arial" w:hAnsi="Arial"/>
                <w:sz w:val="16"/>
                <w:szCs w:val="16"/>
                <w:color w:val="auto"/>
              </w:rPr>
              <w:t>(17,605,875)</w:t>
            </w:r>
          </w:p>
        </w:tc>
        <w:tc>
          <w:tcPr>
            <w:tcW w:w="16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47"/>
              <w:spacing w:after="0" w:line="169" w:lineRule="exact"/>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line="168" w:lineRule="exact"/>
              <w:rPr>
                <w:sz w:val="20"/>
                <w:szCs w:val="20"/>
                <w:color w:val="auto"/>
              </w:rPr>
            </w:pPr>
            <w:r>
              <w:rPr>
                <w:rFonts w:ascii="Arial" w:cs="Arial" w:eastAsia="Arial" w:hAnsi="Arial"/>
                <w:sz w:val="16"/>
                <w:szCs w:val="16"/>
                <w:color w:val="auto"/>
              </w:rPr>
              <w:t>29,673,119</w:t>
            </w:r>
          </w:p>
        </w:tc>
      </w:tr>
      <w:tr>
        <w:trPr>
          <w:trHeight w:val="20"/>
        </w:trPr>
        <w:tc>
          <w:tcPr>
            <w:tcW w:w="6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left="40" w:right="59" w:firstLine="566"/>
        <w:spacing w:after="0" w:line="238" w:lineRule="auto"/>
        <w:rPr>
          <w:sz w:val="20"/>
          <w:szCs w:val="20"/>
          <w:color w:val="auto"/>
        </w:rPr>
      </w:pPr>
      <w:r>
        <w:rPr>
          <w:rFonts w:ascii="Arial" w:cs="Arial" w:eastAsia="Arial" w:hAnsi="Arial"/>
          <w:sz w:val="16"/>
          <w:szCs w:val="16"/>
          <w:i w:val="1"/>
          <w:iCs w:val="1"/>
          <w:color w:val="auto"/>
        </w:rPr>
        <w:t xml:space="preserve">Operating Activities. </w:t>
      </w:r>
      <w:r>
        <w:rPr>
          <w:rFonts w:ascii="Arial" w:cs="Arial" w:eastAsia="Arial" w:hAnsi="Arial"/>
          <w:sz w:val="16"/>
          <w:szCs w:val="16"/>
          <w:color w:val="auto"/>
        </w:rPr>
        <w:t>Cash used in operating activities for the nine months ended September 30, 2020 was $57.9 million as</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$28.8 million for the nine months ended September 30, 2019. The increase of $29.1 million in net cash used included the upfront cash payment of $3.0 million to Pfizer along with a higher cash outlay as a result of the multiple product candidates that were in clinical trials.</w:t>
      </w:r>
    </w:p>
    <w:p>
      <w:pPr>
        <w:spacing w:after="0" w:line="166" w:lineRule="exact"/>
        <w:rPr>
          <w:sz w:val="20"/>
          <w:szCs w:val="20"/>
          <w:color w:val="auto"/>
        </w:rPr>
      </w:pPr>
    </w:p>
    <w:p>
      <w:pPr>
        <w:ind w:left="40" w:right="179" w:firstLine="566"/>
        <w:spacing w:after="0" w:line="251" w:lineRule="auto"/>
        <w:rPr>
          <w:sz w:val="20"/>
          <w:szCs w:val="20"/>
          <w:color w:val="auto"/>
        </w:rPr>
      </w:pPr>
      <w:r>
        <w:rPr>
          <w:rFonts w:ascii="Arial" w:cs="Arial" w:eastAsia="Arial" w:hAnsi="Arial"/>
          <w:sz w:val="16"/>
          <w:szCs w:val="16"/>
          <w:i w:val="1"/>
          <w:iCs w:val="1"/>
          <w:color w:val="auto"/>
        </w:rPr>
        <w:t xml:space="preserve">Investing Activities. </w:t>
      </w:r>
      <w:r>
        <w:rPr>
          <w:rFonts w:ascii="Arial" w:cs="Arial" w:eastAsia="Arial" w:hAnsi="Arial"/>
          <w:sz w:val="16"/>
          <w:szCs w:val="16"/>
          <w:color w:val="auto"/>
        </w:rPr>
        <w:t>Cash used in investing activities for the purchase of property and equipment was less than $0.1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nine months ended September 30, 2020 and 2019.</w:t>
      </w:r>
    </w:p>
    <w:p>
      <w:pPr>
        <w:spacing w:after="0" w:line="157" w:lineRule="exact"/>
        <w:rPr>
          <w:sz w:val="20"/>
          <w:szCs w:val="20"/>
          <w:color w:val="auto"/>
        </w:rPr>
      </w:pPr>
    </w:p>
    <w:p>
      <w:pPr>
        <w:ind w:left="40" w:right="59" w:firstLine="566"/>
        <w:spacing w:after="0" w:line="236" w:lineRule="auto"/>
        <w:rPr>
          <w:sz w:val="20"/>
          <w:szCs w:val="20"/>
          <w:color w:val="auto"/>
        </w:rPr>
      </w:pPr>
      <w:r>
        <w:rPr>
          <w:rFonts w:ascii="Arial" w:cs="Arial" w:eastAsia="Arial" w:hAnsi="Arial"/>
          <w:sz w:val="16"/>
          <w:szCs w:val="16"/>
          <w:i w:val="1"/>
          <w:iCs w:val="1"/>
          <w:color w:val="auto"/>
        </w:rPr>
        <w:t xml:space="preserve">Financing Activities. </w:t>
      </w:r>
      <w:r>
        <w:rPr>
          <w:rFonts w:ascii="Arial" w:cs="Arial" w:eastAsia="Arial" w:hAnsi="Arial"/>
          <w:sz w:val="16"/>
          <w:szCs w:val="16"/>
          <w:color w:val="auto"/>
        </w:rPr>
        <w:t>Cash provided by financing activities was $40.3 million for the nine months ended September 30, 2020, which</w:t>
      </w:r>
      <w:r>
        <w:rPr>
          <w:rFonts w:ascii="Arial" w:cs="Arial" w:eastAsia="Arial" w:hAnsi="Arial"/>
          <w:sz w:val="16"/>
          <w:szCs w:val="16"/>
          <w:i w:val="1"/>
          <w:iCs w:val="1"/>
          <w:color w:val="auto"/>
        </w:rPr>
        <w:t xml:space="preserve"> </w:t>
      </w:r>
      <w:r>
        <w:rPr>
          <w:rFonts w:ascii="Arial" w:cs="Arial" w:eastAsia="Arial" w:hAnsi="Arial"/>
          <w:sz w:val="16"/>
          <w:szCs w:val="16"/>
          <w:color w:val="auto"/>
        </w:rPr>
        <w:t>included proceeds from the 2020 Term Loan of $50.0 million, net proceeds from the sale of common stock through our Sales Agreement with Leerink of $12.1 million and proceeds from the issuance of common stock upon exercise of employee stock options of $1.0 million. These proceeds were offset by the repayment of the 2019 Term Loan with SVB of $21.7 million and payment of financing costs related to Hercules loan of $1.1 million.</w:t>
      </w:r>
    </w:p>
    <w:p>
      <w:pPr>
        <w:spacing w:after="0" w:line="168" w:lineRule="exact"/>
        <w:rPr>
          <w:sz w:val="20"/>
          <w:szCs w:val="20"/>
          <w:color w:val="auto"/>
        </w:rPr>
      </w:pPr>
    </w:p>
    <w:p>
      <w:pPr>
        <w:ind w:left="40" w:right="179" w:firstLine="566"/>
        <w:spacing w:after="0" w:line="238" w:lineRule="auto"/>
        <w:rPr>
          <w:sz w:val="20"/>
          <w:szCs w:val="20"/>
          <w:color w:val="auto"/>
        </w:rPr>
      </w:pPr>
      <w:r>
        <w:rPr>
          <w:rFonts w:ascii="Arial" w:cs="Arial" w:eastAsia="Arial" w:hAnsi="Arial"/>
          <w:sz w:val="16"/>
          <w:szCs w:val="16"/>
          <w:color w:val="auto"/>
        </w:rPr>
        <w:t>For the nine months ended September 30, 2019, cash provided by financing activities was $58.5 million, which included net proceeds from the sale of common stock through our Sales Agreement with Leerink of $44.5 million, proceeds from the 2019 Term Loan of $20.0 million, and proceeds from issuance of common stock upon exercise of options and warrants of $1.1 million. These proceeds were offset by the repayment on our 2016 Amended Term Loan of $7.2 million.</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302895</wp:posOffset>
            </wp:positionV>
            <wp:extent cx="5682615" cy="222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82615" cy="22225"/>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33" w:name="page34"/>
    <w:bookmarkEnd w:id="33"/>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Funding requirements</w:t>
      </w:r>
    </w:p>
    <w:p>
      <w:pPr>
        <w:spacing w:after="0" w:line="174" w:lineRule="exact"/>
        <w:rPr>
          <w:sz w:val="20"/>
          <w:szCs w:val="20"/>
          <w:color w:val="auto"/>
        </w:rPr>
      </w:pPr>
    </w:p>
    <w:p>
      <w:pPr>
        <w:ind w:left="40" w:right="139" w:firstLine="566"/>
        <w:spacing w:after="0" w:line="236" w:lineRule="auto"/>
        <w:rPr>
          <w:sz w:val="20"/>
          <w:szCs w:val="20"/>
          <w:color w:val="auto"/>
        </w:rPr>
      </w:pPr>
      <w:r>
        <w:rPr>
          <w:rFonts w:ascii="Arial" w:cs="Arial" w:eastAsia="Arial" w:hAnsi="Arial"/>
          <w:sz w:val="16"/>
          <w:szCs w:val="16"/>
          <w:color w:val="auto"/>
        </w:rPr>
        <w:t>We have not achieved profitability since our inception and we expect to continue to incur significant losses for the foreseeable future. We expect our cumulative losses to increase as we continue the development of and seek regulatory approvals for our product candidates and begin to commercialize any approved products. We are subject to all of the risks pertinent to the development of new product candidates, and we may encounter unforeseen expenses, difficulties, complications, delays, and other unknown factors that may harm our business.</w:t>
      </w:r>
    </w:p>
    <w:p>
      <w:pPr>
        <w:spacing w:after="0" w:line="168" w:lineRule="exact"/>
        <w:rPr>
          <w:sz w:val="20"/>
          <w:szCs w:val="20"/>
          <w:color w:val="auto"/>
        </w:rPr>
      </w:pPr>
    </w:p>
    <w:p>
      <w:pPr>
        <w:ind w:left="40" w:right="79" w:firstLine="566"/>
        <w:spacing w:after="0" w:line="253" w:lineRule="auto"/>
        <w:rPr>
          <w:sz w:val="20"/>
          <w:szCs w:val="20"/>
          <w:color w:val="auto"/>
        </w:rPr>
      </w:pPr>
      <w:r>
        <w:rPr>
          <w:rFonts w:ascii="Arial" w:cs="Arial" w:eastAsia="Arial" w:hAnsi="Arial"/>
          <w:sz w:val="15"/>
          <w:szCs w:val="15"/>
          <w:color w:val="auto"/>
        </w:rPr>
        <w:t>We anticipate that we will likely need to raise additional financing in the future to fund our operations. In order to meet these additional cash requirements, we may incur debt, license certain intellectual property, and seek to sell additional equity or convertible securities that may result in dilution to our stockholders. If we raise additional funds through the issuance of equity or convertible securities, these securities could have rights or preferences senior to those of our common stock and could contain covenants that restrict our operations. There can be no assurance that we will be able to obtain additional equity or debt financing on terms acceptable to us, if at all. Our future capital requirements will depend on many factors, including:</w:t>
      </w:r>
    </w:p>
    <w:p>
      <w:pPr>
        <w:spacing w:after="0" w:line="159" w:lineRule="exact"/>
        <w:rPr>
          <w:sz w:val="20"/>
          <w:szCs w:val="20"/>
          <w:color w:val="auto"/>
        </w:rPr>
      </w:pPr>
    </w:p>
    <w:p>
      <w:pPr>
        <w:ind w:left="900" w:hanging="278"/>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scope, rate of progress, results, and cost of our clinical studies and other related activities;</w:t>
      </w:r>
    </w:p>
    <w:p>
      <w:pPr>
        <w:spacing w:after="0" w:line="122" w:lineRule="exact"/>
        <w:rPr>
          <w:rFonts w:ascii="Arial" w:cs="Arial" w:eastAsia="Arial" w:hAnsi="Arial"/>
          <w:sz w:val="16"/>
          <w:szCs w:val="16"/>
          <w:color w:val="auto"/>
        </w:rPr>
      </w:pPr>
    </w:p>
    <w:p>
      <w:pPr>
        <w:ind w:left="900" w:hanging="278"/>
        <w:spacing w:after="0"/>
        <w:tabs>
          <w:tab w:leader="none" w:pos="900" w:val="left"/>
        </w:tabs>
        <w:numPr>
          <w:ilvl w:val="0"/>
          <w:numId w:val="5"/>
        </w:numPr>
        <w:rPr>
          <w:rFonts w:ascii="Arial" w:cs="Arial" w:eastAsia="Arial" w:hAnsi="Arial"/>
          <w:sz w:val="15"/>
          <w:szCs w:val="15"/>
          <w:color w:val="auto"/>
        </w:rPr>
      </w:pPr>
      <w:r>
        <w:rPr>
          <w:rFonts w:ascii="Arial" w:cs="Arial" w:eastAsia="Arial" w:hAnsi="Arial"/>
          <w:sz w:val="15"/>
          <w:szCs w:val="15"/>
          <w:color w:val="auto"/>
        </w:rPr>
        <w:t>our ability to enter into collaborative agreements for the development and commercialization of our product candidates;</w:t>
      </w:r>
    </w:p>
    <w:p>
      <w:pPr>
        <w:spacing w:after="0" w:line="122" w:lineRule="exact"/>
        <w:rPr>
          <w:rFonts w:ascii="Arial" w:cs="Arial" w:eastAsia="Arial" w:hAnsi="Arial"/>
          <w:sz w:val="15"/>
          <w:szCs w:val="15"/>
          <w:color w:val="auto"/>
        </w:rPr>
      </w:pPr>
    </w:p>
    <w:p>
      <w:pPr>
        <w:ind w:left="900" w:hanging="278"/>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number and development requirements of any other product candidates that we pursue;</w:t>
      </w:r>
    </w:p>
    <w:p>
      <w:pPr>
        <w:spacing w:after="0" w:line="122" w:lineRule="exact"/>
        <w:rPr>
          <w:rFonts w:ascii="Arial" w:cs="Arial" w:eastAsia="Arial" w:hAnsi="Arial"/>
          <w:sz w:val="16"/>
          <w:szCs w:val="16"/>
          <w:color w:val="auto"/>
        </w:rPr>
      </w:pPr>
    </w:p>
    <w:p>
      <w:pPr>
        <w:ind w:left="900" w:hanging="278"/>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costs, timing, and outcome of regulatory reviews of our product candidates;</w:t>
      </w:r>
    </w:p>
    <w:p>
      <w:pPr>
        <w:spacing w:after="0" w:line="122" w:lineRule="exact"/>
        <w:rPr>
          <w:rFonts w:ascii="Arial" w:cs="Arial" w:eastAsia="Arial" w:hAnsi="Arial"/>
          <w:sz w:val="16"/>
          <w:szCs w:val="16"/>
          <w:color w:val="auto"/>
        </w:rPr>
      </w:pPr>
    </w:p>
    <w:p>
      <w:pPr>
        <w:ind w:left="900" w:right="99" w:hanging="278"/>
        <w:spacing w:after="0" w:line="251"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costs and timing of future commercialization activities, including product manufacturing, marketing, sales, and distribution, for any of our product candidates for which we receive marketing approval;</w:t>
      </w:r>
    </w:p>
    <w:p>
      <w:pPr>
        <w:spacing w:after="0" w:line="86" w:lineRule="exact"/>
        <w:rPr>
          <w:rFonts w:ascii="Arial" w:cs="Arial" w:eastAsia="Arial" w:hAnsi="Arial"/>
          <w:sz w:val="16"/>
          <w:szCs w:val="16"/>
          <w:color w:val="auto"/>
        </w:rPr>
      </w:pPr>
    </w:p>
    <w:p>
      <w:pPr>
        <w:ind w:left="900" w:hanging="278"/>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unforeseen circumstances or other disruptions to normal business operations arising from or related to COVID-19;</w:t>
      </w:r>
    </w:p>
    <w:p>
      <w:pPr>
        <w:spacing w:after="0" w:line="122" w:lineRule="exact"/>
        <w:rPr>
          <w:rFonts w:ascii="Arial" w:cs="Arial" w:eastAsia="Arial" w:hAnsi="Arial"/>
          <w:sz w:val="16"/>
          <w:szCs w:val="16"/>
          <w:color w:val="auto"/>
        </w:rPr>
      </w:pPr>
    </w:p>
    <w:p>
      <w:pPr>
        <w:ind w:left="900" w:hanging="278"/>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any product liability or other lawsuits related to our product candidates;</w:t>
      </w:r>
    </w:p>
    <w:p>
      <w:pPr>
        <w:spacing w:after="0" w:line="122" w:lineRule="exact"/>
        <w:rPr>
          <w:rFonts w:ascii="Arial" w:cs="Arial" w:eastAsia="Arial" w:hAnsi="Arial"/>
          <w:sz w:val="16"/>
          <w:szCs w:val="16"/>
          <w:color w:val="auto"/>
        </w:rPr>
      </w:pPr>
    </w:p>
    <w:p>
      <w:pPr>
        <w:ind w:left="900" w:hanging="278"/>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expenses needed to attract and retain skilled personnel;</w:t>
      </w:r>
    </w:p>
    <w:p>
      <w:pPr>
        <w:spacing w:after="0" w:line="110" w:lineRule="exact"/>
        <w:rPr>
          <w:rFonts w:ascii="Arial" w:cs="Arial" w:eastAsia="Arial" w:hAnsi="Arial"/>
          <w:sz w:val="16"/>
          <w:szCs w:val="16"/>
          <w:color w:val="auto"/>
        </w:rPr>
      </w:pPr>
    </w:p>
    <w:p>
      <w:pPr>
        <w:ind w:left="900" w:hanging="278"/>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general and administrative expenses related to being a public company;</w:t>
      </w:r>
    </w:p>
    <w:p>
      <w:pPr>
        <w:spacing w:after="0" w:line="122" w:lineRule="exact"/>
        <w:rPr>
          <w:rFonts w:ascii="Arial" w:cs="Arial" w:eastAsia="Arial" w:hAnsi="Arial"/>
          <w:sz w:val="16"/>
          <w:szCs w:val="16"/>
          <w:color w:val="auto"/>
        </w:rPr>
      </w:pPr>
    </w:p>
    <w:p>
      <w:pPr>
        <w:ind w:left="900" w:hanging="278"/>
        <w:spacing w:after="0"/>
        <w:tabs>
          <w:tab w:leader="none" w:pos="90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revenue, if any, received from commercial sales of our product candidates for which we receive marketing approval; and</w:t>
      </w:r>
    </w:p>
    <w:p>
      <w:pPr>
        <w:spacing w:after="0" w:line="157" w:lineRule="exact"/>
        <w:rPr>
          <w:rFonts w:ascii="Arial" w:cs="Arial" w:eastAsia="Arial" w:hAnsi="Arial"/>
          <w:sz w:val="13"/>
          <w:szCs w:val="13"/>
          <w:color w:val="auto"/>
        </w:rPr>
      </w:pPr>
    </w:p>
    <w:p>
      <w:pPr>
        <w:ind w:left="900" w:right="159" w:hanging="278"/>
        <w:spacing w:after="0" w:line="251"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costs involved in preparing, filing, and prosecuting patent applications, maintaining and enforcing our intellectual property rights, and defending our intellectual property-related claims.</w:t>
      </w:r>
    </w:p>
    <w:p>
      <w:pPr>
        <w:spacing w:after="0" w:line="8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Please see “Risk Factors” for additional risks associated with our substantial capital requirements.</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Contractual Obligations and Commitments</w:t>
      </w:r>
    </w:p>
    <w:p>
      <w:pPr>
        <w:spacing w:after="0" w:line="186"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License agreement with Pfizer</w:t>
      </w:r>
    </w:p>
    <w:p>
      <w:pPr>
        <w:spacing w:after="0" w:line="182" w:lineRule="exact"/>
        <w:rPr>
          <w:sz w:val="20"/>
          <w:szCs w:val="20"/>
          <w:color w:val="auto"/>
        </w:rPr>
      </w:pPr>
    </w:p>
    <w:p>
      <w:pPr>
        <w:jc w:val="both"/>
        <w:ind w:left="40" w:right="39" w:firstLine="566"/>
        <w:spacing w:after="0" w:line="304" w:lineRule="auto"/>
        <w:rPr>
          <w:sz w:val="20"/>
          <w:szCs w:val="20"/>
          <w:color w:val="auto"/>
        </w:rPr>
      </w:pPr>
      <w:r>
        <w:rPr>
          <w:rFonts w:ascii="Arial" w:cs="Arial" w:eastAsia="Arial" w:hAnsi="Arial"/>
          <w:sz w:val="13"/>
          <w:szCs w:val="13"/>
          <w:color w:val="auto"/>
        </w:rPr>
        <w:t>In January 2020, we entered into a license agreement with Pfizer. Under the terms of our exclusive license agreement with Pfizer, Pfizer received 82,019 shares of our common stock having a stated value of $8.0 million, based on the average closing price of our common stock for the ten prior trading days of $97.54, in consideration for the license and rights. Pfizer also received an upfront cash payment of $3.0 million. We determined that the fair value of each share of common stock granted to Pfizer on the closing date of January 9, 2020 was $87.24, based on the closing price of our common stock on that date. As a result, the fair value of the stock issued was $7.2 million.</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302895</wp:posOffset>
            </wp:positionV>
            <wp:extent cx="5682615" cy="222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82615" cy="22225"/>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34" w:name="page35"/>
    <w:bookmarkEnd w:id="34"/>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 w:right="119" w:firstLine="605"/>
        <w:spacing w:after="0" w:line="241" w:lineRule="auto"/>
        <w:rPr>
          <w:sz w:val="20"/>
          <w:szCs w:val="20"/>
          <w:color w:val="auto"/>
        </w:rPr>
      </w:pPr>
      <w:r>
        <w:rPr>
          <w:rFonts w:ascii="Arial" w:cs="Arial" w:eastAsia="Arial" w:hAnsi="Arial"/>
          <w:sz w:val="16"/>
          <w:szCs w:val="16"/>
          <w:color w:val="auto"/>
        </w:rPr>
        <w:t>Pfizer can also receive up to $323 million upon the achievement of certain regulatory and sales milestones, and tiered mid-single to low double-digit royalties on future sales. Pfizer will also have a right of first negotiation on any potential future strategic transactions involving AXS-12 and AXS-14.</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License agreements with Antecip Bioventures</w:t>
      </w:r>
    </w:p>
    <w:p>
      <w:pPr>
        <w:spacing w:after="0" w:line="182" w:lineRule="exact"/>
        <w:rPr>
          <w:sz w:val="20"/>
          <w:szCs w:val="20"/>
          <w:color w:val="auto"/>
        </w:rPr>
      </w:pPr>
    </w:p>
    <w:p>
      <w:pPr>
        <w:ind w:left="40" w:right="339" w:firstLine="566"/>
        <w:spacing w:after="0" w:line="238" w:lineRule="auto"/>
        <w:rPr>
          <w:sz w:val="20"/>
          <w:szCs w:val="20"/>
          <w:color w:val="auto"/>
        </w:rPr>
      </w:pPr>
      <w:r>
        <w:rPr>
          <w:rFonts w:ascii="Arial" w:cs="Arial" w:eastAsia="Arial" w:hAnsi="Arial"/>
          <w:sz w:val="16"/>
          <w:szCs w:val="16"/>
          <w:color w:val="auto"/>
        </w:rPr>
        <w:t>Under three exclusive license agreements with Antecip Bioventures II LLC, or Antecip, an entity owned by our Chief Executive Officer and Chairman of the Board, Herriot Tabuteau, M.D., we are obligated to make specified royalty payments ranging from 1.5% to 4.5%, subject to up to a 50% reduction depending on required payments to third parties, on net sales of licensed products. The amount, timing, and likelihood of such payments are not known.</w:t>
      </w:r>
    </w:p>
    <w:p>
      <w:pPr>
        <w:spacing w:after="0" w:line="202" w:lineRule="exact"/>
        <w:rPr>
          <w:sz w:val="20"/>
          <w:szCs w:val="20"/>
          <w:color w:val="auto"/>
        </w:rPr>
      </w:pPr>
    </w:p>
    <w:p>
      <w:pPr>
        <w:ind w:left="40" w:right="339" w:firstLine="566"/>
        <w:spacing w:after="0" w:line="251" w:lineRule="auto"/>
        <w:rPr>
          <w:sz w:val="20"/>
          <w:szCs w:val="20"/>
          <w:color w:val="auto"/>
        </w:rPr>
      </w:pPr>
      <w:r>
        <w:rPr>
          <w:rFonts w:ascii="Arial" w:cs="Arial" w:eastAsia="Arial" w:hAnsi="Arial"/>
          <w:sz w:val="16"/>
          <w:szCs w:val="16"/>
          <w:color w:val="auto"/>
        </w:rPr>
        <w:t>In connection with the 2020 Term Loan, Antecip consented to the collateral assignment of one of the license agreements, among other things, under a direct agreement with us and Hercules.</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November 2016 Loan and Security Agreement—Silicon Valley Bank</w:t>
      </w:r>
    </w:p>
    <w:p>
      <w:pPr>
        <w:spacing w:after="0" w:line="182" w:lineRule="exact"/>
        <w:rPr>
          <w:sz w:val="20"/>
          <w:szCs w:val="20"/>
          <w:color w:val="auto"/>
        </w:rPr>
      </w:pPr>
    </w:p>
    <w:p>
      <w:pPr>
        <w:ind w:left="40" w:right="179" w:firstLine="566"/>
        <w:spacing w:after="0" w:line="300" w:lineRule="auto"/>
        <w:rPr>
          <w:sz w:val="20"/>
          <w:szCs w:val="20"/>
          <w:color w:val="auto"/>
        </w:rPr>
      </w:pPr>
      <w:r>
        <w:rPr>
          <w:rFonts w:ascii="Arial" w:cs="Arial" w:eastAsia="Arial" w:hAnsi="Arial"/>
          <w:sz w:val="13"/>
          <w:szCs w:val="13"/>
          <w:color w:val="auto"/>
        </w:rPr>
        <w:t>In November 2016, we entered into the 2016 Original Term Loan with SVB, for a term loan of up to $20.0 million. The initial tranche of $10.0 million was funded shortly after executing the loan agreement. We were scheduled to make interest only payments on the loan until December 1, 2017, which could have been extended under certain circumstances. Under the terms of the loan, we had the opportunity, but not the obligation to, draw two additional tranches of $5.0 million each prior to November 9, 2017 and December 31, 2017, subject to the achievement of certain clinical and financial milestones. Because we did not achieve the conditional criteria to access the second and third tranches before the specified dates, the $10.0 million in additional term loan advances expired.</w:t>
      </w:r>
    </w:p>
    <w:p>
      <w:pPr>
        <w:spacing w:after="0" w:line="129" w:lineRule="exact"/>
        <w:rPr>
          <w:sz w:val="20"/>
          <w:szCs w:val="20"/>
          <w:color w:val="auto"/>
        </w:rPr>
      </w:pPr>
    </w:p>
    <w:p>
      <w:pPr>
        <w:ind w:left="40" w:right="59" w:firstLine="566"/>
        <w:spacing w:after="0" w:line="238" w:lineRule="auto"/>
        <w:rPr>
          <w:sz w:val="20"/>
          <w:szCs w:val="20"/>
          <w:color w:val="auto"/>
        </w:rPr>
      </w:pPr>
      <w:r>
        <w:rPr>
          <w:rFonts w:ascii="Arial" w:cs="Arial" w:eastAsia="Arial" w:hAnsi="Arial"/>
          <w:sz w:val="16"/>
          <w:szCs w:val="16"/>
          <w:color w:val="auto"/>
        </w:rPr>
        <w:t>The 2016 Original Term Loan accrued interest at an annual rate equal to 4.50% plus the prime rate, which was the greater of 3.50% or the Wall Street Journal prime rate, and was payable monthly. Following the interest only payment period, we began making monthly payments of principal and interest. In addition, we were required to pay a final payment fee of 8.5% of the principal amount extended to us on the date of repayment of the outstanding loan.</w:t>
      </w:r>
    </w:p>
    <w:p>
      <w:pPr>
        <w:spacing w:after="0" w:line="166" w:lineRule="exact"/>
        <w:rPr>
          <w:sz w:val="20"/>
          <w:szCs w:val="20"/>
          <w:color w:val="auto"/>
        </w:rPr>
      </w:pPr>
    </w:p>
    <w:p>
      <w:pPr>
        <w:ind w:left="40" w:right="39" w:firstLine="566"/>
        <w:spacing w:after="0" w:line="310" w:lineRule="auto"/>
        <w:rPr>
          <w:sz w:val="20"/>
          <w:szCs w:val="20"/>
          <w:color w:val="auto"/>
        </w:rPr>
      </w:pPr>
      <w:r>
        <w:rPr>
          <w:rFonts w:ascii="Arial" w:cs="Arial" w:eastAsia="Arial" w:hAnsi="Arial"/>
          <w:sz w:val="13"/>
          <w:szCs w:val="13"/>
          <w:color w:val="auto"/>
        </w:rPr>
        <w:t>We were permitted to prepay all, but not less than all, of the 2016 Original Term Loan subject to a prepayment premium of 3.0% of the outstanding principal if prepaid within two years of the effective date of the loan, 2.0% of the outstanding principal if prepaid during the third year of the loan, and 1.0% of the outstanding principal if prepaid after the third year. The 2016 Original Term Loan was collateralized by a security interest in all of our assets except intellectual property. Our intellectual property was also subject to a negative pledge.</w:t>
      </w:r>
    </w:p>
    <w:p>
      <w:pPr>
        <w:spacing w:after="0" w:line="124" w:lineRule="exact"/>
        <w:rPr>
          <w:sz w:val="20"/>
          <w:szCs w:val="20"/>
          <w:color w:val="auto"/>
        </w:rPr>
      </w:pPr>
    </w:p>
    <w:p>
      <w:pPr>
        <w:jc w:val="both"/>
        <w:ind w:left="40" w:right="59" w:firstLine="566"/>
        <w:spacing w:after="0" w:line="265" w:lineRule="auto"/>
        <w:rPr>
          <w:sz w:val="20"/>
          <w:szCs w:val="20"/>
          <w:color w:val="auto"/>
        </w:rPr>
      </w:pPr>
      <w:r>
        <w:rPr>
          <w:rFonts w:ascii="Arial" w:cs="Arial" w:eastAsia="Arial" w:hAnsi="Arial"/>
          <w:sz w:val="15"/>
          <w:szCs w:val="15"/>
          <w:color w:val="auto"/>
        </w:rPr>
        <w:t>In connection with the 2016 Original Term Loan, SVB and Life Science Loans, LLC, or Life Science, received warrants to purchase an aggregate 65,228 shares of our common stock at an exercise price of $7.41 per share, which were exercisable for seven years from the date of issuance. All of the warrants issued to SVB and Life Science were subsequently exercised.</w:t>
      </w:r>
    </w:p>
    <w:p>
      <w:pPr>
        <w:spacing w:after="0" w:line="148" w:lineRule="exact"/>
        <w:rPr>
          <w:sz w:val="20"/>
          <w:szCs w:val="20"/>
          <w:color w:val="auto"/>
        </w:rPr>
      </w:pPr>
    </w:p>
    <w:p>
      <w:pPr>
        <w:ind w:left="40" w:right="219" w:firstLine="566"/>
        <w:spacing w:after="0" w:line="238" w:lineRule="auto"/>
        <w:rPr>
          <w:sz w:val="20"/>
          <w:szCs w:val="20"/>
          <w:color w:val="auto"/>
        </w:rPr>
      </w:pPr>
      <w:r>
        <w:rPr>
          <w:rFonts w:ascii="Arial" w:cs="Arial" w:eastAsia="Arial" w:hAnsi="Arial"/>
          <w:sz w:val="16"/>
          <w:szCs w:val="16"/>
          <w:color w:val="auto"/>
        </w:rPr>
        <w:t>We allocated the proceeds of $10.0 million based on the relative fair values of the debt instrument and the warrant instrument. The relative fair value of the warrants of approximately $0.3 million at the time of issuance, which was determined using the Black-Scholes option-pricing model, was recorded as additional paid-in capital and reduced the carrying value of the debt. The discount on the debt was being amortized to interest expense over the term of the debt.</w:t>
      </w:r>
    </w:p>
    <w:p>
      <w:pPr>
        <w:spacing w:after="0" w:line="166" w:lineRule="exact"/>
        <w:rPr>
          <w:sz w:val="20"/>
          <w:szCs w:val="20"/>
          <w:color w:val="auto"/>
        </w:rPr>
      </w:pPr>
    </w:p>
    <w:p>
      <w:pPr>
        <w:ind w:left="40" w:right="79" w:firstLine="566"/>
        <w:spacing w:after="0" w:line="304" w:lineRule="auto"/>
        <w:rPr>
          <w:sz w:val="20"/>
          <w:szCs w:val="20"/>
          <w:color w:val="auto"/>
        </w:rPr>
      </w:pPr>
      <w:r>
        <w:rPr>
          <w:rFonts w:ascii="Arial" w:cs="Arial" w:eastAsia="Arial" w:hAnsi="Arial"/>
          <w:sz w:val="13"/>
          <w:szCs w:val="13"/>
          <w:color w:val="auto"/>
        </w:rPr>
        <w:t>In November 2018, we amended the 2016 Original Term Loan to provide an additional $4 million growth capital loan, related to our narcolepsy clinical program with AXS-12. The additional capital was available to be drawn, at our option, subject to the achievement of a pre-specified clinical milestone. In connection with the 2016 Amended Term Loan, SVB and WestRiver received warrants to purchase an aggregate 15,750 shares of our common stock at an exercise price of $3.06 per share, which were exercisable for seven years from the date of issuance. All of the warrants issued to SVB and West River in connection with the 2016 Amended Term Loan were subsequently exercised.</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302895</wp:posOffset>
            </wp:positionV>
            <wp:extent cx="5682615" cy="222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82615" cy="22225"/>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35" w:name="page36"/>
    <w:bookmarkEnd w:id="35"/>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 w:right="319" w:firstLine="566"/>
        <w:spacing w:after="0" w:line="365" w:lineRule="auto"/>
        <w:rPr>
          <w:sz w:val="20"/>
          <w:szCs w:val="20"/>
          <w:color w:val="auto"/>
        </w:rPr>
      </w:pPr>
      <w:r>
        <w:rPr>
          <w:rFonts w:ascii="Arial" w:cs="Arial" w:eastAsia="Arial" w:hAnsi="Arial"/>
          <w:sz w:val="13"/>
          <w:szCs w:val="13"/>
          <w:color w:val="auto"/>
        </w:rPr>
        <w:t>Our obligations under the 2016 Amended Term Loan, along with the ability to draw down on the additional $4.0 million tranche, were considered to be performed and completed in connection with the establishment of the 2019 Term Loan in March 2019.</w:t>
      </w:r>
    </w:p>
    <w:p>
      <w:pPr>
        <w:spacing w:after="0" w:line="88"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March 2019 Loan and Security Agreement—Silicon Valley Bank</w:t>
      </w:r>
    </w:p>
    <w:p>
      <w:pPr>
        <w:spacing w:after="0" w:line="217" w:lineRule="exact"/>
        <w:rPr>
          <w:sz w:val="20"/>
          <w:szCs w:val="20"/>
          <w:color w:val="auto"/>
        </w:rPr>
      </w:pPr>
    </w:p>
    <w:p>
      <w:pPr>
        <w:ind w:left="40" w:right="59" w:firstLine="566"/>
        <w:spacing w:after="0" w:line="236" w:lineRule="auto"/>
        <w:rPr>
          <w:sz w:val="20"/>
          <w:szCs w:val="20"/>
          <w:color w:val="auto"/>
        </w:rPr>
      </w:pPr>
      <w:r>
        <w:rPr>
          <w:rFonts w:ascii="Arial" w:cs="Arial" w:eastAsia="Arial" w:hAnsi="Arial"/>
          <w:sz w:val="16"/>
          <w:szCs w:val="16"/>
          <w:color w:val="auto"/>
        </w:rPr>
        <w:t>In March 2019, we entered into the 2019 Term Loan with SVB and WestRiver, which consisted of an initial $20.0 million tranche, which was funded upon closing, with the remaining $4.0 million available to be drawn, at our option, subject to the achievement of a pre-specified clinical milestone related to our Phase 2 clinical trial for AXS-12 in narcolepsy. A portion of the first tranche was used to satisfy our then-existing obligations under our 2016 Amended Term Loan and such obligations were subsequently considered to be fully repaid and completed.</w:t>
      </w:r>
    </w:p>
    <w:p>
      <w:pPr>
        <w:spacing w:after="0" w:line="192" w:lineRule="exact"/>
        <w:rPr>
          <w:sz w:val="20"/>
          <w:szCs w:val="20"/>
          <w:color w:val="auto"/>
        </w:rPr>
      </w:pPr>
    </w:p>
    <w:p>
      <w:pPr>
        <w:ind w:left="40" w:right="59" w:firstLine="566"/>
        <w:spacing w:after="0" w:line="250" w:lineRule="auto"/>
        <w:rPr>
          <w:sz w:val="20"/>
          <w:szCs w:val="20"/>
          <w:color w:val="auto"/>
        </w:rPr>
      </w:pPr>
      <w:r>
        <w:rPr>
          <w:rFonts w:ascii="Arial" w:cs="Arial" w:eastAsia="Arial" w:hAnsi="Arial"/>
          <w:sz w:val="15"/>
          <w:szCs w:val="15"/>
          <w:color w:val="auto"/>
        </w:rPr>
        <w:t>The 2019 Term Loan accrued interest on the unpaid principal balance of the outstanding loan advances at a floating per annum rate equal to the greater of (i) seven and one-half of one percent (7.50%) and (ii) two percent (2.0%) above the prime rate and was payable monthly. The 2019 Term Loan initially had an interest-only monthly payment period for twelve months which was extendable to 18 months upon drawing of the second tranche. Following the interest only payment period, we were scheduled to begin making monthly payments of principal and interest and these payments would have continued until the maturity date of February 1, 2023; however, the 2019 Term Loan, as amended, was fully paid and our obligations under the 2019 Term Loan were fully extinguished in connection with our establishment of the 2020 Term Loan. In addition, we were initially required to pay a final payment fee of 6.0% of the principal amount extended to us on the date of repayment of the outstanding loan, which was increased to 6.3% in connection with the First Amendment to the 2019 Term Loan, as described below.</w:t>
      </w:r>
    </w:p>
    <w:p>
      <w:pPr>
        <w:spacing w:after="0" w:line="199" w:lineRule="exact"/>
        <w:rPr>
          <w:sz w:val="20"/>
          <w:szCs w:val="20"/>
          <w:color w:val="auto"/>
        </w:rPr>
      </w:pPr>
    </w:p>
    <w:p>
      <w:pPr>
        <w:jc w:val="both"/>
        <w:ind w:left="40" w:right="79" w:firstLine="566"/>
        <w:spacing w:after="0" w:line="255" w:lineRule="auto"/>
        <w:rPr>
          <w:sz w:val="20"/>
          <w:szCs w:val="20"/>
          <w:color w:val="auto"/>
        </w:rPr>
      </w:pPr>
      <w:r>
        <w:rPr>
          <w:rFonts w:ascii="Arial" w:cs="Arial" w:eastAsia="Arial" w:hAnsi="Arial"/>
          <w:sz w:val="15"/>
          <w:szCs w:val="15"/>
          <w:color w:val="auto"/>
        </w:rPr>
        <w:t>We were initially permitted to prepay all, but not less than all, of the 2019 Term Loan, subject to a prepayment premium of 3.0% of the outstanding principal if prepaid within one year of the effective date of the loan, 2.0% of the outstanding principal if prepaid after the first anniversary of the effective date but on prior to the second anniversary of the effective date, and 1.0% of the outstanding principal if prepaid after the second anniversary of the effective date. The term loan was collateralized by a security interest in all of our assets except intellectual property. Our intellectual property was subject to a negative pledge.</w:t>
      </w:r>
    </w:p>
    <w:p>
      <w:pPr>
        <w:spacing w:after="0" w:line="192" w:lineRule="exact"/>
        <w:rPr>
          <w:sz w:val="20"/>
          <w:szCs w:val="20"/>
          <w:color w:val="auto"/>
        </w:rPr>
      </w:pPr>
    </w:p>
    <w:p>
      <w:pPr>
        <w:ind w:left="40" w:right="79" w:firstLine="566"/>
        <w:spacing w:after="0" w:line="300" w:lineRule="auto"/>
        <w:rPr>
          <w:sz w:val="20"/>
          <w:szCs w:val="20"/>
          <w:color w:val="auto"/>
        </w:rPr>
      </w:pPr>
      <w:r>
        <w:rPr>
          <w:rFonts w:ascii="Arial" w:cs="Arial" w:eastAsia="Arial" w:hAnsi="Arial"/>
          <w:sz w:val="13"/>
          <w:szCs w:val="13"/>
          <w:color w:val="auto"/>
        </w:rPr>
        <w:t>In connection with the 2019 Term Loan, SVB and WestRiver received warrants, or the March 2019 Warrants, to purchase an aggregate 70,000 shares of our common stock at an exercise price of $8.10 per share, which are exercisable for seven years from the date of issuance. The warrants were to be earned based upon the usage of the facility and are exercisable until March 4, 2026. The warrants were classified as a component of stockholders’ equity, of which 58,332 warrants were immediately exercisable and the remaining 11,668 warrants would be earned upon drawing of the second $4.0 million tranche under the loan. In connection with the First Amendment to the 2019 Term Loan, the shares of common stock issuable under each of the March 2019 Warrants were fixed at 29,167 shares, as described further below.</w:t>
      </w:r>
    </w:p>
    <w:p>
      <w:pPr>
        <w:spacing w:after="0" w:line="152" w:lineRule="exact"/>
        <w:rPr>
          <w:sz w:val="20"/>
          <w:szCs w:val="20"/>
          <w:color w:val="auto"/>
        </w:rPr>
      </w:pPr>
    </w:p>
    <w:p>
      <w:pPr>
        <w:ind w:left="40" w:right="119" w:firstLine="566"/>
        <w:spacing w:after="0" w:line="238" w:lineRule="auto"/>
        <w:rPr>
          <w:sz w:val="20"/>
          <w:szCs w:val="20"/>
          <w:color w:val="auto"/>
        </w:rPr>
      </w:pPr>
      <w:r>
        <w:rPr>
          <w:rFonts w:ascii="Arial" w:cs="Arial" w:eastAsia="Arial" w:hAnsi="Arial"/>
          <w:sz w:val="16"/>
          <w:szCs w:val="16"/>
          <w:color w:val="auto"/>
        </w:rPr>
        <w:t>We allocated the proceeds of $20.0 million based on the relative fair values of the debt instrument and the warrant instrument. The relative fair value of the warrants of approximately $0.4 million at the time of issuance, which was determined using the Black-Scholes option-pricing model, was recorded as additional paid-in capital and reduced the carrying value of the debt. The discount on the debt is being amortized to interest expense over the term of the debt.</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302895</wp:posOffset>
            </wp:positionV>
            <wp:extent cx="5682615" cy="222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82615" cy="22225"/>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36" w:name="page37"/>
    <w:bookmarkEnd w:id="36"/>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July 2019 First Amendment to Loan and Security Agreement—Silicon Valley Bank</w:t>
      </w:r>
    </w:p>
    <w:p>
      <w:pPr>
        <w:spacing w:after="0" w:line="217" w:lineRule="exact"/>
        <w:rPr>
          <w:sz w:val="20"/>
          <w:szCs w:val="20"/>
          <w:color w:val="auto"/>
        </w:rPr>
      </w:pPr>
    </w:p>
    <w:p>
      <w:pPr>
        <w:ind w:left="40" w:right="119" w:firstLine="566"/>
        <w:spacing w:after="0" w:line="297" w:lineRule="auto"/>
        <w:rPr>
          <w:sz w:val="20"/>
          <w:szCs w:val="20"/>
          <w:color w:val="auto"/>
        </w:rPr>
      </w:pPr>
      <w:r>
        <w:rPr>
          <w:rFonts w:ascii="Arial" w:cs="Arial" w:eastAsia="Arial" w:hAnsi="Arial"/>
          <w:sz w:val="13"/>
          <w:szCs w:val="13"/>
          <w:color w:val="auto"/>
        </w:rPr>
        <w:t>In July 2019, we entered into the First Amendment to the 2019 Term Loan. Under the First Amendment to the 2019 Term Loan, the interest-only monthly payment period of the 2019 Term Loan was extended to 18 months after the date of the 2019 Term Loan, which was available to be further extended to 24 months upon receipt by us of the Term B Loan Advance. Our ability to draw down the Term B Loan Advance was extended to December 31, 2019, subject to our achievement of a pre-specified milestone prior to or on December 31, 2019. We did not draw down on the Term B Loan Advance, and therefore, the interest-only monthly payment period was not extended. The Loan Advances were scheduled to mature on February 1, 2023; however, the 2019 Term Loan, as amended, was fully paid and our obligations under the 2019 Term Loan were fully extinguished in connection with our establishment of the 2020 Term Loan.</w:t>
      </w:r>
    </w:p>
    <w:p>
      <w:pPr>
        <w:spacing w:after="0" w:line="155" w:lineRule="exact"/>
        <w:rPr>
          <w:sz w:val="20"/>
          <w:szCs w:val="20"/>
          <w:color w:val="auto"/>
        </w:rPr>
      </w:pPr>
    </w:p>
    <w:p>
      <w:pPr>
        <w:ind w:left="40" w:right="79" w:firstLine="566"/>
        <w:spacing w:after="0" w:line="251" w:lineRule="auto"/>
        <w:rPr>
          <w:sz w:val="20"/>
          <w:szCs w:val="20"/>
          <w:color w:val="auto"/>
        </w:rPr>
      </w:pPr>
      <w:r>
        <w:rPr>
          <w:rFonts w:ascii="Arial" w:cs="Arial" w:eastAsia="Arial" w:hAnsi="Arial"/>
          <w:sz w:val="15"/>
          <w:szCs w:val="15"/>
          <w:color w:val="auto"/>
        </w:rPr>
        <w:t>Pursuant to the 2019 Term Loan, as amended by the First Amendment to the 2019 Term Loan, following the interest-only payment period, we were set to begin making monthly payments of principal in equal monthly installments for 30 consecutive months (provided, that, upon the occurrence of the pre-specified milestone, the repayment schedule would have been decreased to 24 consecutive months) and monthly payments of interest, until the maturity date. Interest accrued on the unpaid principal balance of the outstanding Loan Advances at a floating per annum rate equal to the greater of (i) seven and one-half of one percent (7.50%) and (ii) two percent (2.0%) above the prime rate. The First Amendment to the 2019 Term Loan increased the final payment fee, payable upon our repayment of the Loan Advances from 6.0% to 6.30% of the original principal amount of the Loan Advances. We paid the final payment fee of 6.3% on the $20.0 million advance for a total of $1.26 million.</w:t>
      </w:r>
    </w:p>
    <w:p>
      <w:pPr>
        <w:spacing w:after="0" w:line="196" w:lineRule="exact"/>
        <w:rPr>
          <w:sz w:val="20"/>
          <w:szCs w:val="20"/>
          <w:color w:val="auto"/>
        </w:rPr>
      </w:pPr>
    </w:p>
    <w:p>
      <w:pPr>
        <w:ind w:left="40" w:right="139" w:firstLine="566"/>
        <w:spacing w:after="0" w:line="253" w:lineRule="auto"/>
        <w:rPr>
          <w:sz w:val="20"/>
          <w:szCs w:val="20"/>
          <w:color w:val="auto"/>
        </w:rPr>
      </w:pPr>
      <w:r>
        <w:rPr>
          <w:rFonts w:ascii="Arial" w:cs="Arial" w:eastAsia="Arial" w:hAnsi="Arial"/>
          <w:sz w:val="15"/>
          <w:szCs w:val="15"/>
          <w:color w:val="auto"/>
        </w:rPr>
        <w:t>We were permitted to prepay all, but not less than all of the Loan Advances, subject to a prepayment fee of 3.0% of any amount prepaid prior to the first anniversary of July 25, 2019, or the First Amendment Effective Date, 2.0% of the amount prepaid if the prepayment occurs after the first anniversary of the First Amendment Effective Date through and including the second anniversary of the First Amendment Effective Date, or 1.0% of the amount prepaid if the prepayment occurs after the second anniversary of the First Amendment Effective Date, but prior to the maturity date. These percentages are unchanged from the original 2019 Term Loan. We paid the prepayment fee of 2.0% on the $20.0 million advance for a total of $0.4 million.</w:t>
      </w:r>
    </w:p>
    <w:p>
      <w:pPr>
        <w:spacing w:after="0" w:line="194" w:lineRule="exact"/>
        <w:rPr>
          <w:sz w:val="20"/>
          <w:szCs w:val="20"/>
          <w:color w:val="auto"/>
        </w:rPr>
      </w:pPr>
    </w:p>
    <w:p>
      <w:pPr>
        <w:ind w:left="40" w:right="159" w:firstLine="566"/>
        <w:spacing w:after="0" w:line="253" w:lineRule="auto"/>
        <w:rPr>
          <w:sz w:val="20"/>
          <w:szCs w:val="20"/>
          <w:color w:val="auto"/>
        </w:rPr>
      </w:pPr>
      <w:r>
        <w:rPr>
          <w:rFonts w:ascii="Arial" w:cs="Arial" w:eastAsia="Arial" w:hAnsi="Arial"/>
          <w:sz w:val="15"/>
          <w:szCs w:val="15"/>
          <w:color w:val="auto"/>
        </w:rPr>
        <w:t>In connection with the First Amendment to the 2019 Term Loan, the March 2019 Warrants were amended to fix the number of shares that may be issued upon exercise of each such March 2019 Warrant at 29,167 shares of common stock, and SVB and WestRiver were issued the July 2019 Warrants, which become exercisable only upon funding of the Term B Loan Advance, to purchase 5,750 shares of our common stock at a price per share equal to $25.71. The July 2019 Warrants replaced the portion of the March 2019 Warrants that could originally be earned by SVB and WestRiver upon funding of the Term B Loan Advance. Because we did not draw down the Term B Loan Advance, SVB did not earn the July 2019 Warrants.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302895</wp:posOffset>
            </wp:positionV>
            <wp:extent cx="5682615" cy="15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82615" cy="15240"/>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37" w:name="page38"/>
    <w:bookmarkEnd w:id="37"/>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September 2020 Loan and Security Agreement – Hercules</w:t>
      </w:r>
    </w:p>
    <w:p>
      <w:pPr>
        <w:spacing w:after="0" w:line="182" w:lineRule="exact"/>
        <w:rPr>
          <w:sz w:val="20"/>
          <w:szCs w:val="20"/>
          <w:color w:val="auto"/>
        </w:rPr>
      </w:pPr>
    </w:p>
    <w:p>
      <w:pPr>
        <w:ind w:left="40" w:right="139" w:firstLine="566"/>
        <w:spacing w:after="0" w:line="286" w:lineRule="auto"/>
        <w:rPr>
          <w:sz w:val="20"/>
          <w:szCs w:val="20"/>
          <w:color w:val="auto"/>
        </w:rPr>
      </w:pPr>
      <w:r>
        <w:rPr>
          <w:rFonts w:ascii="Arial" w:cs="Arial" w:eastAsia="Arial" w:hAnsi="Arial"/>
          <w:sz w:val="13"/>
          <w:szCs w:val="13"/>
          <w:color w:val="auto"/>
        </w:rPr>
        <w:t>In September 2020, we entered into the Loan Agreement with Hercules, in its capacity as administrative agent and collateral agent and as a lender, and the other financial institutions that may from time to time become parties to the Loan Agreement as lenders, which we collectively refer to as the Lenders. The Loan Agreement provides for term loans in an aggregate principal amount of up to $225.0 million under multiple tranches. The tranches consist of (i) a first tranche consisting of term loans in an aggregate principal amount of $60.0 million, of which $50.0 million, or the First Advance, was funded at closing, and of which the remaining $10.0 million is available at our option at any time through September 15, 2021; (ii) subject to the approval of our AXS-05 product candidate for the treatment of major depressive disorder, or the First Milestone, a second tranche consisting of additional term loans in an aggregate principal amount of up to $35.0 million, available at our option beginning on the date that the First Milestone is achieved through the earlier of (A) 181 days following such date and</w:t>
      </w:r>
    </w:p>
    <w:p>
      <w:pPr>
        <w:spacing w:after="0" w:line="4" w:lineRule="exact"/>
        <w:rPr>
          <w:sz w:val="20"/>
          <w:szCs w:val="20"/>
          <w:color w:val="auto"/>
        </w:rPr>
      </w:pPr>
    </w:p>
    <w:p>
      <w:pPr>
        <w:ind w:left="40" w:right="79" w:hanging="7"/>
        <w:spacing w:after="0" w:line="248" w:lineRule="auto"/>
        <w:tabs>
          <w:tab w:leader="none" w:pos="289" w:val="left"/>
        </w:tabs>
        <w:numPr>
          <w:ilvl w:val="0"/>
          <w:numId w:val="6"/>
        </w:numPr>
        <w:rPr>
          <w:rFonts w:ascii="Arial" w:cs="Arial" w:eastAsia="Arial" w:hAnsi="Arial"/>
          <w:sz w:val="15"/>
          <w:szCs w:val="15"/>
          <w:color w:val="auto"/>
        </w:rPr>
      </w:pPr>
      <w:r>
        <w:rPr>
          <w:rFonts w:ascii="Arial" w:cs="Arial" w:eastAsia="Arial" w:hAnsi="Arial"/>
          <w:sz w:val="15"/>
          <w:szCs w:val="15"/>
          <w:color w:val="auto"/>
        </w:rPr>
        <w:t>June 30, 2022; (iii) subject to the approval of our AXS-07 product candidate for the treatment of migraine, or the Second Milestone, a third tranche consisting of additional term loans in an aggregate principal amount of up to $20.0 million, available at our option beginning on the date that the Second Milestone is achieved through the earlier of (A) 181 days following such date and (B) June 30, 2022; (iv) subject to the achievement of either the First Milestone or the Second Milestone and so long as we are in compliance with a required ratio of Lender indebtedness to net product revenue, a fourth tranche consisting of additional term loans in an aggregate principal amount of up to $60.0 million, available at our option beginning on January 1, 2022 and continuing through March 31, 2023; and (v) subject to approval by the Lenders’ in their discretion, a fifth tranche of additional term loans in an aggregate principal amount of up to $50.0 million, available through December 31, 2023. We intend to use the proceeds of the Term Loan Advances for working capital and general corporate purposes. In addition, approximately $21.5 million of the proceeds from the First Advance was used to satisfy in full and retire our indebtedness under the 2019 Term Loan, as amended.</w:t>
      </w:r>
    </w:p>
    <w:p>
      <w:pPr>
        <w:spacing w:after="0" w:line="196" w:lineRule="exact"/>
        <w:rPr>
          <w:sz w:val="20"/>
          <w:szCs w:val="20"/>
          <w:color w:val="auto"/>
        </w:rPr>
      </w:pPr>
    </w:p>
    <w:p>
      <w:pPr>
        <w:ind w:left="40" w:right="59" w:firstLine="566"/>
        <w:spacing w:after="0" w:line="291" w:lineRule="auto"/>
        <w:rPr>
          <w:sz w:val="20"/>
          <w:szCs w:val="20"/>
          <w:color w:val="auto"/>
        </w:rPr>
      </w:pPr>
      <w:r>
        <w:rPr>
          <w:rFonts w:ascii="Arial" w:cs="Arial" w:eastAsia="Arial" w:hAnsi="Arial"/>
          <w:sz w:val="13"/>
          <w:szCs w:val="13"/>
          <w:color w:val="auto"/>
        </w:rPr>
        <w:t xml:space="preserve">The outstanding principal balance of the term loans bears interest at an annual rate equal to the greater of either (i) the prime rate as reported in </w:t>
      </w:r>
      <w:r>
        <w:rPr>
          <w:rFonts w:ascii="Arial" w:cs="Arial" w:eastAsia="Arial" w:hAnsi="Arial"/>
          <w:sz w:val="13"/>
          <w:szCs w:val="13"/>
          <w:i w:val="1"/>
          <w:iCs w:val="1"/>
          <w:color w:val="auto"/>
        </w:rPr>
        <w:t>The Wall Street Journal</w:t>
      </w:r>
      <w:r>
        <w:rPr>
          <w:rFonts w:ascii="Arial" w:cs="Arial" w:eastAsia="Arial" w:hAnsi="Arial"/>
          <w:sz w:val="13"/>
          <w:szCs w:val="13"/>
          <w:color w:val="auto"/>
        </w:rPr>
        <w:t xml:space="preserve"> plus 5.90% or (ii) 9.15%, subject to an ability by us, during certain periods, each such period a PIK Deferral Period, to request a reduction of the then-effective cash-pay interest rate by up to 1.00% per annum, which we refer to as the Cash Interest Reduction Amount. Accrued interest is payable monthly following the funding of each term loan. During each PIK Deferral Period, the term loans will bear cash-pay interest, at the reduced amount, and will accrue paid-in-kind interest at a rate equal to the Cash Interest Reduction Amount multiplied by 1.15, which amount will be capitalized and added to the outstanding principal balance of the term loans on each monthly interest payment date during the PIK Deferral Period. We are required to repay the term loans in equal installments of principal and interest commencing on May 1, 2023 through October 1, 2025, which is the Maturity Date. However, if either the First Milestone or the Second Milestone are achieved prior to May 1, 2023, and no default exists, the amortization commencement date will be automatically extended to November 1, 2023; if both the First Milestone and the Second Milestone are achieved prior to November 1, 2023, and no default exists, the amortization commencement date will be further automatically extended to May 1, 2024 and if any term loans are funded under the fourth tranche noted above prior to May 1, 2024, and no default exists, the amortization commencement date will be further automatically extended to November 1, 2024. On the Maturity Date, all unpaid term loans will be due and payable.</w:t>
      </w:r>
    </w:p>
    <w:p>
      <w:pPr>
        <w:spacing w:after="0" w:line="336" w:lineRule="exact"/>
        <w:rPr>
          <w:sz w:val="20"/>
          <w:szCs w:val="20"/>
          <w:color w:val="auto"/>
        </w:rPr>
      </w:pPr>
    </w:p>
    <w:p>
      <w:pPr>
        <w:ind w:left="40" w:right="159" w:firstLine="566"/>
        <w:spacing w:after="0" w:line="238" w:lineRule="auto"/>
        <w:rPr>
          <w:sz w:val="20"/>
          <w:szCs w:val="20"/>
          <w:color w:val="auto"/>
        </w:rPr>
      </w:pPr>
      <w:r>
        <w:rPr>
          <w:rFonts w:ascii="Arial" w:cs="Arial" w:eastAsia="Arial" w:hAnsi="Arial"/>
          <w:sz w:val="16"/>
          <w:szCs w:val="16"/>
          <w:color w:val="auto"/>
        </w:rPr>
        <w:t>As collateral for the obligations, we have granted to Hercules a senior security interest in all our right, title, and interest in, to and under all of our property, inclusive of intellectual property, which includes one of our existing license agreements with Antecip., subject to limited exceptions. Antecip consented to the collateral assignment of the License Agreement, among other things, under a Direct Agreement with us and Hercules.</w:t>
      </w:r>
    </w:p>
    <w:p>
      <w:pPr>
        <w:spacing w:after="0" w:line="202" w:lineRule="exact"/>
        <w:rPr>
          <w:sz w:val="20"/>
          <w:szCs w:val="20"/>
          <w:color w:val="auto"/>
        </w:rPr>
      </w:pPr>
    </w:p>
    <w:p>
      <w:pPr>
        <w:ind w:left="40" w:right="59" w:firstLine="566"/>
        <w:spacing w:after="0" w:line="235" w:lineRule="auto"/>
        <w:rPr>
          <w:sz w:val="20"/>
          <w:szCs w:val="20"/>
          <w:color w:val="auto"/>
        </w:rPr>
      </w:pPr>
      <w:r>
        <w:rPr>
          <w:rFonts w:ascii="Arial" w:cs="Arial" w:eastAsia="Arial" w:hAnsi="Arial"/>
          <w:sz w:val="16"/>
          <w:szCs w:val="16"/>
          <w:color w:val="auto"/>
        </w:rPr>
        <w:t>The Loan Agreement contains customary representations, warranties and covenants, including covenants by us limiting additional indebtedness, liens (including a negative pledge on intellectual property and other assets), guaranties, mergers and consolidations, substantial asset sales, investments and loans, certain corporate changes, transactions with affiliates and fundamental changes. At the initial closing, there were no applicable financial covenants contained in the Loan Agreement. Only after additional amounts are drawn down by us in the future, if we decide to do so, under the terms set forth in the Loan Agreement, there will be certain limited financial covenants that will apply, including:</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302895</wp:posOffset>
            </wp:positionV>
            <wp:extent cx="5682615" cy="222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82615" cy="22225"/>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38" w:name="page39"/>
    <w:bookmarkEnd w:id="38"/>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620" w:right="119" w:hanging="281"/>
        <w:spacing w:after="0" w:line="236" w:lineRule="auto"/>
        <w:tabs>
          <w:tab w:leader="none" w:pos="620" w:val="left"/>
        </w:tabs>
        <w:numPr>
          <w:ilvl w:val="0"/>
          <w:numId w:val="7"/>
        </w:numPr>
        <w:rPr>
          <w:rFonts w:ascii="Arial" w:cs="Arial" w:eastAsia="Arial" w:hAnsi="Arial"/>
          <w:sz w:val="16"/>
          <w:szCs w:val="16"/>
          <w:color w:val="auto"/>
        </w:rPr>
      </w:pPr>
      <w:r>
        <w:rPr>
          <w:rFonts w:ascii="Arial" w:cs="Arial" w:eastAsia="Arial" w:hAnsi="Arial"/>
          <w:sz w:val="16"/>
          <w:szCs w:val="16"/>
          <w:color w:val="auto"/>
        </w:rPr>
        <w:t>Effective upon the date the outstanding principal amount of the advances under the Loan Agreement equals or exceeds $55.0 million, which has not yet occurred, we at all times thereafter must maintain cash in an account or accounts in which Hercules has a first priority security interest, in an aggregate amount greater than or equal to $15.0 million, plus the amount of our accounts payable under U.S. GAAP not paid after the 180th day following the invoice for such account payable which amount we refer to as the Qualified Cash A/P Amount.</w:t>
      </w:r>
    </w:p>
    <w:p>
      <w:pPr>
        <w:spacing w:after="0" w:line="156" w:lineRule="exact"/>
        <w:rPr>
          <w:rFonts w:ascii="Arial" w:cs="Arial" w:eastAsia="Arial" w:hAnsi="Arial"/>
          <w:sz w:val="16"/>
          <w:szCs w:val="16"/>
          <w:color w:val="auto"/>
        </w:rPr>
      </w:pPr>
    </w:p>
    <w:p>
      <w:pPr>
        <w:ind w:left="620" w:right="79" w:hanging="281"/>
        <w:spacing w:after="0" w:line="249" w:lineRule="auto"/>
        <w:tabs>
          <w:tab w:leader="none" w:pos="620" w:val="left"/>
        </w:tabs>
        <w:numPr>
          <w:ilvl w:val="0"/>
          <w:numId w:val="7"/>
        </w:numPr>
        <w:rPr>
          <w:rFonts w:ascii="Arial" w:cs="Arial" w:eastAsia="Arial" w:hAnsi="Arial"/>
          <w:sz w:val="15"/>
          <w:szCs w:val="15"/>
          <w:color w:val="auto"/>
        </w:rPr>
      </w:pPr>
      <w:r>
        <w:rPr>
          <w:rFonts w:ascii="Arial" w:cs="Arial" w:eastAsia="Arial" w:hAnsi="Arial"/>
          <w:sz w:val="15"/>
          <w:szCs w:val="15"/>
          <w:color w:val="auto"/>
        </w:rPr>
        <w:t xml:space="preserve">Effective upon the later of (i) the last calendar month of the calendar quarter that is twelve months following the earlier of (x) the date that the First Milestone is achieved and (y) the date that the Second Milestone is achieved, or (ii) the date on which the outstanding principal amount of the term loan advances under the Loan Agreement is equal to or greater than $65.0 million, we are required to (A) ensure that at all times its market capitalization exceeds $2.0 billion, and that it maintains cash in an account which Hercules has a first priority security interest in an amount not less than 65% of the sum of the outstanding principal amount of the term loan advances </w:t>
      </w:r>
      <w:r>
        <w:rPr>
          <w:rFonts w:ascii="Arial" w:cs="Arial" w:eastAsia="Arial" w:hAnsi="Arial"/>
          <w:sz w:val="15"/>
          <w:szCs w:val="15"/>
          <w:i w:val="1"/>
          <w:iCs w:val="1"/>
          <w:color w:val="auto"/>
        </w:rPr>
        <w:t>plus</w:t>
      </w:r>
      <w:r>
        <w:rPr>
          <w:rFonts w:ascii="Arial" w:cs="Arial" w:eastAsia="Arial" w:hAnsi="Arial"/>
          <w:sz w:val="15"/>
          <w:szCs w:val="15"/>
          <w:color w:val="auto"/>
        </w:rPr>
        <w:t xml:space="preserve"> the Qualified Cash A/P Amount, (B) ensure that at all times that it maintains cash in an account which Hercules has a first priority security interest in an amount not less than 100% of the sum of the outstanding principal amount of the term loan advances </w:t>
      </w:r>
      <w:r>
        <w:rPr>
          <w:rFonts w:ascii="Arial" w:cs="Arial" w:eastAsia="Arial" w:hAnsi="Arial"/>
          <w:sz w:val="15"/>
          <w:szCs w:val="15"/>
          <w:i w:val="1"/>
          <w:iCs w:val="1"/>
          <w:color w:val="auto"/>
        </w:rPr>
        <w:t>plus</w:t>
      </w:r>
      <w:r>
        <w:rPr>
          <w:rFonts w:ascii="Arial" w:cs="Arial" w:eastAsia="Arial" w:hAnsi="Arial"/>
          <w:sz w:val="15"/>
          <w:szCs w:val="15"/>
          <w:color w:val="auto"/>
        </w:rPr>
        <w:t xml:space="preserve"> the Qualified Cash A/P Amount, or (C) achieve at least 60% of the net product revenue solely from the sale of AXS-05 and AXS-07 (which may include royalty, profit sharing, or sales-based milestone revenue recognized in accordance with GAAP, but will not include any upfront or non-sales-based milestone payments under business development or licensing transactions), measured on a trailing six-month basis as of the date of our most recent quarterly financial statement, determined on a quarterly basis.</w:t>
      </w:r>
    </w:p>
    <w:p>
      <w:pPr>
        <w:spacing w:after="0" w:line="151" w:lineRule="exact"/>
        <w:rPr>
          <w:rFonts w:ascii="Arial" w:cs="Arial" w:eastAsia="Arial" w:hAnsi="Arial"/>
          <w:sz w:val="15"/>
          <w:szCs w:val="15"/>
          <w:color w:val="auto"/>
        </w:rPr>
      </w:pPr>
    </w:p>
    <w:p>
      <w:pPr>
        <w:ind w:left="620" w:right="259" w:hanging="281"/>
        <w:spacing w:after="0" w:line="284" w:lineRule="auto"/>
        <w:tabs>
          <w:tab w:leader="none" w:pos="620" w:val="left"/>
        </w:tabs>
        <w:numPr>
          <w:ilvl w:val="0"/>
          <w:numId w:val="7"/>
        </w:numPr>
        <w:rPr>
          <w:rFonts w:ascii="Arial" w:cs="Arial" w:eastAsia="Arial" w:hAnsi="Arial"/>
          <w:sz w:val="15"/>
          <w:szCs w:val="15"/>
          <w:color w:val="auto"/>
        </w:rPr>
      </w:pPr>
      <w:r>
        <w:rPr>
          <w:rFonts w:ascii="Arial" w:cs="Arial" w:eastAsia="Arial" w:hAnsi="Arial"/>
          <w:sz w:val="15"/>
          <w:szCs w:val="15"/>
          <w:color w:val="auto"/>
        </w:rPr>
        <w:t>Restrictions on our ability to incur additional indebtedness, pay dividends, encumber its intellectual property, or engage in certain fundamental business transactions, such as mergers or acquisitions of other businesses, with certain exceptions.</w:t>
      </w:r>
    </w:p>
    <w:p>
      <w:pPr>
        <w:spacing w:after="0" w:line="169" w:lineRule="exact"/>
        <w:rPr>
          <w:sz w:val="20"/>
          <w:szCs w:val="20"/>
          <w:color w:val="auto"/>
        </w:rPr>
      </w:pPr>
    </w:p>
    <w:p>
      <w:pPr>
        <w:ind w:left="40" w:right="179" w:firstLine="566"/>
        <w:spacing w:after="0" w:line="284" w:lineRule="auto"/>
        <w:rPr>
          <w:sz w:val="20"/>
          <w:szCs w:val="20"/>
          <w:color w:val="auto"/>
        </w:rPr>
      </w:pPr>
      <w:r>
        <w:rPr>
          <w:rFonts w:ascii="Arial" w:cs="Arial" w:eastAsia="Arial" w:hAnsi="Arial"/>
          <w:sz w:val="15"/>
          <w:szCs w:val="15"/>
          <w:color w:val="auto"/>
        </w:rPr>
        <w:t>Our obligations under the Loan Agreement are subject to acceleration upon the occurrence of specified events of default, including payment default, insolvency and a material adverse change in our business, operations or financial or other condition.</w:t>
      </w:r>
    </w:p>
    <w:p>
      <w:pPr>
        <w:spacing w:after="0" w:line="158" w:lineRule="exact"/>
        <w:rPr>
          <w:sz w:val="20"/>
          <w:szCs w:val="20"/>
          <w:color w:val="auto"/>
        </w:rPr>
      </w:pPr>
    </w:p>
    <w:p>
      <w:pPr>
        <w:ind w:left="40" w:right="59" w:firstLine="566"/>
        <w:spacing w:after="0" w:line="241" w:lineRule="auto"/>
        <w:rPr>
          <w:sz w:val="20"/>
          <w:szCs w:val="20"/>
          <w:color w:val="auto"/>
        </w:rPr>
      </w:pPr>
      <w:r>
        <w:rPr>
          <w:rFonts w:ascii="Arial" w:cs="Arial" w:eastAsia="Arial" w:hAnsi="Arial"/>
          <w:sz w:val="16"/>
          <w:szCs w:val="16"/>
          <w:color w:val="auto"/>
        </w:rPr>
        <w:t>In addition, we are required to pay a final payment fee equal to the greater of (A) $2,910,000 and (B) 4.85% of the aggregate amount of all term loan advances minus the aggregate amount of repayments made. The final payment fee is being accreted and amortized into interest expense using the effective interest rate method over the term of the loan.</w:t>
      </w:r>
    </w:p>
    <w:p>
      <w:pPr>
        <w:spacing w:after="0" w:line="165" w:lineRule="exact"/>
        <w:rPr>
          <w:sz w:val="20"/>
          <w:szCs w:val="20"/>
          <w:color w:val="auto"/>
        </w:rPr>
      </w:pPr>
    </w:p>
    <w:p>
      <w:pPr>
        <w:ind w:left="40" w:right="279" w:firstLine="566"/>
        <w:spacing w:after="0" w:line="310" w:lineRule="auto"/>
        <w:rPr>
          <w:sz w:val="20"/>
          <w:szCs w:val="20"/>
          <w:color w:val="auto"/>
        </w:rPr>
      </w:pPr>
      <w:r>
        <w:rPr>
          <w:rFonts w:ascii="Arial" w:cs="Arial" w:eastAsia="Arial" w:hAnsi="Arial"/>
          <w:sz w:val="13"/>
          <w:szCs w:val="13"/>
          <w:color w:val="auto"/>
        </w:rPr>
        <w:t>We may, at our option prepay the term loans in full or in part, subject to a prepayment penalty equal to (i) 2.0% of the principal amount prepaid if the prepayment occurs prior to the first anniversary of the initial closing, (ii) 1.5% of the principal amount prepaid if the prepayment occurs on or after the first anniversary and prior to the second anniversary of the initial closing, and (iii) 1.0% of the principal amount prepaid if the prepayment occurs on or after the second anniversary and prior to the third anniversary of the initial closing.</w:t>
      </w:r>
    </w:p>
    <w:p>
      <w:pPr>
        <w:spacing w:after="0" w:line="12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Impact of the CARES Act</w:t>
      </w:r>
    </w:p>
    <w:p>
      <w:pPr>
        <w:spacing w:after="0" w:line="174" w:lineRule="exact"/>
        <w:rPr>
          <w:sz w:val="20"/>
          <w:szCs w:val="20"/>
          <w:color w:val="auto"/>
        </w:rPr>
      </w:pPr>
    </w:p>
    <w:p>
      <w:pPr>
        <w:ind w:left="40" w:right="79" w:firstLine="430"/>
        <w:spacing w:after="0" w:line="250" w:lineRule="auto"/>
        <w:rPr>
          <w:sz w:val="20"/>
          <w:szCs w:val="20"/>
          <w:color w:val="auto"/>
        </w:rPr>
      </w:pPr>
      <w:r>
        <w:rPr>
          <w:rFonts w:ascii="Arial" w:cs="Arial" w:eastAsia="Arial" w:hAnsi="Arial"/>
          <w:sz w:val="15"/>
          <w:szCs w:val="15"/>
          <w:color w:val="auto"/>
        </w:rPr>
        <w:t>On March 27, 2020, the Coronavirus Aid, Relief, and Economic Security Act (the “CARES Act”) was enacted and signed into law, and GAAP requires recognition of the tax effects of new legislation during the reporting period that includes the enactment date. The CARES Act, among other things, includes changes to the tax provisions that benefits business entities and makes certain technical corrections to the 2017 Tax Cuts and Jobs Act, including, permitting net operating losses (“NOLs”), carryovers and carrybacks to offset 100% of taxable income for taxable years beginning before 2021. In addition, the CARES Act allows NOLs incurred in 2018, 2019, and 2020 to be carried back to each of the five preceding taxable years to generate a refund of previously paid income taxes. The CARES Act provides other reliefs and stimulus measures. We are currently evaluating the impact of the CARES Act, however, at present we do not expect that any provision of the CARES Act would result in a material cash benefit to us or have a material impact on our financial statements or internal controls over financial reporting.</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302895</wp:posOffset>
            </wp:positionV>
            <wp:extent cx="5682615" cy="222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82615" cy="22225"/>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39" w:name="page40"/>
    <w:bookmarkEnd w:id="39"/>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Impact of COVID-19 on our Business</w:t>
      </w:r>
    </w:p>
    <w:p>
      <w:pPr>
        <w:spacing w:after="0" w:line="197" w:lineRule="exact"/>
        <w:rPr>
          <w:sz w:val="20"/>
          <w:szCs w:val="20"/>
          <w:color w:val="auto"/>
        </w:rPr>
      </w:pPr>
    </w:p>
    <w:p>
      <w:pPr>
        <w:ind w:left="40" w:right="99" w:firstLine="430"/>
        <w:spacing w:after="0" w:line="255" w:lineRule="auto"/>
        <w:rPr>
          <w:sz w:val="20"/>
          <w:szCs w:val="20"/>
          <w:color w:val="auto"/>
        </w:rPr>
      </w:pPr>
      <w:r>
        <w:rPr>
          <w:rFonts w:ascii="Arial" w:cs="Arial" w:eastAsia="Arial" w:hAnsi="Arial"/>
          <w:sz w:val="15"/>
          <w:szCs w:val="15"/>
          <w:color w:val="auto"/>
        </w:rPr>
        <w:t>In December 2019, a novel coronavirus known as SARS-CoV-2 was first detected in Wuhan, Hubei Province, People’s Republic of China, causing outbreaks of the coronavirus disease, known as COVID-19, that has now spread globally. On January 30, 2020, the World Health Organization (WHO) declared COVID-19 a public health emergency. The Secretary of Health and Human Services declared a public health emergency in the United States on January 31, 2020, under section 319 of the Public Health Service Act (42 U.S.C. 247d), in response to the COVID-19 outbreak. On March 11, 2020, the WHO declared COVID-19 a pandemic.</w:t>
      </w:r>
    </w:p>
    <w:p>
      <w:pPr>
        <w:spacing w:after="0" w:line="145"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Operations and Liquidity</w:t>
      </w:r>
    </w:p>
    <w:p>
      <w:pPr>
        <w:spacing w:after="0" w:line="193" w:lineRule="exact"/>
        <w:rPr>
          <w:sz w:val="20"/>
          <w:szCs w:val="20"/>
          <w:color w:val="auto"/>
        </w:rPr>
      </w:pPr>
    </w:p>
    <w:p>
      <w:pPr>
        <w:ind w:left="40" w:right="139" w:firstLine="430"/>
        <w:spacing w:after="0" w:line="294" w:lineRule="auto"/>
        <w:rPr>
          <w:sz w:val="20"/>
          <w:szCs w:val="20"/>
          <w:color w:val="auto"/>
        </w:rPr>
      </w:pPr>
      <w:r>
        <w:rPr>
          <w:rFonts w:ascii="Arial" w:cs="Arial" w:eastAsia="Arial" w:hAnsi="Arial"/>
          <w:sz w:val="13"/>
          <w:szCs w:val="13"/>
          <w:color w:val="auto"/>
        </w:rPr>
        <w:t xml:space="preserve">The full impact of the COVID-19 pandemic is unknown and rapidly evolving. While the potential economic impact brought by and over the duration of the COVID-19 pandemic may be difficult to assess or predict, the COVID-19 pandemic has resulted in significant disruption of global financial markets, which could in the future negatively affect our liquidity. In addition, a recession or market volatility resulting from the COVID-19 pandemic could affect our business. We have taken proactive, aggressive action throughout the COVID-19 pandemic to protect the health and safety of our </w:t>
      </w:r>
      <w:r>
        <w:rPr>
          <w:rFonts w:ascii="Arial" w:cs="Arial" w:eastAsia="Arial" w:hAnsi="Arial"/>
          <w:sz w:val="13"/>
          <w:szCs w:val="13"/>
          <w:color w:val="212529"/>
        </w:rPr>
        <w:t>employees</w:t>
      </w:r>
      <w:r>
        <w:rPr>
          <w:rFonts w:ascii="Arial" w:cs="Arial" w:eastAsia="Arial" w:hAnsi="Arial"/>
          <w:sz w:val="13"/>
          <w:szCs w:val="13"/>
          <w:color w:val="auto"/>
        </w:rPr>
        <w:t>, and expect to continue to implement these measures until we determine that the COVID-19 pandemic is adequately contained for purposes of our business. W</w:t>
      </w:r>
      <w:r>
        <w:rPr>
          <w:rFonts w:ascii="Arial" w:cs="Arial" w:eastAsia="Arial" w:hAnsi="Arial"/>
          <w:sz w:val="13"/>
          <w:szCs w:val="13"/>
          <w:color w:val="212529"/>
        </w:rPr>
        <w:t>e may take further actions as government authorities require or</w:t>
      </w:r>
      <w:r>
        <w:rPr>
          <w:rFonts w:ascii="Arial" w:cs="Arial" w:eastAsia="Arial" w:hAnsi="Arial"/>
          <w:sz w:val="13"/>
          <w:szCs w:val="13"/>
          <w:color w:val="auto"/>
        </w:rPr>
        <w:t xml:space="preserve"> </w:t>
      </w:r>
      <w:r>
        <w:rPr>
          <w:rFonts w:ascii="Arial" w:cs="Arial" w:eastAsia="Arial" w:hAnsi="Arial"/>
          <w:sz w:val="13"/>
          <w:szCs w:val="13"/>
          <w:color w:val="212529"/>
        </w:rPr>
        <w:t xml:space="preserve">recommend or as we determine to be in the best interests of our employees. </w:t>
      </w:r>
      <w:r>
        <w:rPr>
          <w:rFonts w:ascii="Arial" w:cs="Arial" w:eastAsia="Arial" w:hAnsi="Arial"/>
          <w:sz w:val="13"/>
          <w:szCs w:val="13"/>
          <w:color w:val="000000"/>
        </w:rPr>
        <w:t>To date, the COVID-19 pandemic has not had significant effects</w:t>
      </w:r>
      <w:r>
        <w:rPr>
          <w:rFonts w:ascii="Arial" w:cs="Arial" w:eastAsia="Arial" w:hAnsi="Arial"/>
          <w:sz w:val="13"/>
          <w:szCs w:val="13"/>
          <w:color w:val="212529"/>
        </w:rPr>
        <w:t xml:space="preserve"> </w:t>
      </w:r>
      <w:r>
        <w:rPr>
          <w:rFonts w:ascii="Arial" w:cs="Arial" w:eastAsia="Arial" w:hAnsi="Arial"/>
          <w:sz w:val="13"/>
          <w:szCs w:val="13"/>
          <w:color w:val="000000"/>
        </w:rPr>
        <w:t>on the progression of our clinical trials. Given the nature and type of our short-term investments, we do not believe that the COVID-19 pandemic will have a material impact on our current investment liquidity.</w:t>
      </w:r>
    </w:p>
    <w:p>
      <w:pPr>
        <w:spacing w:after="0" w:line="315"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212529"/>
        </w:rPr>
        <w:t>Outlook</w:t>
      </w:r>
    </w:p>
    <w:p>
      <w:pPr>
        <w:spacing w:after="0" w:line="193" w:lineRule="exact"/>
        <w:rPr>
          <w:sz w:val="20"/>
          <w:szCs w:val="20"/>
          <w:color w:val="auto"/>
        </w:rPr>
      </w:pPr>
    </w:p>
    <w:p>
      <w:pPr>
        <w:ind w:left="40" w:right="119" w:firstLine="566"/>
        <w:spacing w:after="0" w:line="275" w:lineRule="auto"/>
        <w:rPr>
          <w:sz w:val="20"/>
          <w:szCs w:val="20"/>
          <w:color w:val="auto"/>
        </w:rPr>
      </w:pPr>
      <w:r>
        <w:rPr>
          <w:rFonts w:ascii="Arial" w:cs="Arial" w:eastAsia="Arial" w:hAnsi="Arial"/>
          <w:sz w:val="15"/>
          <w:szCs w:val="15"/>
          <w:color w:val="auto"/>
        </w:rPr>
        <w:t>Although there is uncertainty related to the anticipated impact of the COVID-19 pandemic on our future results, we believe our current cash reserves, coupled with our access to additional capital through the December 2019 Sales Agreement, leave us well-positioned to manage our business through this crisis as it continues to unfold. However, the impacts of the COVID-19 pandemic are broad-reaching and continuing and the financial impacts associated with the COVID-19 pandemic are still uncertain.</w:t>
      </w:r>
    </w:p>
    <w:p>
      <w:pPr>
        <w:spacing w:after="0" w:line="153" w:lineRule="exact"/>
        <w:rPr>
          <w:sz w:val="20"/>
          <w:szCs w:val="20"/>
          <w:color w:val="auto"/>
        </w:rPr>
      </w:pPr>
    </w:p>
    <w:p>
      <w:pPr>
        <w:ind w:left="40" w:right="99" w:firstLine="566"/>
        <w:spacing w:after="0" w:line="253" w:lineRule="auto"/>
        <w:rPr>
          <w:sz w:val="20"/>
          <w:szCs w:val="20"/>
          <w:color w:val="auto"/>
        </w:rPr>
      </w:pPr>
      <w:r>
        <w:rPr>
          <w:rFonts w:ascii="Arial" w:cs="Arial" w:eastAsia="Arial" w:hAnsi="Arial"/>
          <w:sz w:val="16"/>
          <w:szCs w:val="16"/>
          <w:color w:val="auto"/>
        </w:rPr>
        <w:t>As a result of the ongoing COVID-19 pandemic and its dynamic nature, including uncertainties relating to the ultimate geographic spread of the virus, the severity of the disease, the duration of the pandemic, and actions that have been or may be taken by governmental authorities to contain the pandemic or to treat its impact, it is difficult to forecast the effects of the COVID-19 pandemic on our results for the fiscal year ending December 31, 2020.</w:t>
      </w:r>
    </w:p>
    <w:p>
      <w:pPr>
        <w:spacing w:after="0" w:line="167" w:lineRule="exact"/>
        <w:rPr>
          <w:sz w:val="20"/>
          <w:szCs w:val="20"/>
          <w:color w:val="auto"/>
        </w:rPr>
      </w:pPr>
    </w:p>
    <w:p>
      <w:pPr>
        <w:ind w:left="40" w:right="59" w:firstLine="566"/>
        <w:spacing w:after="0" w:line="250" w:lineRule="auto"/>
        <w:rPr>
          <w:sz w:val="20"/>
          <w:szCs w:val="20"/>
          <w:color w:val="auto"/>
        </w:rPr>
      </w:pPr>
      <w:r>
        <w:rPr>
          <w:rFonts w:ascii="Arial" w:cs="Arial" w:eastAsia="Arial" w:hAnsi="Arial"/>
          <w:sz w:val="16"/>
          <w:szCs w:val="16"/>
          <w:color w:val="auto"/>
        </w:rPr>
        <w:t>Despite the economic uncertainty resulting from the COVID-19 pandemic, we intend to continue to focus on the development of our product candidates. We continue to monitor the rapidly evolving situation and guidance from international and domestic authorities, including federal, state and local public health authorities and we may take additional actions based on their recommendations. In these circumstances, there may be developments outside of our control requiring us to adjust our operating plan. As such, given the dynamic nature of this situation, we cannot reasonably estimate the impacts of the COVID-19 pandemic on our financial condition, results of operations or cash flows in the future.</w:t>
      </w:r>
    </w:p>
    <w:p>
      <w:pPr>
        <w:spacing w:after="0" w:line="34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Off-Balance Sheet Arrangements</w:t>
      </w:r>
    </w:p>
    <w:p>
      <w:pPr>
        <w:spacing w:after="0" w:line="186" w:lineRule="exact"/>
        <w:rPr>
          <w:sz w:val="20"/>
          <w:szCs w:val="20"/>
          <w:color w:val="auto"/>
        </w:rPr>
      </w:pPr>
    </w:p>
    <w:p>
      <w:pPr>
        <w:ind w:left="40" w:right="439" w:firstLine="566"/>
        <w:spacing w:after="0" w:line="251" w:lineRule="auto"/>
        <w:rPr>
          <w:sz w:val="20"/>
          <w:szCs w:val="20"/>
          <w:color w:val="auto"/>
        </w:rPr>
      </w:pPr>
      <w:r>
        <w:rPr>
          <w:rFonts w:ascii="Arial" w:cs="Arial" w:eastAsia="Arial" w:hAnsi="Arial"/>
          <w:sz w:val="16"/>
          <w:szCs w:val="16"/>
          <w:color w:val="auto"/>
        </w:rPr>
        <w:t>We did not have during the periods presented, and we do not currently have, any off-balance sheet arrangements, as defined by applicable SEC regulations.</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302895</wp:posOffset>
            </wp:positionV>
            <wp:extent cx="5682615" cy="222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82615" cy="22225"/>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40" w:name="page41"/>
    <w:bookmarkEnd w:id="40"/>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JOBS Act</w:t>
      </w:r>
    </w:p>
    <w:p>
      <w:pPr>
        <w:spacing w:after="0" w:line="186" w:lineRule="exact"/>
        <w:rPr>
          <w:sz w:val="20"/>
          <w:szCs w:val="20"/>
          <w:color w:val="auto"/>
        </w:rPr>
      </w:pPr>
    </w:p>
    <w:p>
      <w:pPr>
        <w:ind w:left="40" w:right="99" w:firstLine="566"/>
        <w:spacing w:after="0" w:line="235"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 Furthermore, we anticipate that we will no longer be an emerging growth company as of December 31, 2020.</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Recent Accounting Pronouncements</w:t>
      </w:r>
    </w:p>
    <w:p>
      <w:pPr>
        <w:spacing w:after="0" w:line="186" w:lineRule="exact"/>
        <w:rPr>
          <w:sz w:val="20"/>
          <w:szCs w:val="20"/>
          <w:color w:val="auto"/>
        </w:rPr>
      </w:pPr>
    </w:p>
    <w:p>
      <w:pPr>
        <w:ind w:left="40" w:right="139" w:firstLine="565"/>
        <w:spacing w:after="0" w:line="241" w:lineRule="auto"/>
        <w:rPr>
          <w:sz w:val="20"/>
          <w:szCs w:val="20"/>
          <w:color w:val="auto"/>
        </w:rPr>
      </w:pPr>
      <w:r>
        <w:rPr>
          <w:rFonts w:ascii="Arial" w:cs="Arial" w:eastAsia="Arial" w:hAnsi="Arial"/>
          <w:sz w:val="16"/>
          <w:szCs w:val="16"/>
          <w:color w:val="auto"/>
        </w:rPr>
        <w:t>Refer to Note 2 – Summary of Significant Accounting Policies to our consolidated financial statements included in Part I, Financial Information, Item 1, Financial Statements, of this Quarterly Report on Form 10-Q for a discussion of recently issued accounting pronouncements.</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3. QUANTITATIVE AND QUALITATIVE DISCLOSURE ABOUT MARKET RISK</w:t>
      </w:r>
    </w:p>
    <w:p>
      <w:pPr>
        <w:spacing w:after="0" w:line="186"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Interest Rate Risk</w:t>
      </w:r>
    </w:p>
    <w:p>
      <w:pPr>
        <w:spacing w:after="0" w:line="182" w:lineRule="exact"/>
        <w:rPr>
          <w:sz w:val="20"/>
          <w:szCs w:val="20"/>
          <w:color w:val="auto"/>
        </w:rPr>
      </w:pPr>
    </w:p>
    <w:p>
      <w:pPr>
        <w:ind w:left="40" w:right="119" w:firstLine="566"/>
        <w:spacing w:after="0" w:line="252" w:lineRule="auto"/>
        <w:rPr>
          <w:sz w:val="20"/>
          <w:szCs w:val="20"/>
          <w:color w:val="auto"/>
        </w:rPr>
      </w:pPr>
      <w:r>
        <w:rPr>
          <w:rFonts w:ascii="Arial" w:cs="Arial" w:eastAsia="Arial" w:hAnsi="Arial"/>
          <w:sz w:val="15"/>
          <w:szCs w:val="15"/>
          <w:color w:val="auto"/>
        </w:rPr>
        <w:t>We are exposed to market risks in the ordinary course of our business and from changes in the interest rate on our debt borrowings. These market risks are principally limited to interest rate fluctuations. We had cash of $202.4 million and $220.0 million as of September 30, 2020 and December 31, 2019, respectively. The primary objective of our investment activities is to preserve principal and liquidity while maximizing income without significantly increasing risk. We do not enter into investments for trading or speculative purposes. Due to the short-term nature of our investment portfolio, we do not believe an immediate 10% increase in interest rates would have a material effect on the fair market value of our portfolio, and, accordingly, we do not expect our operating results or cash flows to be materially affected by a sudden change in market interest rates.</w:t>
      </w:r>
    </w:p>
    <w:p>
      <w:pPr>
        <w:spacing w:after="0" w:line="159"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Foreign Currency Exchange Risk</w:t>
      </w:r>
    </w:p>
    <w:p>
      <w:pPr>
        <w:spacing w:after="0" w:line="182" w:lineRule="exact"/>
        <w:rPr>
          <w:sz w:val="20"/>
          <w:szCs w:val="20"/>
          <w:color w:val="auto"/>
        </w:rPr>
      </w:pPr>
    </w:p>
    <w:p>
      <w:pPr>
        <w:ind w:left="40" w:right="219" w:firstLine="566"/>
        <w:spacing w:after="0" w:line="310" w:lineRule="auto"/>
        <w:rPr>
          <w:sz w:val="20"/>
          <w:szCs w:val="20"/>
          <w:color w:val="auto"/>
        </w:rPr>
      </w:pPr>
      <w:r>
        <w:rPr>
          <w:rFonts w:ascii="Arial" w:cs="Arial" w:eastAsia="Arial" w:hAnsi="Arial"/>
          <w:sz w:val="13"/>
          <w:szCs w:val="13"/>
          <w:color w:val="auto"/>
        </w:rPr>
        <w:t>We contract with vendors and third-party manufacturers in several foreign countries. Several of these contracts are denominated in Euros, British pounds, and Australian dollars. We are therefore subject to fluctuations in foreign currency rates in connection with these agreements, and recognize foreign exchange gains or losses in our statement of operations. We have not historically hedged our foreign currency exchange rate risk. To date, we have not incurred any material effects from foreign currency changes on these contracts.</w:t>
      </w:r>
    </w:p>
    <w:p>
      <w:pPr>
        <w:spacing w:after="0" w:line="124" w:lineRule="exact"/>
        <w:rPr>
          <w:sz w:val="20"/>
          <w:szCs w:val="20"/>
          <w:color w:val="auto"/>
        </w:rPr>
      </w:pPr>
    </w:p>
    <w:p>
      <w:pPr>
        <w:ind w:left="40" w:right="499" w:firstLine="566"/>
        <w:spacing w:after="0" w:line="251" w:lineRule="auto"/>
        <w:rPr>
          <w:sz w:val="20"/>
          <w:szCs w:val="20"/>
          <w:color w:val="auto"/>
        </w:rPr>
      </w:pPr>
      <w:r>
        <w:rPr>
          <w:rFonts w:ascii="Arial" w:cs="Arial" w:eastAsia="Arial" w:hAnsi="Arial"/>
          <w:sz w:val="16"/>
          <w:szCs w:val="16"/>
          <w:color w:val="auto"/>
        </w:rPr>
        <w:t>We do not believe a 10% change in these currencies on September 30, 2020 would have had a material effect on our results of operations or financial condition.</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Inflation Risk</w:t>
      </w:r>
    </w:p>
    <w:p>
      <w:pPr>
        <w:spacing w:after="0" w:line="182" w:lineRule="exact"/>
        <w:rPr>
          <w:sz w:val="20"/>
          <w:szCs w:val="20"/>
          <w:color w:val="auto"/>
        </w:rPr>
      </w:pPr>
    </w:p>
    <w:p>
      <w:pPr>
        <w:ind w:left="40" w:right="459" w:firstLine="566"/>
        <w:spacing w:after="0" w:line="365" w:lineRule="auto"/>
        <w:rPr>
          <w:sz w:val="20"/>
          <w:szCs w:val="20"/>
          <w:color w:val="auto"/>
        </w:rPr>
      </w:pPr>
      <w:r>
        <w:rPr>
          <w:rFonts w:ascii="Arial" w:cs="Arial" w:eastAsia="Arial" w:hAnsi="Arial"/>
          <w:sz w:val="13"/>
          <w:szCs w:val="13"/>
          <w:color w:val="auto"/>
        </w:rPr>
        <w:t>Inflation generally affects us by increasing our cost of labor and pricing of contracts. We do not believe that inflation has had a material effect on our business, financial condition, or results of operations during the nine months ended September 30, 2020.</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302895</wp:posOffset>
            </wp:positionV>
            <wp:extent cx="5682615" cy="222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82615" cy="22225"/>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41" w:name="page42"/>
    <w:bookmarkEnd w:id="41"/>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4. CONTROLS AND PROCEDURES</w:t>
      </w:r>
    </w:p>
    <w:p>
      <w:pPr>
        <w:spacing w:after="0" w:line="174" w:lineRule="exact"/>
        <w:rPr>
          <w:sz w:val="20"/>
          <w:szCs w:val="20"/>
          <w:color w:val="auto"/>
        </w:rPr>
      </w:pPr>
    </w:p>
    <w:p>
      <w:pPr>
        <w:ind w:left="40" w:right="59" w:firstLine="566"/>
        <w:spacing w:after="0" w:line="250" w:lineRule="auto"/>
        <w:rPr>
          <w:sz w:val="20"/>
          <w:szCs w:val="20"/>
          <w:color w:val="auto"/>
        </w:rPr>
      </w:pPr>
      <w:r>
        <w:rPr>
          <w:rFonts w:ascii="Arial" w:cs="Arial" w:eastAsia="Arial" w:hAnsi="Arial"/>
          <w:sz w:val="15"/>
          <w:szCs w:val="15"/>
          <w:i w:val="1"/>
          <w:iCs w:val="1"/>
          <w:color w:val="auto"/>
        </w:rPr>
        <w:t xml:space="preserve">Disclosure Controls and Procedures. </w:t>
      </w:r>
      <w:r>
        <w:rPr>
          <w:rFonts w:ascii="Arial" w:cs="Arial" w:eastAsia="Arial" w:hAnsi="Arial"/>
          <w:sz w:val="15"/>
          <w:szCs w:val="15"/>
          <w:color w:val="auto"/>
        </w:rPr>
        <w:t>Our management, with the participation of our principal executive officer and our principal</w:t>
      </w:r>
      <w:r>
        <w:rPr>
          <w:rFonts w:ascii="Arial" w:cs="Arial" w:eastAsia="Arial" w:hAnsi="Arial"/>
          <w:sz w:val="15"/>
          <w:szCs w:val="15"/>
          <w:i w:val="1"/>
          <w:iCs w:val="1"/>
          <w:color w:val="auto"/>
        </w:rPr>
        <w:t xml:space="preserve"> </w:t>
      </w:r>
      <w:r>
        <w:rPr>
          <w:rFonts w:ascii="Arial" w:cs="Arial" w:eastAsia="Arial" w:hAnsi="Arial"/>
          <w:sz w:val="15"/>
          <w:szCs w:val="15"/>
          <w:color w:val="auto"/>
        </w:rPr>
        <w:t>financial officer, evaluated, as of the end of the period covered by this Quarterly Report on Form 10-Q, the effectiveness of our disclosure controls and procedures. Based on that evaluation, our principal executive officer and principal financial officer concluded that our disclosure controls and procedures, as of such date, were effective in ensuring that information required to be disclosed by us in the reports that we file or submit under the Securities Exchange Act of 1934, as amended, or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we file or submit under the Exchange Act is accumulated and communicated to our management, including our principal executive officer and principal financial officer, as appropriate to allow timely decisions regarding required disclosure.</w:t>
      </w:r>
    </w:p>
    <w:p>
      <w:pPr>
        <w:spacing w:after="0" w:line="163" w:lineRule="exact"/>
        <w:rPr>
          <w:sz w:val="20"/>
          <w:szCs w:val="20"/>
          <w:color w:val="auto"/>
        </w:rPr>
      </w:pPr>
    </w:p>
    <w:p>
      <w:pPr>
        <w:ind w:left="40" w:right="159" w:firstLine="566"/>
        <w:spacing w:after="0" w:line="241" w:lineRule="auto"/>
        <w:rPr>
          <w:sz w:val="20"/>
          <w:szCs w:val="20"/>
          <w:color w:val="auto"/>
        </w:rPr>
      </w:pPr>
      <w:r>
        <w:rPr>
          <w:rFonts w:ascii="Arial" w:cs="Arial" w:eastAsia="Arial" w:hAnsi="Arial"/>
          <w:sz w:val="16"/>
          <w:szCs w:val="16"/>
          <w:i w:val="1"/>
          <w:iCs w:val="1"/>
          <w:color w:val="auto"/>
        </w:rPr>
        <w:t xml:space="preserve">Changes in Internal Control over Financial Reporting. </w:t>
      </w:r>
      <w:r>
        <w:rPr>
          <w:rFonts w:ascii="Arial" w:cs="Arial" w:eastAsia="Arial" w:hAnsi="Arial"/>
          <w:sz w:val="16"/>
          <w:szCs w:val="16"/>
          <w:color w:val="auto"/>
        </w:rPr>
        <w:t>There has been no change in internal controls over financial reporting that</w:t>
      </w:r>
      <w:r>
        <w:rPr>
          <w:rFonts w:ascii="Arial" w:cs="Arial" w:eastAsia="Arial" w:hAnsi="Arial"/>
          <w:sz w:val="16"/>
          <w:szCs w:val="16"/>
          <w:i w:val="1"/>
          <w:iCs w:val="1"/>
          <w:color w:val="auto"/>
        </w:rPr>
        <w:t xml:space="preserve"> </w:t>
      </w:r>
      <w:r>
        <w:rPr>
          <w:rFonts w:ascii="Arial" w:cs="Arial" w:eastAsia="Arial" w:hAnsi="Arial"/>
          <w:sz w:val="16"/>
          <w:szCs w:val="16"/>
          <w:color w:val="auto"/>
        </w:rPr>
        <w:t>occurred during the period covered by this report that has materially affected, or is reasonably likely to materially affect, our internal control over financial reporting.</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302895</wp:posOffset>
            </wp:positionV>
            <wp:extent cx="5682615" cy="222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82615" cy="22225"/>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42" w:name="page43"/>
    <w:bookmarkEnd w:id="42"/>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II. OTHER INFORMATION</w:t>
      </w:r>
    </w:p>
    <w:p>
      <w:pPr>
        <w:spacing w:after="0" w:line="31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1. LEGAL PROCEEDINGS.</w:t>
      </w:r>
    </w:p>
    <w:p>
      <w:pPr>
        <w:spacing w:after="0" w:line="174" w:lineRule="exact"/>
        <w:rPr>
          <w:sz w:val="20"/>
          <w:szCs w:val="20"/>
          <w:color w:val="auto"/>
        </w:rPr>
      </w:pPr>
    </w:p>
    <w:p>
      <w:pPr>
        <w:ind w:left="40" w:right="379" w:firstLine="566"/>
        <w:spacing w:after="0" w:line="365" w:lineRule="auto"/>
        <w:rPr>
          <w:sz w:val="20"/>
          <w:szCs w:val="20"/>
          <w:color w:val="auto"/>
        </w:rPr>
      </w:pPr>
      <w:r>
        <w:rPr>
          <w:rFonts w:ascii="Arial" w:cs="Arial" w:eastAsia="Arial" w:hAnsi="Arial"/>
          <w:sz w:val="13"/>
          <w:szCs w:val="13"/>
          <w:color w:val="auto"/>
        </w:rPr>
        <w:t>We, and our subsidiaries, are currently not a party to, and our property is not currently the subject of, any material pending legal proceedings; however, we may become involved in various claims and legal actions arising in the ordinary course of business.</w:t>
      </w:r>
    </w:p>
    <w:p>
      <w:pPr>
        <w:spacing w:after="0" w:line="7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1A. RISK FACTORS.</w:t>
      </w:r>
    </w:p>
    <w:p>
      <w:pPr>
        <w:spacing w:after="0" w:line="186" w:lineRule="exact"/>
        <w:rPr>
          <w:sz w:val="20"/>
          <w:szCs w:val="20"/>
          <w:color w:val="auto"/>
        </w:rPr>
      </w:pPr>
    </w:p>
    <w:p>
      <w:pPr>
        <w:ind w:left="40" w:right="119" w:firstLine="566"/>
        <w:spacing w:after="0" w:line="235" w:lineRule="auto"/>
        <w:rPr>
          <w:sz w:val="20"/>
          <w:szCs w:val="20"/>
          <w:color w:val="auto"/>
        </w:rPr>
      </w:pPr>
      <w:r>
        <w:rPr>
          <w:rFonts w:ascii="Arial" w:cs="Arial" w:eastAsia="Arial" w:hAnsi="Arial"/>
          <w:sz w:val="16"/>
          <w:szCs w:val="16"/>
          <w:i w:val="1"/>
          <w:iCs w:val="1"/>
          <w:color w:val="auto"/>
        </w:rPr>
        <w:t>Investing in our common stock involves a high degree of risk. You should carefully consider the risk factors set forth below as well as the other information contained in this Quarterly Report on Form 10-Q and in our other public filings in evaluating our business. Any of the following risks could materially and adversely affect our business, financial condition or results of operations. The risks described below are not the only risks facing us. Additional risks and uncertainties not currently known to us or that we currently view to be immaterial may also materially adversely affect our business, financial condition or results of operations. In these circumstances, the market price of our common stock would likely decline.</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RISKS RELATED TO OUR FINANCIAL CONDITION AND CAPITAL REQUIREMENTS</w:t>
      </w:r>
    </w:p>
    <w:p>
      <w:pPr>
        <w:spacing w:after="0" w:line="186" w:lineRule="exact"/>
        <w:rPr>
          <w:sz w:val="20"/>
          <w:szCs w:val="20"/>
          <w:color w:val="auto"/>
        </w:rPr>
      </w:pPr>
    </w:p>
    <w:p>
      <w:pPr>
        <w:ind w:left="40" w:right="59"/>
        <w:spacing w:after="0" w:line="251" w:lineRule="auto"/>
        <w:rPr>
          <w:sz w:val="20"/>
          <w:szCs w:val="20"/>
          <w:color w:val="auto"/>
        </w:rPr>
      </w:pPr>
      <w:r>
        <w:rPr>
          <w:rFonts w:ascii="Arial" w:cs="Arial" w:eastAsia="Arial" w:hAnsi="Arial"/>
          <w:sz w:val="16"/>
          <w:szCs w:val="16"/>
          <w:b w:val="1"/>
          <w:bCs w:val="1"/>
          <w:i w:val="1"/>
          <w:iCs w:val="1"/>
          <w:color w:val="auto"/>
        </w:rPr>
        <w:t>We have incurred significant losses since our inception, anticipate that we will incur substantial losses for the foreseeable future, and may never achieve or maintain profitability.</w:t>
      </w:r>
    </w:p>
    <w:p>
      <w:pPr>
        <w:spacing w:after="0" w:line="157" w:lineRule="exact"/>
        <w:rPr>
          <w:sz w:val="20"/>
          <w:szCs w:val="20"/>
          <w:color w:val="auto"/>
        </w:rPr>
      </w:pPr>
    </w:p>
    <w:p>
      <w:pPr>
        <w:ind w:left="40" w:right="39" w:firstLine="566"/>
        <w:spacing w:after="0" w:line="292" w:lineRule="auto"/>
        <w:rPr>
          <w:sz w:val="20"/>
          <w:szCs w:val="20"/>
          <w:color w:val="auto"/>
        </w:rPr>
      </w:pPr>
      <w:r>
        <w:rPr>
          <w:rFonts w:ascii="Arial" w:cs="Arial" w:eastAsia="Arial" w:hAnsi="Arial"/>
          <w:sz w:val="13"/>
          <w:szCs w:val="13"/>
          <w:color w:val="auto"/>
        </w:rPr>
        <w:t>We are a biopharmaceutical company with a limited operating history. For the last several years, we have focused our efforts primarily on developing CNS product candidates, AXS-05, AXS-07, AXS -09, AXS-12, and AXS-14, as well as our Axsome PPC product candidates, AXS-02 and AXS-06, which we refer to herein as our product candidates, with the goal of achieving regulatory approval and commercialization. Since inception, we have incurred significant operating losses. Our net losses were $73.7 million and $68.3 million for the nine months ended September 30, 2020 and the year ended December 31, 2019, respectively. As of September 30, 2020, we had an accumulated deficit of $249.6 million. To date, we have not received regulatory approvals for any of our product candidates or generated any revenue from the sale of products, and we do not expect to generate any revenue in the foreseeable future. We expect to continue to incur substantial expenses and operating losses over the next several years, as we continue to develop our current and future product candidates. In addition, we expect to incur significant sales, marketing, and manufacturing expenses related to the commercialization of our current and future product candidates, if they are approved by the U.S. Food and Drug Administration, or FDA. As a result, we expect to continue to incur significant losses for the foreseeable future. We anticipate that our expenses will increase substantially as we:</w:t>
      </w:r>
    </w:p>
    <w:p>
      <w:pPr>
        <w:spacing w:after="0" w:line="315" w:lineRule="exact"/>
        <w:rPr>
          <w:sz w:val="20"/>
          <w:szCs w:val="20"/>
          <w:color w:val="auto"/>
        </w:rPr>
      </w:pPr>
    </w:p>
    <w:p>
      <w:pPr>
        <w:ind w:left="620" w:hanging="281"/>
        <w:spacing w:after="0"/>
        <w:tabs>
          <w:tab w:leader="none" w:pos="620" w:val="left"/>
        </w:tabs>
        <w:numPr>
          <w:ilvl w:val="0"/>
          <w:numId w:val="8"/>
        </w:numPr>
        <w:rPr>
          <w:rFonts w:ascii="Arial" w:cs="Arial" w:eastAsia="Arial" w:hAnsi="Arial"/>
          <w:sz w:val="16"/>
          <w:szCs w:val="16"/>
          <w:color w:val="auto"/>
        </w:rPr>
      </w:pPr>
      <w:r>
        <w:rPr>
          <w:rFonts w:ascii="Arial" w:cs="Arial" w:eastAsia="Arial" w:hAnsi="Arial"/>
          <w:sz w:val="16"/>
          <w:szCs w:val="16"/>
          <w:color w:val="auto"/>
        </w:rPr>
        <w:t>seek regulatory approval for any product candidates that successfully complete late-stage clinical trials;</w:t>
      </w:r>
    </w:p>
    <w:p>
      <w:pPr>
        <w:spacing w:after="0" w:line="181" w:lineRule="exact"/>
        <w:rPr>
          <w:rFonts w:ascii="Arial" w:cs="Arial" w:eastAsia="Arial" w:hAnsi="Arial"/>
          <w:sz w:val="16"/>
          <w:szCs w:val="16"/>
          <w:color w:val="auto"/>
        </w:rPr>
      </w:pPr>
    </w:p>
    <w:p>
      <w:pPr>
        <w:ind w:left="620" w:hanging="281"/>
        <w:spacing w:after="0"/>
        <w:tabs>
          <w:tab w:leader="none" w:pos="620" w:val="left"/>
        </w:tabs>
        <w:numPr>
          <w:ilvl w:val="0"/>
          <w:numId w:val="8"/>
        </w:numPr>
        <w:rPr>
          <w:rFonts w:ascii="Arial" w:cs="Arial" w:eastAsia="Arial" w:hAnsi="Arial"/>
          <w:sz w:val="16"/>
          <w:szCs w:val="16"/>
          <w:color w:val="auto"/>
        </w:rPr>
      </w:pPr>
      <w:r>
        <w:rPr>
          <w:rFonts w:ascii="Arial" w:cs="Arial" w:eastAsia="Arial" w:hAnsi="Arial"/>
          <w:sz w:val="16"/>
          <w:szCs w:val="16"/>
          <w:color w:val="auto"/>
        </w:rPr>
        <w:t>hire additional commercial, clinical, medical, quality control, and scientific personnel;</w:t>
      </w:r>
    </w:p>
    <w:p>
      <w:pPr>
        <w:spacing w:after="0" w:line="181" w:lineRule="exact"/>
        <w:rPr>
          <w:rFonts w:ascii="Arial" w:cs="Arial" w:eastAsia="Arial" w:hAnsi="Arial"/>
          <w:sz w:val="16"/>
          <w:szCs w:val="16"/>
          <w:color w:val="auto"/>
        </w:rPr>
      </w:pPr>
    </w:p>
    <w:p>
      <w:pPr>
        <w:ind w:left="620" w:right="659" w:hanging="281"/>
        <w:spacing w:after="0" w:line="251" w:lineRule="auto"/>
        <w:tabs>
          <w:tab w:leader="none" w:pos="620" w:val="left"/>
        </w:tabs>
        <w:numPr>
          <w:ilvl w:val="0"/>
          <w:numId w:val="8"/>
        </w:numPr>
        <w:rPr>
          <w:rFonts w:ascii="Arial" w:cs="Arial" w:eastAsia="Arial" w:hAnsi="Arial"/>
          <w:sz w:val="16"/>
          <w:szCs w:val="16"/>
          <w:color w:val="auto"/>
        </w:rPr>
      </w:pPr>
      <w:r>
        <w:rPr>
          <w:rFonts w:ascii="Arial" w:cs="Arial" w:eastAsia="Arial" w:hAnsi="Arial"/>
          <w:sz w:val="16"/>
          <w:szCs w:val="16"/>
          <w:color w:val="auto"/>
        </w:rPr>
        <w:t>add operational, financial, and management information systems and personnel, including personnel to support our product candidate development and planned future commercialization efforts;</w:t>
      </w:r>
    </w:p>
    <w:p>
      <w:pPr>
        <w:spacing w:after="0" w:line="157" w:lineRule="exact"/>
        <w:rPr>
          <w:rFonts w:ascii="Arial" w:cs="Arial" w:eastAsia="Arial" w:hAnsi="Arial"/>
          <w:sz w:val="16"/>
          <w:szCs w:val="16"/>
          <w:color w:val="auto"/>
        </w:rPr>
      </w:pPr>
    </w:p>
    <w:p>
      <w:pPr>
        <w:ind w:left="620" w:right="519" w:hanging="281"/>
        <w:spacing w:after="0" w:line="365" w:lineRule="auto"/>
        <w:tabs>
          <w:tab w:leader="none" w:pos="620" w:val="left"/>
        </w:tabs>
        <w:numPr>
          <w:ilvl w:val="0"/>
          <w:numId w:val="8"/>
        </w:numPr>
        <w:rPr>
          <w:rFonts w:ascii="Arial" w:cs="Arial" w:eastAsia="Arial" w:hAnsi="Arial"/>
          <w:sz w:val="13"/>
          <w:szCs w:val="13"/>
          <w:color w:val="auto"/>
        </w:rPr>
      </w:pPr>
      <w:r>
        <w:rPr>
          <w:rFonts w:ascii="Arial" w:cs="Arial" w:eastAsia="Arial" w:hAnsi="Arial"/>
          <w:sz w:val="13"/>
          <w:szCs w:val="13"/>
          <w:color w:val="auto"/>
        </w:rPr>
        <w:t>establish a sales, marketing, and distribution infrastructure, and expand external manufacturing capabilities and production to commercialize any products for which we may obtain regulatory approval and that we choose not to license to a third party;</w:t>
      </w:r>
    </w:p>
    <w:p>
      <w:pPr>
        <w:spacing w:after="0" w:line="87" w:lineRule="exact"/>
        <w:rPr>
          <w:rFonts w:ascii="Arial" w:cs="Arial" w:eastAsia="Arial" w:hAnsi="Arial"/>
          <w:sz w:val="13"/>
          <w:szCs w:val="13"/>
          <w:color w:val="auto"/>
        </w:rPr>
      </w:pPr>
    </w:p>
    <w:p>
      <w:pPr>
        <w:ind w:left="620" w:right="439" w:hanging="281"/>
        <w:spacing w:after="0" w:line="251" w:lineRule="auto"/>
        <w:tabs>
          <w:tab w:leader="none" w:pos="620" w:val="left"/>
        </w:tabs>
        <w:numPr>
          <w:ilvl w:val="0"/>
          <w:numId w:val="8"/>
        </w:numPr>
        <w:rPr>
          <w:rFonts w:ascii="Arial" w:cs="Arial" w:eastAsia="Arial" w:hAnsi="Arial"/>
          <w:sz w:val="16"/>
          <w:szCs w:val="16"/>
          <w:color w:val="auto"/>
        </w:rPr>
      </w:pPr>
      <w:r>
        <w:rPr>
          <w:rFonts w:ascii="Arial" w:cs="Arial" w:eastAsia="Arial" w:hAnsi="Arial"/>
          <w:sz w:val="16"/>
          <w:szCs w:val="16"/>
          <w:color w:val="auto"/>
        </w:rPr>
        <w:t>undertake additional manufacturing activities of our product candidates to satisfy FDA requirements for marketing application submissions;</w:t>
      </w:r>
    </w:p>
    <w:p>
      <w:pPr>
        <w:spacing w:after="0" w:line="157" w:lineRule="exact"/>
        <w:rPr>
          <w:rFonts w:ascii="Arial" w:cs="Arial" w:eastAsia="Arial" w:hAnsi="Arial"/>
          <w:sz w:val="16"/>
          <w:szCs w:val="16"/>
          <w:color w:val="auto"/>
        </w:rPr>
      </w:pPr>
    </w:p>
    <w:p>
      <w:pPr>
        <w:ind w:left="620" w:hanging="281"/>
        <w:spacing w:after="0"/>
        <w:tabs>
          <w:tab w:leader="none" w:pos="62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continue to conduct our Phase 2 clinical trial with AXS-05 in TRD;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302895</wp:posOffset>
            </wp:positionV>
            <wp:extent cx="5682615" cy="152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82615" cy="15240"/>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43" w:name="page44"/>
    <w:bookmarkEnd w:id="43"/>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620" w:hanging="281"/>
        <w:spacing w:after="0"/>
        <w:tabs>
          <w:tab w:leader="none" w:pos="620" w:val="left"/>
        </w:tabs>
        <w:numPr>
          <w:ilvl w:val="0"/>
          <w:numId w:val="9"/>
        </w:numPr>
        <w:rPr>
          <w:rFonts w:ascii="Arial" w:cs="Arial" w:eastAsia="Arial" w:hAnsi="Arial"/>
          <w:sz w:val="16"/>
          <w:szCs w:val="16"/>
          <w:color w:val="auto"/>
        </w:rPr>
      </w:pPr>
      <w:r>
        <w:rPr>
          <w:rFonts w:ascii="Arial" w:cs="Arial" w:eastAsia="Arial" w:hAnsi="Arial"/>
          <w:sz w:val="16"/>
          <w:szCs w:val="16"/>
          <w:color w:val="auto"/>
        </w:rPr>
        <w:t>conduct our planned Phase 3 clinical trial with AXS-05 in AD agitation;</w:t>
      </w:r>
    </w:p>
    <w:p>
      <w:pPr>
        <w:spacing w:after="0" w:line="181" w:lineRule="exact"/>
        <w:rPr>
          <w:rFonts w:ascii="Arial" w:cs="Arial" w:eastAsia="Arial" w:hAnsi="Arial"/>
          <w:sz w:val="16"/>
          <w:szCs w:val="16"/>
          <w:color w:val="auto"/>
        </w:rPr>
      </w:pPr>
    </w:p>
    <w:p>
      <w:pPr>
        <w:ind w:left="620" w:hanging="281"/>
        <w:spacing w:after="0"/>
        <w:tabs>
          <w:tab w:leader="none" w:pos="620" w:val="left"/>
        </w:tabs>
        <w:numPr>
          <w:ilvl w:val="0"/>
          <w:numId w:val="9"/>
        </w:numPr>
        <w:rPr>
          <w:rFonts w:ascii="Arial" w:cs="Arial" w:eastAsia="Arial" w:hAnsi="Arial"/>
          <w:sz w:val="16"/>
          <w:szCs w:val="16"/>
          <w:color w:val="auto"/>
        </w:rPr>
      </w:pPr>
      <w:r>
        <w:rPr>
          <w:rFonts w:ascii="Arial" w:cs="Arial" w:eastAsia="Arial" w:hAnsi="Arial"/>
          <w:sz w:val="16"/>
          <w:szCs w:val="16"/>
          <w:color w:val="auto"/>
        </w:rPr>
        <w:t>conduct our planned Phase 3 clinical trial with AXS-12 in narcolepsy;</w:t>
      </w:r>
    </w:p>
    <w:p>
      <w:pPr>
        <w:spacing w:after="0" w:line="181" w:lineRule="exact"/>
        <w:rPr>
          <w:rFonts w:ascii="Arial" w:cs="Arial" w:eastAsia="Arial" w:hAnsi="Arial"/>
          <w:sz w:val="16"/>
          <w:szCs w:val="16"/>
          <w:color w:val="auto"/>
        </w:rPr>
      </w:pPr>
    </w:p>
    <w:p>
      <w:pPr>
        <w:ind w:left="620" w:right="179" w:hanging="281"/>
        <w:spacing w:after="0" w:line="251" w:lineRule="auto"/>
        <w:tabs>
          <w:tab w:leader="none" w:pos="620" w:val="left"/>
        </w:tabs>
        <w:numPr>
          <w:ilvl w:val="0"/>
          <w:numId w:val="9"/>
        </w:numPr>
        <w:rPr>
          <w:rFonts w:ascii="Arial" w:cs="Arial" w:eastAsia="Arial" w:hAnsi="Arial"/>
          <w:sz w:val="16"/>
          <w:szCs w:val="16"/>
          <w:color w:val="auto"/>
        </w:rPr>
      </w:pPr>
      <w:r>
        <w:rPr>
          <w:rFonts w:ascii="Arial" w:cs="Arial" w:eastAsia="Arial" w:hAnsi="Arial"/>
          <w:sz w:val="16"/>
          <w:szCs w:val="16"/>
          <w:color w:val="auto"/>
        </w:rPr>
        <w:t>continue to evaluate, plan for, and conduct, clinical trials for AXS-05 as an aid to smoking cessation treatment and AXS-09 for the treatment of CNS disorders;</w:t>
      </w:r>
    </w:p>
    <w:p>
      <w:pPr>
        <w:spacing w:after="0" w:line="157" w:lineRule="exact"/>
        <w:rPr>
          <w:rFonts w:ascii="Arial" w:cs="Arial" w:eastAsia="Arial" w:hAnsi="Arial"/>
          <w:sz w:val="16"/>
          <w:szCs w:val="16"/>
          <w:color w:val="auto"/>
        </w:rPr>
      </w:pPr>
    </w:p>
    <w:p>
      <w:pPr>
        <w:ind w:left="620" w:hanging="281"/>
        <w:spacing w:after="0"/>
        <w:tabs>
          <w:tab w:leader="none" w:pos="620" w:val="left"/>
        </w:tabs>
        <w:numPr>
          <w:ilvl w:val="0"/>
          <w:numId w:val="9"/>
        </w:numPr>
        <w:rPr>
          <w:rFonts w:ascii="Arial" w:cs="Arial" w:eastAsia="Arial" w:hAnsi="Arial"/>
          <w:sz w:val="16"/>
          <w:szCs w:val="16"/>
          <w:color w:val="auto"/>
        </w:rPr>
      </w:pPr>
      <w:r>
        <w:rPr>
          <w:rFonts w:ascii="Arial" w:cs="Arial" w:eastAsia="Arial" w:hAnsi="Arial"/>
          <w:sz w:val="16"/>
          <w:szCs w:val="16"/>
          <w:color w:val="auto"/>
        </w:rPr>
        <w:t>continue to evaluate, plan for, and potentially conduct clinical trials for AXS-14 in fibromyalgia;</w:t>
      </w:r>
    </w:p>
    <w:p>
      <w:pPr>
        <w:spacing w:after="0" w:line="181" w:lineRule="exact"/>
        <w:rPr>
          <w:rFonts w:ascii="Arial" w:cs="Arial" w:eastAsia="Arial" w:hAnsi="Arial"/>
          <w:sz w:val="16"/>
          <w:szCs w:val="16"/>
          <w:color w:val="auto"/>
        </w:rPr>
      </w:pPr>
    </w:p>
    <w:p>
      <w:pPr>
        <w:ind w:left="620" w:hanging="281"/>
        <w:spacing w:after="0"/>
        <w:tabs>
          <w:tab w:leader="none" w:pos="620" w:val="left"/>
        </w:tabs>
        <w:numPr>
          <w:ilvl w:val="0"/>
          <w:numId w:val="9"/>
        </w:numPr>
        <w:rPr>
          <w:rFonts w:ascii="Arial" w:cs="Arial" w:eastAsia="Arial" w:hAnsi="Arial"/>
          <w:sz w:val="16"/>
          <w:szCs w:val="16"/>
          <w:color w:val="auto"/>
        </w:rPr>
      </w:pPr>
      <w:r>
        <w:rPr>
          <w:rFonts w:ascii="Arial" w:cs="Arial" w:eastAsia="Arial" w:hAnsi="Arial"/>
          <w:sz w:val="16"/>
          <w:szCs w:val="16"/>
          <w:color w:val="auto"/>
        </w:rPr>
        <w:t>develop, in-license, or acquire additional product candidates;</w:t>
      </w:r>
    </w:p>
    <w:p>
      <w:pPr>
        <w:spacing w:after="0" w:line="181" w:lineRule="exact"/>
        <w:rPr>
          <w:rFonts w:ascii="Arial" w:cs="Arial" w:eastAsia="Arial" w:hAnsi="Arial"/>
          <w:sz w:val="16"/>
          <w:szCs w:val="16"/>
          <w:color w:val="auto"/>
        </w:rPr>
      </w:pPr>
    </w:p>
    <w:p>
      <w:pPr>
        <w:ind w:left="620" w:hanging="281"/>
        <w:spacing w:after="0"/>
        <w:tabs>
          <w:tab w:leader="none" w:pos="620" w:val="left"/>
        </w:tabs>
        <w:numPr>
          <w:ilvl w:val="0"/>
          <w:numId w:val="9"/>
        </w:numPr>
        <w:rPr>
          <w:rFonts w:ascii="Arial" w:cs="Arial" w:eastAsia="Arial" w:hAnsi="Arial"/>
          <w:sz w:val="16"/>
          <w:szCs w:val="16"/>
          <w:color w:val="auto"/>
        </w:rPr>
      </w:pPr>
      <w:r>
        <w:rPr>
          <w:rFonts w:ascii="Arial" w:cs="Arial" w:eastAsia="Arial" w:hAnsi="Arial"/>
          <w:sz w:val="16"/>
          <w:szCs w:val="16"/>
          <w:color w:val="auto"/>
        </w:rPr>
        <w:t>conduct late-stage clinical trials for any product candidates that successfully complete early-stage clinical trials;</w:t>
      </w:r>
    </w:p>
    <w:p>
      <w:pPr>
        <w:spacing w:after="0" w:line="181" w:lineRule="exact"/>
        <w:rPr>
          <w:rFonts w:ascii="Arial" w:cs="Arial" w:eastAsia="Arial" w:hAnsi="Arial"/>
          <w:sz w:val="16"/>
          <w:szCs w:val="16"/>
          <w:color w:val="auto"/>
        </w:rPr>
      </w:pPr>
    </w:p>
    <w:p>
      <w:pPr>
        <w:ind w:left="620" w:hanging="281"/>
        <w:spacing w:after="0"/>
        <w:tabs>
          <w:tab w:leader="none" w:pos="620" w:val="left"/>
        </w:tabs>
        <w:numPr>
          <w:ilvl w:val="0"/>
          <w:numId w:val="9"/>
        </w:numPr>
        <w:rPr>
          <w:rFonts w:ascii="Arial" w:cs="Arial" w:eastAsia="Arial" w:hAnsi="Arial"/>
          <w:sz w:val="16"/>
          <w:szCs w:val="16"/>
          <w:color w:val="auto"/>
        </w:rPr>
      </w:pPr>
      <w:r>
        <w:rPr>
          <w:rFonts w:ascii="Arial" w:cs="Arial" w:eastAsia="Arial" w:hAnsi="Arial"/>
          <w:sz w:val="16"/>
          <w:szCs w:val="16"/>
          <w:color w:val="auto"/>
        </w:rPr>
        <w:t>conduct additional non-clinical studies with any product candidates;</w:t>
      </w:r>
    </w:p>
    <w:p>
      <w:pPr>
        <w:spacing w:after="0" w:line="181" w:lineRule="exact"/>
        <w:rPr>
          <w:rFonts w:ascii="Arial" w:cs="Arial" w:eastAsia="Arial" w:hAnsi="Arial"/>
          <w:sz w:val="16"/>
          <w:szCs w:val="16"/>
          <w:color w:val="auto"/>
        </w:rPr>
      </w:pPr>
    </w:p>
    <w:p>
      <w:pPr>
        <w:ind w:left="620" w:hanging="281"/>
        <w:spacing w:after="0"/>
        <w:tabs>
          <w:tab w:leader="none" w:pos="620" w:val="left"/>
        </w:tabs>
        <w:numPr>
          <w:ilvl w:val="0"/>
          <w:numId w:val="9"/>
        </w:numPr>
        <w:rPr>
          <w:rFonts w:ascii="Arial" w:cs="Arial" w:eastAsia="Arial" w:hAnsi="Arial"/>
          <w:sz w:val="16"/>
          <w:szCs w:val="16"/>
          <w:color w:val="auto"/>
        </w:rPr>
      </w:pPr>
      <w:r>
        <w:rPr>
          <w:rFonts w:ascii="Arial" w:cs="Arial" w:eastAsia="Arial" w:hAnsi="Arial"/>
          <w:sz w:val="16"/>
          <w:szCs w:val="16"/>
          <w:color w:val="auto"/>
        </w:rPr>
        <w:t>conduct clinical studies with any additional product candidates;</w:t>
      </w:r>
    </w:p>
    <w:p>
      <w:pPr>
        <w:spacing w:after="0" w:line="181" w:lineRule="exact"/>
        <w:rPr>
          <w:rFonts w:ascii="Arial" w:cs="Arial" w:eastAsia="Arial" w:hAnsi="Arial"/>
          <w:sz w:val="16"/>
          <w:szCs w:val="16"/>
          <w:color w:val="auto"/>
        </w:rPr>
      </w:pPr>
    </w:p>
    <w:p>
      <w:pPr>
        <w:ind w:left="620" w:hanging="281"/>
        <w:spacing w:after="0"/>
        <w:tabs>
          <w:tab w:leader="none" w:pos="62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require larger quantities of product; and</w:t>
      </w:r>
    </w:p>
    <w:p>
      <w:pPr>
        <w:spacing w:after="0" w:line="181" w:lineRule="exact"/>
        <w:rPr>
          <w:rFonts w:ascii="Arial" w:cs="Arial" w:eastAsia="Arial" w:hAnsi="Arial"/>
          <w:sz w:val="16"/>
          <w:szCs w:val="16"/>
          <w:color w:val="auto"/>
        </w:rPr>
      </w:pPr>
    </w:p>
    <w:p>
      <w:pPr>
        <w:ind w:left="620" w:hanging="281"/>
        <w:spacing w:after="0"/>
        <w:tabs>
          <w:tab w:leader="none" w:pos="620" w:val="left"/>
        </w:tabs>
        <w:numPr>
          <w:ilvl w:val="0"/>
          <w:numId w:val="9"/>
        </w:numPr>
        <w:rPr>
          <w:rFonts w:ascii="Arial" w:cs="Arial" w:eastAsia="Arial" w:hAnsi="Arial"/>
          <w:sz w:val="16"/>
          <w:szCs w:val="16"/>
          <w:color w:val="auto"/>
        </w:rPr>
      </w:pPr>
      <w:r>
        <w:rPr>
          <w:rFonts w:ascii="Arial" w:cs="Arial" w:eastAsia="Arial" w:hAnsi="Arial"/>
          <w:sz w:val="16"/>
          <w:szCs w:val="16"/>
          <w:color w:val="auto"/>
        </w:rPr>
        <w:t>maintain, expand, and protect our intellectual property portfolio.</w:t>
      </w:r>
    </w:p>
    <w:p>
      <w:pPr>
        <w:spacing w:after="0" w:line="182" w:lineRule="exact"/>
        <w:rPr>
          <w:sz w:val="20"/>
          <w:szCs w:val="20"/>
          <w:color w:val="auto"/>
        </w:rPr>
      </w:pPr>
    </w:p>
    <w:p>
      <w:pPr>
        <w:ind w:left="40" w:right="59" w:firstLine="566"/>
        <w:spacing w:after="0" w:line="250" w:lineRule="auto"/>
        <w:rPr>
          <w:sz w:val="20"/>
          <w:szCs w:val="20"/>
          <w:color w:val="auto"/>
        </w:rPr>
      </w:pPr>
      <w:r>
        <w:rPr>
          <w:rFonts w:ascii="Arial" w:cs="Arial" w:eastAsia="Arial" w:hAnsi="Arial"/>
          <w:sz w:val="15"/>
          <w:szCs w:val="15"/>
          <w:color w:val="auto"/>
        </w:rPr>
        <w:t>To become and remain profitable, we must succeed in developing and eventually commercializing products that generate significant revenue. We do not expect to generate significant revenue unless and until we are able to obtain marketing approval for and successfully commercialize one or more of our product candidates. This will require us to be successful in a range of challenging activities, including completing preclinical testing and clinical trials of our product candidates, discovering additional product candidates, potentially entering into collaboration and license agreements, obtaining regulatory approval for product candidates and manufacturing, marketing, and selling any products for which we may obtain regulatory approval, achieving market acceptance of our products, satisfying any post-marketing requirements, maintaining appropriate distribution, setting prices, and obtaining reimbursement for our products from private insurance or government payors. We are only in the preliminary stages of some of these activities. We may never succeed in these activities and, even if we do, may never achieve profitability.</w:t>
      </w:r>
    </w:p>
    <w:p>
      <w:pPr>
        <w:spacing w:after="0" w:line="163" w:lineRule="exact"/>
        <w:rPr>
          <w:sz w:val="20"/>
          <w:szCs w:val="20"/>
          <w:color w:val="auto"/>
        </w:rPr>
      </w:pPr>
    </w:p>
    <w:p>
      <w:pPr>
        <w:ind w:left="40" w:right="99" w:firstLine="566"/>
        <w:spacing w:after="0" w:line="310" w:lineRule="auto"/>
        <w:rPr>
          <w:sz w:val="20"/>
          <w:szCs w:val="20"/>
          <w:color w:val="auto"/>
        </w:rPr>
      </w:pPr>
      <w:r>
        <w:rPr>
          <w:rFonts w:ascii="Arial" w:cs="Arial" w:eastAsia="Arial" w:hAnsi="Arial"/>
          <w:sz w:val="13"/>
          <w:szCs w:val="13"/>
          <w:color w:val="auto"/>
        </w:rPr>
        <w:t>Because of the numerous risks and uncertainties associated with pharmaceutical product development, we are unable to accurately predict the timing or amount of increased expenses we may incur or when, or if, we will be able to achieve profitability. If we are required by the FDA or comparable foreign regulatory authorities to perform studies in addition to those currently expected, or if there are any delays in completing our clinical trials or the development of any of our product candidates, our expenses could increase.</w:t>
      </w:r>
    </w:p>
    <w:p>
      <w:pPr>
        <w:spacing w:after="0" w:line="124" w:lineRule="exact"/>
        <w:rPr>
          <w:sz w:val="20"/>
          <w:szCs w:val="20"/>
          <w:color w:val="auto"/>
        </w:rPr>
      </w:pPr>
    </w:p>
    <w:p>
      <w:pPr>
        <w:ind w:left="40" w:right="99" w:firstLine="566"/>
        <w:spacing w:after="0" w:line="238" w:lineRule="auto"/>
        <w:rPr>
          <w:sz w:val="20"/>
          <w:szCs w:val="20"/>
          <w:color w:val="auto"/>
        </w:rPr>
      </w:pPr>
      <w:r>
        <w:rPr>
          <w:rFonts w:ascii="Arial" w:cs="Arial" w:eastAsia="Arial" w:hAnsi="Arial"/>
          <w:sz w:val="16"/>
          <w:szCs w:val="16"/>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or even continue our operations. A decline in the value of our company could also cause you to lose all or part of your investment.</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302895</wp:posOffset>
            </wp:positionV>
            <wp:extent cx="5682615" cy="222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82615" cy="22225"/>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44" w:name="page45"/>
    <w:bookmarkEnd w:id="44"/>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 w:right="359"/>
        <w:spacing w:after="0" w:line="241" w:lineRule="auto"/>
        <w:rPr>
          <w:sz w:val="20"/>
          <w:szCs w:val="20"/>
          <w:color w:val="auto"/>
        </w:rPr>
      </w:pPr>
      <w:r>
        <w:rPr>
          <w:rFonts w:ascii="Arial" w:cs="Arial" w:eastAsia="Arial" w:hAnsi="Arial"/>
          <w:sz w:val="16"/>
          <w:szCs w:val="16"/>
          <w:b w:val="1"/>
          <w:bCs w:val="1"/>
          <w:i w:val="1"/>
          <w:iCs w:val="1"/>
          <w:color w:val="auto"/>
        </w:rPr>
        <w:t>We will likely need additional funding to conduct our future clinical trials and to complete development and commercialization of our product candidates. If we are unable to raise capital when needed, we would be forced to delay, reduce, or eliminate our product development programs or commercialization efforts.</w:t>
      </w:r>
    </w:p>
    <w:p>
      <w:pPr>
        <w:spacing w:after="0" w:line="165" w:lineRule="exact"/>
        <w:rPr>
          <w:sz w:val="20"/>
          <w:szCs w:val="20"/>
          <w:color w:val="auto"/>
        </w:rPr>
      </w:pPr>
    </w:p>
    <w:p>
      <w:pPr>
        <w:jc w:val="both"/>
        <w:ind w:left="40" w:right="359" w:firstLine="566"/>
        <w:spacing w:after="0" w:line="241" w:lineRule="auto"/>
        <w:rPr>
          <w:sz w:val="20"/>
          <w:szCs w:val="20"/>
          <w:color w:val="auto"/>
        </w:rPr>
      </w:pPr>
      <w:r>
        <w:rPr>
          <w:rFonts w:ascii="Arial" w:cs="Arial" w:eastAsia="Arial" w:hAnsi="Arial"/>
          <w:sz w:val="16"/>
          <w:szCs w:val="16"/>
          <w:color w:val="auto"/>
        </w:rPr>
        <w:t>Conducting clinical trials, pursuing regulatory approvals, establishing outsourced manufacturing relationships, and successfully manufacturing and commercializing our product candidates is, and will be, a very time-consuming, expensive, and uncertain process that takes years to complete. We will need to raise additional capital to:</w:t>
      </w:r>
    </w:p>
    <w:p>
      <w:pPr>
        <w:spacing w:after="0" w:line="165" w:lineRule="exact"/>
        <w:rPr>
          <w:sz w:val="20"/>
          <w:szCs w:val="20"/>
          <w:color w:val="auto"/>
        </w:rPr>
      </w:pPr>
    </w:p>
    <w:p>
      <w:pPr>
        <w:ind w:left="620" w:right="199" w:hanging="281"/>
        <w:spacing w:after="0" w:line="251" w:lineRule="auto"/>
        <w:tabs>
          <w:tab w:leader="none" w:pos="6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fund our future clinical trials for our current product candidates, especially if we encounter any unforeseen delays or difficulties in our planned development activities;</w:t>
      </w:r>
    </w:p>
    <w:p>
      <w:pPr>
        <w:spacing w:after="0" w:line="157" w:lineRule="exact"/>
        <w:rPr>
          <w:rFonts w:ascii="Arial" w:cs="Arial" w:eastAsia="Arial" w:hAnsi="Arial"/>
          <w:sz w:val="16"/>
          <w:szCs w:val="16"/>
          <w:color w:val="auto"/>
        </w:rPr>
      </w:pPr>
    </w:p>
    <w:p>
      <w:pPr>
        <w:jc w:val="both"/>
        <w:ind w:left="620" w:right="339" w:hanging="281"/>
        <w:spacing w:after="0" w:line="241" w:lineRule="auto"/>
        <w:tabs>
          <w:tab w:leader="none" w:pos="6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fund our operations and continue our efforts to hire additional personnel and build a commercial infrastructure to prepare for the commercialization of our current and future product candidates, if approved by the FDA or other comparable foreign regulatory authorities;</w:t>
      </w:r>
    </w:p>
    <w:p>
      <w:pPr>
        <w:spacing w:after="0" w:line="164" w:lineRule="exact"/>
        <w:rPr>
          <w:rFonts w:ascii="Arial" w:cs="Arial" w:eastAsia="Arial" w:hAnsi="Arial"/>
          <w:sz w:val="16"/>
          <w:szCs w:val="16"/>
          <w:color w:val="auto"/>
        </w:rPr>
      </w:pPr>
    </w:p>
    <w:p>
      <w:pPr>
        <w:ind w:left="620" w:hanging="281"/>
        <w:spacing w:after="0"/>
        <w:tabs>
          <w:tab w:leader="none" w:pos="6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qualify and outsource the commercial-scale manufacturing of our products under current good manufacturing practices, or cGMP;</w:t>
      </w:r>
    </w:p>
    <w:p>
      <w:pPr>
        <w:spacing w:after="0" w:line="215" w:lineRule="exact"/>
        <w:rPr>
          <w:rFonts w:ascii="Arial" w:cs="Arial" w:eastAsia="Arial" w:hAnsi="Arial"/>
          <w:sz w:val="13"/>
          <w:szCs w:val="13"/>
          <w:color w:val="auto"/>
        </w:rPr>
      </w:pPr>
    </w:p>
    <w:p>
      <w:pPr>
        <w:ind w:left="620" w:hanging="281"/>
        <w:spacing w:after="0"/>
        <w:tabs>
          <w:tab w:leader="none" w:pos="6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develop additional product candidates; and</w:t>
      </w:r>
    </w:p>
    <w:p>
      <w:pPr>
        <w:spacing w:after="0" w:line="181" w:lineRule="exact"/>
        <w:rPr>
          <w:rFonts w:ascii="Arial" w:cs="Arial" w:eastAsia="Arial" w:hAnsi="Arial"/>
          <w:sz w:val="16"/>
          <w:szCs w:val="16"/>
          <w:color w:val="auto"/>
        </w:rPr>
      </w:pPr>
    </w:p>
    <w:p>
      <w:pPr>
        <w:ind w:left="620" w:hanging="281"/>
        <w:spacing w:after="0"/>
        <w:tabs>
          <w:tab w:leader="none" w:pos="6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in-license other product candidates.</w:t>
      </w:r>
    </w:p>
    <w:p>
      <w:pPr>
        <w:spacing w:after="0" w:line="182" w:lineRule="exact"/>
        <w:rPr>
          <w:sz w:val="20"/>
          <w:szCs w:val="20"/>
          <w:color w:val="auto"/>
        </w:rPr>
      </w:pPr>
    </w:p>
    <w:p>
      <w:pPr>
        <w:ind w:left="40" w:right="139" w:firstLine="566"/>
        <w:spacing w:after="0" w:line="235" w:lineRule="auto"/>
        <w:rPr>
          <w:sz w:val="20"/>
          <w:szCs w:val="20"/>
          <w:color w:val="auto"/>
        </w:rPr>
      </w:pPr>
      <w:r>
        <w:rPr>
          <w:rFonts w:ascii="Arial" w:cs="Arial" w:eastAsia="Arial" w:hAnsi="Arial"/>
          <w:sz w:val="16"/>
          <w:szCs w:val="16"/>
          <w:color w:val="auto"/>
        </w:rPr>
        <w:t>We believe our currently available cash along with the committed capital from the Hercules facility will be sufficient to fund our anticipated operating cash requirements into at least 2024. We have based this estimate on assumptions that may prove to be wrong and we could spend our available financial resources faster than we currently expect. Further, we may not have sufficient financial resources to meet all of our objectives if any product candidate is approved, which could require us to postpone, scale back, or eliminate some, or all, of these objectives, including our potential launch activities relating to our product candidates. Our future funding requirements will depend on many factors, including, but not limited to:</w:t>
      </w:r>
    </w:p>
    <w:p>
      <w:pPr>
        <w:spacing w:after="0" w:line="169" w:lineRule="exact"/>
        <w:rPr>
          <w:sz w:val="20"/>
          <w:szCs w:val="20"/>
          <w:color w:val="auto"/>
        </w:rPr>
      </w:pPr>
    </w:p>
    <w:p>
      <w:pPr>
        <w:ind w:left="620" w:hanging="281"/>
        <w:spacing w:after="0"/>
        <w:tabs>
          <w:tab w:leader="none" w:pos="6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rate of progress and costs related to the development of our product candidates;</w:t>
      </w:r>
    </w:p>
    <w:p>
      <w:pPr>
        <w:spacing w:after="0" w:line="181" w:lineRule="exact"/>
        <w:rPr>
          <w:rFonts w:ascii="Arial" w:cs="Arial" w:eastAsia="Arial" w:hAnsi="Arial"/>
          <w:sz w:val="16"/>
          <w:szCs w:val="16"/>
          <w:color w:val="auto"/>
        </w:rPr>
      </w:pPr>
    </w:p>
    <w:p>
      <w:pPr>
        <w:ind w:left="620" w:hanging="281"/>
        <w:spacing w:after="0"/>
        <w:tabs>
          <w:tab w:leader="none" w:pos="6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costs associated with conducting additional clinical and non-clinical studies with any of our product candidates;</w:t>
      </w:r>
    </w:p>
    <w:p>
      <w:pPr>
        <w:spacing w:after="0" w:line="181" w:lineRule="exact"/>
        <w:rPr>
          <w:rFonts w:ascii="Arial" w:cs="Arial" w:eastAsia="Arial" w:hAnsi="Arial"/>
          <w:sz w:val="16"/>
          <w:szCs w:val="16"/>
          <w:color w:val="auto"/>
        </w:rPr>
      </w:pPr>
    </w:p>
    <w:p>
      <w:pPr>
        <w:ind w:left="620" w:right="399" w:hanging="281"/>
        <w:spacing w:after="0" w:line="251" w:lineRule="auto"/>
        <w:tabs>
          <w:tab w:leader="none" w:pos="6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potential for delays in our efforts to seek regulatory approval for our product candidates, and any costs associated with such delays;</w:t>
      </w:r>
    </w:p>
    <w:p>
      <w:pPr>
        <w:spacing w:after="0" w:line="157" w:lineRule="exact"/>
        <w:rPr>
          <w:rFonts w:ascii="Arial" w:cs="Arial" w:eastAsia="Arial" w:hAnsi="Arial"/>
          <w:sz w:val="16"/>
          <w:szCs w:val="16"/>
          <w:color w:val="auto"/>
        </w:rPr>
      </w:pPr>
    </w:p>
    <w:p>
      <w:pPr>
        <w:ind w:left="620" w:hanging="281"/>
        <w:spacing w:after="0"/>
        <w:tabs>
          <w:tab w:leader="none" w:pos="6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costs of establishing a commercial organization to sell, market, and distribute our product candidates;</w:t>
      </w:r>
    </w:p>
    <w:p>
      <w:pPr>
        <w:spacing w:after="0" w:line="181" w:lineRule="exact"/>
        <w:rPr>
          <w:rFonts w:ascii="Arial" w:cs="Arial" w:eastAsia="Arial" w:hAnsi="Arial"/>
          <w:sz w:val="16"/>
          <w:szCs w:val="16"/>
          <w:color w:val="auto"/>
        </w:rPr>
      </w:pPr>
    </w:p>
    <w:p>
      <w:pPr>
        <w:ind w:left="620" w:right="499" w:hanging="281"/>
        <w:spacing w:after="0" w:line="241" w:lineRule="auto"/>
        <w:tabs>
          <w:tab w:leader="none" w:pos="6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rate of progress and costs of our efforts to prepare for the submission of a new drug application, or NDA, for any product candidates that we may in-license or acquire in the future, and the potential that we may need to conduct additional clinical or preclinical trials to support applications for regulatory approval;</w:t>
      </w:r>
    </w:p>
    <w:p>
      <w:pPr>
        <w:spacing w:after="0" w:line="164" w:lineRule="exact"/>
        <w:rPr>
          <w:rFonts w:ascii="Arial" w:cs="Arial" w:eastAsia="Arial" w:hAnsi="Arial"/>
          <w:sz w:val="16"/>
          <w:szCs w:val="16"/>
          <w:color w:val="auto"/>
        </w:rPr>
      </w:pPr>
    </w:p>
    <w:p>
      <w:pPr>
        <w:ind w:left="620" w:right="119" w:hanging="281"/>
        <w:spacing w:after="0" w:line="251" w:lineRule="auto"/>
        <w:tabs>
          <w:tab w:leader="none" w:pos="6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costs of filing, prosecuting, defending, and enforcing any patent claims and other intellectual property rights associated with our product candidates;</w:t>
      </w:r>
    </w:p>
    <w:p>
      <w:pPr>
        <w:spacing w:after="0" w:line="157" w:lineRule="exact"/>
        <w:rPr>
          <w:rFonts w:ascii="Arial" w:cs="Arial" w:eastAsia="Arial" w:hAnsi="Arial"/>
          <w:sz w:val="16"/>
          <w:szCs w:val="16"/>
          <w:color w:val="auto"/>
        </w:rPr>
      </w:pPr>
    </w:p>
    <w:p>
      <w:pPr>
        <w:ind w:left="620" w:hanging="281"/>
        <w:spacing w:after="0"/>
        <w:tabs>
          <w:tab w:leader="none" w:pos="6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cost and timing of manufacturing sufficient supplies of our product candidates in preparation for commercialization;</w:t>
      </w:r>
    </w:p>
    <w:p>
      <w:pPr>
        <w:spacing w:after="0" w:line="193" w:lineRule="exact"/>
        <w:rPr>
          <w:rFonts w:ascii="Arial" w:cs="Arial" w:eastAsia="Arial" w:hAnsi="Arial"/>
          <w:sz w:val="15"/>
          <w:szCs w:val="15"/>
          <w:color w:val="auto"/>
        </w:rPr>
      </w:pPr>
    </w:p>
    <w:p>
      <w:pPr>
        <w:ind w:left="620" w:hanging="281"/>
        <w:spacing w:after="0"/>
        <w:tabs>
          <w:tab w:leader="none" w:pos="6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effect of competing technological and market developments;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302895</wp:posOffset>
            </wp:positionV>
            <wp:extent cx="5682615" cy="222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82615" cy="22225"/>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45" w:name="page46"/>
    <w:bookmarkEnd w:id="45"/>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620" w:hanging="281"/>
        <w:spacing w:after="0"/>
        <w:tabs>
          <w:tab w:leader="none" w:pos="6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revenue, if any, received from commercial sales of our product candidates, subject to the receipt of regulatory approval;</w:t>
      </w:r>
    </w:p>
    <w:p>
      <w:pPr>
        <w:spacing w:after="0" w:line="193" w:lineRule="exact"/>
        <w:rPr>
          <w:rFonts w:ascii="Arial" w:cs="Arial" w:eastAsia="Arial" w:hAnsi="Arial"/>
          <w:sz w:val="15"/>
          <w:szCs w:val="15"/>
          <w:color w:val="auto"/>
        </w:rPr>
      </w:pPr>
    </w:p>
    <w:p>
      <w:pPr>
        <w:ind w:left="620" w:hanging="281"/>
        <w:spacing w:after="0"/>
        <w:tabs>
          <w:tab w:leader="none" w:pos="6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terms and timing of any collaborative, licensing, co-promotion, or other arrangements that we may establish; and</w:t>
      </w:r>
    </w:p>
    <w:p>
      <w:pPr>
        <w:spacing w:after="0" w:line="181" w:lineRule="exact"/>
        <w:rPr>
          <w:rFonts w:ascii="Arial" w:cs="Arial" w:eastAsia="Arial" w:hAnsi="Arial"/>
          <w:sz w:val="16"/>
          <w:szCs w:val="16"/>
          <w:color w:val="auto"/>
        </w:rPr>
      </w:pPr>
    </w:p>
    <w:p>
      <w:pPr>
        <w:ind w:left="620" w:hanging="281"/>
        <w:spacing w:after="0"/>
        <w:tabs>
          <w:tab w:leader="none" w:pos="6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success of the commercialization of any of our current or future product candidates.</w:t>
      </w:r>
    </w:p>
    <w:p>
      <w:pPr>
        <w:spacing w:after="0" w:line="182" w:lineRule="exact"/>
        <w:rPr>
          <w:sz w:val="20"/>
          <w:szCs w:val="20"/>
          <w:color w:val="auto"/>
        </w:rPr>
      </w:pPr>
    </w:p>
    <w:p>
      <w:pPr>
        <w:ind w:left="40" w:right="59" w:firstLine="566"/>
        <w:spacing w:after="0" w:line="235" w:lineRule="auto"/>
        <w:rPr>
          <w:sz w:val="20"/>
          <w:szCs w:val="20"/>
          <w:color w:val="auto"/>
        </w:rPr>
      </w:pPr>
      <w:r>
        <w:rPr>
          <w:rFonts w:ascii="Arial" w:cs="Arial" w:eastAsia="Arial" w:hAnsi="Arial"/>
          <w:sz w:val="16"/>
          <w:szCs w:val="16"/>
          <w:color w:val="auto"/>
        </w:rPr>
        <w:t>Future capital requirements will also depend on the extent to which we acquire or invest in additional businesses, products, and technologies. Until we can generate a sufficient amount of product revenue, if ever, we expect to finance future cash needs through public or private equity offerings, debt financings, royalties, and corporate collaboration and licensing arrangements, as well as through interest income earned on cash and investment balances. We cannot be certain that additional funding will be available on acceptable terms, or at all. If adequate funds are not available, we may be required to delay, reduce the scope of, or eliminate one or more of our development programs or our commercialization efforts.</w:t>
      </w:r>
    </w:p>
    <w:p>
      <w:pPr>
        <w:spacing w:after="0" w:line="169" w:lineRule="exact"/>
        <w:rPr>
          <w:sz w:val="20"/>
          <w:szCs w:val="20"/>
          <w:color w:val="auto"/>
        </w:rPr>
      </w:pPr>
    </w:p>
    <w:p>
      <w:pPr>
        <w:ind w:left="40" w:right="359"/>
        <w:spacing w:after="0" w:line="241" w:lineRule="auto"/>
        <w:rPr>
          <w:sz w:val="20"/>
          <w:szCs w:val="20"/>
          <w:color w:val="auto"/>
        </w:rPr>
      </w:pPr>
      <w:r>
        <w:rPr>
          <w:rFonts w:ascii="Arial" w:cs="Arial" w:eastAsia="Arial" w:hAnsi="Arial"/>
          <w:sz w:val="16"/>
          <w:szCs w:val="16"/>
          <w:b w:val="1"/>
          <w:bCs w:val="1"/>
          <w:i w:val="1"/>
          <w:iCs w:val="1"/>
          <w:color w:val="auto"/>
        </w:rPr>
        <w:t>Our operating activities may be restricted as a result of covenants related to the outstanding indebtedness under our loan and security agreement with Hercules and we may be required to repay the outstanding indebtedness in an event of default, which could have a materially adverse effect on our business.</w:t>
      </w:r>
    </w:p>
    <w:p>
      <w:pPr>
        <w:spacing w:after="0" w:line="165" w:lineRule="exact"/>
        <w:rPr>
          <w:sz w:val="20"/>
          <w:szCs w:val="20"/>
          <w:color w:val="auto"/>
        </w:rPr>
      </w:pPr>
    </w:p>
    <w:p>
      <w:pPr>
        <w:ind w:left="40" w:right="59" w:firstLine="566"/>
        <w:spacing w:after="0" w:line="250" w:lineRule="auto"/>
        <w:rPr>
          <w:sz w:val="20"/>
          <w:szCs w:val="20"/>
          <w:color w:val="auto"/>
        </w:rPr>
      </w:pPr>
      <w:r>
        <w:rPr>
          <w:rFonts w:ascii="Arial" w:cs="Arial" w:eastAsia="Arial" w:hAnsi="Arial"/>
          <w:sz w:val="15"/>
          <w:szCs w:val="15"/>
          <w:color w:val="auto"/>
        </w:rPr>
        <w:t>In September 2020, we entered into a Loan and Security Agreement, or the Loan Agreement, for a term loan of up to $225.0 million, which we refer to as the 2020 Term Loan, with Hercules Capital, Inc., or Hercules, in its capacity as administrative agent and collateral agent and as a lender, and the other financial institutions that from time to time become parties to the Loan Agreement, collectively referred to as the Lenders, secured by a lien on substantially all of our assets, including intellectual property. The Loan and Agreement contains various covenants that limit our ability to engage in specified types of transactions. These covenants limit our ability to, among other things, sell, transfer, lease or dispose of certain assets; incur indebtedness; encumber or permit liens on certain assets; make certain investments; make certain restricted payments, including paying dividends on, or repurchasing or making distributions with respect to, our common stock; and enter into certain transactions with affiliates. Our business may be adversely affected by these restrictions on our ability to operate our business.</w:t>
      </w:r>
    </w:p>
    <w:p>
      <w:pPr>
        <w:spacing w:after="0" w:line="163" w:lineRule="exact"/>
        <w:rPr>
          <w:sz w:val="20"/>
          <w:szCs w:val="20"/>
          <w:color w:val="auto"/>
        </w:rPr>
      </w:pPr>
    </w:p>
    <w:p>
      <w:pPr>
        <w:ind w:left="40" w:right="59" w:firstLine="566"/>
        <w:spacing w:after="0" w:line="289" w:lineRule="auto"/>
        <w:rPr>
          <w:sz w:val="20"/>
          <w:szCs w:val="20"/>
          <w:color w:val="auto"/>
        </w:rPr>
      </w:pPr>
      <w:r>
        <w:rPr>
          <w:rFonts w:ascii="Arial" w:cs="Arial" w:eastAsia="Arial" w:hAnsi="Arial"/>
          <w:sz w:val="13"/>
          <w:szCs w:val="13"/>
          <w:color w:val="auto"/>
        </w:rPr>
        <w:t>The covenants also include, to the extent the principal amount of the advances under the Loan Agreement equals or exceeds $55.0 million, maintaining cash in an account or accounts in which the Lenders have a first priority security interest, in an aggregate amount greater than or equal to $15.0 million, plus the amount of our accounts payable under U.S generally accepted accounting principles not paid after the 180th day following the invoice for such account payable, which we refer to as the Qualified Cash A/P Account. Further, effective upon the later of (i) the last calendar month of the calendar quarter that is twelve months following the earlier of (x) the date of approval of our NDA for our AXS-05 product candidate for the treatment of major depressive disorder reasonably satisfactory to the Lenders, and (y) the date of approval of our NDA for our AXS-07 product candidate for the treatment of migraine, or (ii) the date on which the outstanding principal amount of the term loan advances under the Loan Agreement is equal to or greater than $65.0 million, we are obligated to (A) ensure that at all times our market capitalization exceeds $2.0 billion, and that we maintain cash in an account in which the Lenders have a first priority security interest in an amount not less than 65% of the sum of the outstanding principal amount of the term loan advances plus the Qualified Cash A/P Amount, (B) ensure that at all times that we maintain cash in an account in which the Lenders have a first priority security interest in an amount not less than 100% of the sum of the outstanding principal amount of the term loan advances plus the Qualified Cash A/P Amount, or (C) achieve at least 60% of the net product revenue solely from the sale of AXS-05 and AXS-07 (which may include royalty, profit sharing, or sales-based milestone revenue recognized in accordance with GAAP, but will not include any upfront or non-sales -based milestone payments under business development or licensing transactions), measured on a trailing six-month basis as of the date of our most recent quarterly financial statement, included in the projections we delivered to Hercules on September 9, 2020, as updated from time to time, determined on a quarterly basis.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302895</wp:posOffset>
            </wp:positionV>
            <wp:extent cx="5682615" cy="222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82615" cy="22225"/>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46" w:name="page47"/>
    <w:bookmarkEnd w:id="46"/>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 w:right="99" w:firstLine="566"/>
        <w:spacing w:after="0" w:line="258" w:lineRule="auto"/>
        <w:rPr>
          <w:sz w:val="20"/>
          <w:szCs w:val="20"/>
          <w:color w:val="auto"/>
        </w:rPr>
      </w:pPr>
      <w:r>
        <w:rPr>
          <w:rFonts w:ascii="Arial" w:cs="Arial" w:eastAsia="Arial" w:hAnsi="Arial"/>
          <w:sz w:val="15"/>
          <w:szCs w:val="15"/>
          <w:color w:val="auto"/>
        </w:rPr>
        <w:t>A breach of any of the covenants under the Loan Agreement could result in a default under the 2020 Term Loan. Upon the occurrence of an event of default under the 2020 Term Loan, the Lenders could elect to declare all amounts outstanding, if any, to be immediately due and payable and terminate all commitments to extend further credit. If there are any amounts outstanding that we are unable to repay, the Lenders could proceed against the collateral granted to it to secure such indebtedness.</w:t>
      </w:r>
    </w:p>
    <w:p>
      <w:pPr>
        <w:spacing w:after="0" w:line="154" w:lineRule="exact"/>
        <w:rPr>
          <w:sz w:val="20"/>
          <w:szCs w:val="20"/>
          <w:color w:val="auto"/>
        </w:rPr>
      </w:pPr>
    </w:p>
    <w:p>
      <w:pPr>
        <w:ind w:left="40" w:right="119"/>
        <w:spacing w:after="0" w:line="251" w:lineRule="auto"/>
        <w:rPr>
          <w:sz w:val="20"/>
          <w:szCs w:val="20"/>
          <w:color w:val="auto"/>
        </w:rPr>
      </w:pPr>
      <w:r>
        <w:rPr>
          <w:rFonts w:ascii="Arial" w:cs="Arial" w:eastAsia="Arial" w:hAnsi="Arial"/>
          <w:sz w:val="16"/>
          <w:szCs w:val="16"/>
          <w:b w:val="1"/>
          <w:bCs w:val="1"/>
          <w:i w:val="1"/>
          <w:iCs w:val="1"/>
          <w:color w:val="auto"/>
        </w:rPr>
        <w:t>We have a limited operating history and no history of commercializing products, which may make it difficult to evaluate our business and prospects.</w:t>
      </w:r>
    </w:p>
    <w:p>
      <w:pPr>
        <w:spacing w:after="0" w:line="157" w:lineRule="exact"/>
        <w:rPr>
          <w:sz w:val="20"/>
          <w:szCs w:val="20"/>
          <w:color w:val="auto"/>
        </w:rPr>
      </w:pPr>
    </w:p>
    <w:p>
      <w:pPr>
        <w:ind w:left="40" w:right="59" w:firstLine="566"/>
        <w:spacing w:after="0" w:line="297" w:lineRule="auto"/>
        <w:rPr>
          <w:sz w:val="20"/>
          <w:szCs w:val="20"/>
          <w:color w:val="auto"/>
        </w:rPr>
      </w:pPr>
      <w:r>
        <w:rPr>
          <w:rFonts w:ascii="Arial" w:cs="Arial" w:eastAsia="Arial" w:hAnsi="Arial"/>
          <w:sz w:val="13"/>
          <w:szCs w:val="13"/>
          <w:color w:val="auto"/>
        </w:rPr>
        <w:t>We commenced operations in 2012, and our operations to date have been limited to organizing and staffing our company, business planning, raising capital, and developing our product candidates, including undertaking preclinical studies and conducting clinical trials of our product candidates. We have not yet demonstrated an ability to obtain regulatory approval for, or successfully commercialize, a product candidate. In addition, as a relatively nascent business, we may encounter unforeseen expenses, difficulties, complications, delays, and other known and unknown difficulties. If our product candidates are approved by the FDA, we will need to expand our capabilities to support commercial activities. We may not be successful in adding such capabilities. Consequently, any predictions about our future performance may not be as accurate as they could be if we had a history of successfully developing and commercializing pharmaceutical products.</w:t>
      </w:r>
    </w:p>
    <w:p>
      <w:pPr>
        <w:spacing w:after="0" w:line="12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RISKS RELATED TO OUR BUSINESS AND THE DEVELOPMENT OF OUR PRODUCT CANDIDATES</w:t>
      </w:r>
    </w:p>
    <w:p>
      <w:pPr>
        <w:spacing w:after="0" w:line="186" w:lineRule="exact"/>
        <w:rPr>
          <w:sz w:val="20"/>
          <w:szCs w:val="20"/>
          <w:color w:val="auto"/>
        </w:rPr>
      </w:pPr>
    </w:p>
    <w:p>
      <w:pPr>
        <w:ind w:left="40" w:right="299"/>
        <w:spacing w:after="0" w:line="365" w:lineRule="auto"/>
        <w:rPr>
          <w:sz w:val="20"/>
          <w:szCs w:val="20"/>
          <w:color w:val="auto"/>
        </w:rPr>
      </w:pPr>
      <w:r>
        <w:rPr>
          <w:rFonts w:ascii="Arial" w:cs="Arial" w:eastAsia="Arial" w:hAnsi="Arial"/>
          <w:sz w:val="13"/>
          <w:szCs w:val="13"/>
          <w:b w:val="1"/>
          <w:bCs w:val="1"/>
          <w:i w:val="1"/>
          <w:iCs w:val="1"/>
          <w:color w:val="auto"/>
        </w:rPr>
        <w:t>We are substantially dependent on the success of our product candidates and cannot guarantee that any of our product candidates will successfully complete any planned or ongoing Phase 3 clinical trials, receive regulatory approval, or be successfully commercialized.</w:t>
      </w:r>
    </w:p>
    <w:p>
      <w:pPr>
        <w:spacing w:after="0" w:line="88" w:lineRule="exact"/>
        <w:rPr>
          <w:sz w:val="20"/>
          <w:szCs w:val="20"/>
          <w:color w:val="auto"/>
        </w:rPr>
      </w:pPr>
    </w:p>
    <w:p>
      <w:pPr>
        <w:ind w:left="40" w:right="39" w:firstLine="566"/>
        <w:spacing w:after="0" w:line="249" w:lineRule="auto"/>
        <w:rPr>
          <w:sz w:val="20"/>
          <w:szCs w:val="20"/>
          <w:color w:val="auto"/>
        </w:rPr>
      </w:pPr>
      <w:r>
        <w:rPr>
          <w:rFonts w:ascii="Arial" w:cs="Arial" w:eastAsia="Arial" w:hAnsi="Arial"/>
          <w:sz w:val="15"/>
          <w:szCs w:val="15"/>
          <w:color w:val="auto"/>
        </w:rPr>
        <w:t>We currently have no products approved for commercial distribution. We have invested a significant portion of our efforts and financial resources in the development of our product candidates. Our business depends entirely on the successful development and commercialization of our product candidates, which may never occur. Our ability to generate revenues in the near term is substantially dependent on our ability to develop, obtain regulatory approval for, and then successfully commercialize our product candidates. We currently generate no revenues from sales of any products, and we may never be able to develop or commercialize a marketable product. Furthermore, given the nature of our business, the biopharmaceutical industry in general and the uncertainty and costs associated with developing our product candidates within a complicated and costly regulatory regime, our goals, plans and assumptions with respect to our product candidates may evolve or change. For example, we may not continue to emphasize, focus our research and development efforts on or direct resources to certain of our product candidates, and we may shift our focus and resources to our other current or future product candidates. Any such change in our business strategy could harm our business, cause uncertainty or confusion in the marketplace or harm the clinical prospects of our product candidates.</w:t>
      </w:r>
    </w:p>
    <w:p>
      <w:pPr>
        <w:spacing w:after="0" w:line="166" w:lineRule="exact"/>
        <w:rPr>
          <w:sz w:val="20"/>
          <w:szCs w:val="20"/>
          <w:color w:val="auto"/>
        </w:rPr>
      </w:pPr>
    </w:p>
    <w:p>
      <w:pPr>
        <w:ind w:left="40" w:right="159" w:firstLine="566"/>
        <w:spacing w:after="0" w:line="310" w:lineRule="auto"/>
        <w:rPr>
          <w:sz w:val="20"/>
          <w:szCs w:val="20"/>
          <w:color w:val="auto"/>
        </w:rPr>
      </w:pPr>
      <w:r>
        <w:rPr>
          <w:rFonts w:ascii="Arial" w:cs="Arial" w:eastAsia="Arial" w:hAnsi="Arial"/>
          <w:sz w:val="13"/>
          <w:szCs w:val="13"/>
          <w:color w:val="auto"/>
        </w:rPr>
        <w:t>Our product candidates will require additional clinical and non-clinical development, regulatory approval, commercial manufacturing arrangements, establishment of a commercial organization, significant marketing efforts, and further investment before we generate any revenues from product sales. Phase 3 trials with AXS-05 in AD agitation and AXS-12 in narcolepsy are planned. As a result of one or more risks discussed in this section, we cannot assure you that we will meet projected timelines related to these trials.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302895</wp:posOffset>
            </wp:positionV>
            <wp:extent cx="5682615" cy="222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82615" cy="22225"/>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47" w:name="page48"/>
    <w:bookmarkEnd w:id="47"/>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 w:right="59" w:firstLine="566"/>
        <w:spacing w:after="0" w:line="250" w:lineRule="auto"/>
        <w:rPr>
          <w:sz w:val="20"/>
          <w:szCs w:val="20"/>
          <w:color w:val="auto"/>
        </w:rPr>
      </w:pPr>
      <w:r>
        <w:rPr>
          <w:rFonts w:ascii="Arial" w:cs="Arial" w:eastAsia="Arial" w:hAnsi="Arial"/>
          <w:sz w:val="15"/>
          <w:szCs w:val="15"/>
          <w:color w:val="auto"/>
        </w:rPr>
        <w:t>We are not permitted to market or promote any of our product candidates before we receive regulatory approval from the FDA or comparable foreign regulatory authorities, and we may never receive such regulatory approval for any of our product candidates. Even if our product candidates are approved, they may be subject to limitations on the indicated uses for which they may be marketed, distribution restrictions, or to other conditions of approval, may contain significant safety warnings, including boxed warnings, contraindications, and precautions, may not be approved with label statements necessary or desirable for successful commercialization, or may contain requirements for costly post-market testing and surveillance, or other requirements, including the submission of a risk evaluation and mitigation strategy, or REMS, to monitor the safety or efficacy of the products. If we do not receive regulatory approval for, and successfully commercialize, our product candidates, we will not be able to generate revenue from these product candidates in the foreseeable future, or at all. Any significant delays in obtaining approval for and commercializing our product candidates will have a material adverse impact on our business and financial condition.</w:t>
      </w:r>
    </w:p>
    <w:p>
      <w:pPr>
        <w:spacing w:after="0" w:line="160" w:lineRule="exact"/>
        <w:rPr>
          <w:sz w:val="20"/>
          <w:szCs w:val="20"/>
          <w:color w:val="auto"/>
        </w:rPr>
      </w:pPr>
    </w:p>
    <w:p>
      <w:pPr>
        <w:ind w:left="40" w:right="99" w:firstLine="566"/>
        <w:spacing w:after="0" w:line="253" w:lineRule="auto"/>
        <w:rPr>
          <w:sz w:val="20"/>
          <w:szCs w:val="20"/>
          <w:color w:val="auto"/>
        </w:rPr>
      </w:pPr>
      <w:r>
        <w:rPr>
          <w:rFonts w:ascii="Arial" w:cs="Arial" w:eastAsia="Arial" w:hAnsi="Arial"/>
          <w:sz w:val="15"/>
          <w:szCs w:val="15"/>
          <w:color w:val="auto"/>
        </w:rPr>
        <w:t>We have not previously submitted an NDA to the FDA, or similar drug approval filings to comparable foreign authorities, for any product candidate, and we cannot be certain that our current or future product candidates will be successful in clinical trials or receive regulatory approval. For AXS-05, we completed three Phase 1 pharmacokinetic studies, one Phase 2 and one Phase 3 trial in MDD, one Phase 3 trial in TRD, and one Phase 2/3 trial in Alzheimer’s disease agitation. For AXS-07, we have conducted one Phase 1 clinical trial, and two Phase 3 clinical trials. For AXS-12, we completed one Phase 2 trial. Moreover, we have only completed limited early stage studies with our AXS-09 product candidate to date. Additional manufacturing work is required for our candidates.</w:t>
      </w:r>
    </w:p>
    <w:p>
      <w:pPr>
        <w:spacing w:after="0" w:line="159" w:lineRule="exact"/>
        <w:rPr>
          <w:sz w:val="20"/>
          <w:szCs w:val="20"/>
          <w:color w:val="auto"/>
        </w:rPr>
      </w:pPr>
    </w:p>
    <w:p>
      <w:pPr>
        <w:ind w:left="40" w:right="59" w:firstLine="566"/>
        <w:spacing w:after="0" w:line="292" w:lineRule="auto"/>
        <w:rPr>
          <w:sz w:val="20"/>
          <w:szCs w:val="20"/>
          <w:color w:val="auto"/>
        </w:rPr>
      </w:pPr>
      <w:r>
        <w:rPr>
          <w:rFonts w:ascii="Arial" w:cs="Arial" w:eastAsia="Arial" w:hAnsi="Arial"/>
          <w:sz w:val="13"/>
          <w:szCs w:val="13"/>
          <w:color w:val="auto"/>
        </w:rPr>
        <w:t>Our product candidates are susceptible to the risks of failure inherent at any stage of product development, including the appearance of unexpected adverse events or failure to achieve its primary endpoints in subsequent clinical trials, including our initiated and planned Phase 3 clinical trials. For example, in January 2018, we conducted an interim analysis for our then-ongoing Phase 3 trial of AXS-02 for the treatment of CRPS, which we referred to as the CREATE-1 trial, and for our Phase 3 trial of AXS-02 for the treatment of the pain of knee OA associated with BMLs, which we refer to as the COAST-1 trial. The independent data monitoring committee recommended continuation of our COAST-1 trial and discontinuation of our CREATE-1 trial for futility. We had paused screening in the COAST-1 trial prior to the conduct of the interim analysis for that trial and have subsequently closed out the trial. We conducted one interim analysis for the Phase 3 trial of AXS-05 in TRD and one interim analysis for the Phase 2/3 trial of AXS-05 for the treatment of AD agitation. We may elect to conduct interim analyses for our other clinical trials. Interim results of a clinical trial do not necessarily predict final results, and interim results may result in early stoppage of our clinical trials for futility or modifications to our clinical trials, including the addition of additional subjects. Further, our product candidates may not receive regulatory approval even if they are successful in clinical trials.</w:t>
      </w:r>
    </w:p>
    <w:p>
      <w:pPr>
        <w:spacing w:after="0" w:line="315" w:lineRule="exact"/>
        <w:rPr>
          <w:sz w:val="20"/>
          <w:szCs w:val="20"/>
          <w:color w:val="auto"/>
        </w:rPr>
      </w:pPr>
    </w:p>
    <w:p>
      <w:pPr>
        <w:ind w:left="40" w:right="159" w:firstLine="566"/>
        <w:spacing w:after="0" w:line="251" w:lineRule="auto"/>
        <w:rPr>
          <w:sz w:val="20"/>
          <w:szCs w:val="20"/>
          <w:color w:val="auto"/>
        </w:rPr>
      </w:pPr>
      <w:r>
        <w:rPr>
          <w:rFonts w:ascii="Arial" w:cs="Arial" w:eastAsia="Arial" w:hAnsi="Arial"/>
          <w:sz w:val="16"/>
          <w:szCs w:val="16"/>
          <w:color w:val="auto"/>
        </w:rPr>
        <w:t>If approved for marketing by applicable regulatory authorities, our ability to generate revenues from our product candidates depend on our ability to:</w:t>
      </w:r>
    </w:p>
    <w:p>
      <w:pPr>
        <w:spacing w:after="0" w:line="157" w:lineRule="exact"/>
        <w:rPr>
          <w:sz w:val="20"/>
          <w:szCs w:val="20"/>
          <w:color w:val="auto"/>
        </w:rPr>
      </w:pPr>
    </w:p>
    <w:p>
      <w:pPr>
        <w:ind w:left="620" w:right="359" w:hanging="281"/>
        <w:spacing w:after="0" w:line="251" w:lineRule="auto"/>
        <w:tabs>
          <w:tab w:leader="none" w:pos="6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create market demand for our product candidates through our own marketing and sales activities, and any other arrangements to promote these product candidates that we may otherwise establish;</w:t>
      </w:r>
    </w:p>
    <w:p>
      <w:pPr>
        <w:spacing w:after="0" w:line="157" w:lineRule="exact"/>
        <w:rPr>
          <w:rFonts w:ascii="Arial" w:cs="Arial" w:eastAsia="Arial" w:hAnsi="Arial"/>
          <w:sz w:val="16"/>
          <w:szCs w:val="16"/>
          <w:color w:val="auto"/>
        </w:rPr>
      </w:pPr>
    </w:p>
    <w:p>
      <w:pPr>
        <w:ind w:left="620" w:hanging="281"/>
        <w:spacing w:after="0"/>
        <w:tabs>
          <w:tab w:leader="none" w:pos="6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receive regulatory approval for claims that are necessary or desirable for successful marketing;</w:t>
      </w:r>
    </w:p>
    <w:p>
      <w:pPr>
        <w:spacing w:after="0" w:line="181" w:lineRule="exact"/>
        <w:rPr>
          <w:rFonts w:ascii="Arial" w:cs="Arial" w:eastAsia="Arial" w:hAnsi="Arial"/>
          <w:sz w:val="16"/>
          <w:szCs w:val="16"/>
          <w:color w:val="auto"/>
        </w:rPr>
      </w:pPr>
    </w:p>
    <w:p>
      <w:pPr>
        <w:ind w:left="620" w:hanging="281"/>
        <w:spacing w:after="0"/>
        <w:tabs>
          <w:tab w:leader="none" w:pos="6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hire, train, and deploy a sales force to commercialize our product candidates in the United States;</w:t>
      </w:r>
    </w:p>
    <w:p>
      <w:pPr>
        <w:spacing w:after="0" w:line="181" w:lineRule="exact"/>
        <w:rPr>
          <w:rFonts w:ascii="Arial" w:cs="Arial" w:eastAsia="Arial" w:hAnsi="Arial"/>
          <w:sz w:val="16"/>
          <w:szCs w:val="16"/>
          <w:color w:val="auto"/>
        </w:rPr>
      </w:pPr>
    </w:p>
    <w:p>
      <w:pPr>
        <w:ind w:left="620" w:right="299" w:hanging="281"/>
        <w:spacing w:after="0" w:line="251" w:lineRule="auto"/>
        <w:tabs>
          <w:tab w:leader="none" w:pos="6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manufacture our product candidates in sufficient quantities and at acceptable quality and manufacturing cost to meet commercial demand at launch and thereafter;</w:t>
      </w:r>
    </w:p>
    <w:p>
      <w:pPr>
        <w:spacing w:after="0" w:line="157" w:lineRule="exact"/>
        <w:rPr>
          <w:rFonts w:ascii="Arial" w:cs="Arial" w:eastAsia="Arial" w:hAnsi="Arial"/>
          <w:sz w:val="16"/>
          <w:szCs w:val="16"/>
          <w:color w:val="auto"/>
        </w:rPr>
      </w:pPr>
    </w:p>
    <w:p>
      <w:pPr>
        <w:ind w:left="620" w:right="199" w:hanging="281"/>
        <w:spacing w:after="0" w:line="251" w:lineRule="auto"/>
        <w:tabs>
          <w:tab w:leader="none" w:pos="6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establish and maintain agreements with wholesalers, distributors, and group purchasing organizations on commercially reasonable terms;</w:t>
      </w:r>
    </w:p>
    <w:p>
      <w:pPr>
        <w:spacing w:after="0" w:line="157" w:lineRule="exact"/>
        <w:rPr>
          <w:rFonts w:ascii="Arial" w:cs="Arial" w:eastAsia="Arial" w:hAnsi="Arial"/>
          <w:sz w:val="16"/>
          <w:szCs w:val="16"/>
          <w:color w:val="auto"/>
        </w:rPr>
      </w:pPr>
    </w:p>
    <w:p>
      <w:pPr>
        <w:ind w:left="620" w:right="259" w:hanging="281"/>
        <w:spacing w:after="0" w:line="251" w:lineRule="auto"/>
        <w:tabs>
          <w:tab w:leader="none" w:pos="6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create partnerships with, or offer licenses to, third parties to promote and sell our product candidates in foreign markets where we receive marketing approval:</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302895</wp:posOffset>
            </wp:positionV>
            <wp:extent cx="5682615" cy="222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82615" cy="22225"/>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48" w:name="page49"/>
    <w:bookmarkEnd w:id="48"/>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620" w:hanging="281"/>
        <w:spacing w:after="0"/>
        <w:tabs>
          <w:tab w:leader="none" w:pos="6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maintain patent and trade secret protection and regulatory exclusivity for our product candidates;</w:t>
      </w:r>
    </w:p>
    <w:p>
      <w:pPr>
        <w:spacing w:after="0" w:line="181" w:lineRule="exact"/>
        <w:rPr>
          <w:rFonts w:ascii="Arial" w:cs="Arial" w:eastAsia="Arial" w:hAnsi="Arial"/>
          <w:sz w:val="16"/>
          <w:szCs w:val="16"/>
          <w:color w:val="auto"/>
        </w:rPr>
      </w:pPr>
    </w:p>
    <w:p>
      <w:pPr>
        <w:ind w:left="620" w:hanging="281"/>
        <w:spacing w:after="0"/>
        <w:tabs>
          <w:tab w:leader="none" w:pos="6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launch commercial sales of our product candidates, whether alone or in collaboration with others;</w:t>
      </w:r>
    </w:p>
    <w:p>
      <w:pPr>
        <w:spacing w:after="0" w:line="181" w:lineRule="exact"/>
        <w:rPr>
          <w:rFonts w:ascii="Arial" w:cs="Arial" w:eastAsia="Arial" w:hAnsi="Arial"/>
          <w:sz w:val="16"/>
          <w:szCs w:val="16"/>
          <w:color w:val="auto"/>
        </w:rPr>
      </w:pPr>
    </w:p>
    <w:p>
      <w:pPr>
        <w:ind w:left="620" w:right="239" w:hanging="281"/>
        <w:spacing w:after="0" w:line="251" w:lineRule="auto"/>
        <w:tabs>
          <w:tab w:leader="none" w:pos="6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achieve market acceptance of our product candidates by patients, the medical community, and government and private third-party payors;</w:t>
      </w:r>
    </w:p>
    <w:p>
      <w:pPr>
        <w:spacing w:after="0" w:line="157" w:lineRule="exact"/>
        <w:rPr>
          <w:rFonts w:ascii="Arial" w:cs="Arial" w:eastAsia="Arial" w:hAnsi="Arial"/>
          <w:sz w:val="16"/>
          <w:szCs w:val="16"/>
          <w:color w:val="auto"/>
        </w:rPr>
      </w:pPr>
    </w:p>
    <w:p>
      <w:pPr>
        <w:ind w:left="620" w:hanging="281"/>
        <w:spacing w:after="0"/>
        <w:tabs>
          <w:tab w:leader="none" w:pos="6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achieve appropriate reimbursement for our product candidates;</w:t>
      </w:r>
    </w:p>
    <w:p>
      <w:pPr>
        <w:spacing w:after="0" w:line="181" w:lineRule="exact"/>
        <w:rPr>
          <w:rFonts w:ascii="Arial" w:cs="Arial" w:eastAsia="Arial" w:hAnsi="Arial"/>
          <w:sz w:val="16"/>
          <w:szCs w:val="16"/>
          <w:color w:val="auto"/>
        </w:rPr>
      </w:pPr>
    </w:p>
    <w:p>
      <w:pPr>
        <w:ind w:left="620" w:hanging="281"/>
        <w:spacing w:after="0"/>
        <w:tabs>
          <w:tab w:leader="none" w:pos="6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effectively compete with other therapies; and</w:t>
      </w:r>
    </w:p>
    <w:p>
      <w:pPr>
        <w:spacing w:after="0" w:line="181" w:lineRule="exact"/>
        <w:rPr>
          <w:rFonts w:ascii="Arial" w:cs="Arial" w:eastAsia="Arial" w:hAnsi="Arial"/>
          <w:sz w:val="16"/>
          <w:szCs w:val="16"/>
          <w:color w:val="auto"/>
        </w:rPr>
      </w:pPr>
    </w:p>
    <w:p>
      <w:pPr>
        <w:ind w:left="620" w:hanging="281"/>
        <w:spacing w:after="0"/>
        <w:tabs>
          <w:tab w:leader="none" w:pos="6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maintain a continued acceptable safety profile of our product candidates following launch.</w:t>
      </w:r>
    </w:p>
    <w:p>
      <w:pPr>
        <w:spacing w:after="0" w:line="182" w:lineRule="exact"/>
        <w:rPr>
          <w:sz w:val="20"/>
          <w:szCs w:val="20"/>
          <w:color w:val="auto"/>
        </w:rPr>
      </w:pPr>
    </w:p>
    <w:p>
      <w:pPr>
        <w:ind w:left="40" w:right="559"/>
        <w:spacing w:after="0" w:line="365" w:lineRule="auto"/>
        <w:rPr>
          <w:sz w:val="20"/>
          <w:szCs w:val="20"/>
          <w:color w:val="auto"/>
        </w:rPr>
      </w:pPr>
      <w:r>
        <w:rPr>
          <w:rFonts w:ascii="Arial" w:cs="Arial" w:eastAsia="Arial" w:hAnsi="Arial"/>
          <w:sz w:val="13"/>
          <w:szCs w:val="13"/>
          <w:b w:val="1"/>
          <w:bCs w:val="1"/>
          <w:i w:val="1"/>
          <w:iCs w:val="1"/>
          <w:color w:val="auto"/>
        </w:rPr>
        <w:t>Potential conflicts of interest exist with respect to the intellectual property rights that we license from an entity owned by our Chief Executive Officer and Chairman of the Board, and it is possible that our interests and their interests may diverge.</w:t>
      </w:r>
    </w:p>
    <w:p>
      <w:pPr>
        <w:spacing w:after="0" w:line="88" w:lineRule="exact"/>
        <w:rPr>
          <w:sz w:val="20"/>
          <w:szCs w:val="20"/>
          <w:color w:val="auto"/>
        </w:rPr>
      </w:pPr>
    </w:p>
    <w:p>
      <w:pPr>
        <w:ind w:left="40" w:right="39" w:firstLine="566"/>
        <w:spacing w:after="0" w:line="289" w:lineRule="auto"/>
        <w:rPr>
          <w:sz w:val="20"/>
          <w:szCs w:val="20"/>
          <w:color w:val="auto"/>
        </w:rPr>
      </w:pPr>
      <w:r>
        <w:rPr>
          <w:rFonts w:ascii="Arial" w:cs="Arial" w:eastAsia="Arial" w:hAnsi="Arial"/>
          <w:sz w:val="13"/>
          <w:szCs w:val="13"/>
          <w:color w:val="auto"/>
        </w:rPr>
        <w:t>In 2012, we entered into three exclusive license agreements with Antecip Bioventures II LLC, or Antecip, an entity owned by our Chief Executive Officer and Chairman of the Board, Herriot Tabuteau, M.D., in which we were granted exclusive licenses to develop, manufacture, and commercialize Antecip’s patents and applications related to the development of our current product candidates. Although Dr. Tabuteau dedicates all of his working time to us because Antecip is an inactive intellectual property holding company, he may face potential conflicts of interest regarding these licensing transactions as a result of his ownership of Antecip. The license agreements provide that, subject to the reasonable consent of Antecip, we have the right to control the prosecution or defense, as the case may require, of a patent infringement claim involving the licensed intellectual property. Our interests with respect to pleadings and settlements in such cases may be at odds with those of Antecip. If there is a dispute between us and Antecip, Dr. Tabuteau will have a conflict of interest because he may, at the time of a prospective dispute, simultaneously have a financial interest in and owe a fiduciary duty to Antecip and simultaneously have a financial interest in and owe a fiduciary duty to us. For example, if a contractual dispute arises between us and Antecip under any of the license agreements we have with Antecip, Dr. Tabuteau may be in a position where he would benefit if Antecip prevails, to the detriment of our business or our investors, even though he is an officer and director of our company, because he is the sole owner of Antecip. Similarly, if we have a claim of any kind against Antecip, Dr. Tabuteau may be, even as our Chief Executive Officer and Chairman of the Board, reluctant to assert a claim by us against Antecip because of his financial interest in Antecip. We cannot assure you that any conflicts will be resolved in our favor, and as a result, our business could be impeded or materially harmed.</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302895</wp:posOffset>
            </wp:positionV>
            <wp:extent cx="5682615" cy="222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82615" cy="22225"/>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49" w:name="page50"/>
    <w:bookmarkEnd w:id="49"/>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 w:right="219"/>
        <w:spacing w:after="0" w:line="284" w:lineRule="auto"/>
        <w:rPr>
          <w:sz w:val="20"/>
          <w:szCs w:val="20"/>
          <w:color w:val="auto"/>
        </w:rPr>
      </w:pPr>
      <w:r>
        <w:rPr>
          <w:rFonts w:ascii="Arial" w:cs="Arial" w:eastAsia="Arial" w:hAnsi="Arial"/>
          <w:sz w:val="15"/>
          <w:szCs w:val="15"/>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34" w:lineRule="exact"/>
        <w:rPr>
          <w:sz w:val="20"/>
          <w:szCs w:val="20"/>
          <w:color w:val="auto"/>
        </w:rPr>
      </w:pPr>
    </w:p>
    <w:p>
      <w:pPr>
        <w:ind w:left="40" w:right="59" w:firstLine="566"/>
        <w:spacing w:after="0" w:line="290" w:lineRule="auto"/>
        <w:rPr>
          <w:sz w:val="20"/>
          <w:szCs w:val="20"/>
          <w:color w:val="auto"/>
        </w:rPr>
      </w:pPr>
      <w:r>
        <w:rPr>
          <w:rFonts w:ascii="Arial" w:cs="Arial" w:eastAsia="Arial" w:hAnsi="Arial"/>
          <w:sz w:val="13"/>
          <w:szCs w:val="13"/>
          <w:color w:val="auto"/>
        </w:rPr>
        <w:t>Because we have limited financial and managerial resources, we focus on developing product candidates for specific indications that we identify as most likely to succeed, in terms of both its regulatory approval and commercialization. As such, we are currently primarily focused on the development of AXS-05 for the treatment of depression, agitation associated with AD, and smoking cessation, AXS-07 for the acute treatment of migraine, AXS-12 for the treatment of narcolepsy and AXS-14 for the treatment of fibromyalgia. As a result, we may forego or delay pursuit of opportunities with other product candidates or for other indications that may prove to have greater commercial potential. Additionally, as more fully described in “Business—Material License Agreements,” we are required to pay to an entity owned by our Chief Executive Officer and Chairman of the Board certain royalty payments related to the development of AXS-02 and AXS-05, as well as AXS-04, a product candidate that is currently in early stage development, but not with respect to the development of other product candidates, which may influence management’s decision concerning which product candidates or indications to pursue.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316" w:lineRule="exact"/>
        <w:rPr>
          <w:sz w:val="20"/>
          <w:szCs w:val="20"/>
          <w:color w:val="auto"/>
        </w:rPr>
      </w:pPr>
    </w:p>
    <w:p>
      <w:pPr>
        <w:ind w:left="40" w:right="59"/>
        <w:spacing w:after="0" w:line="284" w:lineRule="auto"/>
        <w:rPr>
          <w:sz w:val="20"/>
          <w:szCs w:val="20"/>
          <w:color w:val="auto"/>
        </w:rPr>
      </w:pPr>
      <w:r>
        <w:rPr>
          <w:rFonts w:ascii="Arial" w:cs="Arial" w:eastAsia="Arial" w:hAnsi="Arial"/>
          <w:sz w:val="15"/>
          <w:szCs w:val="15"/>
          <w:b w:val="1"/>
          <w:bCs w:val="1"/>
          <w:i w:val="1"/>
          <w:iCs w:val="1"/>
          <w:color w:val="auto"/>
        </w:rPr>
        <w:t>Our future growth may depend on our ability to identify and develop product candidates and if we do not successfully identify and develop product candidates or integrate them into our operations, we may have limited growth opportunities.</w:t>
      </w:r>
    </w:p>
    <w:p>
      <w:pPr>
        <w:spacing w:after="0" w:line="134" w:lineRule="exact"/>
        <w:rPr>
          <w:sz w:val="20"/>
          <w:szCs w:val="20"/>
          <w:color w:val="auto"/>
        </w:rPr>
      </w:pPr>
    </w:p>
    <w:p>
      <w:pPr>
        <w:ind w:left="40" w:right="399" w:firstLine="566"/>
        <w:spacing w:after="0" w:line="241" w:lineRule="auto"/>
        <w:rPr>
          <w:sz w:val="20"/>
          <w:szCs w:val="20"/>
          <w:color w:val="auto"/>
        </w:rPr>
      </w:pPr>
      <w:r>
        <w:rPr>
          <w:rFonts w:ascii="Arial" w:cs="Arial" w:eastAsia="Arial" w:hAnsi="Arial"/>
          <w:sz w:val="16"/>
          <w:szCs w:val="16"/>
          <w:color w:val="auto"/>
        </w:rPr>
        <w:t>A component of our business strategy is to continue to develop a pipeline of product candidates by developing products that we believe are a strategic fit with our focus on central nervous system, or CNS, therapeutics. However, these business activities may entail numerous operational and financial risks, including:</w:t>
      </w:r>
    </w:p>
    <w:p>
      <w:pPr>
        <w:spacing w:after="0" w:line="165" w:lineRule="exact"/>
        <w:rPr>
          <w:sz w:val="20"/>
          <w:szCs w:val="20"/>
          <w:color w:val="auto"/>
        </w:rPr>
      </w:pPr>
    </w:p>
    <w:p>
      <w:pPr>
        <w:ind w:left="620" w:hanging="281"/>
        <w:spacing w:after="0"/>
        <w:tabs>
          <w:tab w:leader="none" w:pos="6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difficulty or inability to secure financing to fund business activities for such development;</w:t>
      </w:r>
    </w:p>
    <w:p>
      <w:pPr>
        <w:spacing w:after="0" w:line="181" w:lineRule="exact"/>
        <w:rPr>
          <w:rFonts w:ascii="Arial" w:cs="Arial" w:eastAsia="Arial" w:hAnsi="Arial"/>
          <w:sz w:val="16"/>
          <w:szCs w:val="16"/>
          <w:color w:val="auto"/>
        </w:rPr>
      </w:pPr>
    </w:p>
    <w:p>
      <w:pPr>
        <w:ind w:left="620" w:hanging="281"/>
        <w:spacing w:after="0"/>
        <w:tabs>
          <w:tab w:leader="none" w:pos="6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disruption of our business and diversion of our management’s time and attention;</w:t>
      </w:r>
    </w:p>
    <w:p>
      <w:pPr>
        <w:spacing w:after="0" w:line="181" w:lineRule="exact"/>
        <w:rPr>
          <w:rFonts w:ascii="Arial" w:cs="Arial" w:eastAsia="Arial" w:hAnsi="Arial"/>
          <w:sz w:val="16"/>
          <w:szCs w:val="16"/>
          <w:color w:val="auto"/>
        </w:rPr>
      </w:pPr>
    </w:p>
    <w:p>
      <w:pPr>
        <w:ind w:left="620" w:hanging="281"/>
        <w:spacing w:after="0"/>
        <w:tabs>
          <w:tab w:leader="none" w:pos="6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higher than expected development costs;</w:t>
      </w:r>
    </w:p>
    <w:p>
      <w:pPr>
        <w:spacing w:after="0" w:line="181" w:lineRule="exact"/>
        <w:rPr>
          <w:rFonts w:ascii="Arial" w:cs="Arial" w:eastAsia="Arial" w:hAnsi="Arial"/>
          <w:sz w:val="16"/>
          <w:szCs w:val="16"/>
          <w:color w:val="auto"/>
        </w:rPr>
      </w:pPr>
    </w:p>
    <w:p>
      <w:pPr>
        <w:ind w:left="620" w:hanging="281"/>
        <w:spacing w:after="0"/>
        <w:tabs>
          <w:tab w:leader="none" w:pos="6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exposure to unknown liabilities;</w:t>
      </w:r>
    </w:p>
    <w:p>
      <w:pPr>
        <w:spacing w:after="0" w:line="181" w:lineRule="exact"/>
        <w:rPr>
          <w:rFonts w:ascii="Arial" w:cs="Arial" w:eastAsia="Arial" w:hAnsi="Arial"/>
          <w:sz w:val="16"/>
          <w:szCs w:val="16"/>
          <w:color w:val="auto"/>
        </w:rPr>
      </w:pPr>
    </w:p>
    <w:p>
      <w:pPr>
        <w:ind w:left="620" w:hanging="281"/>
        <w:spacing w:after="0"/>
        <w:tabs>
          <w:tab w:leader="none" w:pos="6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difficulty in managing multiple product development programs; and</w:t>
      </w:r>
    </w:p>
    <w:p>
      <w:pPr>
        <w:spacing w:after="0" w:line="181" w:lineRule="exact"/>
        <w:rPr>
          <w:rFonts w:ascii="Arial" w:cs="Arial" w:eastAsia="Arial" w:hAnsi="Arial"/>
          <w:sz w:val="16"/>
          <w:szCs w:val="16"/>
          <w:color w:val="auto"/>
        </w:rPr>
      </w:pPr>
    </w:p>
    <w:p>
      <w:pPr>
        <w:ind w:left="620" w:hanging="281"/>
        <w:spacing w:after="0"/>
        <w:tabs>
          <w:tab w:leader="none" w:pos="6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inability to successfully develop new products or clinical failure.</w:t>
      </w:r>
    </w:p>
    <w:p>
      <w:pPr>
        <w:spacing w:after="0" w:line="182" w:lineRule="exact"/>
        <w:rPr>
          <w:sz w:val="20"/>
          <w:szCs w:val="20"/>
          <w:color w:val="auto"/>
        </w:rPr>
      </w:pPr>
    </w:p>
    <w:p>
      <w:pPr>
        <w:ind w:left="40" w:right="319" w:firstLine="566"/>
        <w:spacing w:after="0" w:line="310" w:lineRule="auto"/>
        <w:rPr>
          <w:sz w:val="20"/>
          <w:szCs w:val="20"/>
          <w:color w:val="auto"/>
        </w:rPr>
      </w:pPr>
      <w:r>
        <w:rPr>
          <w:rFonts w:ascii="Arial" w:cs="Arial" w:eastAsia="Arial" w:hAnsi="Arial"/>
          <w:sz w:val="13"/>
          <w:szCs w:val="13"/>
          <w:color w:val="auto"/>
        </w:rPr>
        <w:t>For instance, our prior efforts have resulted in our decision not to further develop certain product candidates that, at one time, appeared to be promising. We have limited resources to identify and execute the developments of products. Moreover, we may devote resources to potential development that are never completed, or we may fail to realize the anticipated benefits of such efforts. If we do not successfully develop and commercialize product candidates, we may not be able to obtain product revenues in future periods.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302895</wp:posOffset>
            </wp:positionV>
            <wp:extent cx="5682615" cy="222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82615" cy="22225"/>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50" w:name="page51"/>
    <w:bookmarkEnd w:id="50"/>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 w:right="219"/>
        <w:spacing w:after="0" w:line="258" w:lineRule="auto"/>
        <w:rPr>
          <w:sz w:val="20"/>
          <w:szCs w:val="20"/>
          <w:color w:val="auto"/>
        </w:rPr>
      </w:pPr>
      <w:r>
        <w:rPr>
          <w:rFonts w:ascii="Arial" w:cs="Arial" w:eastAsia="Arial" w:hAnsi="Arial"/>
          <w:sz w:val="15"/>
          <w:szCs w:val="15"/>
          <w:b w:val="1"/>
          <w:bCs w:val="1"/>
          <w:i w:val="1"/>
          <w:iCs w:val="1"/>
          <w:color w:val="auto"/>
        </w:rPr>
        <w:t>If safety and efficacy data for our product candidates, a reference listed drug, or published literature does not satisfactorily demonstrate safety and efficacy to the FDA, or if the FDA and other regulators do not permit us to rely on the data of a reference listed drug or published literature, we may incur additional costs or experience delays in completing, or ultimately be unable to complete, the development and commercialization of our product candidates.</w:t>
      </w:r>
    </w:p>
    <w:p>
      <w:pPr>
        <w:spacing w:after="0" w:line="154" w:lineRule="exact"/>
        <w:rPr>
          <w:sz w:val="20"/>
          <w:szCs w:val="20"/>
          <w:color w:val="auto"/>
        </w:rPr>
      </w:pPr>
    </w:p>
    <w:p>
      <w:pPr>
        <w:ind w:left="40" w:right="359" w:firstLine="566"/>
        <w:spacing w:after="0" w:line="241" w:lineRule="auto"/>
        <w:rPr>
          <w:sz w:val="20"/>
          <w:szCs w:val="20"/>
          <w:color w:val="auto"/>
        </w:rPr>
      </w:pPr>
      <w:r>
        <w:rPr>
          <w:rFonts w:ascii="Arial" w:cs="Arial" w:eastAsia="Arial" w:hAnsi="Arial"/>
          <w:sz w:val="16"/>
          <w:szCs w:val="16"/>
          <w:color w:val="auto"/>
        </w:rPr>
        <w:t>We are not permitted to commercialize, market, promote, or sell any product candidate in the United States without obtaining marketing approval from the FDA. Comparable foreign regulatory authorities, such as the European Medicines Agency, or EMA, impose similar restrictions.</w:t>
      </w:r>
    </w:p>
    <w:p>
      <w:pPr>
        <w:spacing w:after="0" w:line="165" w:lineRule="exact"/>
        <w:rPr>
          <w:sz w:val="20"/>
          <w:szCs w:val="20"/>
          <w:color w:val="auto"/>
        </w:rPr>
      </w:pPr>
    </w:p>
    <w:p>
      <w:pPr>
        <w:ind w:left="40" w:right="79" w:firstLine="566"/>
        <w:spacing w:after="0" w:line="235" w:lineRule="auto"/>
        <w:rPr>
          <w:sz w:val="20"/>
          <w:szCs w:val="20"/>
          <w:color w:val="auto"/>
        </w:rPr>
      </w:pPr>
      <w:r>
        <w:rPr>
          <w:rFonts w:ascii="Arial" w:cs="Arial" w:eastAsia="Arial" w:hAnsi="Arial"/>
          <w:sz w:val="16"/>
          <w:szCs w:val="16"/>
          <w:color w:val="auto"/>
        </w:rPr>
        <w:t>In the United States, we currently plan to, at least initially, seek approval of most of our product candidates using the 505(b)(2) pathway, with the exception of AXS-12 and AXS-14. The FDA interprets Section 505(b)(2) of the Federal Food, Drug, and Cosmetic Act, or FDCA, for purposes of approving an NDA, to permit the applicant to rely, in part, upon published literature or the FDA’s previous findings of safety and efficacy for an approved product. The FDA, though, requires companies to perform additional clinical trials or preclinical studies to support any deviation from the previously approved product and to support reliance on the FDA’s prior findings of safety and efficacy or published literature.</w:t>
      </w:r>
    </w:p>
    <w:p>
      <w:pPr>
        <w:spacing w:after="0" w:line="169" w:lineRule="exact"/>
        <w:rPr>
          <w:sz w:val="20"/>
          <w:szCs w:val="20"/>
          <w:color w:val="auto"/>
        </w:rPr>
      </w:pPr>
    </w:p>
    <w:p>
      <w:pPr>
        <w:ind w:left="40" w:right="79" w:firstLine="566"/>
        <w:spacing w:after="0" w:line="253" w:lineRule="auto"/>
        <w:rPr>
          <w:sz w:val="20"/>
          <w:szCs w:val="20"/>
          <w:color w:val="auto"/>
        </w:rPr>
      </w:pPr>
      <w:r>
        <w:rPr>
          <w:rFonts w:ascii="Arial" w:cs="Arial" w:eastAsia="Arial" w:hAnsi="Arial"/>
          <w:sz w:val="15"/>
          <w:szCs w:val="15"/>
          <w:color w:val="auto"/>
        </w:rPr>
        <w:t>Under the 505(b)(2) pathway, the FDA may approve our product candidates for all or some of the label indications for which the referenced product has been approved, as well as for any new indication sought pursuant to the Section 505(b)(2) process. The label, however, may require all or some of the limitations, contraindications, warnings, or precautions included in the reference product’s label, including a box warning (commonly referred to as a “black box warning”), or may require additional limitations, contraindications, warnings, or precautions, including class-wide warnings. For instance, antidepressants, including bupropion, include a class-wide black box warning regarding the increased risk of suicidal thoughts and behavior.</w:t>
      </w:r>
    </w:p>
    <w:p>
      <w:pPr>
        <w:spacing w:after="0" w:line="159" w:lineRule="exact"/>
        <w:rPr>
          <w:sz w:val="20"/>
          <w:szCs w:val="20"/>
          <w:color w:val="auto"/>
        </w:rPr>
      </w:pPr>
    </w:p>
    <w:p>
      <w:pPr>
        <w:ind w:left="40" w:right="59" w:firstLine="566"/>
        <w:spacing w:after="0" w:line="294" w:lineRule="auto"/>
        <w:rPr>
          <w:sz w:val="20"/>
          <w:szCs w:val="20"/>
          <w:color w:val="auto"/>
        </w:rPr>
      </w:pPr>
      <w:r>
        <w:rPr>
          <w:rFonts w:ascii="Arial" w:cs="Arial" w:eastAsia="Arial" w:hAnsi="Arial"/>
          <w:sz w:val="13"/>
          <w:szCs w:val="13"/>
          <w:color w:val="auto"/>
        </w:rPr>
        <w:t>Based on the side effects disclosed in FDA product labels for marketed drugs that contain the same active molecules as our product candidate, AXS-05 may result in dry mouth, nausea, insomnia, dizziness, pharyngitis, abdominal pain, agitation, anxiety, tremor, seizure, increase in blood pressure and heart rate, hepatoxicity, hypoglycemia, thrombocytopenia or other hypersensitivity reactions, QT prolongation, left ventricular hypertrophy or left ventricular dysfunction, palpitation, sweating, tinnitus, myalgia, anorexia, urinary frequency, rash, seizure, hypertension, activation of mania or hypomania, psychosis and other neuropsychiatric reactions, suicidal ideation, suicide attempt, completed suicide, angle closure glaucoma, allergic or anaphylactoid or anaphylactic reactions, diarrhea, cough, vomiting, asthenia, peripheral edema, urinary tract infection, influenza, increased gamma-glutamyltransferase, flatulence, or other adverse events or potential adverse events reported or discussed in the product labels for bupropion-containing products or dextromethorphan-containing products including Wellbutrin, Wellbutrin SR, Wellbutrin XL, Aplenzin, Forfivo, Zyban, Contrave, and Nuedexta.</w:t>
      </w:r>
    </w:p>
    <w:p>
      <w:pPr>
        <w:spacing w:after="0" w:line="315" w:lineRule="exact"/>
        <w:rPr>
          <w:sz w:val="20"/>
          <w:szCs w:val="20"/>
          <w:color w:val="auto"/>
        </w:rPr>
      </w:pPr>
    </w:p>
    <w:p>
      <w:pPr>
        <w:ind w:left="40" w:right="159" w:firstLine="566"/>
        <w:spacing w:after="0" w:line="297" w:lineRule="auto"/>
        <w:rPr>
          <w:sz w:val="20"/>
          <w:szCs w:val="20"/>
          <w:color w:val="auto"/>
        </w:rPr>
      </w:pPr>
      <w:r>
        <w:rPr>
          <w:rFonts w:ascii="Arial" w:cs="Arial" w:eastAsia="Arial" w:hAnsi="Arial"/>
          <w:sz w:val="13"/>
          <w:szCs w:val="13"/>
          <w:color w:val="auto"/>
        </w:rPr>
        <w:t>Based on the side effects disclosed in FDA product labels for marketed drugs that contain the same active molecules as our product candidate, AXS-07 may result in fatigue, confusion, dry mouth, diarrhea, nausea, insomnia, anemia, increased appetite, anxiety, sweating, dizziness, palpitations, arrythmia, tachycardia, abnormal vision, syncope, seizure, tremor, tinnitus, dizziness, somnolence, paresthesia, dysgeusia, dyspepsia, constipation, weight increase or decrease, gastritis, hematuria, flatulence, esophagitis, gastric ulcers, gastroesophageal reflux, gastrointestinal hemorrhages, colitis, rash, pain or tightness in the chest, neck, throat or jaw, upper respiratory tract infections, influenza-like symptoms, or other adverse events or potential adverse events reported or discussed in the product labels for meloxicam-containing or rizatriptan-containing products including Anjeso, Vivlodex, Mobic, and Maxalt.</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302895</wp:posOffset>
            </wp:positionV>
            <wp:extent cx="5682615" cy="222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82615" cy="22225"/>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51" w:name="page52"/>
    <w:bookmarkEnd w:id="51"/>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 w:right="59" w:firstLine="566"/>
        <w:spacing w:after="0" w:line="253" w:lineRule="auto"/>
        <w:rPr>
          <w:sz w:val="20"/>
          <w:szCs w:val="20"/>
          <w:color w:val="auto"/>
        </w:rPr>
      </w:pPr>
      <w:r>
        <w:rPr>
          <w:rFonts w:ascii="Arial" w:cs="Arial" w:eastAsia="Arial" w:hAnsi="Arial"/>
          <w:sz w:val="15"/>
          <w:szCs w:val="15"/>
          <w:color w:val="auto"/>
        </w:rPr>
        <w:t>Based on the side effects disclosed in EMA product label for marketed drugs that contain the same active molecule as our product candidate, AXS-12 and AXS-14 may result in decreased appetite, insomnia, agitation, anxiety, dizziness, headache, paresthesia, akathisia, dysgeusia, accommodation disorder, mydriasis, glaucoma, vertigo, tachycardia, palpitations, vasodilation, hypotension, hypertension, dry mouth, vomiting, hyperhidrosis, rash, sensation of incomplete bladder emptying, urinary tract infection, dysuria, urinary retention, erectile dysfunction, ejaculatory pain, ejaculatory delay, chills, or other adverse events or potential adverse events reported or discussed in the product labels for reboxetine containing products including Edronax.</w:t>
      </w:r>
    </w:p>
    <w:p>
      <w:pPr>
        <w:spacing w:after="0" w:line="159" w:lineRule="exact"/>
        <w:rPr>
          <w:sz w:val="20"/>
          <w:szCs w:val="20"/>
          <w:color w:val="auto"/>
        </w:rPr>
      </w:pPr>
    </w:p>
    <w:p>
      <w:pPr>
        <w:ind w:left="40" w:right="59" w:firstLine="566"/>
        <w:spacing w:after="0" w:line="249" w:lineRule="auto"/>
        <w:rPr>
          <w:sz w:val="20"/>
          <w:szCs w:val="20"/>
          <w:color w:val="auto"/>
        </w:rPr>
      </w:pPr>
      <w:r>
        <w:rPr>
          <w:rFonts w:ascii="Arial" w:cs="Arial" w:eastAsia="Arial" w:hAnsi="Arial"/>
          <w:sz w:val="15"/>
          <w:szCs w:val="15"/>
          <w:color w:val="auto"/>
        </w:rPr>
        <w:t>In addition, because we plan to file our product candidates under an NDA submitted pursuant to 505(b)(2), we will rely, at least in part, upon a reference listed drug and published literature. For example, we intend to rely on data collected in certain investigator-initiated Phase 2 clinical trials and other third-party studies in the published literature as well as FDA findings of safety and efficacy for approved drug products containing the same active molecules in AXS-05 and AXS-07. If the FDA disagrees with our conclusions regarding the appropriateness of our reliance on a reference listed drug or published literature, we could be required to conduct additional clinical trials or other studies to support our NDA, which could lead to unanticipated costs and delays or to the termination of our development program. If we are unable to obtain approval for our pharmaceutical formulations through the 505(b)(2) NDA process, we may be required to pursue the more expensive and time-consuming 505(b)(1) approval process, which consists of full reports of investigations of safety and effectiveness conducted by or for the applicant. In addition, because we plan to submit NDAs for AXS-05 and AXS-07 pursuant to the 505(b)(2) process, we have not conducted certain additional clinical trials for these product candidates and, as such, we will have less experience with actual testing of the product candidate.</w:t>
      </w:r>
    </w:p>
    <w:p>
      <w:pPr>
        <w:spacing w:after="0" w:line="166" w:lineRule="exact"/>
        <w:rPr>
          <w:sz w:val="20"/>
          <w:szCs w:val="20"/>
          <w:color w:val="auto"/>
        </w:rPr>
      </w:pPr>
    </w:p>
    <w:p>
      <w:pPr>
        <w:ind w:left="40" w:right="159" w:firstLine="566"/>
        <w:spacing w:after="0" w:line="304" w:lineRule="auto"/>
        <w:rPr>
          <w:sz w:val="20"/>
          <w:szCs w:val="20"/>
          <w:color w:val="auto"/>
        </w:rPr>
      </w:pPr>
      <w:r>
        <w:rPr>
          <w:rFonts w:ascii="Arial" w:cs="Arial" w:eastAsia="Arial" w:hAnsi="Arial"/>
          <w:sz w:val="13"/>
          <w:szCs w:val="13"/>
          <w:color w:val="auto"/>
        </w:rPr>
        <w:t>There may also be circumstances under which the FDA would not allow us to pursue a 505(b)(2) application. For instance, should the FDA approve a pharmaceutically equivalent product to our product candidates before we obtain approval, we would no longer be able to use the 505(b)(2) pathway. In that case, it is the FDA’s policy that the appropriate submission would be an Abbreviated New Drug Application, or ANDA, for a generic version of the approved product. We may, however, not be able to immediately submit an ANDA or have an ANDA approval made effective, as we could be blocked by others’ periods of patent and regulatory exclusivity protection.</w:t>
      </w:r>
    </w:p>
    <w:p>
      <w:pPr>
        <w:spacing w:after="0" w:line="126" w:lineRule="exact"/>
        <w:rPr>
          <w:sz w:val="20"/>
          <w:szCs w:val="20"/>
          <w:color w:val="auto"/>
        </w:rPr>
      </w:pPr>
    </w:p>
    <w:p>
      <w:pPr>
        <w:ind w:left="40" w:right="119" w:firstLine="566"/>
        <w:spacing w:after="0" w:line="253" w:lineRule="auto"/>
        <w:rPr>
          <w:sz w:val="20"/>
          <w:szCs w:val="20"/>
          <w:color w:val="auto"/>
        </w:rPr>
      </w:pPr>
      <w:r>
        <w:rPr>
          <w:rFonts w:ascii="Arial" w:cs="Arial" w:eastAsia="Arial" w:hAnsi="Arial"/>
          <w:sz w:val="15"/>
          <w:szCs w:val="15"/>
          <w:color w:val="auto"/>
        </w:rPr>
        <w:t>Notwithstanding the approval of a number of products by the FDA under 505(b)(2) over the last few years, pharmaceutical companies and others have objected to the FDA’s interpretation of Section 505(b)(2). If the FDA’s interpretation of Section 505(b)(2) is successfully challenged, the FDA may change its policies and practices with respect to Section 505(b)(2) regulatory approvals, which could delay or even prevent the FDA from approving any NDA that we submit pursuant to the 505(b)(2) process. Moreover, our inability to pursue a 505(b)(2) application could result in new competitive products reaching the market more quickly than our product candidates, which could hurt our competitive position and our business prospects.</w:t>
      </w:r>
    </w:p>
    <w:p>
      <w:pPr>
        <w:spacing w:after="0" w:line="159" w:lineRule="exact"/>
        <w:rPr>
          <w:sz w:val="20"/>
          <w:szCs w:val="20"/>
          <w:color w:val="auto"/>
        </w:rPr>
      </w:pPr>
    </w:p>
    <w:p>
      <w:pPr>
        <w:ind w:left="40" w:right="119" w:firstLine="566"/>
        <w:spacing w:after="0" w:line="252" w:lineRule="auto"/>
        <w:rPr>
          <w:sz w:val="20"/>
          <w:szCs w:val="20"/>
          <w:color w:val="auto"/>
        </w:rPr>
      </w:pPr>
      <w:r>
        <w:rPr>
          <w:rFonts w:ascii="Arial" w:cs="Arial" w:eastAsia="Arial" w:hAnsi="Arial"/>
          <w:sz w:val="15"/>
          <w:szCs w:val="15"/>
          <w:color w:val="auto"/>
        </w:rPr>
        <w:t>We may never receive approval for any of our product candidates, and even if our product candidates are approved under 505(b)(2), the approval may be subject to limitations on the indicated uses for which the products may be marketed, distribution restrictions, or to other conditions of approval; may contain significant safety warnings, including boxed warnings, contraindications, and precautions; may not be approved with label statements necessary or desirable for successful commercialization; or may contain requirements for costly post-market testing and surveillance or other requirements, including REMS, to monitor the safety or efficacy of the products. Moreover, any future actions or inquiries by the FDA with respect to the reference listed drug may require that we make changes to our labeling, discontinue development, or, possibly, withdraw the product from the market.</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302895</wp:posOffset>
            </wp:positionV>
            <wp:extent cx="5682615" cy="222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82615" cy="22225"/>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52" w:name="page53"/>
    <w:bookmarkEnd w:id="52"/>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 w:right="239"/>
        <w:spacing w:after="0" w:line="251" w:lineRule="auto"/>
        <w:rPr>
          <w:sz w:val="20"/>
          <w:szCs w:val="20"/>
          <w:color w:val="auto"/>
        </w:rPr>
      </w:pPr>
      <w:r>
        <w:rPr>
          <w:rFonts w:ascii="Arial" w:cs="Arial" w:eastAsia="Arial" w:hAnsi="Arial"/>
          <w:sz w:val="16"/>
          <w:szCs w:val="16"/>
          <w:b w:val="1"/>
          <w:bCs w:val="1"/>
          <w:i w:val="1"/>
          <w:iCs w:val="1"/>
          <w:color w:val="auto"/>
        </w:rPr>
        <w:t>An NDA submitted under Section 505(b)(2) subjects us to the risk that we may be subject to a patent infringement lawsuit or regulatory actions that would delay or prevent the review or approval of our product candidate.</w:t>
      </w:r>
    </w:p>
    <w:p>
      <w:pPr>
        <w:spacing w:after="0" w:line="158" w:lineRule="exact"/>
        <w:rPr>
          <w:sz w:val="20"/>
          <w:szCs w:val="20"/>
          <w:color w:val="auto"/>
        </w:rPr>
      </w:pPr>
    </w:p>
    <w:p>
      <w:pPr>
        <w:ind w:left="40" w:right="79" w:firstLine="566"/>
        <w:spacing w:after="0" w:line="249" w:lineRule="auto"/>
        <w:rPr>
          <w:sz w:val="20"/>
          <w:szCs w:val="20"/>
          <w:color w:val="auto"/>
        </w:rPr>
      </w:pPr>
      <w:r>
        <w:rPr>
          <w:rFonts w:ascii="Arial" w:cs="Arial" w:eastAsia="Arial" w:hAnsi="Arial"/>
          <w:sz w:val="15"/>
          <w:szCs w:val="15"/>
          <w:color w:val="auto"/>
        </w:rPr>
        <w:t>Under the Hatch Waxman Act, the holder of patents listed in the Orange Book for NDAs that a 505(b)(2) application references may file a patent infringement lawsuit after receiving notice of the paragraph IV certification. Filing of a patent infringement lawsuit against the filer of the 505(b)(2) applicant within 45 days of the patent or NDA owner’s receipt of notice triggers a one time, automatic, 30 month stay of the FDA’s ability to make the 505(b)(2) NDA approval effective. In such a case, the FDA may not make the 505(b)(2) NDA approval effective until the earlier of 30 months from the receipt of the notice of the paragraph IV certification, the expiration of the patent, when the infringement case concerning each such patent was favorably decided in the applicant’s favor or settled, or such shorter or longer period as may be ordered by a court. Accordingly, we may invest a significant amount of time and expense in the development of one or more product candidates only to be subject to significant delay and patent litigation before such product candidates may be commercialized, if at all. In addition, a 505(b)(2) application approval will not be made effective until any existing non patent exclusivity, such as exclusivity for obtaining approval of a new chemical entity, or NCE, or exclusivities for changes to NCEs listed in the Orange Book for the referenced product have expired or, if possible, are carved out from the label.</w:t>
      </w:r>
    </w:p>
    <w:p>
      <w:pPr>
        <w:spacing w:after="0" w:line="166" w:lineRule="exact"/>
        <w:rPr>
          <w:sz w:val="20"/>
          <w:szCs w:val="20"/>
          <w:color w:val="auto"/>
        </w:rPr>
      </w:pPr>
    </w:p>
    <w:p>
      <w:pPr>
        <w:ind w:left="40" w:right="59" w:firstLine="566"/>
        <w:spacing w:after="0" w:line="291" w:lineRule="auto"/>
        <w:rPr>
          <w:sz w:val="20"/>
          <w:szCs w:val="20"/>
          <w:color w:val="auto"/>
        </w:rPr>
      </w:pPr>
      <w:r>
        <w:rPr>
          <w:rFonts w:ascii="Arial" w:cs="Arial" w:eastAsia="Arial" w:hAnsi="Arial"/>
          <w:sz w:val="13"/>
          <w:szCs w:val="13"/>
          <w:color w:val="auto"/>
        </w:rPr>
        <w:t>In practice, companies that produce branded reference listed drugs often bring patent litigation against applicants that seek regulatory approval to market generic or reformulated versions of their products. Litigation to enforce or defend intellectual property rights is often complex and often involves significant expense and can delay or prevent introduction or sale of our product candidates. If a court finds patents valid and infringed by our product candidates, we may be required to cease selling, relinquish or destroy existing stock, or pay monetary damages unless we can obtain a license from the patent holder. There may also be situations where we use our business judgment and decide to market and sell our approved products, notwithstanding the fact that allegations of patent infringement have not been finally resolved by the courts, an approach known as an “at risk launch.” The risk involved in doing so can be substantial because the remedies available to the owner of a patent for infringement may include, among other things, damages measured by the profits lost by the patent owner which may be greater than the profits earned by the infringer. In the case of willful infringement, such damages may be increased up to three times. An adverse decision in patent litigation could have a material adverse effect on our business, financial position, and results of operations and could cause the market value of our common stock to decline. Should we need to file a paragraph IV certification in the future for our product candidates, we may risk patent litigation and substantial delays.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302895</wp:posOffset>
            </wp:positionV>
            <wp:extent cx="5682615" cy="222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82615" cy="22225"/>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53" w:name="page54"/>
    <w:bookmarkEnd w:id="53"/>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 w:right="579"/>
        <w:spacing w:after="0" w:line="324" w:lineRule="auto"/>
        <w:rPr>
          <w:sz w:val="20"/>
          <w:szCs w:val="20"/>
          <w:color w:val="auto"/>
        </w:rPr>
      </w:pPr>
      <w:r>
        <w:rPr>
          <w:rFonts w:ascii="Arial" w:cs="Arial" w:eastAsia="Arial" w:hAnsi="Arial"/>
          <w:sz w:val="13"/>
          <w:szCs w:val="13"/>
          <w:b w:val="1"/>
          <w:bCs w:val="1"/>
          <w:i w:val="1"/>
          <w:iCs w:val="1"/>
          <w:color w:val="auto"/>
        </w:rPr>
        <w:t>The regulatory approval processes of the FDA and comparable foreign authorities are lengthy, time consuming, and inherently unpredictable. If we are not able to obtain, or if there are delays in obtaining, required regulatory approvals, we will not be able to commercialize our product candidates as expected, and our ability to generate revenue will be materially impaired.</w:t>
      </w:r>
    </w:p>
    <w:p>
      <w:pPr>
        <w:spacing w:after="0" w:line="114" w:lineRule="exact"/>
        <w:rPr>
          <w:sz w:val="20"/>
          <w:szCs w:val="20"/>
          <w:color w:val="auto"/>
        </w:rPr>
      </w:pPr>
    </w:p>
    <w:p>
      <w:pPr>
        <w:ind w:left="40" w:right="59" w:firstLine="566"/>
        <w:spacing w:after="0" w:line="250" w:lineRule="auto"/>
        <w:rPr>
          <w:sz w:val="20"/>
          <w:szCs w:val="20"/>
          <w:color w:val="auto"/>
        </w:rPr>
      </w:pPr>
      <w:r>
        <w:rPr>
          <w:rFonts w:ascii="Arial" w:cs="Arial" w:eastAsia="Arial" w:hAnsi="Arial"/>
          <w:sz w:val="15"/>
          <w:szCs w:val="15"/>
          <w:color w:val="auto"/>
        </w:rPr>
        <w:t>The time required to obtain approval by the FDA and comparable foreign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and may require us to amend our clinical trial protocols or conduct additional studies that require regulatory or institutional review board, or IRB, approval, or otherwise cause delays in the approval or rejection of an application. We have not obtained regulatory approval for any product candidate and it is possible that none of our existing product candidates, or any product candidates we may seek to develop in the future, will ever obtain regulatory approval. Any delay in obtaining or failure to obtain required approvals could materially adversely affect our ability or that of any of our collaborators to generate revenue from the particular product candidate, which likely would result in significant harm to our financial position and adversely impact our stock price.</w:t>
      </w:r>
    </w:p>
    <w:p>
      <w:pPr>
        <w:spacing w:after="0" w:line="160" w:lineRule="exact"/>
        <w:rPr>
          <w:sz w:val="20"/>
          <w:szCs w:val="20"/>
          <w:color w:val="auto"/>
        </w:rPr>
      </w:pPr>
    </w:p>
    <w:p>
      <w:pPr>
        <w:ind w:left="40" w:right="99" w:firstLine="566"/>
        <w:spacing w:after="0" w:line="294" w:lineRule="auto"/>
        <w:rPr>
          <w:sz w:val="20"/>
          <w:szCs w:val="20"/>
          <w:color w:val="auto"/>
        </w:rPr>
      </w:pPr>
      <w:r>
        <w:rPr>
          <w:rFonts w:ascii="Arial" w:cs="Arial" w:eastAsia="Arial" w:hAnsi="Arial"/>
          <w:sz w:val="13"/>
          <w:szCs w:val="13"/>
          <w:color w:val="auto"/>
        </w:rPr>
        <w:t>Our product candidates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agencies in the United States, and by the EMA and similar regulatory authorities outside the United States and Europe. Failure to obtain marketing approval for a product candidate will prevent us from commercializing the product candidate. We have no experience in filing and supporting the applications necessary to gain marketing approvals and expect to rely on third-party contract research organizations, or CROs, and consultants to assist us in this process. Securing marketing approval requires the submission of extensive preclinical and clinical data and supporting information to regulatory authorities for each therapeutic indication to establish the product candidate’s safety and efficacy for that indication and the submission of information about the product manufacturing process to, and inspection of manufacturing facilities and clinical trial sites by, the regulatory authorities.</w:t>
      </w:r>
    </w:p>
    <w:p>
      <w:pPr>
        <w:spacing w:after="0" w:line="132" w:lineRule="exact"/>
        <w:rPr>
          <w:sz w:val="20"/>
          <w:szCs w:val="20"/>
          <w:color w:val="auto"/>
        </w:rPr>
      </w:pPr>
    </w:p>
    <w:p>
      <w:pPr>
        <w:ind w:left="40" w:right="59" w:firstLine="566"/>
        <w:spacing w:after="0" w:line="250" w:lineRule="auto"/>
        <w:rPr>
          <w:sz w:val="20"/>
          <w:szCs w:val="20"/>
          <w:color w:val="auto"/>
        </w:rPr>
      </w:pPr>
      <w:r>
        <w:rPr>
          <w:rFonts w:ascii="Arial" w:cs="Arial" w:eastAsia="Arial" w:hAnsi="Arial"/>
          <w:sz w:val="15"/>
          <w:szCs w:val="15"/>
          <w:color w:val="auto"/>
        </w:rPr>
        <w:t>Clinical testing is expensive and can take many years to complete, and its outcome is inherently uncertain. Failure can occur at any time during the clinical trial process. The results of preclinical studies; our product candidates’ mechanism of action; studies conducted by third parties in different patient populations, using different products, or using different study designs; and early clinical trials of our product candidates may not be predictive of the results of later-stage clinical trials. Product candidates in later stages of clinical trials may fail to show the desired safety and efficacy traits despite having progressed through preclinical studies and initial clinical trials. Preclinical studies may also reveal unfavorable product candidate characteristics, including safety concerns. A number of companies in the pharmaceutical industry have suffered significant setbacks in advanced clinical trials due to lack of efficacy or adverse safety profiles, notwithstanding promising results in earlier trials. Our future clinical trial results may not be successful. Moreover, should there be a flaw in a clinical trial, it may not become apparent until the clinical trial is well advanced.</w:t>
      </w:r>
    </w:p>
    <w:p>
      <w:pPr>
        <w:spacing w:after="0" w:line="163" w:lineRule="exact"/>
        <w:rPr>
          <w:sz w:val="20"/>
          <w:szCs w:val="20"/>
          <w:color w:val="auto"/>
        </w:rPr>
      </w:pPr>
    </w:p>
    <w:p>
      <w:pPr>
        <w:jc w:val="both"/>
        <w:ind w:left="40" w:right="279" w:firstLine="566"/>
        <w:spacing w:after="0" w:line="241" w:lineRule="auto"/>
        <w:rPr>
          <w:sz w:val="20"/>
          <w:szCs w:val="20"/>
          <w:color w:val="auto"/>
        </w:rPr>
      </w:pPr>
      <w:r>
        <w:rPr>
          <w:rFonts w:ascii="Arial" w:cs="Arial" w:eastAsia="Arial" w:hAnsi="Arial"/>
          <w:sz w:val="16"/>
          <w:szCs w:val="16"/>
          <w:color w:val="auto"/>
        </w:rPr>
        <w:t>We may also experience numerous unforeseen events during, or as a result of, clinical trials and in the course of our preparation, submission, and review of NDA filings that could delay or prevent our ability to receive marketing approval or commercialize our product candidates, including:</w:t>
      </w:r>
    </w:p>
    <w:p>
      <w:pPr>
        <w:spacing w:after="0" w:line="165" w:lineRule="exact"/>
        <w:rPr>
          <w:sz w:val="20"/>
          <w:szCs w:val="20"/>
          <w:color w:val="auto"/>
        </w:rPr>
      </w:pPr>
    </w:p>
    <w:p>
      <w:pPr>
        <w:ind w:left="620" w:right="199" w:hanging="281"/>
        <w:spacing w:after="0" w:line="251" w:lineRule="auto"/>
        <w:tabs>
          <w:tab w:leader="none" w:pos="6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regulators or IRBs may not authorize us or our investigators to commence a clinical trial or conduct a clinical trial at a prospective trial site or amend trial protocols;</w:t>
      </w:r>
    </w:p>
    <w:p>
      <w:pPr>
        <w:spacing w:after="0" w:line="157" w:lineRule="exact"/>
        <w:rPr>
          <w:rFonts w:ascii="Arial" w:cs="Arial" w:eastAsia="Arial" w:hAnsi="Arial"/>
          <w:sz w:val="16"/>
          <w:szCs w:val="16"/>
          <w:color w:val="auto"/>
        </w:rPr>
      </w:pPr>
    </w:p>
    <w:p>
      <w:pPr>
        <w:ind w:left="620" w:right="59" w:hanging="281"/>
        <w:spacing w:after="0" w:line="251" w:lineRule="auto"/>
        <w:tabs>
          <w:tab w:leader="none" w:pos="6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may experience delays in reaching, or fail to reach, agreement on acceptable clinical trial contracts or clinical trial protocols with prospective trial sites and our CROs;</w:t>
      </w:r>
    </w:p>
    <w:p>
      <w:pPr>
        <w:spacing w:after="0" w:line="157" w:lineRule="exact"/>
        <w:rPr>
          <w:rFonts w:ascii="Arial" w:cs="Arial" w:eastAsia="Arial" w:hAnsi="Arial"/>
          <w:sz w:val="16"/>
          <w:szCs w:val="16"/>
          <w:color w:val="auto"/>
        </w:rPr>
      </w:pPr>
    </w:p>
    <w:p>
      <w:pPr>
        <w:ind w:left="620" w:right="139" w:hanging="281"/>
        <w:spacing w:after="0" w:line="241" w:lineRule="auto"/>
        <w:tabs>
          <w:tab w:leader="none" w:pos="6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clinical trials of our product candidates may produce negative or inconclusive results, or our studies may fail to reach the necessary level of statistical or clinical significance, and we may decide, or regulators may require us, to conduct additional clinical trials or abandon product development programs;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302895</wp:posOffset>
            </wp:positionV>
            <wp:extent cx="5682615" cy="222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82615" cy="22225"/>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54" w:name="page55"/>
    <w:bookmarkEnd w:id="54"/>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620" w:right="199" w:hanging="281"/>
        <w:spacing w:after="0" w:line="241" w:lineRule="auto"/>
        <w:tabs>
          <w:tab w:leader="none" w:pos="6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interim analyses may result in our clinical trials being discontinued for safety or futility reasons or may result in modifications to our clinical trials that prolong the trials or make them difficult and more expensive to complete, such as increases in the number of subjects;</w:t>
      </w:r>
    </w:p>
    <w:p>
      <w:pPr>
        <w:spacing w:after="0" w:line="164" w:lineRule="exact"/>
        <w:rPr>
          <w:rFonts w:ascii="Arial" w:cs="Arial" w:eastAsia="Arial" w:hAnsi="Arial"/>
          <w:sz w:val="16"/>
          <w:szCs w:val="16"/>
          <w:color w:val="auto"/>
        </w:rPr>
      </w:pPr>
    </w:p>
    <w:p>
      <w:pPr>
        <w:ind w:left="620" w:right="339" w:hanging="281"/>
        <w:spacing w:after="0" w:line="241" w:lineRule="auto"/>
        <w:tabs>
          <w:tab w:leader="none" w:pos="6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164" w:lineRule="exact"/>
        <w:rPr>
          <w:rFonts w:ascii="Arial" w:cs="Arial" w:eastAsia="Arial" w:hAnsi="Arial"/>
          <w:sz w:val="16"/>
          <w:szCs w:val="16"/>
          <w:color w:val="auto"/>
        </w:rPr>
      </w:pPr>
    </w:p>
    <w:p>
      <w:pPr>
        <w:ind w:left="620" w:right="259" w:hanging="281"/>
        <w:spacing w:after="0" w:line="365" w:lineRule="auto"/>
        <w:tabs>
          <w:tab w:leader="none" w:pos="620" w:val="left"/>
        </w:tabs>
        <w:numPr>
          <w:ilvl w:val="0"/>
          <w:numId w:val="17"/>
        </w:numPr>
        <w:rPr>
          <w:rFonts w:ascii="Arial" w:cs="Arial" w:eastAsia="Arial" w:hAnsi="Arial"/>
          <w:sz w:val="13"/>
          <w:szCs w:val="13"/>
          <w:color w:val="auto"/>
        </w:rPr>
      </w:pPr>
      <w:r>
        <w:rPr>
          <w:rFonts w:ascii="Arial" w:cs="Arial" w:eastAsia="Arial" w:hAnsi="Arial"/>
          <w:sz w:val="13"/>
          <w:szCs w:val="13"/>
          <w:color w:val="auto"/>
        </w:rPr>
        <w:t>our third-party contractors may fail to comply with regulatory requirements or the clinical trial protocol, or meet their contractual obligations to us in a timely manner, or at all, or we may be required to engage in additional clinical trial site monitoring;</w:t>
      </w:r>
    </w:p>
    <w:p>
      <w:pPr>
        <w:spacing w:after="0" w:line="87" w:lineRule="exact"/>
        <w:rPr>
          <w:rFonts w:ascii="Arial" w:cs="Arial" w:eastAsia="Arial" w:hAnsi="Arial"/>
          <w:sz w:val="13"/>
          <w:szCs w:val="13"/>
          <w:color w:val="auto"/>
        </w:rPr>
      </w:pPr>
    </w:p>
    <w:p>
      <w:pPr>
        <w:ind w:left="620" w:right="139" w:hanging="281"/>
        <w:spacing w:after="0" w:line="236" w:lineRule="auto"/>
        <w:tabs>
          <w:tab w:leader="none" w:pos="6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the regulators, or IRBs may require that we or our investigators suspend or terminate clinical research for various reasons, including noncompliance with regulatory requirements or a finding that the participants are being exposed to unacceptable health risks, undesirable side effects, or other unexpected characteristics of the product candidate, or due to findings of undesirable effects caused by a chemically or mechanistically similar drug or drug candidate. We may also discontinue clinical research and programs due to changing business priorities;</w:t>
      </w:r>
    </w:p>
    <w:p>
      <w:pPr>
        <w:spacing w:after="0" w:line="168" w:lineRule="exact"/>
        <w:rPr>
          <w:rFonts w:ascii="Arial" w:cs="Arial" w:eastAsia="Arial" w:hAnsi="Arial"/>
          <w:sz w:val="16"/>
          <w:szCs w:val="16"/>
          <w:color w:val="auto"/>
        </w:rPr>
      </w:pPr>
    </w:p>
    <w:p>
      <w:pPr>
        <w:ind w:left="620" w:hanging="281"/>
        <w:spacing w:after="0"/>
        <w:tabs>
          <w:tab w:leader="none" w:pos="620" w:val="left"/>
        </w:tabs>
        <w:numPr>
          <w:ilvl w:val="0"/>
          <w:numId w:val="17"/>
        </w:numPr>
        <w:rPr>
          <w:rFonts w:ascii="Arial" w:cs="Arial" w:eastAsia="Arial" w:hAnsi="Arial"/>
          <w:sz w:val="13"/>
          <w:szCs w:val="13"/>
          <w:color w:val="auto"/>
        </w:rPr>
      </w:pPr>
      <w:r>
        <w:rPr>
          <w:rFonts w:ascii="Arial" w:cs="Arial" w:eastAsia="Arial" w:hAnsi="Arial"/>
          <w:sz w:val="13"/>
          <w:szCs w:val="13"/>
          <w:color w:val="auto"/>
        </w:rPr>
        <w:t>changes in marketing approval policies during the development period rendering our data insufficient to obtain marketing approval;</w:t>
      </w:r>
    </w:p>
    <w:p>
      <w:pPr>
        <w:spacing w:after="0" w:line="215" w:lineRule="exact"/>
        <w:rPr>
          <w:rFonts w:ascii="Arial" w:cs="Arial" w:eastAsia="Arial" w:hAnsi="Arial"/>
          <w:sz w:val="13"/>
          <w:szCs w:val="13"/>
          <w:color w:val="auto"/>
        </w:rPr>
      </w:pPr>
    </w:p>
    <w:p>
      <w:pPr>
        <w:ind w:left="620" w:hanging="281"/>
        <w:spacing w:after="0"/>
        <w:tabs>
          <w:tab w:leader="none" w:pos="6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changes in or the enactment of additional statutes or regulations;</w:t>
      </w:r>
    </w:p>
    <w:p>
      <w:pPr>
        <w:spacing w:after="0" w:line="181" w:lineRule="exact"/>
        <w:rPr>
          <w:rFonts w:ascii="Arial" w:cs="Arial" w:eastAsia="Arial" w:hAnsi="Arial"/>
          <w:sz w:val="16"/>
          <w:szCs w:val="16"/>
          <w:color w:val="auto"/>
        </w:rPr>
      </w:pPr>
    </w:p>
    <w:p>
      <w:pPr>
        <w:ind w:left="620" w:hanging="281"/>
        <w:spacing w:after="0"/>
        <w:tabs>
          <w:tab w:leader="none" w:pos="6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changes in regulatory review for each submitted product application;</w:t>
      </w:r>
    </w:p>
    <w:p>
      <w:pPr>
        <w:spacing w:after="0" w:line="181" w:lineRule="exact"/>
        <w:rPr>
          <w:rFonts w:ascii="Arial" w:cs="Arial" w:eastAsia="Arial" w:hAnsi="Arial"/>
          <w:sz w:val="16"/>
          <w:szCs w:val="16"/>
          <w:color w:val="auto"/>
        </w:rPr>
      </w:pPr>
    </w:p>
    <w:p>
      <w:pPr>
        <w:ind w:left="620" w:right="79" w:hanging="281"/>
        <w:spacing w:after="0" w:line="251" w:lineRule="auto"/>
        <w:tabs>
          <w:tab w:leader="none" w:pos="6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cost of clinical trials of our product candidates may be greater than we anticipate or we may have insufficient funds for a clinical trial or to pay the substantial user fees required by the FDA upon the filing of an NDA;</w:t>
      </w:r>
    </w:p>
    <w:p>
      <w:pPr>
        <w:spacing w:after="0" w:line="157" w:lineRule="exact"/>
        <w:rPr>
          <w:rFonts w:ascii="Arial" w:cs="Arial" w:eastAsia="Arial" w:hAnsi="Arial"/>
          <w:sz w:val="16"/>
          <w:szCs w:val="16"/>
          <w:color w:val="auto"/>
        </w:rPr>
      </w:pPr>
    </w:p>
    <w:p>
      <w:pPr>
        <w:ind w:left="620" w:right="159" w:hanging="281"/>
        <w:spacing w:after="0" w:line="251" w:lineRule="auto"/>
        <w:tabs>
          <w:tab w:leader="none" w:pos="6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supply or quality of our product candidates or other materials necessary to conduct clinical trials of our product candidates may be insufficient or inadequate;</w:t>
      </w:r>
    </w:p>
    <w:p>
      <w:pPr>
        <w:spacing w:after="0" w:line="157" w:lineRule="exact"/>
        <w:rPr>
          <w:rFonts w:ascii="Arial" w:cs="Arial" w:eastAsia="Arial" w:hAnsi="Arial"/>
          <w:sz w:val="16"/>
          <w:szCs w:val="16"/>
          <w:color w:val="auto"/>
        </w:rPr>
      </w:pPr>
    </w:p>
    <w:p>
      <w:pPr>
        <w:ind w:left="620" w:right="119" w:hanging="281"/>
        <w:spacing w:after="0" w:line="250" w:lineRule="auto"/>
        <w:tabs>
          <w:tab w:leader="none" w:pos="6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we may decide, or regulators may require us, to conduct additional clinical trials, analyses, reports, data, or preclinical/nonclinical studies than we currently plan, or we may abandon product development programs. For instance, with respect to AXS-05, we may need to conduct additional clinical and preclinical studies in addition to our Phase 3 and Phase 2 trials in order to file an NDA for this product candidate. Additionally, although we believe that we may be able to rely on the completed Phase 2 ASCEND trial and Phase 3 placebo-controlled GEMINI trial in MDD to support an NDA for AXS-05 for the treatment of MDD and on the MOMENTUM trial, which is being conducted pursuant to a Special Protocol Assessment, or SPA, to support an NDA for AXS-07 for the acute treatment of migraine, the FDA may ultimately require us to conduct additional one or more clinical studies to support the filing of an NDA for either of these product candidates. Finally, for AXS-12, we will need to conduct additional clinical studies in order to file an NDA for this product candidate. The outcome of our studies may further necessitate additional clinical or preclinical work;</w:t>
      </w:r>
    </w:p>
    <w:p>
      <w:pPr>
        <w:spacing w:after="0" w:line="160" w:lineRule="exact"/>
        <w:rPr>
          <w:rFonts w:ascii="Arial" w:cs="Arial" w:eastAsia="Arial" w:hAnsi="Arial"/>
          <w:sz w:val="15"/>
          <w:szCs w:val="15"/>
          <w:color w:val="auto"/>
        </w:rPr>
      </w:pPr>
    </w:p>
    <w:p>
      <w:pPr>
        <w:ind w:left="620" w:hanging="281"/>
        <w:spacing w:after="0"/>
        <w:tabs>
          <w:tab w:leader="none" w:pos="6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may fail to reach an agreement with regulators regarding the scope or design of our clinical trials;</w:t>
      </w:r>
    </w:p>
    <w:p>
      <w:pPr>
        <w:spacing w:after="0" w:line="181" w:lineRule="exact"/>
        <w:rPr>
          <w:rFonts w:ascii="Arial" w:cs="Arial" w:eastAsia="Arial" w:hAnsi="Arial"/>
          <w:sz w:val="16"/>
          <w:szCs w:val="16"/>
          <w:color w:val="auto"/>
        </w:rPr>
      </w:pPr>
    </w:p>
    <w:p>
      <w:pPr>
        <w:ind w:left="620" w:hanging="281"/>
        <w:spacing w:after="0"/>
        <w:tabs>
          <w:tab w:leader="none" w:pos="6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we may have delays in adding new investigators or clinical trial sites, or we may experience a withdrawal of clinical trial sites;</w:t>
      </w:r>
    </w:p>
    <w:p>
      <w:pPr>
        <w:spacing w:after="0" w:line="193" w:lineRule="exact"/>
        <w:rPr>
          <w:rFonts w:ascii="Arial" w:cs="Arial" w:eastAsia="Arial" w:hAnsi="Arial"/>
          <w:sz w:val="15"/>
          <w:szCs w:val="15"/>
          <w:color w:val="auto"/>
        </w:rPr>
      </w:pPr>
    </w:p>
    <w:p>
      <w:pPr>
        <w:ind w:left="620" w:right="139" w:hanging="281"/>
        <w:spacing w:after="0" w:line="241" w:lineRule="auto"/>
        <w:tabs>
          <w:tab w:leader="none" w:pos="6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patients that enroll in our studies may misrepresent their eligibility or may otherwise not comply with the clinical trial protocol, resulting in the need to drop the patients from the study or clinical trial, increase the needed enrollment size for the study or clinical trial, or extend the study’s or clinical trial’s duration;</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302895</wp:posOffset>
            </wp:positionV>
            <wp:extent cx="5682615" cy="222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82615" cy="22225"/>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55" w:name="page56"/>
    <w:bookmarkEnd w:id="55"/>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620" w:right="499" w:hanging="281"/>
        <w:spacing w:after="0" w:line="251" w:lineRule="auto"/>
        <w:tabs>
          <w:tab w:leader="none" w:pos="6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there may be regulatory questions regarding interpretations of data and results, or new information may emerge regarding our product candidates;</w:t>
      </w:r>
    </w:p>
    <w:p>
      <w:pPr>
        <w:spacing w:after="0" w:line="157" w:lineRule="exact"/>
        <w:rPr>
          <w:rFonts w:ascii="Arial" w:cs="Arial" w:eastAsia="Arial" w:hAnsi="Arial"/>
          <w:sz w:val="16"/>
          <w:szCs w:val="16"/>
          <w:color w:val="auto"/>
        </w:rPr>
      </w:pPr>
    </w:p>
    <w:p>
      <w:pPr>
        <w:ind w:left="620" w:right="79" w:hanging="281"/>
        <w:spacing w:after="0" w:line="253" w:lineRule="auto"/>
        <w:tabs>
          <w:tab w:leader="none" w:pos="6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FDA or comparable foreign regulatory authorities may disagree with our study design or our interpretation of data from preclinical studies and clinical trials or find that a product candidate’s benefits do not outweigh its safety risks. For instance, in our communications with the FDA, the FDA has raised questions and had comments regarding our preclinical studies and clinical trials, such as comments on the acceptability of the proposed trial designs for our product candidates, the number of patients planned for our studies, our data analysis plans, the applicability of the serum biomarkers studied in our Phase 1 study of AXS-02, the species and doses used in our preclinical studies, and the results of our preclinical studies;</w:t>
      </w:r>
    </w:p>
    <w:p>
      <w:pPr>
        <w:spacing w:after="0" w:line="158" w:lineRule="exact"/>
        <w:rPr>
          <w:rFonts w:ascii="Arial" w:cs="Arial" w:eastAsia="Arial" w:hAnsi="Arial"/>
          <w:sz w:val="15"/>
          <w:szCs w:val="15"/>
          <w:color w:val="auto"/>
        </w:rPr>
      </w:pPr>
    </w:p>
    <w:p>
      <w:pPr>
        <w:ind w:left="620" w:right="59" w:hanging="281"/>
        <w:spacing w:after="0" w:line="252" w:lineRule="auto"/>
        <w:tabs>
          <w:tab w:leader="none" w:pos="6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FDA or comparable foreign regulatory authorities may disagree with our belief that certain product attributes are advantageous or may require further study of product attributes that are different than our reference listed drugs. For instance, while we believe that certain of the pharmacokinetic results for AXS-06 are favorable, the FDA may disagree, refuse labeling claims based upon these results, or determine that additional studies are necessary to substantiate the benefits. Pharmacokinetic differences between our product candidates and the reference listed drugs, may also make bridging studies more difficult or may prevent us from using the 505(b)(2) pathway. If we are prevented from using the 505(b)(2) pathway, we will need to use the more time consuming and expensive NDA pathway to receive product approval;</w:t>
      </w:r>
    </w:p>
    <w:p>
      <w:pPr>
        <w:spacing w:after="0" w:line="158" w:lineRule="exact"/>
        <w:rPr>
          <w:rFonts w:ascii="Arial" w:cs="Arial" w:eastAsia="Arial" w:hAnsi="Arial"/>
          <w:sz w:val="15"/>
          <w:szCs w:val="15"/>
          <w:color w:val="auto"/>
        </w:rPr>
      </w:pPr>
    </w:p>
    <w:p>
      <w:pPr>
        <w:ind w:left="620" w:hanging="281"/>
        <w:spacing w:after="0"/>
        <w:tabs>
          <w:tab w:leader="none" w:pos="62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FDA or comparable foreign regulatory authorities may not accept data from studies with clinical trial sites in foreign countries;</w:t>
      </w:r>
    </w:p>
    <w:p>
      <w:pPr>
        <w:spacing w:after="0" w:line="215" w:lineRule="exact"/>
        <w:rPr>
          <w:rFonts w:ascii="Arial" w:cs="Arial" w:eastAsia="Arial" w:hAnsi="Arial"/>
          <w:sz w:val="13"/>
          <w:szCs w:val="13"/>
          <w:color w:val="auto"/>
        </w:rPr>
      </w:pPr>
    </w:p>
    <w:p>
      <w:pPr>
        <w:ind w:left="620" w:hanging="281"/>
        <w:spacing w:after="0"/>
        <w:tabs>
          <w:tab w:leader="none" w:pos="6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disagree with our intended indications;</w:t>
      </w:r>
    </w:p>
    <w:p>
      <w:pPr>
        <w:spacing w:after="0" w:line="181" w:lineRule="exact"/>
        <w:rPr>
          <w:rFonts w:ascii="Arial" w:cs="Arial" w:eastAsia="Arial" w:hAnsi="Arial"/>
          <w:sz w:val="16"/>
          <w:szCs w:val="16"/>
          <w:color w:val="auto"/>
        </w:rPr>
      </w:pPr>
    </w:p>
    <w:p>
      <w:pPr>
        <w:ind w:left="620" w:right="599" w:hanging="281"/>
        <w:spacing w:after="0" w:line="251" w:lineRule="auto"/>
        <w:tabs>
          <w:tab w:leader="none" w:pos="6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fail to approve or subsequently find fault with the manufacturing processes or our manufacturing facilities for clinical and future commercial supplies;</w:t>
      </w:r>
    </w:p>
    <w:p>
      <w:pPr>
        <w:spacing w:after="0" w:line="157" w:lineRule="exact"/>
        <w:rPr>
          <w:rFonts w:ascii="Arial" w:cs="Arial" w:eastAsia="Arial" w:hAnsi="Arial"/>
          <w:sz w:val="16"/>
          <w:szCs w:val="16"/>
          <w:color w:val="auto"/>
        </w:rPr>
      </w:pPr>
    </w:p>
    <w:p>
      <w:pPr>
        <w:ind w:left="620" w:right="179" w:hanging="281"/>
        <w:spacing w:after="0" w:line="251" w:lineRule="auto"/>
        <w:tabs>
          <w:tab w:leader="none" w:pos="6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 connection with the chemistry, manufacturing, and controls (CMC) data necessary for our NDA filings, we will need to conduct stability studies and provide stability data to establish appropriate retest or expiration dating period;</w:t>
      </w:r>
    </w:p>
    <w:p>
      <w:pPr>
        <w:spacing w:after="0" w:line="157" w:lineRule="exact"/>
        <w:rPr>
          <w:rFonts w:ascii="Arial" w:cs="Arial" w:eastAsia="Arial" w:hAnsi="Arial"/>
          <w:sz w:val="16"/>
          <w:szCs w:val="16"/>
          <w:color w:val="auto"/>
        </w:rPr>
      </w:pPr>
    </w:p>
    <w:p>
      <w:pPr>
        <w:ind w:left="620" w:right="79" w:hanging="281"/>
        <w:spacing w:after="0" w:line="258" w:lineRule="auto"/>
        <w:tabs>
          <w:tab w:leader="none" w:pos="6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applicable to all future drug substance and drug product batches manufactured, packaged, and stored under similar circumstances, to establish the long-term storage conditions, and to provide evidence of the effect of various environmental conditions on the quality of the drug substance and drug product. Our product candidates may not demonstrate sufficient long-term stability to support an NDA filing or obtain approval, or the product shelf life may be limited by stability results;</w:t>
      </w:r>
    </w:p>
    <w:p>
      <w:pPr>
        <w:spacing w:after="0" w:line="154" w:lineRule="exact"/>
        <w:rPr>
          <w:rFonts w:ascii="Arial" w:cs="Arial" w:eastAsia="Arial" w:hAnsi="Arial"/>
          <w:sz w:val="15"/>
          <w:szCs w:val="15"/>
          <w:color w:val="auto"/>
        </w:rPr>
      </w:pPr>
    </w:p>
    <w:p>
      <w:pPr>
        <w:ind w:left="620" w:right="619" w:hanging="281"/>
        <w:spacing w:after="0" w:line="251" w:lineRule="auto"/>
        <w:tabs>
          <w:tab w:leader="none" w:pos="6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take longer than we anticipate to make a decision on our product candidates; and</w:t>
      </w:r>
    </w:p>
    <w:p>
      <w:pPr>
        <w:spacing w:after="0" w:line="157" w:lineRule="exact"/>
        <w:rPr>
          <w:rFonts w:ascii="Arial" w:cs="Arial" w:eastAsia="Arial" w:hAnsi="Arial"/>
          <w:sz w:val="16"/>
          <w:szCs w:val="16"/>
          <w:color w:val="auto"/>
        </w:rPr>
      </w:pPr>
    </w:p>
    <w:p>
      <w:pPr>
        <w:ind w:left="620" w:right="79" w:hanging="281"/>
        <w:spacing w:after="0" w:line="251" w:lineRule="auto"/>
        <w:tabs>
          <w:tab w:leader="none" w:pos="6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may not be able to demonstrate that a product candidate provides an advantage over current standards of care or current or future competitive therapies in development.</w:t>
      </w:r>
    </w:p>
    <w:p>
      <w:pPr>
        <w:spacing w:after="0" w:line="157" w:lineRule="exact"/>
        <w:rPr>
          <w:sz w:val="20"/>
          <w:szCs w:val="20"/>
          <w:color w:val="auto"/>
        </w:rPr>
      </w:pPr>
    </w:p>
    <w:p>
      <w:pPr>
        <w:ind w:left="40" w:right="59" w:firstLine="566"/>
        <w:spacing w:after="0" w:line="265" w:lineRule="auto"/>
        <w:rPr>
          <w:sz w:val="20"/>
          <w:szCs w:val="20"/>
          <w:color w:val="auto"/>
        </w:rPr>
      </w:pPr>
      <w:r>
        <w:rPr>
          <w:rFonts w:ascii="Arial" w:cs="Arial" w:eastAsia="Arial" w:hAnsi="Arial"/>
          <w:sz w:val="15"/>
          <w:szCs w:val="15"/>
          <w:color w:val="auto"/>
        </w:rPr>
        <w:t>Moreover, if we are required to conduct additional clinical trials or other testing of our product candidates beyond those that we currently contemplate, if we are unable to successfully complete clinical trials or other testing of our product candidates, if the results of these trials or tests are not positive, or are only modestly positive or if there are safety concerns, we may:</w:t>
      </w:r>
    </w:p>
    <w:p>
      <w:pPr>
        <w:spacing w:after="0" w:line="148" w:lineRule="exact"/>
        <w:rPr>
          <w:sz w:val="20"/>
          <w:szCs w:val="20"/>
          <w:color w:val="auto"/>
        </w:rPr>
      </w:pPr>
    </w:p>
    <w:p>
      <w:pPr>
        <w:ind w:left="620" w:hanging="281"/>
        <w:spacing w:after="0"/>
        <w:tabs>
          <w:tab w:leader="none" w:pos="6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be delayed in obtaining marketing approval for our product candidates;</w:t>
      </w:r>
    </w:p>
    <w:p>
      <w:pPr>
        <w:spacing w:after="0" w:line="181" w:lineRule="exact"/>
        <w:rPr>
          <w:rFonts w:ascii="Arial" w:cs="Arial" w:eastAsia="Arial" w:hAnsi="Arial"/>
          <w:sz w:val="16"/>
          <w:szCs w:val="16"/>
          <w:color w:val="auto"/>
        </w:rPr>
      </w:pPr>
    </w:p>
    <w:p>
      <w:pPr>
        <w:ind w:left="620" w:hanging="281"/>
        <w:spacing w:after="0"/>
        <w:tabs>
          <w:tab w:leader="none" w:pos="6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not obtain marketing approval at all;</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302895</wp:posOffset>
            </wp:positionV>
            <wp:extent cx="5682615" cy="222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82615" cy="22225"/>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56" w:name="page57"/>
    <w:bookmarkEnd w:id="56"/>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620" w:right="699" w:hanging="281"/>
        <w:spacing w:after="0" w:line="251" w:lineRule="auto"/>
        <w:tabs>
          <w:tab w:leader="none" w:pos="6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obtain approval for indications or patient populations that are not as broad as intended or desired or are not covered by our intellectual property;</w:t>
      </w:r>
    </w:p>
    <w:p>
      <w:pPr>
        <w:spacing w:after="0" w:line="157" w:lineRule="exact"/>
        <w:rPr>
          <w:rFonts w:ascii="Arial" w:cs="Arial" w:eastAsia="Arial" w:hAnsi="Arial"/>
          <w:sz w:val="16"/>
          <w:szCs w:val="16"/>
          <w:color w:val="auto"/>
        </w:rPr>
      </w:pPr>
    </w:p>
    <w:p>
      <w:pPr>
        <w:jc w:val="both"/>
        <w:ind w:left="620" w:right="199" w:hanging="281"/>
        <w:spacing w:after="0" w:line="241" w:lineRule="auto"/>
        <w:tabs>
          <w:tab w:leader="none" w:pos="6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obtain approval with labeling that includes significant use or distribution restrictions, including restrictions on the intended patient population, or safety warnings, including boxed warnings, contraindications, and precautions, or may not include label statements necessary or desirable for successful commercialization:</w:t>
      </w:r>
    </w:p>
    <w:p>
      <w:pPr>
        <w:spacing w:after="0" w:line="164" w:lineRule="exact"/>
        <w:rPr>
          <w:rFonts w:ascii="Arial" w:cs="Arial" w:eastAsia="Arial" w:hAnsi="Arial"/>
          <w:sz w:val="16"/>
          <w:szCs w:val="16"/>
          <w:color w:val="auto"/>
        </w:rPr>
      </w:pPr>
    </w:p>
    <w:p>
      <w:pPr>
        <w:ind w:left="620" w:hanging="281"/>
        <w:spacing w:after="0"/>
        <w:tabs>
          <w:tab w:leader="none" w:pos="6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be subject to additional post-marketing testing and surveillance requirements, including REMS; or</w:t>
      </w:r>
    </w:p>
    <w:p>
      <w:pPr>
        <w:spacing w:after="0" w:line="181" w:lineRule="exact"/>
        <w:rPr>
          <w:rFonts w:ascii="Arial" w:cs="Arial" w:eastAsia="Arial" w:hAnsi="Arial"/>
          <w:sz w:val="16"/>
          <w:szCs w:val="16"/>
          <w:color w:val="auto"/>
        </w:rPr>
      </w:pPr>
    </w:p>
    <w:p>
      <w:pPr>
        <w:ind w:left="620" w:hanging="281"/>
        <w:spacing w:after="0"/>
        <w:tabs>
          <w:tab w:leader="none" w:pos="6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have the product removed from the market after obtaining marketing approval.</w:t>
      </w:r>
    </w:p>
    <w:p>
      <w:pPr>
        <w:spacing w:after="0" w:line="182" w:lineRule="exact"/>
        <w:rPr>
          <w:sz w:val="20"/>
          <w:szCs w:val="20"/>
          <w:color w:val="auto"/>
        </w:rPr>
      </w:pPr>
    </w:p>
    <w:p>
      <w:pPr>
        <w:ind w:left="40" w:right="119" w:firstLine="566"/>
        <w:spacing w:after="0" w:line="250" w:lineRule="auto"/>
        <w:rPr>
          <w:sz w:val="20"/>
          <w:szCs w:val="20"/>
          <w:color w:val="auto"/>
        </w:rPr>
      </w:pPr>
      <w:r>
        <w:rPr>
          <w:rFonts w:ascii="Arial" w:cs="Arial" w:eastAsia="Arial" w:hAnsi="Arial"/>
          <w:sz w:val="15"/>
          <w:szCs w:val="15"/>
          <w:color w:val="auto"/>
        </w:rPr>
        <w:t>Our product candidate development costs will also increase if we experience delays in testing or approvals and we may not have sufficient funding to complete the testing and approval process for any of our product candidates. We may be required to obtain additional funds to complete clinical trials and prepare for possible commercialization of our product candidates. We do not know whether any additional preclinical tests or clinical trials will be required, will begin as planned, will need to be restructured, or will be completed on schedule, or at all. Significant delays relating to any preclinical studies or clinical trials also could shorten any periods during which we may have the exclusive right to commercialize our product candidates or allow our competitors, or the competitors of our collaborators, to bring products to market before we do and impair our ability to successfully commercialize our product candidates and may harm our business and results of operations. In addition, many of the factors that cause, or lead to, such delays may ultimately lead to the denial of marketing approval of any of our product candidates. If any of this occurs, our business, financial condition, results of operations, and prospects will be materially harmed.</w:t>
      </w:r>
    </w:p>
    <w:p>
      <w:pPr>
        <w:spacing w:after="0" w:line="160" w:lineRule="exact"/>
        <w:rPr>
          <w:sz w:val="20"/>
          <w:szCs w:val="20"/>
          <w:color w:val="auto"/>
        </w:rPr>
      </w:pPr>
    </w:p>
    <w:p>
      <w:pPr>
        <w:ind w:left="40" w:right="79" w:firstLine="566"/>
        <w:spacing w:after="0" w:line="297" w:lineRule="auto"/>
        <w:rPr>
          <w:sz w:val="20"/>
          <w:szCs w:val="20"/>
          <w:color w:val="auto"/>
        </w:rPr>
      </w:pPr>
      <w:r>
        <w:rPr>
          <w:rFonts w:ascii="Arial" w:cs="Arial" w:eastAsia="Arial" w:hAnsi="Arial"/>
          <w:sz w:val="13"/>
          <w:szCs w:val="13"/>
          <w:color w:val="auto"/>
        </w:rPr>
        <w:t>Regulatory authorities have substantial discretion in the approval process and may refuse to accept any application or may decide that our data are insufficient for approval and require additional preclinical studies, clinical trials, or other studies. In addition, varying interpretations of the data obtained from preclinical and clinical testing could delay, limit, or prevent marketing approval of a product candidate. During the course of review, the FDA may also request or require additional CMC, or other data and information, and the development and provision of these data and information may be time consuming and expensive. Furthermore, there is the possibility that the FDA or comparable foreign regulatory authorities have not previously reviewed product candidates for the indications we are pursuing, such as agitation associated with AD. As a result, we may experience delays in regulatory approval due to uncertainties in the approval process.</w:t>
      </w:r>
    </w:p>
    <w:p>
      <w:pPr>
        <w:spacing w:after="0" w:line="120" w:lineRule="exact"/>
        <w:rPr>
          <w:sz w:val="20"/>
          <w:szCs w:val="20"/>
          <w:color w:val="auto"/>
        </w:rPr>
      </w:pPr>
    </w:p>
    <w:p>
      <w:pPr>
        <w:ind w:left="40" w:right="259" w:firstLine="566"/>
        <w:spacing w:after="0" w:line="253" w:lineRule="auto"/>
        <w:rPr>
          <w:sz w:val="20"/>
          <w:szCs w:val="20"/>
          <w:color w:val="auto"/>
        </w:rPr>
      </w:pPr>
      <w:r>
        <w:rPr>
          <w:rFonts w:ascii="Arial" w:cs="Arial" w:eastAsia="Arial" w:hAnsi="Arial"/>
          <w:sz w:val="15"/>
          <w:szCs w:val="15"/>
          <w:color w:val="auto"/>
        </w:rPr>
        <w:t>Finally, even if we were to obtain approval, regulatory authorities may approve any of our product candidates for fewer or more limited indications or uses than we request, may contain significant safety warnings, including black box warnings, contraindications, and precautions, may grant approval contingent on the performance of costly post-marketing clinical trials, surveillance, or other requirements, including REMS to monitor the safety or efficacy of the product, or may approve a product candidate with a label that does not include the labeling claims necessary or desirable for the successful commercialization of that product candidate. Any of these scenarios could compromise the commercial prospects for our product candidates.</w:t>
      </w:r>
    </w:p>
    <w:p>
      <w:pPr>
        <w:spacing w:after="0" w:line="159" w:lineRule="exact"/>
        <w:rPr>
          <w:sz w:val="20"/>
          <w:szCs w:val="20"/>
          <w:color w:val="auto"/>
        </w:rPr>
      </w:pPr>
    </w:p>
    <w:p>
      <w:pPr>
        <w:ind w:left="40" w:right="359" w:firstLine="566"/>
        <w:spacing w:after="0" w:line="238" w:lineRule="auto"/>
        <w:rPr>
          <w:sz w:val="20"/>
          <w:szCs w:val="20"/>
          <w:color w:val="auto"/>
        </w:rPr>
      </w:pPr>
      <w:r>
        <w:rPr>
          <w:rFonts w:ascii="Arial" w:cs="Arial" w:eastAsia="Arial" w:hAnsi="Arial"/>
          <w:sz w:val="16"/>
          <w:szCs w:val="16"/>
          <w:color w:val="auto"/>
        </w:rPr>
        <w:t>If we experience delays in obtaining approval, if we fail to obtain approval of a product candidate or if the label for a product candidate does not include the labeling claims necessary or desirable for the successful commercialization of that product candidate, the commercial prospects for such product candidate may be harmed and our ability to generate revenues from that product candidate will be materially impaired.</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302895</wp:posOffset>
            </wp:positionV>
            <wp:extent cx="5682615" cy="222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82615" cy="22225"/>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57" w:name="page58"/>
    <w:bookmarkEnd w:id="57"/>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 w:right="139"/>
        <w:spacing w:after="0" w:line="251" w:lineRule="auto"/>
        <w:rPr>
          <w:sz w:val="20"/>
          <w:szCs w:val="20"/>
          <w:color w:val="auto"/>
        </w:rPr>
      </w:pPr>
      <w:r>
        <w:rPr>
          <w:rFonts w:ascii="Arial" w:cs="Arial" w:eastAsia="Arial" w:hAnsi="Arial"/>
          <w:sz w:val="16"/>
          <w:szCs w:val="16"/>
          <w:b w:val="1"/>
          <w:bCs w:val="1"/>
          <w:i w:val="1"/>
          <w:iCs w:val="1"/>
          <w:color w:val="auto"/>
        </w:rPr>
        <w:t>If we cannot demonstrate an acceptable safety and toxicity profile for our product candidates, we will not be able to continue our clinical trials of or obtain approval for those product candidates.</w:t>
      </w:r>
    </w:p>
    <w:p>
      <w:pPr>
        <w:spacing w:after="0" w:line="157" w:lineRule="exact"/>
        <w:rPr>
          <w:sz w:val="20"/>
          <w:szCs w:val="20"/>
          <w:color w:val="auto"/>
        </w:rPr>
      </w:pPr>
    </w:p>
    <w:p>
      <w:pPr>
        <w:ind w:left="40" w:right="139" w:firstLine="566"/>
        <w:spacing w:after="0" w:line="252" w:lineRule="auto"/>
        <w:rPr>
          <w:sz w:val="20"/>
          <w:szCs w:val="20"/>
          <w:color w:val="auto"/>
        </w:rPr>
      </w:pPr>
      <w:r>
        <w:rPr>
          <w:rFonts w:ascii="Arial" w:cs="Arial" w:eastAsia="Arial" w:hAnsi="Arial"/>
          <w:sz w:val="15"/>
          <w:szCs w:val="15"/>
          <w:color w:val="auto"/>
        </w:rPr>
        <w:t>In order to obtain approval of a product candidate we must demonstrate safety in various nonclinical tests (including, for example, carcinogenicity studies, drug-drug interaction studies, and toxicity studies), in addition to human clinical trials. At the time of initiating human clinical trials, we may not have conducted or may not conduct all the types of nonclinical testing ultimately required by regulatory authorities, or future nonclinical tests may indicate safety concerns regarding our product candidates. Nonclinical testing and clinical testing are both expensive and time-consuming and have uncertain outcomes. Even if initial tests appear favorable, later testing may have unfavorable results. We may experience numerous unforeseen events during, or as a result of, the testing process, which could delay or prevent our ability to develop or commercialize our product candidates, including:</w:t>
      </w:r>
    </w:p>
    <w:p>
      <w:pPr>
        <w:spacing w:after="0" w:line="159" w:lineRule="exact"/>
        <w:rPr>
          <w:sz w:val="20"/>
          <w:szCs w:val="20"/>
          <w:color w:val="auto"/>
        </w:rPr>
      </w:pPr>
    </w:p>
    <w:p>
      <w:pPr>
        <w:ind w:left="620" w:right="39" w:hanging="281"/>
        <w:spacing w:after="0" w:line="251" w:lineRule="auto"/>
        <w:tabs>
          <w:tab w:leader="none" w:pos="6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preclinical or nonclinical testing may product inconclusive or negative safety results, which may require us to conduct additional nonclinical testing or to abandon product candidates;</w:t>
      </w:r>
    </w:p>
    <w:p>
      <w:pPr>
        <w:spacing w:after="0" w:line="157" w:lineRule="exact"/>
        <w:rPr>
          <w:rFonts w:ascii="Arial" w:cs="Arial" w:eastAsia="Arial" w:hAnsi="Arial"/>
          <w:sz w:val="16"/>
          <w:szCs w:val="16"/>
          <w:color w:val="auto"/>
        </w:rPr>
      </w:pPr>
    </w:p>
    <w:p>
      <w:pPr>
        <w:ind w:left="620" w:hanging="281"/>
        <w:spacing w:after="0"/>
        <w:tabs>
          <w:tab w:leader="none" w:pos="6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our product candidates may have unfavorable pharmacology or toxicity characteristics or suggest possible drug-drug interaction;</w:t>
      </w:r>
    </w:p>
    <w:p>
      <w:pPr>
        <w:spacing w:after="0" w:line="215" w:lineRule="exact"/>
        <w:rPr>
          <w:rFonts w:ascii="Arial" w:cs="Arial" w:eastAsia="Arial" w:hAnsi="Arial"/>
          <w:sz w:val="13"/>
          <w:szCs w:val="13"/>
          <w:color w:val="auto"/>
        </w:rPr>
      </w:pPr>
    </w:p>
    <w:p>
      <w:pPr>
        <w:ind w:left="620" w:hanging="281"/>
        <w:spacing w:after="0"/>
        <w:tabs>
          <w:tab w:leader="none" w:pos="6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product candidates may cause undesirable side effects; and</w:t>
      </w:r>
    </w:p>
    <w:p>
      <w:pPr>
        <w:spacing w:after="0" w:line="181" w:lineRule="exact"/>
        <w:rPr>
          <w:rFonts w:ascii="Arial" w:cs="Arial" w:eastAsia="Arial" w:hAnsi="Arial"/>
          <w:sz w:val="16"/>
          <w:szCs w:val="16"/>
          <w:color w:val="auto"/>
        </w:rPr>
      </w:pPr>
    </w:p>
    <w:p>
      <w:pPr>
        <w:ind w:left="620" w:hanging="281"/>
        <w:spacing w:after="0"/>
        <w:tabs>
          <w:tab w:leader="none" w:pos="6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FDA or other regulatory authorities may determine that additional safety testing is required.</w:t>
      </w:r>
    </w:p>
    <w:p>
      <w:pPr>
        <w:spacing w:after="0" w:line="182" w:lineRule="exact"/>
        <w:rPr>
          <w:sz w:val="20"/>
          <w:szCs w:val="20"/>
          <w:color w:val="auto"/>
        </w:rPr>
      </w:pPr>
    </w:p>
    <w:p>
      <w:pPr>
        <w:ind w:left="40" w:right="339" w:firstLine="566"/>
        <w:spacing w:after="0" w:line="251" w:lineRule="auto"/>
        <w:rPr>
          <w:sz w:val="20"/>
          <w:szCs w:val="20"/>
          <w:color w:val="auto"/>
        </w:rPr>
      </w:pPr>
      <w:r>
        <w:rPr>
          <w:rFonts w:ascii="Arial" w:cs="Arial" w:eastAsia="Arial" w:hAnsi="Arial"/>
          <w:sz w:val="16"/>
          <w:szCs w:val="16"/>
          <w:color w:val="auto"/>
        </w:rPr>
        <w:t>Any such events would increase our costs and could delay or prevent our ability to commercialize our product candidates, which could adversely impact our business, financial condition and results of operation.</w:t>
      </w:r>
    </w:p>
    <w:p>
      <w:pPr>
        <w:spacing w:after="0" w:line="157" w:lineRule="exact"/>
        <w:rPr>
          <w:sz w:val="20"/>
          <w:szCs w:val="20"/>
          <w:color w:val="auto"/>
        </w:rPr>
      </w:pPr>
    </w:p>
    <w:p>
      <w:pPr>
        <w:ind w:left="40" w:right="299"/>
        <w:spacing w:after="0" w:line="251" w:lineRule="auto"/>
        <w:rPr>
          <w:sz w:val="20"/>
          <w:szCs w:val="20"/>
          <w:color w:val="auto"/>
        </w:rPr>
      </w:pPr>
      <w:r>
        <w:rPr>
          <w:rFonts w:ascii="Arial" w:cs="Arial" w:eastAsia="Arial" w:hAnsi="Arial"/>
          <w:sz w:val="16"/>
          <w:szCs w:val="16"/>
          <w:b w:val="1"/>
          <w:bCs w:val="1"/>
          <w:i w:val="1"/>
          <w:iCs w:val="1"/>
          <w:color w:val="auto"/>
        </w:rPr>
        <w:t>The FDA may determine that any of our current or future product candidates have undesirable side effects that could delay or prevent their regulatory approval or commercialization.</w:t>
      </w:r>
    </w:p>
    <w:p>
      <w:pPr>
        <w:spacing w:after="0" w:line="157" w:lineRule="exact"/>
        <w:rPr>
          <w:sz w:val="20"/>
          <w:szCs w:val="20"/>
          <w:color w:val="auto"/>
        </w:rPr>
      </w:pPr>
    </w:p>
    <w:p>
      <w:pPr>
        <w:ind w:left="40" w:right="139" w:firstLine="566"/>
        <w:spacing w:after="0" w:line="235" w:lineRule="auto"/>
        <w:rPr>
          <w:sz w:val="20"/>
          <w:szCs w:val="20"/>
          <w:color w:val="auto"/>
        </w:rPr>
      </w:pPr>
      <w:r>
        <w:rPr>
          <w:rFonts w:ascii="Arial" w:cs="Arial" w:eastAsia="Arial" w:hAnsi="Arial"/>
          <w:sz w:val="16"/>
          <w:szCs w:val="16"/>
          <w:color w:val="auto"/>
        </w:rPr>
        <w:t>Undesirable side effects caused by our product candidates could cause us, IRBs, and other reviewing entities or regulatory authorities to interrupt, delay, or halt clinical trials and could result in a more restrictive label or the delay or denial of regulatory approval by the FDA or other comparable foreign authorities. For example, if concerns are raised regarding the safety of a new drug as a result of undesirable side effects identified during clinical or preclinical testing, the FDA may order us to cease further development, decline to approve the drug, or issue a letter requesting additional data or information prior to making a final decision regarding whether or not to approve the drug.</w:t>
      </w:r>
    </w:p>
    <w:p>
      <w:pPr>
        <w:spacing w:after="0" w:line="169" w:lineRule="exact"/>
        <w:rPr>
          <w:sz w:val="20"/>
          <w:szCs w:val="20"/>
          <w:color w:val="auto"/>
        </w:rPr>
      </w:pPr>
    </w:p>
    <w:p>
      <w:pPr>
        <w:ind w:left="40" w:right="119" w:firstLine="566"/>
        <w:spacing w:after="0" w:line="296" w:lineRule="auto"/>
        <w:rPr>
          <w:sz w:val="20"/>
          <w:szCs w:val="20"/>
          <w:color w:val="auto"/>
        </w:rPr>
      </w:pPr>
      <w:r>
        <w:rPr>
          <w:rFonts w:ascii="Arial" w:cs="Arial" w:eastAsia="Arial" w:hAnsi="Arial"/>
          <w:sz w:val="13"/>
          <w:szCs w:val="13"/>
          <w:color w:val="auto"/>
        </w:rPr>
        <w:t>The number of requests for additional data or information issued by the FDA in recent years has increased, and resulted in substantial delays in the approval of several new drugs. Undesirable side effects caused by any of our current or future product candidates could also result in denial of regulatory approval by the FDA or other comparable foreign authorities for any or all targeted indications or the inclusion of unfavorable information in our product labeling, such as limitations on the indicated uses for which the products may be marketed or distributed, a label with significant safety warnings, including boxed warnings, contraindications, and precautions, a label without statements necessary or desirable for successful commercialization, or may result in requirements for costly post-marketing testing and surveillance, or other requirements, including REMS, to monitor the safety or efficacy of the products, and in turn prevent us from commercializing and generating revenues from the sale of any of our current or future product candidates.</w:t>
      </w:r>
    </w:p>
    <w:p>
      <w:pPr>
        <w:spacing w:after="0" w:line="313" w:lineRule="exact"/>
        <w:rPr>
          <w:sz w:val="20"/>
          <w:szCs w:val="20"/>
          <w:color w:val="auto"/>
        </w:rPr>
      </w:pPr>
    </w:p>
    <w:p>
      <w:pPr>
        <w:ind w:left="40" w:right="159" w:firstLine="566"/>
        <w:spacing w:after="0" w:line="295" w:lineRule="auto"/>
        <w:rPr>
          <w:sz w:val="20"/>
          <w:szCs w:val="20"/>
          <w:color w:val="auto"/>
        </w:rPr>
      </w:pPr>
      <w:r>
        <w:rPr>
          <w:rFonts w:ascii="Arial" w:cs="Arial" w:eastAsia="Arial" w:hAnsi="Arial"/>
          <w:sz w:val="13"/>
          <w:szCs w:val="13"/>
          <w:color w:val="auto"/>
        </w:rPr>
        <w:t>To date, the most commonly reported adverse events observed in the completed clinical trials of AXS-05 include nausea, dizziness, dry mouth, decreased appetite, somnolence, and anxiety. Some reported adverse events resulted in discontinuations from our trials of AXS-</w:t>
      </w:r>
    </w:p>
    <w:p>
      <w:pPr>
        <w:ind w:left="40" w:right="239" w:hanging="7"/>
        <w:spacing w:after="0" w:line="234" w:lineRule="auto"/>
        <w:tabs>
          <w:tab w:leader="none" w:pos="276"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most frequent adverse events resulting in discontinuation included anxiety, dizziness, disturbance in attention, initial insomnia, and nausea. AXS-05 consists of DM and bupropion, and this combination may exacerbate any known adverse events for each individual component, or may result in new toxicities as compared to those of the individual components.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302895</wp:posOffset>
            </wp:positionV>
            <wp:extent cx="5682615" cy="222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82615" cy="22225"/>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58" w:name="page59"/>
    <w:bookmarkEnd w:id="58"/>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ind w:left="40" w:right="79" w:firstLine="566"/>
        <w:spacing w:after="0" w:line="324" w:lineRule="auto"/>
        <w:rPr>
          <w:sz w:val="20"/>
          <w:szCs w:val="20"/>
          <w:color w:val="auto"/>
        </w:rPr>
      </w:pPr>
      <w:r>
        <w:rPr>
          <w:rFonts w:ascii="Arial" w:cs="Arial" w:eastAsia="Arial" w:hAnsi="Arial"/>
          <w:sz w:val="13"/>
          <w:szCs w:val="13"/>
          <w:color w:val="auto"/>
        </w:rPr>
        <w:t>To date, the most commonly reported adverse events observed in the completed clinical trials of AXS-07 include nausea, dizziness, somnolence, and paresthesia. AXS-07 consists of meloxicam and rizatriptan, and this combination may exacerbate any known adverse events for each individual component, or may result in new toxicities as compared to those of the individual components.</w:t>
      </w:r>
    </w:p>
    <w:p>
      <w:pPr>
        <w:spacing w:after="0" w:line="114" w:lineRule="exact"/>
        <w:rPr>
          <w:sz w:val="20"/>
          <w:szCs w:val="20"/>
          <w:color w:val="auto"/>
        </w:rPr>
      </w:pPr>
    </w:p>
    <w:p>
      <w:pPr>
        <w:ind w:left="40" w:right="859" w:firstLine="566"/>
        <w:spacing w:after="0" w:line="251" w:lineRule="auto"/>
        <w:rPr>
          <w:sz w:val="20"/>
          <w:szCs w:val="20"/>
          <w:color w:val="auto"/>
        </w:rPr>
      </w:pPr>
      <w:r>
        <w:rPr>
          <w:rFonts w:ascii="Arial" w:cs="Arial" w:eastAsia="Arial" w:hAnsi="Arial"/>
          <w:sz w:val="16"/>
          <w:szCs w:val="16"/>
          <w:color w:val="auto"/>
        </w:rPr>
        <w:t>To date, the most commonly reported adverse events observed in the completed clinical trial of AXS-12 include anxiety, constipation, and insomnia.</w:t>
      </w:r>
    </w:p>
    <w:p>
      <w:pPr>
        <w:spacing w:after="0" w:line="157" w:lineRule="exact"/>
        <w:rPr>
          <w:sz w:val="20"/>
          <w:szCs w:val="20"/>
          <w:color w:val="auto"/>
        </w:rPr>
      </w:pPr>
    </w:p>
    <w:p>
      <w:pPr>
        <w:ind w:left="40" w:right="99" w:firstLine="566"/>
        <w:spacing w:after="0" w:line="304" w:lineRule="auto"/>
        <w:rPr>
          <w:sz w:val="20"/>
          <w:szCs w:val="20"/>
          <w:color w:val="auto"/>
        </w:rPr>
      </w:pPr>
      <w:r>
        <w:rPr>
          <w:rFonts w:ascii="Arial" w:cs="Arial" w:eastAsia="Arial" w:hAnsi="Arial"/>
          <w:sz w:val="13"/>
          <w:szCs w:val="13"/>
          <w:color w:val="auto"/>
        </w:rPr>
        <w:t>If any of our other product candidates is associated with serious adverse events or undesirable side effects or have properties that are unexpected, we may need to abandon development or limit development of that product candidate to certain uses or subpopulations in which the undesirable side effects or other characteristics are less prevalent, less severe, or more acceptable from a risk-benefit perspective. The drug-related side effects could affect patient recruitment or the ability of enrolled patients to complete the trial or result in potential product liability claims. Any of these occurrences may significantly harm our business, financial condition, results of operations, and prospects.</w:t>
      </w:r>
    </w:p>
    <w:p>
      <w:pPr>
        <w:spacing w:after="0" w:line="126" w:lineRule="exact"/>
        <w:rPr>
          <w:sz w:val="20"/>
          <w:szCs w:val="20"/>
          <w:color w:val="auto"/>
        </w:rPr>
      </w:pPr>
    </w:p>
    <w:p>
      <w:pPr>
        <w:ind w:left="40" w:right="59"/>
        <w:spacing w:after="0" w:line="251" w:lineRule="auto"/>
        <w:rPr>
          <w:sz w:val="20"/>
          <w:szCs w:val="20"/>
          <w:color w:val="auto"/>
        </w:rPr>
      </w:pPr>
      <w:r>
        <w:rPr>
          <w:rFonts w:ascii="Arial" w:cs="Arial" w:eastAsia="Arial" w:hAnsi="Arial"/>
          <w:sz w:val="16"/>
          <w:szCs w:val="16"/>
          <w:b w:val="1"/>
          <w:bCs w:val="1"/>
          <w:i w:val="1"/>
          <w:iCs w:val="1"/>
          <w:color w:val="auto"/>
        </w:rPr>
        <w:t>If we experience delays or difficulties in the enrollment of patients in clinical trials, our receipt of necessary regulatory approvals could be delayed or prevented.</w:t>
      </w:r>
    </w:p>
    <w:p>
      <w:pPr>
        <w:spacing w:after="0" w:line="157" w:lineRule="exact"/>
        <w:rPr>
          <w:sz w:val="20"/>
          <w:szCs w:val="20"/>
          <w:color w:val="auto"/>
        </w:rPr>
      </w:pPr>
    </w:p>
    <w:p>
      <w:pPr>
        <w:ind w:left="40" w:right="79" w:firstLine="566"/>
        <w:spacing w:after="0" w:line="255" w:lineRule="auto"/>
        <w:rPr>
          <w:sz w:val="20"/>
          <w:szCs w:val="20"/>
          <w:color w:val="auto"/>
        </w:rPr>
      </w:pPr>
      <w:r>
        <w:rPr>
          <w:rFonts w:ascii="Arial" w:cs="Arial" w:eastAsia="Arial" w:hAnsi="Arial"/>
          <w:sz w:val="15"/>
          <w:szCs w:val="15"/>
          <w:color w:val="auto"/>
        </w:rPr>
        <w:t>We may not be able to initiate or continue conducting clinical trials for our product candidates if we are unable to locate and enroll a sufficient number of eligible patients to participate in these trials as required by the FDA or similar regulatory authorities outside the United States. Some of our competitors have ongoing clinical trials for product candidates that treat the same indications as our product candidates, and patients who would otherwise be eligible for our clinical trials may instead enroll in clinical trials of our competitors’ product candidates. Patient enrollment is affected by other factors including:</w:t>
      </w:r>
    </w:p>
    <w:p>
      <w:pPr>
        <w:spacing w:after="0" w:line="157" w:lineRule="exact"/>
        <w:rPr>
          <w:sz w:val="20"/>
          <w:szCs w:val="20"/>
          <w:color w:val="auto"/>
        </w:rPr>
      </w:pPr>
    </w:p>
    <w:p>
      <w:pPr>
        <w:ind w:left="620" w:hanging="281"/>
        <w:spacing w:after="0"/>
        <w:tabs>
          <w:tab w:leader="none" w:pos="6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size and nature of the patient population;</w:t>
      </w:r>
    </w:p>
    <w:p>
      <w:pPr>
        <w:spacing w:after="0" w:line="181" w:lineRule="exact"/>
        <w:rPr>
          <w:rFonts w:ascii="Arial" w:cs="Arial" w:eastAsia="Arial" w:hAnsi="Arial"/>
          <w:sz w:val="16"/>
          <w:szCs w:val="16"/>
          <w:color w:val="auto"/>
        </w:rPr>
      </w:pPr>
    </w:p>
    <w:p>
      <w:pPr>
        <w:ind w:left="620" w:hanging="281"/>
        <w:spacing w:after="0"/>
        <w:tabs>
          <w:tab w:leader="none" w:pos="6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severity of the disease under investigation;</w:t>
      </w:r>
    </w:p>
    <w:p>
      <w:pPr>
        <w:spacing w:after="0" w:line="181" w:lineRule="exact"/>
        <w:rPr>
          <w:rFonts w:ascii="Arial" w:cs="Arial" w:eastAsia="Arial" w:hAnsi="Arial"/>
          <w:sz w:val="16"/>
          <w:szCs w:val="16"/>
          <w:color w:val="auto"/>
        </w:rPr>
      </w:pPr>
    </w:p>
    <w:p>
      <w:pPr>
        <w:ind w:left="620" w:right="259" w:hanging="281"/>
        <w:spacing w:after="0" w:line="251" w:lineRule="auto"/>
        <w:tabs>
          <w:tab w:leader="none" w:pos="6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eligibility criteria for, and design of, the clinical trial in question, including factors such as frequency of required assessments, length of the study, and ongoing monitoring requirements;</w:t>
      </w:r>
    </w:p>
    <w:p>
      <w:pPr>
        <w:spacing w:after="0" w:line="157" w:lineRule="exact"/>
        <w:rPr>
          <w:rFonts w:ascii="Arial" w:cs="Arial" w:eastAsia="Arial" w:hAnsi="Arial"/>
          <w:sz w:val="16"/>
          <w:szCs w:val="16"/>
          <w:color w:val="auto"/>
        </w:rPr>
      </w:pPr>
    </w:p>
    <w:p>
      <w:pPr>
        <w:ind w:left="620" w:right="359" w:hanging="281"/>
        <w:spacing w:after="0" w:line="251" w:lineRule="auto"/>
        <w:tabs>
          <w:tab w:leader="none" w:pos="6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perceived risks and benefits of the product candidate under study, including the potential advantages or disadvantages of the product candidate being studied in relation to other available therapies;</w:t>
      </w:r>
    </w:p>
    <w:p>
      <w:pPr>
        <w:spacing w:after="0" w:line="157" w:lineRule="exact"/>
        <w:rPr>
          <w:rFonts w:ascii="Arial" w:cs="Arial" w:eastAsia="Arial" w:hAnsi="Arial"/>
          <w:sz w:val="16"/>
          <w:szCs w:val="16"/>
          <w:color w:val="auto"/>
        </w:rPr>
      </w:pPr>
    </w:p>
    <w:p>
      <w:pPr>
        <w:ind w:left="620" w:hanging="281"/>
        <w:spacing w:after="0"/>
        <w:tabs>
          <w:tab w:leader="none" w:pos="6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competition in recruiting and enrolling patients in clinical trials;</w:t>
      </w:r>
    </w:p>
    <w:p>
      <w:pPr>
        <w:spacing w:after="0" w:line="181" w:lineRule="exact"/>
        <w:rPr>
          <w:rFonts w:ascii="Arial" w:cs="Arial" w:eastAsia="Arial" w:hAnsi="Arial"/>
          <w:sz w:val="16"/>
          <w:szCs w:val="16"/>
          <w:color w:val="auto"/>
        </w:rPr>
      </w:pPr>
    </w:p>
    <w:p>
      <w:pPr>
        <w:ind w:left="620" w:hanging="281"/>
        <w:spacing w:after="0"/>
        <w:tabs>
          <w:tab w:leader="none" w:pos="6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efforts to facilitate timely enrollment in clinical trials;</w:t>
      </w:r>
    </w:p>
    <w:p>
      <w:pPr>
        <w:spacing w:after="0" w:line="181" w:lineRule="exact"/>
        <w:rPr>
          <w:rFonts w:ascii="Arial" w:cs="Arial" w:eastAsia="Arial" w:hAnsi="Arial"/>
          <w:sz w:val="16"/>
          <w:szCs w:val="16"/>
          <w:color w:val="auto"/>
        </w:rPr>
      </w:pPr>
    </w:p>
    <w:p>
      <w:pPr>
        <w:ind w:left="620" w:hanging="281"/>
        <w:spacing w:after="0"/>
        <w:tabs>
          <w:tab w:leader="none" w:pos="6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patient referral practices of physicians;</w:t>
      </w:r>
    </w:p>
    <w:p>
      <w:pPr>
        <w:spacing w:after="0" w:line="181" w:lineRule="exact"/>
        <w:rPr>
          <w:rFonts w:ascii="Arial" w:cs="Arial" w:eastAsia="Arial" w:hAnsi="Arial"/>
          <w:sz w:val="16"/>
          <w:szCs w:val="16"/>
          <w:color w:val="auto"/>
        </w:rPr>
      </w:pPr>
    </w:p>
    <w:p>
      <w:pPr>
        <w:ind w:left="620" w:hanging="281"/>
        <w:spacing w:after="0"/>
        <w:tabs>
          <w:tab w:leader="none" w:pos="6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effectiveness of publicity created by clinical trial sites regarding the trial;</w:t>
      </w:r>
    </w:p>
    <w:p>
      <w:pPr>
        <w:spacing w:after="0" w:line="181" w:lineRule="exact"/>
        <w:rPr>
          <w:rFonts w:ascii="Arial" w:cs="Arial" w:eastAsia="Arial" w:hAnsi="Arial"/>
          <w:sz w:val="16"/>
          <w:szCs w:val="16"/>
          <w:color w:val="auto"/>
        </w:rPr>
      </w:pPr>
    </w:p>
    <w:p>
      <w:pPr>
        <w:ind w:left="620" w:right="439" w:hanging="281"/>
        <w:spacing w:after="0" w:line="251" w:lineRule="auto"/>
        <w:tabs>
          <w:tab w:leader="none" w:pos="6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patients’ ability to comply with the specific instructions related to the trial protocol, proper documentation, and use of the drug product;</w:t>
      </w:r>
    </w:p>
    <w:p>
      <w:pPr>
        <w:spacing w:after="0" w:line="157" w:lineRule="exact"/>
        <w:rPr>
          <w:rFonts w:ascii="Arial" w:cs="Arial" w:eastAsia="Arial" w:hAnsi="Arial"/>
          <w:sz w:val="16"/>
          <w:szCs w:val="16"/>
          <w:color w:val="auto"/>
        </w:rPr>
      </w:pPr>
    </w:p>
    <w:p>
      <w:pPr>
        <w:ind w:left="620" w:hanging="281"/>
        <w:spacing w:after="0"/>
        <w:tabs>
          <w:tab w:leader="none" w:pos="6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inability to obtain or maintain patient informed consents;</w:t>
      </w:r>
    </w:p>
    <w:p>
      <w:pPr>
        <w:spacing w:after="0" w:line="181" w:lineRule="exact"/>
        <w:rPr>
          <w:rFonts w:ascii="Arial" w:cs="Arial" w:eastAsia="Arial" w:hAnsi="Arial"/>
          <w:sz w:val="16"/>
          <w:szCs w:val="16"/>
          <w:color w:val="auto"/>
        </w:rPr>
      </w:pPr>
    </w:p>
    <w:p>
      <w:pPr>
        <w:ind w:left="620" w:hanging="281"/>
        <w:spacing w:after="0"/>
        <w:tabs>
          <w:tab w:leader="none" w:pos="6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risk that enrolled patients will drop out before completion;</w:t>
      </w:r>
    </w:p>
    <w:p>
      <w:pPr>
        <w:spacing w:after="0" w:line="169" w:lineRule="exact"/>
        <w:rPr>
          <w:rFonts w:ascii="Arial" w:cs="Arial" w:eastAsia="Arial" w:hAnsi="Arial"/>
          <w:sz w:val="16"/>
          <w:szCs w:val="16"/>
          <w:color w:val="auto"/>
        </w:rPr>
      </w:pPr>
    </w:p>
    <w:p>
      <w:pPr>
        <w:ind w:left="620" w:hanging="281"/>
        <w:spacing w:after="0"/>
        <w:tabs>
          <w:tab w:leader="none" w:pos="6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ability to monitor patients adequately during and after treatment; and</w:t>
      </w:r>
    </w:p>
    <w:p>
      <w:pPr>
        <w:spacing w:after="0" w:line="181" w:lineRule="exact"/>
        <w:rPr>
          <w:rFonts w:ascii="Arial" w:cs="Arial" w:eastAsia="Arial" w:hAnsi="Arial"/>
          <w:sz w:val="16"/>
          <w:szCs w:val="16"/>
          <w:color w:val="auto"/>
        </w:rPr>
      </w:pPr>
    </w:p>
    <w:p>
      <w:pPr>
        <w:ind w:left="620" w:hanging="281"/>
        <w:spacing w:after="0"/>
        <w:tabs>
          <w:tab w:leader="none" w:pos="6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proximity and availability of clinical trial sites for prospective patients.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302895</wp:posOffset>
            </wp:positionV>
            <wp:extent cx="5682615" cy="222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82615" cy="22225"/>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59" w:name="page60"/>
    <w:bookmarkEnd w:id="59"/>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 w:right="59" w:firstLine="566"/>
        <w:spacing w:after="0" w:line="297" w:lineRule="auto"/>
        <w:rPr>
          <w:sz w:val="20"/>
          <w:szCs w:val="20"/>
          <w:color w:val="auto"/>
        </w:rPr>
      </w:pPr>
      <w:r>
        <w:rPr>
          <w:rFonts w:ascii="Arial" w:cs="Arial" w:eastAsia="Arial" w:hAnsi="Arial"/>
          <w:sz w:val="13"/>
          <w:szCs w:val="13"/>
          <w:color w:val="auto"/>
        </w:rPr>
        <w:t>Our inability to enroll a sufficient number of patients for our clinical trials would result in significant delays which would cause us to miss our projected timelines and could require us to abandon one or more clinical trials altogether. For instance, because we are seeking regulatory approval for certain indications that may have a narrow or small patient population, it may be difficult to find patients eligible to participate in our clinical studies at a sufficient rate or in a sufficient quantity. We may be required by the FDA to modify the entry criteria for our planned Phase 3 clinical trials and these changes may make it more difficult to enroll patients in our clinical trials. Moreover, patients in our clinical trials, especially patients in our control groups, may be at risk for dropping out of our studies if they are not experiencing relief of their symptoms. A significant number of withdrawn patients would compromise the quality of our data.</w:t>
      </w:r>
    </w:p>
    <w:p>
      <w:pPr>
        <w:spacing w:after="0" w:line="132" w:lineRule="exact"/>
        <w:rPr>
          <w:sz w:val="20"/>
          <w:szCs w:val="20"/>
          <w:color w:val="auto"/>
        </w:rPr>
      </w:pPr>
    </w:p>
    <w:p>
      <w:pPr>
        <w:ind w:left="40" w:right="99" w:firstLine="566"/>
        <w:spacing w:after="0" w:line="241" w:lineRule="auto"/>
        <w:rPr>
          <w:sz w:val="20"/>
          <w:szCs w:val="20"/>
          <w:color w:val="auto"/>
        </w:rPr>
      </w:pPr>
      <w:r>
        <w:rPr>
          <w:rFonts w:ascii="Arial" w:cs="Arial" w:eastAsia="Arial" w:hAnsi="Arial"/>
          <w:sz w:val="16"/>
          <w:szCs w:val="16"/>
          <w:color w:val="auto"/>
        </w:rPr>
        <w:t>Enrollment delays or slower periods of enrollment in our clinical trials may result in increased development costs for our product candidates, or the inability to complete development of our product candidates, which would cause the value of our company to decline, limit our ability to obtain additional financing, and materially impair our ability to generate revenues.</w:t>
      </w:r>
    </w:p>
    <w:p>
      <w:pPr>
        <w:spacing w:after="0" w:line="165" w:lineRule="exact"/>
        <w:rPr>
          <w:sz w:val="20"/>
          <w:szCs w:val="20"/>
          <w:color w:val="auto"/>
        </w:rPr>
      </w:pPr>
    </w:p>
    <w:p>
      <w:pPr>
        <w:ind w:left="40" w:right="259"/>
        <w:spacing w:after="0" w:line="284" w:lineRule="auto"/>
        <w:rPr>
          <w:sz w:val="20"/>
          <w:szCs w:val="20"/>
          <w:color w:val="auto"/>
        </w:rPr>
      </w:pPr>
      <w:r>
        <w:rPr>
          <w:rFonts w:ascii="Arial" w:cs="Arial" w:eastAsia="Arial" w:hAnsi="Arial"/>
          <w:sz w:val="15"/>
          <w:szCs w:val="15"/>
          <w:b w:val="1"/>
          <w:bCs w:val="1"/>
          <w:i w:val="1"/>
          <w:iCs w:val="1"/>
          <w:color w:val="auto"/>
        </w:rPr>
        <w:t>Currently approved products containing bupropion are subject to restrictive marketing and distribution regulations, which if applied to our product candidates would restrict their use and harm our ability to generate profits.</w:t>
      </w:r>
    </w:p>
    <w:p>
      <w:pPr>
        <w:spacing w:after="0" w:line="134" w:lineRule="exact"/>
        <w:rPr>
          <w:sz w:val="20"/>
          <w:szCs w:val="20"/>
          <w:color w:val="auto"/>
        </w:rPr>
      </w:pPr>
    </w:p>
    <w:p>
      <w:pPr>
        <w:ind w:left="40" w:right="59" w:firstLine="566"/>
        <w:spacing w:after="0" w:line="249" w:lineRule="auto"/>
        <w:rPr>
          <w:sz w:val="20"/>
          <w:szCs w:val="20"/>
          <w:color w:val="auto"/>
        </w:rPr>
      </w:pPr>
      <w:r>
        <w:rPr>
          <w:rFonts w:ascii="Arial" w:cs="Arial" w:eastAsia="Arial" w:hAnsi="Arial"/>
          <w:sz w:val="15"/>
          <w:szCs w:val="15"/>
          <w:color w:val="auto"/>
        </w:rPr>
        <w:t>Some of the currently approved products containing the same active ingredients as our product candidates require medication guides. Medication guides can be required independently or as part of REMS programs. REMS programs, in addition to medication guides, may require special communication plans to healthcare professionals, or elements to assure safe use, such as restricted distribution methods, distribution only to certain medical professionals, training for medical professionals prescribing our product candidates, patient registries, or other risk minimization tools. The FDA may determine that our product candidates will require a REMS program or medication guide. We cannot predict whether either will be required as part of the FDA’s approval of our product candidates and, if required, what those requirements might be. Any limitations on approval or marketing could restrict the commercial promotion, distribution, prescription, or dispensing of our product candidates, if approved. If a REMS program is required, depending on the extent of the REMS requirements, the program might significantly increase our costs to commercialize these product candidates or could place a substantial burden on medical professionals, discouraging their use of our product candidates, if approved. Furthermore, risks of our product candidates that are not adequately addressed through proposed REMS or medication guides for such product candidates may also prevent or delay their approval for commercialization.</w:t>
      </w:r>
    </w:p>
    <w:p>
      <w:pPr>
        <w:spacing w:after="0" w:line="152" w:lineRule="exact"/>
        <w:rPr>
          <w:sz w:val="20"/>
          <w:szCs w:val="20"/>
          <w:color w:val="auto"/>
        </w:rPr>
      </w:pPr>
    </w:p>
    <w:p>
      <w:pPr>
        <w:ind w:left="40" w:right="319"/>
        <w:spacing w:after="0" w:line="266" w:lineRule="auto"/>
        <w:rPr>
          <w:sz w:val="20"/>
          <w:szCs w:val="20"/>
          <w:color w:val="auto"/>
        </w:rPr>
      </w:pPr>
      <w:r>
        <w:rPr>
          <w:rFonts w:ascii="Arial" w:cs="Arial" w:eastAsia="Arial" w:hAnsi="Arial"/>
          <w:sz w:val="16"/>
          <w:szCs w:val="16"/>
          <w:b w:val="1"/>
          <w:bCs w:val="1"/>
          <w:i w:val="1"/>
          <w:iCs w:val="1"/>
          <w:color w:val="auto"/>
        </w:rPr>
        <w:t>Development of combination product candidates may present more or different challenges than development of a single agent product candidate.</w:t>
      </w:r>
    </w:p>
    <w:p>
      <w:pPr>
        <w:spacing w:after="0" w:line="158" w:lineRule="exact"/>
        <w:rPr>
          <w:sz w:val="20"/>
          <w:szCs w:val="20"/>
          <w:color w:val="auto"/>
        </w:rPr>
      </w:pPr>
    </w:p>
    <w:p>
      <w:pPr>
        <w:ind w:left="40" w:right="59" w:firstLine="566"/>
        <w:spacing w:after="0" w:line="297" w:lineRule="auto"/>
        <w:rPr>
          <w:sz w:val="20"/>
          <w:szCs w:val="20"/>
          <w:color w:val="auto"/>
        </w:rPr>
      </w:pPr>
      <w:r>
        <w:rPr>
          <w:rFonts w:ascii="Arial" w:cs="Arial" w:eastAsia="Arial" w:hAnsi="Arial"/>
          <w:sz w:val="13"/>
          <w:szCs w:val="13"/>
          <w:color w:val="auto"/>
        </w:rPr>
        <w:t>Certain of our product candidates, including AXS-05, AXS-06, AXS-07, and AXS-09 are combination therapies. A combination therapy is a single drug product that consists of two or more active ingredients, with each component making a contribution to the claimed effect of the drug. The development of combination drugs may be more complex than the development of single agent products and generally requires that sponsors demonstrate the contribution of each component to the claimed effect and the safety and efficacy of the product as a whole. This requirement may make the design and conduct of clinical trials more complex, requiring more clinical trial subjects. We also may not be able to meet the FDA’s approval standards required for combination products. The FDA’s requirements concerning combination products may change in the future. Moreover, the applicable requirements for approval may differ from country to country.</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302895</wp:posOffset>
            </wp:positionV>
            <wp:extent cx="5682615" cy="222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82615" cy="22225"/>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60" w:name="page61"/>
    <w:bookmarkEnd w:id="60"/>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Changes in product candidate manufacturing or formulation may result in additional costs or delay.</w:t>
      </w:r>
    </w:p>
    <w:p>
      <w:pPr>
        <w:spacing w:after="0" w:line="182" w:lineRule="exact"/>
        <w:rPr>
          <w:sz w:val="20"/>
          <w:szCs w:val="20"/>
          <w:color w:val="auto"/>
        </w:rPr>
      </w:pPr>
    </w:p>
    <w:p>
      <w:pPr>
        <w:ind w:left="40" w:right="79"/>
        <w:spacing w:after="0" w:line="250" w:lineRule="auto"/>
        <w:rPr>
          <w:sz w:val="20"/>
          <w:szCs w:val="20"/>
          <w:color w:val="auto"/>
        </w:rPr>
      </w:pPr>
      <w:r>
        <w:rPr>
          <w:rFonts w:ascii="Arial" w:cs="Arial" w:eastAsia="Arial" w:hAnsi="Arial"/>
          <w:sz w:val="15"/>
          <w:szCs w:val="15"/>
          <w:color w:val="auto"/>
        </w:rPr>
        <w:t>As product candidates are developed through preclinical studies to late stage clinical trials towards approval and commercialization, it is common that various aspects of the development program, such as manufacturing methods and formulation, are altered along the way in an effort to optimize processes and results. For instance, as we begin scale-up efforts for commercial-size manufacturing batches, formulation changes may be necessary to improve tablet robustness.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Such changes may also require additional testing, FDA notification, or FDA approval. This could delay completion of clinical trials; require the conduct of bridging clinical trials or studies, or the repetition of one or more clinical trials; increase clinical trial costs; delay approval of our product candidates; and jeopardize our ability to commence product sales and generate revenue.</w:t>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3"/>
          <w:szCs w:val="13"/>
          <w:b w:val="1"/>
          <w:bCs w:val="1"/>
          <w:i w:val="1"/>
          <w:iCs w:val="1"/>
          <w:color w:val="auto"/>
        </w:rPr>
        <w:t>Failure to obtain marketing approval in international jurisdictions would prevent our product candidates from being marketed abroad.</w:t>
      </w:r>
    </w:p>
    <w:p>
      <w:pPr>
        <w:spacing w:after="0" w:line="216" w:lineRule="exact"/>
        <w:rPr>
          <w:sz w:val="20"/>
          <w:szCs w:val="20"/>
          <w:color w:val="auto"/>
        </w:rPr>
      </w:pPr>
    </w:p>
    <w:p>
      <w:pPr>
        <w:ind w:left="40" w:right="59" w:firstLine="566"/>
        <w:spacing w:after="0" w:line="249" w:lineRule="auto"/>
        <w:rPr>
          <w:sz w:val="20"/>
          <w:szCs w:val="20"/>
          <w:color w:val="auto"/>
        </w:rPr>
      </w:pPr>
      <w:r>
        <w:rPr>
          <w:rFonts w:ascii="Arial" w:cs="Arial" w:eastAsia="Arial" w:hAnsi="Arial"/>
          <w:sz w:val="15"/>
          <w:szCs w:val="15"/>
          <w:color w:val="auto"/>
        </w:rPr>
        <w:t>In order to market and sell our products in the European Union, or EU, and many other jurisdictions, we or our third-party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or these third parties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the failure to obtain approval in one jurisdiction may compromise our ability to obtain approval elsewhere. We may not be able to file for marketing approvals and may not receive necessary approvals to commercialize our products in any market.</w:t>
      </w:r>
    </w:p>
    <w:p>
      <w:pPr>
        <w:spacing w:after="0" w:line="154" w:lineRule="exact"/>
        <w:rPr>
          <w:sz w:val="20"/>
          <w:szCs w:val="20"/>
          <w:color w:val="auto"/>
        </w:rPr>
      </w:pPr>
    </w:p>
    <w:p>
      <w:pPr>
        <w:ind w:left="40" w:right="79"/>
        <w:spacing w:after="0" w:line="365" w:lineRule="auto"/>
        <w:rPr>
          <w:sz w:val="20"/>
          <w:szCs w:val="20"/>
          <w:color w:val="auto"/>
        </w:rPr>
      </w:pPr>
      <w:r>
        <w:rPr>
          <w:rFonts w:ascii="Arial" w:cs="Arial" w:eastAsia="Arial" w:hAnsi="Arial"/>
          <w:sz w:val="13"/>
          <w:szCs w:val="13"/>
          <w:b w:val="1"/>
          <w:bCs w:val="1"/>
          <w:i w:val="1"/>
          <w:iCs w:val="1"/>
          <w:color w:val="auto"/>
        </w:rPr>
        <w:t>A Fast Track product designation or other designation to facilitate product candidate development may not lead to faster development or regulatory review or approval process, and it does not increase the likelihood that our product candidates will receive marketing approval.</w:t>
      </w:r>
    </w:p>
    <w:p>
      <w:pPr>
        <w:spacing w:after="0" w:line="88" w:lineRule="exact"/>
        <w:rPr>
          <w:sz w:val="20"/>
          <w:szCs w:val="20"/>
          <w:color w:val="auto"/>
        </w:rPr>
      </w:pPr>
    </w:p>
    <w:p>
      <w:pPr>
        <w:ind w:left="40" w:right="79" w:firstLine="566"/>
        <w:spacing w:after="0" w:line="297" w:lineRule="auto"/>
        <w:rPr>
          <w:sz w:val="20"/>
          <w:szCs w:val="20"/>
          <w:color w:val="auto"/>
        </w:rPr>
      </w:pPr>
      <w:r>
        <w:rPr>
          <w:rFonts w:ascii="Arial" w:cs="Arial" w:eastAsia="Arial" w:hAnsi="Arial"/>
          <w:sz w:val="13"/>
          <w:szCs w:val="13"/>
          <w:color w:val="auto"/>
        </w:rPr>
        <w:t>We have received a Fast Track product designation for AXS-02 for the treatment of the pain of knee OA associated with BMLs, and for AXS-05 for both the treatment of TRD as well as for the treatment of AD agitation, and we may seek Fast Track designation for other of our current or future product candidates. Receipt of a designation to facilitate expedited review for product candidate development is within the discretion of the FDA. Accordingly, even if we believe one of our product candidates meets the criteria for a designation, the FDA may disagree. In any event, the receipt of such a designation for a product candidate may not result in a faster development process, review, or approval compared to drugs considered for approval under conventional FDA procedures and does not assure ultimate marketing approval by the FDA. In addition, the FDA may later decide that the products no longer meet the designation conditions.</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302895</wp:posOffset>
            </wp:positionV>
            <wp:extent cx="5682615" cy="222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82615" cy="22225"/>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61" w:name="page62"/>
    <w:bookmarkEnd w:id="61"/>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 w:right="139"/>
        <w:spacing w:after="0" w:line="258" w:lineRule="auto"/>
        <w:rPr>
          <w:sz w:val="20"/>
          <w:szCs w:val="20"/>
          <w:color w:val="auto"/>
        </w:rPr>
      </w:pPr>
      <w:r>
        <w:rPr>
          <w:rFonts w:ascii="Arial" w:cs="Arial" w:eastAsia="Arial" w:hAnsi="Arial"/>
          <w:sz w:val="15"/>
          <w:szCs w:val="15"/>
          <w:b w:val="1"/>
          <w:bCs w:val="1"/>
          <w:i w:val="1"/>
          <w:iCs w:val="1"/>
          <w:color w:val="auto"/>
        </w:rPr>
        <w:t>Although the breakthrough therapy process is designed to expedite the review and development of drugs, Breakthrough Therapy designation by the FDA for AXS-05 for the treatment of MDD and for the treatment of AD agitation, and AXS-12 for the treatment of cataplexy in patients with narcolepsy may not ultimately lead to a faster development or regulatory review or approval process, and it will not increase the likelihood that these product candidates will receive marketing approval.</w:t>
      </w:r>
    </w:p>
    <w:p>
      <w:pPr>
        <w:spacing w:after="0" w:line="154" w:lineRule="exact"/>
        <w:rPr>
          <w:sz w:val="20"/>
          <w:szCs w:val="20"/>
          <w:color w:val="auto"/>
        </w:rPr>
      </w:pPr>
    </w:p>
    <w:p>
      <w:pPr>
        <w:ind w:left="40" w:right="39" w:firstLine="566"/>
        <w:spacing w:after="0" w:line="250" w:lineRule="auto"/>
        <w:rPr>
          <w:sz w:val="20"/>
          <w:szCs w:val="20"/>
          <w:color w:val="auto"/>
        </w:rPr>
      </w:pPr>
      <w:r>
        <w:rPr>
          <w:rFonts w:ascii="Arial" w:cs="Arial" w:eastAsia="Arial" w:hAnsi="Arial"/>
          <w:sz w:val="15"/>
          <w:szCs w:val="15"/>
          <w:color w:val="auto"/>
        </w:rPr>
        <w:t>We received Breakthrough Therapy designation for AXS-05 for both the treatment of MDD and the treatment of AD agitation, and for AXS-12 for the treatment of cataplexy in patients with narcolepsy. A breakthrough therapy is defined as a product candidate that is intended, alone or in combination with one or more other drugs, to treat a serious or life-threatening disease or condition, and preliminary clinical evidence indicates that the product candidate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 candidates designated as breakthrough therapies by the FDA are also eligible for priority review if supported by clinical data at the time of the submission of the NDA.</w:t>
      </w:r>
    </w:p>
    <w:p>
      <w:pPr>
        <w:spacing w:after="0" w:line="163" w:lineRule="exact"/>
        <w:rPr>
          <w:sz w:val="20"/>
          <w:szCs w:val="20"/>
          <w:color w:val="auto"/>
        </w:rPr>
      </w:pPr>
    </w:p>
    <w:p>
      <w:pPr>
        <w:ind w:left="40" w:right="139" w:firstLine="566"/>
        <w:spacing w:after="0" w:line="310" w:lineRule="auto"/>
        <w:rPr>
          <w:sz w:val="20"/>
          <w:szCs w:val="20"/>
          <w:color w:val="auto"/>
        </w:rPr>
      </w:pPr>
      <w:r>
        <w:rPr>
          <w:rFonts w:ascii="Arial" w:cs="Arial" w:eastAsia="Arial" w:hAnsi="Arial"/>
          <w:sz w:val="13"/>
          <w:szCs w:val="13"/>
          <w:color w:val="auto"/>
        </w:rPr>
        <w:t>Designation as a breakthrough therapy is within the discretion of the FDA. The receipt of a Breakthrough Therapy designation for a product candidate may not ultimately result in a faster development process or review, and it does not in any way assure approval of product candidates by the FDA. In addition, the FDA may later decide to rescind the Breakthrough Therapy designation for one or more of our applicable product candidates if such product candidates no longer meet the conditions for qualification of this program.</w:t>
      </w:r>
    </w:p>
    <w:p>
      <w:pPr>
        <w:spacing w:after="0" w:line="124" w:lineRule="exact"/>
        <w:rPr>
          <w:sz w:val="20"/>
          <w:szCs w:val="20"/>
          <w:color w:val="auto"/>
        </w:rPr>
      </w:pPr>
    </w:p>
    <w:p>
      <w:pPr>
        <w:ind w:left="40" w:right="259"/>
        <w:spacing w:after="0" w:line="238" w:lineRule="auto"/>
        <w:rPr>
          <w:sz w:val="20"/>
          <w:szCs w:val="20"/>
          <w:color w:val="auto"/>
        </w:rPr>
      </w:pPr>
      <w:r>
        <w:rPr>
          <w:rFonts w:ascii="Arial" w:cs="Arial" w:eastAsia="Arial" w:hAnsi="Arial"/>
          <w:sz w:val="16"/>
          <w:szCs w:val="16"/>
          <w:b w:val="1"/>
          <w:bCs w:val="1"/>
          <w:i w:val="1"/>
          <w:iCs w:val="1"/>
          <w:color w:val="auto"/>
        </w:rPr>
        <w:t>Regulatory approval is limited by the FDA or comparable foreign regulatory authorities to those specific indications and conditions for which clinical safety and efficacy have been demonstrated, and we may be subject to fines, penalties, injunctions, or other enforcement actions if we are determined to be promoting the use of our products for unapproved or “off-label” uses, resulting in damage to our reputation and business.</w:t>
      </w:r>
    </w:p>
    <w:p>
      <w:pPr>
        <w:spacing w:after="0" w:line="166" w:lineRule="exact"/>
        <w:rPr>
          <w:sz w:val="20"/>
          <w:szCs w:val="20"/>
          <w:color w:val="auto"/>
        </w:rPr>
      </w:pPr>
    </w:p>
    <w:p>
      <w:pPr>
        <w:ind w:left="40" w:right="219" w:firstLine="566"/>
        <w:spacing w:after="0" w:line="294" w:lineRule="auto"/>
        <w:rPr>
          <w:sz w:val="20"/>
          <w:szCs w:val="20"/>
          <w:color w:val="auto"/>
        </w:rPr>
      </w:pPr>
      <w:r>
        <w:rPr>
          <w:rFonts w:ascii="Arial" w:cs="Arial" w:eastAsia="Arial" w:hAnsi="Arial"/>
          <w:sz w:val="13"/>
          <w:szCs w:val="13"/>
          <w:color w:val="auto"/>
        </w:rPr>
        <w:t>We, and any of our collaborators, must comply with requirements concerning advertising and promotion for any of our product candidates for which we or they obtain marketing approval. Promotional communications with respect to prescription drugs are subject to a variety of legal and regulatory restrictions and continuing review by the FDA, Department of Justice, Department of Health and Human Services’ Office of Inspector General, state attorneys general, members of Congress, and the public. When the FDA or comparable foreign regulatory authorities issue regulatory approval for a product candidate, the regulatory approval is limited to those specific uses and indications for which a product is approved. If we are not able to obtain FDA approval for any desired uses or indications for our products and product candidates, we may not market or promote our products for those indications and uses, referred to as off-label uses, and our business may be adversely affected. We further must be able to sufficiently substantiate any claims that we make for our products including claims comparing our products to other companies’ products.</w:t>
      </w:r>
    </w:p>
    <w:p>
      <w:pPr>
        <w:spacing w:after="0" w:line="315" w:lineRule="exact"/>
        <w:rPr>
          <w:sz w:val="20"/>
          <w:szCs w:val="20"/>
          <w:color w:val="auto"/>
        </w:rPr>
      </w:pPr>
    </w:p>
    <w:p>
      <w:pPr>
        <w:ind w:left="40" w:right="39" w:firstLine="566"/>
        <w:spacing w:after="0" w:line="235" w:lineRule="auto"/>
        <w:rPr>
          <w:sz w:val="20"/>
          <w:szCs w:val="20"/>
          <w:color w:val="auto"/>
        </w:rPr>
      </w:pPr>
      <w:r>
        <w:rPr>
          <w:rFonts w:ascii="Arial" w:cs="Arial" w:eastAsia="Arial" w:hAnsi="Arial"/>
          <w:sz w:val="16"/>
          <w:szCs w:val="16"/>
          <w:color w:val="auto"/>
        </w:rPr>
        <w:t>While physicians may choose to prescribe drugs for uses that are not described in the product’s labeling and for uses that differ from those tested in clinical studies and approved by the regulatory authorities, we are prohibited from marketing and promoting the products for indications and uses that are not specifically approved by the FDA or comparable foreign regulatory authorities. These off-label uses are common across medical specialties and may constitute an appropriate treatment for some patients in varied circumstances. Regulatory authorities in the United States and in many other major markets do not generally restrict or regulate the behavior of physicians in their choice of treatment within the practice of medicine. Regulatory authorities do, however, restrict communications by pharmaceutical companies concerning off-label use.</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302895</wp:posOffset>
            </wp:positionV>
            <wp:extent cx="5682615" cy="222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82615" cy="22225"/>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62" w:name="page63"/>
    <w:bookmarkEnd w:id="62"/>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 w:right="99" w:firstLine="566"/>
        <w:spacing w:after="0" w:line="297" w:lineRule="auto"/>
        <w:rPr>
          <w:sz w:val="20"/>
          <w:szCs w:val="20"/>
          <w:color w:val="auto"/>
        </w:rPr>
      </w:pPr>
      <w:r>
        <w:rPr>
          <w:rFonts w:ascii="Arial" w:cs="Arial" w:eastAsia="Arial" w:hAnsi="Arial"/>
          <w:sz w:val="13"/>
          <w:szCs w:val="13"/>
          <w:color w:val="auto"/>
        </w:rPr>
        <w:t>If we are found to have impermissibly promoted any of our product candidates, we may become subject to significant liability and government fines. The FDA and other agencies actively enforce the laws and regulations regarding product promotion, particularly those prohibiting the promotion of off-label uses, and a company that is found to have improperly promoted a product may be subject to significant sanctions. The federal government has levied large civil and criminal fines against companies for alleged improper promotion and has enjoined several companies from engaging in off-label promotion. The FDA has also requested that companies enter into consent decrees of permanent injunctions under which specified promotional conduct is changed or curtailed. Thus, we and any of our collaborators will not be able to promote any products we develop for indications or uses for which they are not approved.</w:t>
      </w:r>
    </w:p>
    <w:p>
      <w:pPr>
        <w:spacing w:after="0" w:line="132" w:lineRule="exact"/>
        <w:rPr>
          <w:sz w:val="20"/>
          <w:szCs w:val="20"/>
          <w:color w:val="auto"/>
        </w:rPr>
      </w:pPr>
    </w:p>
    <w:p>
      <w:pPr>
        <w:ind w:left="40" w:right="39" w:firstLine="566"/>
        <w:spacing w:after="0" w:line="288" w:lineRule="auto"/>
        <w:rPr>
          <w:sz w:val="20"/>
          <w:szCs w:val="20"/>
          <w:color w:val="auto"/>
        </w:rPr>
      </w:pPr>
      <w:r>
        <w:rPr>
          <w:rFonts w:ascii="Arial" w:cs="Arial" w:eastAsia="Arial" w:hAnsi="Arial"/>
          <w:sz w:val="13"/>
          <w:szCs w:val="13"/>
          <w:color w:val="auto"/>
        </w:rPr>
        <w:t>In the United States, engaging in the impermissible promotion of our products, following approval, for off-label uses can also subject us to false claims and other litigation under federal and state statutes, including fraud and abuse and consumer protection laws, which can lead to civil and criminal penalties and fines, agreements with governmental authorities that materially restrict the manner in which we promote or distribute drug products and do business through, for example, corporate integrity agreements, suspension or exclusion from participation in federal and state healthcare programs, and debarment from government contracts and refusal of future orders under existing contracts. Recent court decisions have impacted the FDA’s enforcement activity regarding off-label promotion in light of First Amendment considerations; however, there are still significant risks in this area in part due to the potential False Claims Act exposure. The False Claims Act allows any individual to bring a lawsuit against a pharmaceutical company on behalf of the federal government alleging submission of false or fraudulent claims, or causing others to present such false or fraudulent claims, for payment by a federal program such as Medicare or Medicaid. If the government decides to intervene and prevails in the qui tam lawsuit, the individual will share in the proceeds from any fines or settlement funds. If the government declines to intervene, the individual may pursue the case alone. Under the False Claims Act, a penalty may be imposed for each false claim, for example, a claim for payment for each prescription for the product, and, when aggregated, these penalties often total millions of dollars and incentivize qui tam lawsuits. These False Claims Act lawsuits against pharmaceutical companies have increased significantly in volume and breadth, leading to several substantial civil and criminal settlements, up to $3.0 billion, pertaining to certain sales practices and promoting off-label drug uses. This growth in litigation has increased the risk that a pharmaceutical company will have to defend a false claim action; pay settlement fines or restitution, as well as criminal and civil penalties; agree to comply with burdensome reporting and compliance obligations; and be excluded from Medicare, Medicaid, or other federal and state healthcare programs. If we or our collaborators do not lawfully promote our approved products, if any, we may become subject to such litigation and, if we do not successfully defend against such actions, those actions may have a material adverse effect on our business, financial condition, results of operations, and prospects.</w:t>
      </w:r>
    </w:p>
    <w:p>
      <w:pPr>
        <w:spacing w:after="0" w:line="200" w:lineRule="exact"/>
        <w:rPr>
          <w:sz w:val="20"/>
          <w:szCs w:val="20"/>
          <w:color w:val="auto"/>
        </w:rPr>
      </w:pPr>
    </w:p>
    <w:p>
      <w:pPr>
        <w:spacing w:after="0" w:line="297" w:lineRule="exact"/>
        <w:rPr>
          <w:sz w:val="20"/>
          <w:szCs w:val="20"/>
          <w:color w:val="auto"/>
        </w:rPr>
      </w:pPr>
    </w:p>
    <w:p>
      <w:pPr>
        <w:ind w:left="40" w:right="219" w:firstLine="566"/>
        <w:spacing w:after="0" w:line="235" w:lineRule="auto"/>
        <w:rPr>
          <w:sz w:val="20"/>
          <w:szCs w:val="20"/>
          <w:color w:val="auto"/>
        </w:rPr>
      </w:pPr>
      <w:r>
        <w:rPr>
          <w:rFonts w:ascii="Arial" w:cs="Arial" w:eastAsia="Arial" w:hAnsi="Arial"/>
          <w:sz w:val="16"/>
          <w:szCs w:val="16"/>
          <w:color w:val="auto"/>
        </w:rPr>
        <w:t>In the United States, the distribution of product samples to physicians must further comply with the requirements of the U.S. Prescription Drug Marketing Act. If the FDA determines that our promotional materials or activities violate its regulations and policies pertaining to product promotion, it could request that we modify our promotional materials or activities or subject us to regulatory or other enforcement actions, including issuance of warning letters or untitled letters, suspension or withdrawal of an approved product from the market, requests for recalls, payment of civil fines, disgorgement of money, imposition of operating restrictions, injunctions, or criminal prosecution. These regulatory and enforcement actions could significantly harm our business, financial condition, results of operations, and prospects.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302895</wp:posOffset>
            </wp:positionV>
            <wp:extent cx="5682615" cy="222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82615" cy="22225"/>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63" w:name="page64"/>
    <w:bookmarkEnd w:id="63"/>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 w:right="79"/>
        <w:spacing w:after="0" w:line="258" w:lineRule="auto"/>
        <w:rPr>
          <w:sz w:val="20"/>
          <w:szCs w:val="20"/>
          <w:color w:val="auto"/>
        </w:rPr>
      </w:pPr>
      <w:r>
        <w:rPr>
          <w:rFonts w:ascii="Arial" w:cs="Arial" w:eastAsia="Arial" w:hAnsi="Arial"/>
          <w:sz w:val="15"/>
          <w:szCs w:val="15"/>
          <w:b w:val="1"/>
          <w:bCs w:val="1"/>
          <w:i w:val="1"/>
          <w:iCs w:val="1"/>
          <w:color w:val="auto"/>
        </w:rPr>
        <w:t>We are, and if any of our product candidates receive regulatory approval, will continue to be subject to ongoing obligations and continued regulatory review, which may result in significant additional expense. Additionally, any of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154" w:lineRule="exact"/>
        <w:rPr>
          <w:sz w:val="20"/>
          <w:szCs w:val="20"/>
          <w:color w:val="auto"/>
        </w:rPr>
      </w:pPr>
    </w:p>
    <w:p>
      <w:pPr>
        <w:ind w:left="40" w:right="39" w:firstLine="566"/>
        <w:spacing w:after="0" w:line="291" w:lineRule="auto"/>
        <w:rPr>
          <w:sz w:val="20"/>
          <w:szCs w:val="20"/>
          <w:color w:val="auto"/>
        </w:rPr>
      </w:pPr>
      <w:r>
        <w:rPr>
          <w:rFonts w:ascii="Arial" w:cs="Arial" w:eastAsia="Arial" w:hAnsi="Arial"/>
          <w:sz w:val="13"/>
          <w:szCs w:val="13"/>
          <w:color w:val="auto"/>
        </w:rPr>
        <w:t>Any product candidate for which we obtain marketing approval will be subject to extensive and ongoing requirements of and review by the FDA and other regulatory authorities, including requirements related to the manufacturing processes, post-approval clinical data, labeling, packaging, distribution, adverse event reporting, storage, recordkeeping, export, import, advertising, marketing, and promotional activities for such product. These requirements further include submissions of safety and other post-marketing information, including manufacturing deviations and reports; registration and listing requirements; the payment of annual program fees for our product candidates, if approved; continued compliance with cGMP requirements relating to manufacturing, quality control, quality assurance, and corresponding maintenance of records and documents; requirements regarding the distribution of samples to physicians and recordkeeping; and good clinical practices, or GCPs, for any clinical trials that we conduct post-approval. Even if marketing approval of a product candidate is granted, the approval may be subject to limitations on the indicated uses and populations for which the product may be marketed or to the conditions of approval, including significant safety warnings, including boxed warnings, contraindications, and precautions that are not desirable for successful commercialization and any requirement to implement a REMS that render the approved product not commercially viable or other post-market requirements or restrictions. Any such restrictions could limit sales of the product.</w:t>
      </w:r>
    </w:p>
    <w:p>
      <w:pPr>
        <w:spacing w:after="0" w:line="317" w:lineRule="exact"/>
        <w:rPr>
          <w:sz w:val="20"/>
          <w:szCs w:val="20"/>
          <w:color w:val="auto"/>
        </w:rPr>
      </w:pPr>
    </w:p>
    <w:p>
      <w:pPr>
        <w:ind w:left="40" w:right="139" w:firstLine="566"/>
        <w:spacing w:after="0" w:line="324" w:lineRule="auto"/>
        <w:rPr>
          <w:sz w:val="20"/>
          <w:szCs w:val="20"/>
          <w:color w:val="auto"/>
        </w:rPr>
      </w:pPr>
      <w:r>
        <w:rPr>
          <w:rFonts w:ascii="Arial" w:cs="Arial" w:eastAsia="Arial" w:hAnsi="Arial"/>
          <w:sz w:val="13"/>
          <w:szCs w:val="13"/>
          <w:color w:val="auto"/>
        </w:rPr>
        <w:t>We and any of our collaborators, including our contract manufacturers, could be subject to periodic unannounced inspections by the FDA to monitor and ensure compliance with cGMPs. Application holders must further notify the FDA, and depending on the nature of the change, obtain FDA pre-approval for product and manufacturing changes. Application fees may apply to certain changes.</w:t>
      </w:r>
    </w:p>
    <w:p>
      <w:pPr>
        <w:spacing w:after="0" w:line="114" w:lineRule="exact"/>
        <w:rPr>
          <w:sz w:val="20"/>
          <w:szCs w:val="20"/>
          <w:color w:val="auto"/>
        </w:rPr>
      </w:pPr>
    </w:p>
    <w:p>
      <w:pPr>
        <w:jc w:val="both"/>
        <w:ind w:left="40" w:right="199" w:firstLine="566"/>
        <w:spacing w:after="0" w:line="241" w:lineRule="auto"/>
        <w:rPr>
          <w:sz w:val="20"/>
          <w:szCs w:val="20"/>
          <w:color w:val="auto"/>
        </w:rPr>
      </w:pPr>
      <w:r>
        <w:rPr>
          <w:rFonts w:ascii="Arial" w:cs="Arial" w:eastAsia="Arial" w:hAnsi="Arial"/>
          <w:sz w:val="16"/>
          <w:szCs w:val="16"/>
          <w:color w:val="auto"/>
        </w:rPr>
        <w:t>In addition, later discovery of previously unknown adverse events or that the drug is less effective than previously thought or other problems with our products, manufacturers, or manufacturing processes, or failure to comply with regulatory requirements both before and after approval, may yield various results, including:</w:t>
      </w:r>
    </w:p>
    <w:p>
      <w:pPr>
        <w:spacing w:after="0" w:line="165" w:lineRule="exact"/>
        <w:rPr>
          <w:sz w:val="20"/>
          <w:szCs w:val="20"/>
          <w:color w:val="auto"/>
        </w:rPr>
      </w:pPr>
    </w:p>
    <w:p>
      <w:pPr>
        <w:ind w:left="620" w:hanging="281"/>
        <w:spacing w:after="0"/>
        <w:tabs>
          <w:tab w:leader="none" w:pos="6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restrictions on manufacturing or distribution, or marketing of such products;</w:t>
      </w:r>
    </w:p>
    <w:p>
      <w:pPr>
        <w:spacing w:after="0" w:line="181" w:lineRule="exact"/>
        <w:rPr>
          <w:rFonts w:ascii="Arial" w:cs="Arial" w:eastAsia="Arial" w:hAnsi="Arial"/>
          <w:sz w:val="16"/>
          <w:szCs w:val="16"/>
          <w:color w:val="auto"/>
        </w:rPr>
      </w:pPr>
    </w:p>
    <w:p>
      <w:pPr>
        <w:ind w:left="620" w:right="139" w:hanging="281"/>
        <w:spacing w:after="0" w:line="251" w:lineRule="auto"/>
        <w:tabs>
          <w:tab w:leader="none" w:pos="6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restrictions on the labeling, including required additional warnings, such as black box warnings, contraindications, precautions, and restrictions on the approved indication or use;</w:t>
      </w:r>
    </w:p>
    <w:p>
      <w:pPr>
        <w:spacing w:after="0" w:line="157" w:lineRule="exact"/>
        <w:rPr>
          <w:rFonts w:ascii="Arial" w:cs="Arial" w:eastAsia="Arial" w:hAnsi="Arial"/>
          <w:sz w:val="16"/>
          <w:szCs w:val="16"/>
          <w:color w:val="auto"/>
        </w:rPr>
      </w:pPr>
    </w:p>
    <w:p>
      <w:pPr>
        <w:ind w:left="620" w:hanging="281"/>
        <w:spacing w:after="0"/>
        <w:tabs>
          <w:tab w:leader="none" w:pos="6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modifications to promotional pieces;</w:t>
      </w:r>
    </w:p>
    <w:p>
      <w:pPr>
        <w:spacing w:after="0" w:line="181" w:lineRule="exact"/>
        <w:rPr>
          <w:rFonts w:ascii="Arial" w:cs="Arial" w:eastAsia="Arial" w:hAnsi="Arial"/>
          <w:sz w:val="16"/>
          <w:szCs w:val="16"/>
          <w:color w:val="auto"/>
        </w:rPr>
      </w:pPr>
    </w:p>
    <w:p>
      <w:pPr>
        <w:ind w:left="620" w:hanging="281"/>
        <w:spacing w:after="0"/>
        <w:tabs>
          <w:tab w:leader="none" w:pos="6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requirements to conduct post-marketing studies or clinical trials; clinical holds or termination of clinical trials;</w:t>
      </w:r>
    </w:p>
    <w:p>
      <w:pPr>
        <w:spacing w:after="0" w:line="181" w:lineRule="exact"/>
        <w:rPr>
          <w:rFonts w:ascii="Arial" w:cs="Arial" w:eastAsia="Arial" w:hAnsi="Arial"/>
          <w:sz w:val="16"/>
          <w:szCs w:val="16"/>
          <w:color w:val="auto"/>
        </w:rPr>
      </w:pPr>
    </w:p>
    <w:p>
      <w:pPr>
        <w:ind w:left="620" w:right="99" w:hanging="281"/>
        <w:spacing w:after="0" w:line="238" w:lineRule="auto"/>
        <w:tabs>
          <w:tab w:leader="none" w:pos="6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requirements to establish or modify a REMS or a comparable foreign authority may require that we establish or modify a similar strategy, that may, for instance, require us to create a Medication Guide outlining the risks of the previously unidentified side effects for distribution to patients, or restrict distribution of the product, if and when approved, and impose burdensome implementation requirements on us:</w:t>
      </w:r>
    </w:p>
    <w:p>
      <w:pPr>
        <w:spacing w:after="0" w:line="166" w:lineRule="exact"/>
        <w:rPr>
          <w:rFonts w:ascii="Arial" w:cs="Arial" w:eastAsia="Arial" w:hAnsi="Arial"/>
          <w:sz w:val="16"/>
          <w:szCs w:val="16"/>
          <w:color w:val="auto"/>
        </w:rPr>
      </w:pPr>
    </w:p>
    <w:p>
      <w:pPr>
        <w:ind w:left="620" w:hanging="281"/>
        <w:spacing w:after="0"/>
        <w:tabs>
          <w:tab w:leader="none" w:pos="6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changes to the way the drug is administered;</w:t>
      </w:r>
    </w:p>
    <w:p>
      <w:pPr>
        <w:spacing w:after="0" w:line="181" w:lineRule="exact"/>
        <w:rPr>
          <w:rFonts w:ascii="Arial" w:cs="Arial" w:eastAsia="Arial" w:hAnsi="Arial"/>
          <w:sz w:val="16"/>
          <w:szCs w:val="16"/>
          <w:color w:val="auto"/>
        </w:rPr>
      </w:pPr>
    </w:p>
    <w:p>
      <w:pPr>
        <w:ind w:left="620" w:hanging="281"/>
        <w:spacing w:after="0"/>
        <w:tabs>
          <w:tab w:leader="none" w:pos="6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liability for harm caused to patients or subjects;</w:t>
      </w:r>
    </w:p>
    <w:p>
      <w:pPr>
        <w:spacing w:after="0" w:line="181" w:lineRule="exact"/>
        <w:rPr>
          <w:rFonts w:ascii="Arial" w:cs="Arial" w:eastAsia="Arial" w:hAnsi="Arial"/>
          <w:sz w:val="16"/>
          <w:szCs w:val="16"/>
          <w:color w:val="auto"/>
        </w:rPr>
      </w:pPr>
    </w:p>
    <w:p>
      <w:pPr>
        <w:ind w:left="620" w:hanging="281"/>
        <w:spacing w:after="0"/>
        <w:tabs>
          <w:tab w:leader="none" w:pos="6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reputational harm;</w:t>
      </w:r>
    </w:p>
    <w:p>
      <w:pPr>
        <w:spacing w:after="0" w:line="181" w:lineRule="exact"/>
        <w:rPr>
          <w:rFonts w:ascii="Arial" w:cs="Arial" w:eastAsia="Arial" w:hAnsi="Arial"/>
          <w:sz w:val="16"/>
          <w:szCs w:val="16"/>
          <w:color w:val="auto"/>
        </w:rPr>
      </w:pPr>
    </w:p>
    <w:p>
      <w:pPr>
        <w:ind w:left="620" w:hanging="281"/>
        <w:spacing w:after="0"/>
        <w:tabs>
          <w:tab w:leader="none" w:pos="6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drug becoming less competitive;</w:t>
      </w:r>
    </w:p>
    <w:p>
      <w:pPr>
        <w:spacing w:after="0" w:line="181" w:lineRule="exact"/>
        <w:rPr>
          <w:rFonts w:ascii="Arial" w:cs="Arial" w:eastAsia="Arial" w:hAnsi="Arial"/>
          <w:sz w:val="16"/>
          <w:szCs w:val="16"/>
          <w:color w:val="auto"/>
        </w:rPr>
      </w:pPr>
    </w:p>
    <w:p>
      <w:pPr>
        <w:ind w:left="620" w:hanging="281"/>
        <w:spacing w:after="0"/>
        <w:tabs>
          <w:tab w:leader="none" w:pos="6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warning; or untitled letters;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302895</wp:posOffset>
            </wp:positionV>
            <wp:extent cx="5682615" cy="222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82615" cy="22225"/>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64" w:name="page65"/>
    <w:bookmarkEnd w:id="64"/>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620" w:hanging="281"/>
        <w:spacing w:after="0"/>
        <w:tabs>
          <w:tab w:leader="none" w:pos="6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suspension of marketing or withdrawal of the products from the market;</w:t>
      </w:r>
    </w:p>
    <w:p>
      <w:pPr>
        <w:spacing w:after="0" w:line="181" w:lineRule="exact"/>
        <w:rPr>
          <w:rFonts w:ascii="Arial" w:cs="Arial" w:eastAsia="Arial" w:hAnsi="Arial"/>
          <w:sz w:val="16"/>
          <w:szCs w:val="16"/>
          <w:color w:val="auto"/>
        </w:rPr>
      </w:pPr>
    </w:p>
    <w:p>
      <w:pPr>
        <w:ind w:left="620" w:right="219" w:hanging="281"/>
        <w:spacing w:after="0" w:line="251" w:lineRule="auto"/>
        <w:tabs>
          <w:tab w:leader="none" w:pos="6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regulatory authority issuance of safety alerts, Dear Healthcare Provider letters, press releases, or other communications containing warnings or other safety information about the drug;</w:t>
      </w:r>
    </w:p>
    <w:p>
      <w:pPr>
        <w:spacing w:after="0" w:line="157" w:lineRule="exact"/>
        <w:rPr>
          <w:rFonts w:ascii="Arial" w:cs="Arial" w:eastAsia="Arial" w:hAnsi="Arial"/>
          <w:sz w:val="16"/>
          <w:szCs w:val="16"/>
          <w:color w:val="auto"/>
        </w:rPr>
      </w:pPr>
    </w:p>
    <w:p>
      <w:pPr>
        <w:ind w:left="620" w:hanging="281"/>
        <w:spacing w:after="0"/>
        <w:tabs>
          <w:tab w:leader="none" w:pos="6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refusal to approve pending applications or supplements to approved applications that we submit;</w:t>
      </w:r>
    </w:p>
    <w:p>
      <w:pPr>
        <w:spacing w:after="0" w:line="181" w:lineRule="exact"/>
        <w:rPr>
          <w:rFonts w:ascii="Arial" w:cs="Arial" w:eastAsia="Arial" w:hAnsi="Arial"/>
          <w:sz w:val="16"/>
          <w:szCs w:val="16"/>
          <w:color w:val="auto"/>
        </w:rPr>
      </w:pPr>
    </w:p>
    <w:p>
      <w:pPr>
        <w:ind w:left="620" w:hanging="281"/>
        <w:spacing w:after="0"/>
        <w:tabs>
          <w:tab w:leader="none" w:pos="6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recall of products;</w:t>
      </w:r>
    </w:p>
    <w:p>
      <w:pPr>
        <w:spacing w:after="0" w:line="181" w:lineRule="exact"/>
        <w:rPr>
          <w:rFonts w:ascii="Arial" w:cs="Arial" w:eastAsia="Arial" w:hAnsi="Arial"/>
          <w:sz w:val="16"/>
          <w:szCs w:val="16"/>
          <w:color w:val="auto"/>
        </w:rPr>
      </w:pPr>
    </w:p>
    <w:p>
      <w:pPr>
        <w:ind w:left="620" w:hanging="281"/>
        <w:spacing w:after="0"/>
        <w:tabs>
          <w:tab w:leader="none" w:pos="6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fines, damages, restitution, or disgorgement of profits or revenues;</w:t>
      </w:r>
    </w:p>
    <w:p>
      <w:pPr>
        <w:spacing w:after="0" w:line="181" w:lineRule="exact"/>
        <w:rPr>
          <w:rFonts w:ascii="Arial" w:cs="Arial" w:eastAsia="Arial" w:hAnsi="Arial"/>
          <w:sz w:val="16"/>
          <w:szCs w:val="16"/>
          <w:color w:val="auto"/>
        </w:rPr>
      </w:pPr>
    </w:p>
    <w:p>
      <w:pPr>
        <w:ind w:left="620" w:hanging="281"/>
        <w:spacing w:after="0"/>
        <w:tabs>
          <w:tab w:leader="none" w:pos="6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suspension or withdrawal of marketing approvals;</w:t>
      </w:r>
    </w:p>
    <w:p>
      <w:pPr>
        <w:spacing w:after="0" w:line="181" w:lineRule="exact"/>
        <w:rPr>
          <w:rFonts w:ascii="Arial" w:cs="Arial" w:eastAsia="Arial" w:hAnsi="Arial"/>
          <w:sz w:val="16"/>
          <w:szCs w:val="16"/>
          <w:color w:val="auto"/>
        </w:rPr>
      </w:pPr>
    </w:p>
    <w:p>
      <w:pPr>
        <w:ind w:left="620" w:hanging="281"/>
        <w:spacing w:after="0"/>
        <w:tabs>
          <w:tab w:leader="none" w:pos="6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refusal to permit the import or export of our products;</w:t>
      </w:r>
    </w:p>
    <w:p>
      <w:pPr>
        <w:spacing w:after="0" w:line="181" w:lineRule="exact"/>
        <w:rPr>
          <w:rFonts w:ascii="Arial" w:cs="Arial" w:eastAsia="Arial" w:hAnsi="Arial"/>
          <w:sz w:val="16"/>
          <w:szCs w:val="16"/>
          <w:color w:val="auto"/>
        </w:rPr>
      </w:pPr>
    </w:p>
    <w:p>
      <w:pPr>
        <w:ind w:left="620" w:hanging="281"/>
        <w:spacing w:after="0"/>
        <w:tabs>
          <w:tab w:leader="none" w:pos="6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product seizure or detention;</w:t>
      </w:r>
    </w:p>
    <w:p>
      <w:pPr>
        <w:spacing w:after="0" w:line="181" w:lineRule="exact"/>
        <w:rPr>
          <w:rFonts w:ascii="Arial" w:cs="Arial" w:eastAsia="Arial" w:hAnsi="Arial"/>
          <w:sz w:val="16"/>
          <w:szCs w:val="16"/>
          <w:color w:val="auto"/>
        </w:rPr>
      </w:pPr>
    </w:p>
    <w:p>
      <w:pPr>
        <w:ind w:left="620" w:right="59" w:hanging="281"/>
        <w:spacing w:after="0" w:line="251" w:lineRule="auto"/>
        <w:tabs>
          <w:tab w:leader="none" w:pos="6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FDA debarment, debarment from government contracts, and refusal of future orders under existing contracts, exclusion from federal healthcare programs, consent decrees, or corporate integrity agreements; or</w:t>
      </w:r>
    </w:p>
    <w:p>
      <w:pPr>
        <w:spacing w:after="0" w:line="157" w:lineRule="exact"/>
        <w:rPr>
          <w:rFonts w:ascii="Arial" w:cs="Arial" w:eastAsia="Arial" w:hAnsi="Arial"/>
          <w:sz w:val="16"/>
          <w:szCs w:val="16"/>
          <w:color w:val="auto"/>
        </w:rPr>
      </w:pPr>
    </w:p>
    <w:p>
      <w:pPr>
        <w:ind w:left="620" w:hanging="281"/>
        <w:spacing w:after="0"/>
        <w:tabs>
          <w:tab w:leader="none" w:pos="6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injunctions or the imposition of civil or criminal penalties, including imprisonment.</w:t>
      </w:r>
    </w:p>
    <w:p>
      <w:pPr>
        <w:spacing w:after="0" w:line="182" w:lineRule="exact"/>
        <w:rPr>
          <w:sz w:val="20"/>
          <w:szCs w:val="20"/>
          <w:color w:val="auto"/>
        </w:rPr>
      </w:pPr>
    </w:p>
    <w:p>
      <w:pPr>
        <w:ind w:left="40" w:right="59" w:firstLine="566"/>
        <w:spacing w:after="0" w:line="236" w:lineRule="auto"/>
        <w:rPr>
          <w:sz w:val="20"/>
          <w:szCs w:val="20"/>
          <w:color w:val="auto"/>
        </w:rPr>
      </w:pPr>
      <w:r>
        <w:rPr>
          <w:rFonts w:ascii="Arial" w:cs="Arial" w:eastAsia="Arial" w:hAnsi="Arial"/>
          <w:sz w:val="16"/>
          <w:szCs w:val="16"/>
          <w:color w:val="auto"/>
        </w:rPr>
        <w:t>Any of these events could prevent us from achieving or maintaining market acceptance of the particular product candidate, if approved, or could substantially increase the costs and expenses of commercializing such product, which in turn could delay or prevent us from generating significant revenues from its sale. Any of these events could further have other material and adverse effects on our operations and business and could adversely impact our stock price and could significantly harm our business, financial condition, results of operations, and prospects.</w:t>
      </w:r>
    </w:p>
    <w:p>
      <w:pPr>
        <w:spacing w:after="0" w:line="168" w:lineRule="exact"/>
        <w:rPr>
          <w:sz w:val="20"/>
          <w:szCs w:val="20"/>
          <w:color w:val="auto"/>
        </w:rPr>
      </w:pPr>
    </w:p>
    <w:p>
      <w:pPr>
        <w:ind w:left="40" w:right="119" w:firstLine="566"/>
        <w:spacing w:after="0" w:line="236" w:lineRule="auto"/>
        <w:rPr>
          <w:sz w:val="20"/>
          <w:szCs w:val="20"/>
          <w:color w:val="auto"/>
        </w:rPr>
      </w:pPr>
      <w:r>
        <w:rPr>
          <w:rFonts w:ascii="Arial" w:cs="Arial" w:eastAsia="Arial" w:hAnsi="Arial"/>
          <w:sz w:val="16"/>
          <w:szCs w:val="16"/>
          <w:color w:val="auto"/>
        </w:rPr>
        <w:t>The FDA’s policies may change and additional government regulations may be enacted that could prevent, limit, or delay regulatory approval of our product candidates or that could impose additional regulatory obligations on us if our product candidates are approved. If we are slow or unable to adapt to changes in existing requirements or the adoption of new requirements or policies, or if we are not able to maintain regulatory compliance, we may lose any marketing approval that we may have obtained and be subject to regulatory enforcement action.</w:t>
      </w:r>
    </w:p>
    <w:p>
      <w:pPr>
        <w:spacing w:after="0" w:line="168" w:lineRule="exact"/>
        <w:rPr>
          <w:sz w:val="20"/>
          <w:szCs w:val="20"/>
          <w:color w:val="auto"/>
        </w:rPr>
      </w:pPr>
    </w:p>
    <w:p>
      <w:pPr>
        <w:ind w:left="40" w:right="79" w:firstLine="566"/>
        <w:spacing w:after="0" w:line="284" w:lineRule="auto"/>
        <w:rPr>
          <w:sz w:val="20"/>
          <w:szCs w:val="20"/>
          <w:color w:val="auto"/>
        </w:rPr>
      </w:pPr>
      <w:r>
        <w:rPr>
          <w:rFonts w:ascii="Arial" w:cs="Arial" w:eastAsia="Arial" w:hAnsi="Arial"/>
          <w:sz w:val="15"/>
          <w:szCs w:val="15"/>
          <w:color w:val="auto"/>
        </w:rPr>
        <w:t>Should any of the above actions take place, they could adversely affect our ability to achieve or sustain profitability. Further, the cost of compliance with post-approval regulations may have a negative effect on our operating results and financial condition.</w:t>
      </w:r>
    </w:p>
    <w:p>
      <w:pPr>
        <w:spacing w:after="0" w:line="134" w:lineRule="exact"/>
        <w:rPr>
          <w:sz w:val="20"/>
          <w:szCs w:val="20"/>
          <w:color w:val="auto"/>
        </w:rPr>
      </w:pPr>
    </w:p>
    <w:p>
      <w:pPr>
        <w:ind w:left="40" w:right="59"/>
        <w:spacing w:after="0" w:line="251" w:lineRule="auto"/>
        <w:rPr>
          <w:sz w:val="20"/>
          <w:szCs w:val="20"/>
          <w:color w:val="auto"/>
        </w:rPr>
      </w:pPr>
      <w:r>
        <w:rPr>
          <w:rFonts w:ascii="Arial" w:cs="Arial" w:eastAsia="Arial" w:hAnsi="Arial"/>
          <w:sz w:val="16"/>
          <w:szCs w:val="16"/>
          <w:b w:val="1"/>
          <w:bCs w:val="1"/>
          <w:i w:val="1"/>
          <w:iCs w:val="1"/>
          <w:color w:val="auto"/>
        </w:rPr>
        <w:t>If we obtain approval to commercialize our product candidates outside of the United States, a variety of risks associated with international operations could materially adversely affect our business.</w:t>
      </w:r>
    </w:p>
    <w:p>
      <w:pPr>
        <w:spacing w:after="0" w:line="157" w:lineRule="exact"/>
        <w:rPr>
          <w:sz w:val="20"/>
          <w:szCs w:val="20"/>
          <w:color w:val="auto"/>
        </w:rPr>
      </w:pPr>
    </w:p>
    <w:p>
      <w:pPr>
        <w:ind w:left="40" w:right="59" w:firstLine="566"/>
        <w:spacing w:after="0" w:line="241" w:lineRule="auto"/>
        <w:rPr>
          <w:sz w:val="20"/>
          <w:szCs w:val="20"/>
          <w:color w:val="auto"/>
        </w:rPr>
      </w:pPr>
      <w:r>
        <w:rPr>
          <w:rFonts w:ascii="Arial" w:cs="Arial" w:eastAsia="Arial" w:hAnsi="Arial"/>
          <w:sz w:val="16"/>
          <w:szCs w:val="16"/>
          <w:color w:val="auto"/>
        </w:rPr>
        <w:t>If any of our product candidates are approved for commercialization, we may enter into agreements with third parties to market them on a worldwide basis or in more limited geographical regions. We expect that we will be subject to additional risks related to entering into international business relationships, including:</w:t>
      </w:r>
    </w:p>
    <w:p>
      <w:pPr>
        <w:spacing w:after="0" w:line="165" w:lineRule="exact"/>
        <w:rPr>
          <w:sz w:val="20"/>
          <w:szCs w:val="20"/>
          <w:color w:val="auto"/>
        </w:rPr>
      </w:pPr>
    </w:p>
    <w:p>
      <w:pPr>
        <w:ind w:left="620" w:hanging="281"/>
        <w:spacing w:after="0"/>
        <w:tabs>
          <w:tab w:leader="none" w:pos="6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different regulatory requirements for approval of drugs in foreign countries;</w:t>
      </w:r>
    </w:p>
    <w:p>
      <w:pPr>
        <w:spacing w:after="0" w:line="181" w:lineRule="exact"/>
        <w:rPr>
          <w:rFonts w:ascii="Arial" w:cs="Arial" w:eastAsia="Arial" w:hAnsi="Arial"/>
          <w:sz w:val="16"/>
          <w:szCs w:val="16"/>
          <w:color w:val="auto"/>
        </w:rPr>
      </w:pPr>
    </w:p>
    <w:p>
      <w:pPr>
        <w:ind w:left="620" w:right="119" w:hanging="281"/>
        <w:spacing w:after="0" w:line="241" w:lineRule="auto"/>
        <w:tabs>
          <w:tab w:leader="none" w:pos="6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potential for so-called parallel importing, particularly within Europe, which is what happens when a local seller, faced with high or higher local prices, opts to import goods from a foreign market (with low or lower prices) rather than buying them locally with EU laws supporting such “free movement of goods” within the EU;</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302895</wp:posOffset>
            </wp:positionV>
            <wp:extent cx="5682615" cy="222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82615" cy="22225"/>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65" w:name="page66"/>
    <w:bookmarkEnd w:id="65"/>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620" w:right="159" w:hanging="281"/>
        <w:spacing w:after="0" w:line="241" w:lineRule="auto"/>
        <w:tabs>
          <w:tab w:leader="none" w:pos="6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stricter harmonized EU rules on data privacy particularly in relation to health data than is the case in the United States which are being further toughened with the EU General Data Protection Regulation, or the GDPR, which became enforceable beginning May 25, 2018;</w:t>
      </w:r>
    </w:p>
    <w:p>
      <w:pPr>
        <w:spacing w:after="0" w:line="164" w:lineRule="exact"/>
        <w:rPr>
          <w:rFonts w:ascii="Arial" w:cs="Arial" w:eastAsia="Arial" w:hAnsi="Arial"/>
          <w:sz w:val="16"/>
          <w:szCs w:val="16"/>
          <w:color w:val="auto"/>
        </w:rPr>
      </w:pPr>
    </w:p>
    <w:p>
      <w:pPr>
        <w:ind w:left="620" w:right="319" w:hanging="281"/>
        <w:spacing w:after="0" w:line="251" w:lineRule="auto"/>
        <w:tabs>
          <w:tab w:leader="none" w:pos="6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challenges enforcing our contractual and intellectual property rights, especially in those foreign countries that do not respect and protect intellectual property rights to the same extent as the United States;</w:t>
      </w:r>
    </w:p>
    <w:p>
      <w:pPr>
        <w:spacing w:after="0" w:line="157" w:lineRule="exact"/>
        <w:rPr>
          <w:rFonts w:ascii="Arial" w:cs="Arial" w:eastAsia="Arial" w:hAnsi="Arial"/>
          <w:sz w:val="16"/>
          <w:szCs w:val="16"/>
          <w:color w:val="auto"/>
        </w:rPr>
      </w:pPr>
    </w:p>
    <w:p>
      <w:pPr>
        <w:ind w:left="620" w:hanging="281"/>
        <w:spacing w:after="0"/>
        <w:tabs>
          <w:tab w:leader="none" w:pos="620" w:val="left"/>
        </w:tabs>
        <w:numPr>
          <w:ilvl w:val="0"/>
          <w:numId w:val="27"/>
        </w:numPr>
        <w:rPr>
          <w:rFonts w:ascii="Arial" w:cs="Arial" w:eastAsia="Arial" w:hAnsi="Arial"/>
          <w:sz w:val="13"/>
          <w:szCs w:val="13"/>
          <w:color w:val="auto"/>
        </w:rPr>
      </w:pPr>
      <w:r>
        <w:rPr>
          <w:rFonts w:ascii="Arial" w:cs="Arial" w:eastAsia="Arial" w:hAnsi="Arial"/>
          <w:sz w:val="13"/>
          <w:szCs w:val="13"/>
          <w:color w:val="auto"/>
        </w:rPr>
        <w:t>unexpected changes in tariffs, trade barriers, and regulatory requirements and in the health care policies of foreign jurisdictions;</w:t>
      </w:r>
    </w:p>
    <w:p>
      <w:pPr>
        <w:spacing w:after="0" w:line="215" w:lineRule="exact"/>
        <w:rPr>
          <w:rFonts w:ascii="Arial" w:cs="Arial" w:eastAsia="Arial" w:hAnsi="Arial"/>
          <w:sz w:val="13"/>
          <w:szCs w:val="13"/>
          <w:color w:val="auto"/>
        </w:rPr>
      </w:pPr>
    </w:p>
    <w:p>
      <w:pPr>
        <w:ind w:left="620" w:hanging="281"/>
        <w:spacing w:after="0"/>
        <w:tabs>
          <w:tab w:leader="none" w:pos="6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economic weakness, including inflation, or political instability in particular foreign economies and markets;</w:t>
      </w:r>
    </w:p>
    <w:p>
      <w:pPr>
        <w:spacing w:after="0" w:line="181" w:lineRule="exact"/>
        <w:rPr>
          <w:rFonts w:ascii="Arial" w:cs="Arial" w:eastAsia="Arial" w:hAnsi="Arial"/>
          <w:sz w:val="16"/>
          <w:szCs w:val="16"/>
          <w:color w:val="auto"/>
        </w:rPr>
      </w:pPr>
    </w:p>
    <w:p>
      <w:pPr>
        <w:ind w:left="620" w:hanging="281"/>
        <w:spacing w:after="0"/>
        <w:tabs>
          <w:tab w:leader="none" w:pos="6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compliance with tax, employment, immigration, and labor laws for employees living or traveling abroad;</w:t>
      </w:r>
    </w:p>
    <w:p>
      <w:pPr>
        <w:spacing w:after="0" w:line="181" w:lineRule="exact"/>
        <w:rPr>
          <w:rFonts w:ascii="Arial" w:cs="Arial" w:eastAsia="Arial" w:hAnsi="Arial"/>
          <w:sz w:val="16"/>
          <w:szCs w:val="16"/>
          <w:color w:val="auto"/>
        </w:rPr>
      </w:pPr>
    </w:p>
    <w:p>
      <w:pPr>
        <w:ind w:left="620" w:hanging="281"/>
        <w:spacing w:after="0"/>
        <w:tabs>
          <w:tab w:leader="none" w:pos="6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foreign taxes, including withholding of payroll taxes;</w:t>
      </w:r>
    </w:p>
    <w:p>
      <w:pPr>
        <w:spacing w:after="0" w:line="181" w:lineRule="exact"/>
        <w:rPr>
          <w:rFonts w:ascii="Arial" w:cs="Arial" w:eastAsia="Arial" w:hAnsi="Arial"/>
          <w:sz w:val="16"/>
          <w:szCs w:val="16"/>
          <w:color w:val="auto"/>
        </w:rPr>
      </w:pPr>
    </w:p>
    <w:p>
      <w:pPr>
        <w:ind w:left="620" w:right="499" w:hanging="281"/>
        <w:spacing w:after="0" w:line="251" w:lineRule="auto"/>
        <w:tabs>
          <w:tab w:leader="none" w:pos="6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foreign currency fluctuations, which could result in increased operating expenses and reduced revenues, and other obligations incident to doing business in another country;</w:t>
      </w:r>
    </w:p>
    <w:p>
      <w:pPr>
        <w:spacing w:after="0" w:line="157" w:lineRule="exact"/>
        <w:rPr>
          <w:rFonts w:ascii="Arial" w:cs="Arial" w:eastAsia="Arial" w:hAnsi="Arial"/>
          <w:sz w:val="16"/>
          <w:szCs w:val="16"/>
          <w:color w:val="auto"/>
        </w:rPr>
      </w:pPr>
    </w:p>
    <w:p>
      <w:pPr>
        <w:ind w:left="620" w:hanging="281"/>
        <w:spacing w:after="0"/>
        <w:tabs>
          <w:tab w:leader="none" w:pos="6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difficulties staffing and managing foreign operations;</w:t>
      </w:r>
    </w:p>
    <w:p>
      <w:pPr>
        <w:spacing w:after="0" w:line="181" w:lineRule="exact"/>
        <w:rPr>
          <w:rFonts w:ascii="Arial" w:cs="Arial" w:eastAsia="Arial" w:hAnsi="Arial"/>
          <w:sz w:val="16"/>
          <w:szCs w:val="16"/>
          <w:color w:val="auto"/>
        </w:rPr>
      </w:pPr>
    </w:p>
    <w:p>
      <w:pPr>
        <w:ind w:left="620" w:right="539" w:hanging="281"/>
        <w:spacing w:after="0" w:line="251" w:lineRule="auto"/>
        <w:tabs>
          <w:tab w:leader="none" w:pos="6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workforce uncertainty in countries where labor unrest is more common than in the United States and worker rights tend to be stronger;</w:t>
      </w:r>
    </w:p>
    <w:p>
      <w:pPr>
        <w:spacing w:after="0" w:line="157" w:lineRule="exact"/>
        <w:rPr>
          <w:rFonts w:ascii="Arial" w:cs="Arial" w:eastAsia="Arial" w:hAnsi="Arial"/>
          <w:sz w:val="16"/>
          <w:szCs w:val="16"/>
          <w:color w:val="auto"/>
        </w:rPr>
      </w:pPr>
    </w:p>
    <w:p>
      <w:pPr>
        <w:ind w:left="620" w:right="759" w:hanging="281"/>
        <w:spacing w:after="0" w:line="251" w:lineRule="auto"/>
        <w:tabs>
          <w:tab w:leader="none" w:pos="6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costs of compliance with U.S. laws and regulations for foreign operations, including the Foreign Corrupt Practices Act or comparable foreign regulations, and the risks and costs of noncompliance;</w:t>
      </w:r>
    </w:p>
    <w:p>
      <w:pPr>
        <w:spacing w:after="0" w:line="157" w:lineRule="exact"/>
        <w:rPr>
          <w:rFonts w:ascii="Arial" w:cs="Arial" w:eastAsia="Arial" w:hAnsi="Arial"/>
          <w:sz w:val="16"/>
          <w:szCs w:val="16"/>
          <w:color w:val="auto"/>
        </w:rPr>
      </w:pPr>
    </w:p>
    <w:p>
      <w:pPr>
        <w:ind w:left="620" w:hanging="281"/>
        <w:spacing w:after="0"/>
        <w:tabs>
          <w:tab w:leader="none" w:pos="620" w:val="left"/>
        </w:tabs>
        <w:numPr>
          <w:ilvl w:val="0"/>
          <w:numId w:val="27"/>
        </w:numPr>
        <w:rPr>
          <w:rFonts w:ascii="Arial" w:cs="Arial" w:eastAsia="Arial" w:hAnsi="Arial"/>
          <w:sz w:val="15"/>
          <w:szCs w:val="15"/>
          <w:color w:val="auto"/>
        </w:rPr>
      </w:pPr>
      <w:r>
        <w:rPr>
          <w:rFonts w:ascii="Arial" w:cs="Arial" w:eastAsia="Arial" w:hAnsi="Arial"/>
          <w:sz w:val="15"/>
          <w:szCs w:val="15"/>
          <w:color w:val="auto"/>
        </w:rPr>
        <w:t>production shortages resulting from any events affecting raw material supply or manufacturing capabilities abroad; and</w:t>
      </w:r>
    </w:p>
    <w:p>
      <w:pPr>
        <w:spacing w:after="0" w:line="193" w:lineRule="exact"/>
        <w:rPr>
          <w:rFonts w:ascii="Arial" w:cs="Arial" w:eastAsia="Arial" w:hAnsi="Arial"/>
          <w:sz w:val="15"/>
          <w:szCs w:val="15"/>
          <w:color w:val="auto"/>
        </w:rPr>
      </w:pPr>
    </w:p>
    <w:p>
      <w:pPr>
        <w:ind w:left="620" w:right="259" w:hanging="281"/>
        <w:spacing w:after="0" w:line="251" w:lineRule="auto"/>
        <w:tabs>
          <w:tab w:leader="none" w:pos="6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business interruptions resulting from geopolitical actions, including war and terrorism, or natural disasters including earthquakes, typhoons, floods, and fires.</w:t>
      </w:r>
    </w:p>
    <w:p>
      <w:pPr>
        <w:spacing w:after="0" w:line="157" w:lineRule="exact"/>
        <w:rPr>
          <w:sz w:val="20"/>
          <w:szCs w:val="20"/>
          <w:color w:val="auto"/>
        </w:rPr>
      </w:pPr>
    </w:p>
    <w:p>
      <w:pPr>
        <w:ind w:left="40" w:right="279" w:firstLine="566"/>
        <w:spacing w:after="0" w:line="251" w:lineRule="auto"/>
        <w:rPr>
          <w:sz w:val="20"/>
          <w:szCs w:val="20"/>
          <w:color w:val="auto"/>
        </w:rPr>
      </w:pPr>
      <w:r>
        <w:rPr>
          <w:rFonts w:ascii="Arial" w:cs="Arial" w:eastAsia="Arial" w:hAnsi="Arial"/>
          <w:sz w:val="16"/>
          <w:szCs w:val="16"/>
          <w:color w:val="auto"/>
        </w:rPr>
        <w:t>These and other risks associated with our international operations may materially adversely affect our ability to attain or maintain profitable operations.</w:t>
      </w:r>
    </w:p>
    <w:p>
      <w:pPr>
        <w:spacing w:after="0" w:line="157" w:lineRule="exact"/>
        <w:rPr>
          <w:sz w:val="20"/>
          <w:szCs w:val="20"/>
          <w:color w:val="auto"/>
        </w:rPr>
      </w:pPr>
    </w:p>
    <w:p>
      <w:pPr>
        <w:ind w:left="40" w:right="319"/>
        <w:spacing w:after="0" w:line="251" w:lineRule="auto"/>
        <w:rPr>
          <w:sz w:val="20"/>
          <w:szCs w:val="20"/>
          <w:color w:val="auto"/>
        </w:rPr>
      </w:pPr>
      <w:r>
        <w:rPr>
          <w:rFonts w:ascii="Arial" w:cs="Arial" w:eastAsia="Arial" w:hAnsi="Arial"/>
          <w:sz w:val="16"/>
          <w:szCs w:val="16"/>
          <w:b w:val="1"/>
          <w:bCs w:val="1"/>
          <w:i w:val="1"/>
          <w:iCs w:val="1"/>
          <w:color w:val="auto"/>
        </w:rPr>
        <w:t>We will need to obtain FDA approval (and that of comparable foreign regulatory authorities) of any proposed product names, and any failure or delay associated with such approval may adversely affect our business.</w:t>
      </w:r>
    </w:p>
    <w:p>
      <w:pPr>
        <w:spacing w:after="0" w:line="157" w:lineRule="exact"/>
        <w:rPr>
          <w:sz w:val="20"/>
          <w:szCs w:val="20"/>
          <w:color w:val="auto"/>
        </w:rPr>
      </w:pPr>
    </w:p>
    <w:p>
      <w:pPr>
        <w:ind w:left="40" w:right="119" w:firstLine="566"/>
        <w:spacing w:after="0" w:line="250" w:lineRule="auto"/>
        <w:rPr>
          <w:sz w:val="20"/>
          <w:szCs w:val="20"/>
          <w:color w:val="auto"/>
        </w:rPr>
      </w:pPr>
      <w:r>
        <w:rPr>
          <w:rFonts w:ascii="Arial" w:cs="Arial" w:eastAsia="Arial" w:hAnsi="Arial"/>
          <w:sz w:val="15"/>
          <w:szCs w:val="15"/>
          <w:color w:val="auto"/>
        </w:rPr>
        <w:t>Any name we intend to use for our product candidates will require approval from the FDA regardless of whether we have secured a formal trademark registration from the U.S. Patent and Trademark Office, or USPTO. The FDA typically conducts a review of proposed product names, including an evaluation of the potential for confusion with other product names. The FDA may also object to a product name if it believes the name inappropriately implies medical claims or contributes to an overstatement of efficacy. If the FDA objects to any of our proposed product names, we may be required to adopt alternative names for our product candidates. If we adopt alternative names, we would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302895</wp:posOffset>
            </wp:positionV>
            <wp:extent cx="5682615" cy="222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82615" cy="22225"/>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66" w:name="page67"/>
    <w:bookmarkEnd w:id="66"/>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RISKS RELATED TO THE COMMERCIALIZATION OF OUR PRODUCT CANDIDATES</w:t>
      </w:r>
    </w:p>
    <w:p>
      <w:pPr>
        <w:spacing w:after="0" w:line="186" w:lineRule="exact"/>
        <w:rPr>
          <w:sz w:val="20"/>
          <w:szCs w:val="20"/>
          <w:color w:val="auto"/>
        </w:rPr>
      </w:pPr>
    </w:p>
    <w:p>
      <w:pPr>
        <w:ind w:left="40" w:right="259"/>
        <w:spacing w:after="0" w:line="284" w:lineRule="auto"/>
        <w:rPr>
          <w:sz w:val="20"/>
          <w:szCs w:val="20"/>
          <w:color w:val="auto"/>
        </w:rPr>
      </w:pPr>
      <w:r>
        <w:rPr>
          <w:rFonts w:ascii="Arial" w:cs="Arial" w:eastAsia="Arial" w:hAnsi="Arial"/>
          <w:sz w:val="15"/>
          <w:szCs w:val="15"/>
          <w:b w:val="1"/>
          <w:bCs w:val="1"/>
          <w:i w:val="1"/>
          <w:iCs w:val="1"/>
          <w:color w:val="auto"/>
        </w:rPr>
        <w:t>We face significant competition from other pharmaceutical and biotechnology companies, academic institutions, government agencies, and other research organizations. Our operating results will suffer if we fail to compete effectively.</w:t>
      </w:r>
    </w:p>
    <w:p>
      <w:pPr>
        <w:spacing w:after="0" w:line="134" w:lineRule="exact"/>
        <w:rPr>
          <w:sz w:val="20"/>
          <w:szCs w:val="20"/>
          <w:color w:val="auto"/>
        </w:rPr>
      </w:pPr>
    </w:p>
    <w:p>
      <w:pPr>
        <w:ind w:left="40" w:right="59" w:firstLine="566"/>
        <w:spacing w:after="0" w:line="252" w:lineRule="auto"/>
        <w:rPr>
          <w:sz w:val="20"/>
          <w:szCs w:val="20"/>
          <w:color w:val="auto"/>
        </w:rPr>
      </w:pPr>
      <w:r>
        <w:rPr>
          <w:rFonts w:ascii="Arial" w:cs="Arial" w:eastAsia="Arial" w:hAnsi="Arial"/>
          <w:sz w:val="15"/>
          <w:szCs w:val="15"/>
          <w:color w:val="auto"/>
        </w:rPr>
        <w:t>The development and commercialization of new drug products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products or are pursuing the development of products for the treatment of pain and CNS disorders.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59" w:lineRule="exact"/>
        <w:rPr>
          <w:sz w:val="20"/>
          <w:szCs w:val="20"/>
          <w:color w:val="auto"/>
        </w:rPr>
      </w:pPr>
    </w:p>
    <w:p>
      <w:pPr>
        <w:ind w:left="40" w:right="79" w:firstLine="566"/>
        <w:spacing w:after="0" w:line="304" w:lineRule="auto"/>
        <w:rPr>
          <w:sz w:val="20"/>
          <w:szCs w:val="20"/>
          <w:color w:val="auto"/>
        </w:rPr>
      </w:pPr>
      <w:r>
        <w:rPr>
          <w:rFonts w:ascii="Arial" w:cs="Arial" w:eastAsia="Arial" w:hAnsi="Arial"/>
          <w:sz w:val="13"/>
          <w:szCs w:val="13"/>
          <w:color w:val="auto"/>
        </w:rPr>
        <w:t>Specifically, there are a large number of companies developing or marketing therapies for CNS disorders, including many major pharmaceutical and biotechnology companies. Among the companies that currently market or are developing therapies that, if approved, our product candidates would potentially compete with include: AbbVie Inc.; Amgen Inc.; Avadel Pharmaceuticals plc; Biohaven Pharmaceutical Holding Company Ltd.; Eli Lilly and Company; H. Lundbeck A/S; Intra-Cellular Therapies, Inc.; Janssen Research &amp; Development, LLC; Jazz Pharmaceuticals plc; Otsuka Pharmaceutical Co. Ltd.; OPKO Health, Inc., and Sage Therapeutics, Inc.</w:t>
      </w:r>
    </w:p>
    <w:p>
      <w:pPr>
        <w:spacing w:after="0" w:line="126" w:lineRule="exact"/>
        <w:rPr>
          <w:sz w:val="20"/>
          <w:szCs w:val="20"/>
          <w:color w:val="auto"/>
        </w:rPr>
      </w:pPr>
    </w:p>
    <w:p>
      <w:pPr>
        <w:ind w:left="40" w:right="99" w:firstLine="605"/>
        <w:spacing w:after="0" w:line="297" w:lineRule="auto"/>
        <w:rPr>
          <w:sz w:val="20"/>
          <w:szCs w:val="20"/>
          <w:color w:val="auto"/>
        </w:rPr>
      </w:pPr>
      <w:r>
        <w:rPr>
          <w:rFonts w:ascii="Arial" w:cs="Arial" w:eastAsia="Arial" w:hAnsi="Arial"/>
          <w:sz w:val="13"/>
          <w:szCs w:val="13"/>
          <w:color w:val="auto"/>
        </w:rPr>
        <w:t>Our commercial opportunities could be reduced or eliminated if our competitors develop and commercialize products that are safer, are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generic products or therapeutically similar lower cost brands. If our product candidates achieve marketing approval, we expect that they will be priced at a significant premium over competitive generic products, which would further impact our commercialization efforts.</w:t>
      </w:r>
    </w:p>
    <w:p>
      <w:pPr>
        <w:spacing w:after="0" w:line="132" w:lineRule="exact"/>
        <w:rPr>
          <w:sz w:val="20"/>
          <w:szCs w:val="20"/>
          <w:color w:val="auto"/>
        </w:rPr>
      </w:pPr>
    </w:p>
    <w:p>
      <w:pPr>
        <w:ind w:left="40" w:right="99" w:firstLine="566"/>
        <w:spacing w:after="0" w:line="253" w:lineRule="auto"/>
        <w:rPr>
          <w:sz w:val="20"/>
          <w:szCs w:val="20"/>
          <w:color w:val="auto"/>
        </w:rPr>
      </w:pPr>
      <w:r>
        <w:rPr>
          <w:rFonts w:ascii="Arial" w:cs="Arial" w:eastAsia="Arial" w:hAnsi="Arial"/>
          <w:sz w:val="15"/>
          <w:szCs w:val="15"/>
          <w:color w:val="auto"/>
        </w:rPr>
        <w:t>Generic forms of the active ingredients of our product candidates, including zoledronic acid, DM, bupropion, meloxicam, rizatripan, reboxetine, and esomeprazole, are available in the United States and abroad and could be used off-label. Any such off-label use could adversely affect our profitability and have a negative effect on our operating results and financial condition. For example, even though zoledronic acid is not currently approved for the treatment of pain, we would not be able to prevent a physician from prescribing zoledronic acid in intravenous form for such treatment. Nor could we prevent a payor from offering favorable coverage for such product and disadvantaging our product candidates, even if the generics would be used off-label.</w:t>
      </w:r>
    </w:p>
    <w:p>
      <w:pPr>
        <w:spacing w:after="0" w:line="159" w:lineRule="exact"/>
        <w:rPr>
          <w:sz w:val="20"/>
          <w:szCs w:val="20"/>
          <w:color w:val="auto"/>
        </w:rPr>
      </w:pPr>
    </w:p>
    <w:p>
      <w:pPr>
        <w:ind w:left="40" w:right="59" w:firstLine="566"/>
        <w:spacing w:after="0" w:line="297" w:lineRule="auto"/>
        <w:rPr>
          <w:sz w:val="20"/>
          <w:szCs w:val="20"/>
          <w:color w:val="auto"/>
        </w:rPr>
      </w:pPr>
      <w:r>
        <w:rPr>
          <w:rFonts w:ascii="Arial" w:cs="Arial" w:eastAsia="Arial" w:hAnsi="Arial"/>
          <w:sz w:val="13"/>
          <w:szCs w:val="13"/>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Early stage companies may also prove to be significant competitors, particularly through collaborative arrangements with, or acquisition by large and established companies. These third parties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302895</wp:posOffset>
            </wp:positionV>
            <wp:extent cx="5682615" cy="222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82615" cy="22225"/>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67" w:name="page68"/>
    <w:bookmarkEnd w:id="67"/>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 w:right="39"/>
        <w:spacing w:after="0" w:line="241" w:lineRule="auto"/>
        <w:rPr>
          <w:sz w:val="20"/>
          <w:szCs w:val="20"/>
          <w:color w:val="auto"/>
        </w:rPr>
      </w:pPr>
      <w:r>
        <w:rPr>
          <w:rFonts w:ascii="Arial" w:cs="Arial" w:eastAsia="Arial" w:hAnsi="Arial"/>
          <w:sz w:val="16"/>
          <w:szCs w:val="16"/>
          <w:b w:val="1"/>
          <w:bCs w:val="1"/>
          <w:i w:val="1"/>
          <w:iCs w:val="1"/>
          <w:color w:val="auto"/>
        </w:rPr>
        <w:t>If the FDA or comparable foreign regulatory authorities approve generic or similar versions of any of our products that receive marketing approval, or such authorities do not grant our products appropriate periods of data exclusivity before approving generic or similar versions of our products, the sales of our products could be adversely affected.</w:t>
      </w:r>
    </w:p>
    <w:p>
      <w:pPr>
        <w:spacing w:after="0" w:line="165" w:lineRule="exact"/>
        <w:rPr>
          <w:sz w:val="20"/>
          <w:szCs w:val="20"/>
          <w:color w:val="auto"/>
        </w:rPr>
      </w:pPr>
    </w:p>
    <w:p>
      <w:pPr>
        <w:ind w:left="40" w:right="79" w:firstLine="566"/>
        <w:spacing w:after="0" w:line="294" w:lineRule="auto"/>
        <w:rPr>
          <w:sz w:val="20"/>
          <w:szCs w:val="20"/>
          <w:color w:val="auto"/>
        </w:rPr>
      </w:pPr>
      <w:r>
        <w:rPr>
          <w:rFonts w:ascii="Arial" w:cs="Arial" w:eastAsia="Arial" w:hAnsi="Arial"/>
          <w:sz w:val="13"/>
          <w:szCs w:val="13"/>
          <w:color w:val="auto"/>
        </w:rPr>
        <w:t>Once an NDA is approved, the covered product becomes a “reference listed drug” in the FDA’s Orange Book. Manufacturers may seek approval of generic versions of reference listed drugs through submission of ANDAs in the United States. In support of an ANDA, a generic manufacturer need not conduct full clinical studies. Rather, the applicant generally must show that its product has the same active ingredient(s), dosage form, strength, route of administration, and conditions of use or labeling, among other commonalities, as the reference listed drug and that the generic version is bioequivalent to the reference listed drug, meaning it is absorbed in the body at the same rate and to the same extent. Recently, the FDA and Congress have also taken steps to encourage increased generic drug competition in the market. Generic products may be significantly less costly to bring to market than the reference listed drug and companies that produce generic products are generally able to offer them at lower prices, and are generally preferred by third-party payors. Thus, following the introduction of a generic drug, a significant percentage of the sales of any branded product or reference listed drug is typically lost to the generic product.</w:t>
      </w:r>
    </w:p>
    <w:p>
      <w:pPr>
        <w:spacing w:after="0" w:line="132" w:lineRule="exact"/>
        <w:rPr>
          <w:sz w:val="20"/>
          <w:szCs w:val="20"/>
          <w:color w:val="auto"/>
        </w:rPr>
      </w:pPr>
    </w:p>
    <w:p>
      <w:pPr>
        <w:ind w:left="40" w:right="119" w:firstLine="566"/>
        <w:spacing w:after="0" w:line="238" w:lineRule="auto"/>
        <w:rPr>
          <w:sz w:val="20"/>
          <w:szCs w:val="20"/>
          <w:color w:val="auto"/>
        </w:rPr>
      </w:pPr>
      <w:r>
        <w:rPr>
          <w:rFonts w:ascii="Arial" w:cs="Arial" w:eastAsia="Arial" w:hAnsi="Arial"/>
          <w:sz w:val="16"/>
          <w:szCs w:val="16"/>
          <w:color w:val="auto"/>
        </w:rPr>
        <w:t>Moreover, in addition to generic competition, we could face competition from other companies seeking approval of drug products that are similar to ours using the 505(b)(2) pathway. Such applicants may be able to rely on our product candidates, if approved, or other approved drug products or published literature to develop drug products that are similar to ours. The introduction of a drug product similar to our product candidates could expose us to increased competition.</w:t>
      </w:r>
    </w:p>
    <w:p>
      <w:pPr>
        <w:spacing w:after="0" w:line="166" w:lineRule="exact"/>
        <w:rPr>
          <w:sz w:val="20"/>
          <w:szCs w:val="20"/>
          <w:color w:val="auto"/>
        </w:rPr>
      </w:pPr>
    </w:p>
    <w:p>
      <w:pPr>
        <w:ind w:left="40" w:right="59" w:firstLine="566"/>
        <w:spacing w:after="0" w:line="300" w:lineRule="auto"/>
        <w:rPr>
          <w:sz w:val="20"/>
          <w:szCs w:val="20"/>
          <w:color w:val="auto"/>
        </w:rPr>
      </w:pPr>
      <w:r>
        <w:rPr>
          <w:rFonts w:ascii="Arial" w:cs="Arial" w:eastAsia="Arial" w:hAnsi="Arial"/>
          <w:sz w:val="13"/>
          <w:szCs w:val="13"/>
          <w:color w:val="auto"/>
        </w:rPr>
        <w:t>Further, if we do not file a patent infringement lawsuit against a generic manufacturer within 45 days of receiving notice of its paragraph IV certification, the ANDA or 505(b)(2) applicant may not be subject to a 30-month stay. Litigation or other proceedings to enforce or defend intellectual property rights are often very complex in nature, may be expensive and time consuming, may divert our management’s attention from our core business, and may result in unfavorable results that could adversely impact our ability to prevent third parties from competing with our products. Accordingly, upon approval of our product candidates we may be subject to generic competition or competition from similar products, or may need to commence patent infringement proceedings, which would divert our resources.</w:t>
      </w:r>
    </w:p>
    <w:p>
      <w:pPr>
        <w:spacing w:after="0" w:line="129" w:lineRule="exact"/>
        <w:rPr>
          <w:sz w:val="20"/>
          <w:szCs w:val="20"/>
          <w:color w:val="auto"/>
        </w:rPr>
      </w:pPr>
    </w:p>
    <w:p>
      <w:pPr>
        <w:ind w:left="40" w:right="39" w:firstLine="566"/>
        <w:spacing w:after="0" w:line="252" w:lineRule="auto"/>
        <w:rPr>
          <w:sz w:val="20"/>
          <w:szCs w:val="20"/>
          <w:color w:val="auto"/>
        </w:rPr>
      </w:pPr>
      <w:r>
        <w:rPr>
          <w:rFonts w:ascii="Arial" w:cs="Arial" w:eastAsia="Arial" w:hAnsi="Arial"/>
          <w:sz w:val="15"/>
          <w:szCs w:val="15"/>
          <w:color w:val="auto"/>
        </w:rPr>
        <w:t>We currently anticipate that we may be eligible for three years of non patent marketing exclusivity in the United States for our product candidates if they are approved. These three years, however, would only protect our modifications in formulation or approved uses in comparison to the reference listed drug and would not prevent other companies from submitting full NDAs, and would not prevent physicians from prescribing other products off-label or third party payors from reimbursing for them., since providers are not prohibited from prescribing medications for indications other than the approved indications listed on the label. Moreover, a 505(b)(2) applicant could rely on a reference listed drug that is not one of our product candidates, or published literature, in which case any periods of patent or non patent protection may not prevent FDA making an approval effective.</w:t>
      </w:r>
    </w:p>
    <w:p>
      <w:pPr>
        <w:spacing w:after="0" w:line="159" w:lineRule="exact"/>
        <w:rPr>
          <w:sz w:val="20"/>
          <w:szCs w:val="20"/>
          <w:color w:val="auto"/>
        </w:rPr>
      </w:pPr>
    </w:p>
    <w:p>
      <w:pPr>
        <w:ind w:left="40" w:right="179" w:firstLine="566"/>
        <w:spacing w:after="0" w:line="241" w:lineRule="auto"/>
        <w:rPr>
          <w:sz w:val="20"/>
          <w:szCs w:val="20"/>
          <w:color w:val="auto"/>
        </w:rPr>
      </w:pPr>
      <w:r>
        <w:rPr>
          <w:rFonts w:ascii="Arial" w:cs="Arial" w:eastAsia="Arial" w:hAnsi="Arial"/>
          <w:sz w:val="16"/>
          <w:szCs w:val="16"/>
          <w:color w:val="auto"/>
        </w:rPr>
        <w:t>Competition that our products may face from generic or similar versions of our products could materially and adversely impact our future revenue, profitability, and cash flows and substantially limit our ability to obtain a return on the investments we have made in those product candidates.</w:t>
      </w:r>
    </w:p>
    <w:p>
      <w:pPr>
        <w:spacing w:after="0" w:line="165" w:lineRule="exact"/>
        <w:rPr>
          <w:sz w:val="20"/>
          <w:szCs w:val="20"/>
          <w:color w:val="auto"/>
        </w:rPr>
      </w:pPr>
    </w:p>
    <w:p>
      <w:pPr>
        <w:jc w:val="both"/>
        <w:ind w:left="40" w:right="79"/>
        <w:spacing w:after="0" w:line="265" w:lineRule="auto"/>
        <w:rPr>
          <w:sz w:val="20"/>
          <w:szCs w:val="20"/>
          <w:color w:val="auto"/>
        </w:rPr>
      </w:pPr>
      <w:r>
        <w:rPr>
          <w:rFonts w:ascii="Arial" w:cs="Arial" w:eastAsia="Arial" w:hAnsi="Arial"/>
          <w:sz w:val="15"/>
          <w:szCs w:val="15"/>
          <w:b w:val="1"/>
          <w:bCs w:val="1"/>
          <w:i w:val="1"/>
          <w:iCs w:val="1"/>
          <w:color w:val="auto"/>
        </w:rPr>
        <w:t>AXS-12 received Orphan Drug Designation from the FDA. However, there is no guarantee that we will receive this designation for any of our other product candidates, or receive or maintain any corresponding benefits for any of our other product candidates that may receive Orphan Drug Designation in the future, including periods of exclusivity.</w:t>
      </w:r>
    </w:p>
    <w:p>
      <w:pPr>
        <w:spacing w:after="0" w:line="148" w:lineRule="exact"/>
        <w:rPr>
          <w:sz w:val="20"/>
          <w:szCs w:val="20"/>
          <w:color w:val="auto"/>
        </w:rPr>
      </w:pPr>
    </w:p>
    <w:p>
      <w:pPr>
        <w:ind w:left="40" w:right="119" w:firstLine="566"/>
        <w:spacing w:after="0" w:line="251" w:lineRule="auto"/>
        <w:rPr>
          <w:sz w:val="20"/>
          <w:szCs w:val="20"/>
          <w:color w:val="auto"/>
        </w:rPr>
      </w:pPr>
      <w:r>
        <w:rPr>
          <w:rFonts w:ascii="Arial" w:cs="Arial" w:eastAsia="Arial" w:hAnsi="Arial"/>
          <w:sz w:val="16"/>
          <w:szCs w:val="16"/>
          <w:color w:val="auto"/>
        </w:rPr>
        <w:t>AXS-12 received Orphan Drug Designation from FDA for the treatment of narcolepsy. We may also seek Orphan Drug Designation for our other product candidates, as appropriate.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302895</wp:posOffset>
            </wp:positionV>
            <wp:extent cx="5682615" cy="222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82615" cy="22225"/>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68" w:name="page69"/>
    <w:bookmarkEnd w:id="68"/>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 w:right="59" w:firstLine="566"/>
        <w:spacing w:after="0" w:line="251" w:lineRule="auto"/>
        <w:rPr>
          <w:sz w:val="20"/>
          <w:szCs w:val="20"/>
          <w:color w:val="auto"/>
        </w:rPr>
      </w:pPr>
      <w:r>
        <w:rPr>
          <w:rFonts w:ascii="Arial" w:cs="Arial" w:eastAsia="Arial" w:hAnsi="Arial"/>
          <w:sz w:val="15"/>
          <w:szCs w:val="15"/>
          <w:color w:val="auto"/>
        </w:rPr>
        <w:t>Orphan Drug Designation, however, may be lost if the indications for which we develop any of our future product candidates do not meet the orphan drug criteria. Moreover, following product approval, orphan drug exclusivity may be lost if the FDA determines, among other reasons, that the request for designation was materially defective or if the manufacturer is unable to assure sufficient quantity of the product to meet the needs of patients with the rare disease or condition. Even if we obtain orphan drug exclusivity for any of our current or future product candidates, that exclusivity may not effectively protect the product from competition because different products can be approved for the same condition. Even after an orphan product is approved, the FDA can subsequently approve a product containing the same principal molecular features for the same condition if the FDA concludes that the later product is clinically superior in that it is shown to be safer or more effective or makes a major contribution to patient care.</w:t>
      </w:r>
    </w:p>
    <w:p>
      <w:pPr>
        <w:spacing w:after="0" w:line="160" w:lineRule="exact"/>
        <w:rPr>
          <w:sz w:val="20"/>
          <w:szCs w:val="20"/>
          <w:color w:val="auto"/>
        </w:rPr>
      </w:pPr>
    </w:p>
    <w:p>
      <w:pPr>
        <w:ind w:left="40" w:right="119" w:firstLine="566"/>
        <w:spacing w:after="0" w:line="294" w:lineRule="auto"/>
        <w:rPr>
          <w:sz w:val="20"/>
          <w:szCs w:val="20"/>
          <w:color w:val="auto"/>
        </w:rPr>
      </w:pPr>
      <w:r>
        <w:rPr>
          <w:rFonts w:ascii="Arial" w:cs="Arial" w:eastAsia="Arial" w:hAnsi="Arial"/>
          <w:sz w:val="13"/>
          <w:szCs w:val="13"/>
          <w:color w:val="auto"/>
        </w:rPr>
        <w:t>The FDA or the EMA may grant orphan exclusivity to two different sponsors for the same compound or active molecule and for the same indication. For example, subsequent to our Orphan Drug Designation, the FDA granted Orphan Drug Designation to Thar Pharmaceuticals, Inc. for a zoledronic acid-containing product for the treatment of CRPS. Thar Pharmaceuticals was subsequently acquired by Grunenthal GmbH. Although we are no longer pursuing CRPS, if Grunenthal GmbH or another sponsor had received FDA approval for a zoledronic acid-containing product for the treatment of CRPS before we had obtained FDA approval for AXS-02 for the treatment of pain associated with CRPS, we would have been prevented from launching our product in the United States for this indication for a period of at least 7 years. If another sponsor had received EMA approval for a zoledronic acid-containing product for the treatment of CRPS before we had obtained EMA approval for AXS-02 for the treatment of pain associated with CRPS, we would have been prevented from launching our product in the EU for this indication for a period of at least 10 to 12 years.</w:t>
      </w:r>
    </w:p>
    <w:p>
      <w:pPr>
        <w:spacing w:after="0" w:line="315" w:lineRule="exact"/>
        <w:rPr>
          <w:sz w:val="20"/>
          <w:szCs w:val="20"/>
          <w:color w:val="auto"/>
        </w:rPr>
      </w:pPr>
    </w:p>
    <w:p>
      <w:pPr>
        <w:ind w:left="40" w:right="119" w:firstLine="566"/>
        <w:spacing w:after="0" w:line="236" w:lineRule="auto"/>
        <w:rPr>
          <w:sz w:val="20"/>
          <w:szCs w:val="20"/>
          <w:color w:val="auto"/>
        </w:rPr>
      </w:pPr>
      <w:r>
        <w:rPr>
          <w:rFonts w:ascii="Arial" w:cs="Arial" w:eastAsia="Arial" w:hAnsi="Arial"/>
          <w:sz w:val="16"/>
          <w:szCs w:val="16"/>
          <w:color w:val="auto"/>
        </w:rPr>
        <w:t>The FDA may undertake a reevaluation of aspects of its orphan drug regulations and policies at any time, and may possibly do so in response to a recent court decision regarding the plain meaning of the exclusivity provision of the Orphan Drug Act. We do not know if, when, or how the FDA may change the orphan drug regulations and policies, and it is uncertain how any changes might affect our business. Depending on what changes the FDA may make to its orphan drug regulations and policies, our business, financial condition, results of operations, and prospects could be harmed.</w:t>
      </w:r>
    </w:p>
    <w:p>
      <w:pPr>
        <w:spacing w:after="0" w:line="168" w:lineRule="exact"/>
        <w:rPr>
          <w:sz w:val="20"/>
          <w:szCs w:val="20"/>
          <w:color w:val="auto"/>
        </w:rPr>
      </w:pPr>
    </w:p>
    <w:p>
      <w:pPr>
        <w:ind w:left="40" w:right="239"/>
        <w:spacing w:after="0" w:line="251" w:lineRule="auto"/>
        <w:rPr>
          <w:sz w:val="20"/>
          <w:szCs w:val="20"/>
          <w:color w:val="auto"/>
        </w:rPr>
      </w:pPr>
      <w:r>
        <w:rPr>
          <w:rFonts w:ascii="Arial" w:cs="Arial" w:eastAsia="Arial" w:hAnsi="Arial"/>
          <w:sz w:val="16"/>
          <w:szCs w:val="16"/>
          <w:b w:val="1"/>
          <w:bCs w:val="1"/>
          <w:i w:val="1"/>
          <w:iCs w:val="1"/>
          <w:color w:val="auto"/>
        </w:rPr>
        <w:t>If we are unable to establish effective marketing and sales capabilities or enter into agreements with third parties to market and sell our product candidates, if they are approved, we may be unable to generate product revenues.</w:t>
      </w:r>
    </w:p>
    <w:p>
      <w:pPr>
        <w:spacing w:after="0" w:line="158" w:lineRule="exact"/>
        <w:rPr>
          <w:sz w:val="20"/>
          <w:szCs w:val="20"/>
          <w:color w:val="auto"/>
        </w:rPr>
      </w:pPr>
    </w:p>
    <w:p>
      <w:pPr>
        <w:ind w:left="40" w:right="79" w:firstLine="566"/>
        <w:spacing w:after="0" w:line="251" w:lineRule="auto"/>
        <w:rPr>
          <w:sz w:val="20"/>
          <w:szCs w:val="20"/>
          <w:color w:val="auto"/>
        </w:rPr>
      </w:pPr>
      <w:r>
        <w:rPr>
          <w:rFonts w:ascii="Arial" w:cs="Arial" w:eastAsia="Arial" w:hAnsi="Arial"/>
          <w:sz w:val="15"/>
          <w:szCs w:val="15"/>
          <w:color w:val="auto"/>
        </w:rPr>
        <w:t>We currently do not have a commercial infrastructure for the marketing, sale, and distribution of pharmaceutical products. If approved, in order to commercialize our products, we must build our marketing, sales, and distribution capabilities or make arrangements with third parties to perform these services. We may not be successful in doing so. If one of our product candidates is approved by the FDA, we plan to build a commercial infrastructure, including the creation of a specialty sales force to launch that product candidate throughout the United States. In the future, we may seek to further penetrate the U.S. market by expanding our sales force or through collaborations with other pharmaceutical or biotechnology companies or third-party manufacturing and sales organizations. If approved for marketing outside the United States, we intend to commercialize our product candidates outside the United States with a marketing and sales collaborator or collaborators, rather than with our own sales force.</w:t>
      </w:r>
    </w:p>
    <w:p>
      <w:pPr>
        <w:spacing w:after="0" w:line="160" w:lineRule="exact"/>
        <w:rPr>
          <w:sz w:val="20"/>
          <w:szCs w:val="20"/>
          <w:color w:val="auto"/>
        </w:rPr>
      </w:pPr>
    </w:p>
    <w:p>
      <w:pPr>
        <w:ind w:left="40" w:right="79" w:firstLine="566"/>
        <w:spacing w:after="0" w:line="251" w:lineRule="auto"/>
        <w:rPr>
          <w:sz w:val="20"/>
          <w:szCs w:val="20"/>
          <w:color w:val="auto"/>
        </w:rPr>
      </w:pPr>
      <w:r>
        <w:rPr>
          <w:rFonts w:ascii="Arial" w:cs="Arial" w:eastAsia="Arial" w:hAnsi="Arial"/>
          <w:sz w:val="15"/>
          <w:szCs w:val="15"/>
          <w:color w:val="auto"/>
        </w:rPr>
        <w:t>We have no prior experience in the marketing, sale, and distribution of pharmaceutical products, and there are significant risks involved in the building and managing of a commercial infrastructure. The establishment and development of our own sales force and related compliance plans to market any products we may develop will be expensive and time consuming and could delay any product launch, and we may not be able to successfully develop this capability. We, or our future collaborators, will have to compete with other pharmaceutical and biotechnology companies to recruit, hire, train, manage, and retain marketing and sales personnel. In the event we are unable to develop a marketing and sales infrastructure, we may not be able to commercialize any of our current or future product candidates, which would limit our ability to generate product revenues. Factors that may inhibit our efforts to commercialize any of our current or future product candidates on our own include:</w:t>
      </w:r>
    </w:p>
    <w:p>
      <w:pPr>
        <w:spacing w:after="0" w:line="160" w:lineRule="exact"/>
        <w:rPr>
          <w:sz w:val="20"/>
          <w:szCs w:val="20"/>
          <w:color w:val="auto"/>
        </w:rPr>
      </w:pPr>
    </w:p>
    <w:p>
      <w:pPr>
        <w:ind w:left="620" w:hanging="281"/>
        <w:spacing w:after="0"/>
        <w:tabs>
          <w:tab w:leader="none" w:pos="6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our inability to recruit, train, manage, and retain adequate numbers of effective sales and marketing personnel;</w:t>
      </w:r>
    </w:p>
    <w:p>
      <w:pPr>
        <w:spacing w:after="0" w:line="181" w:lineRule="exact"/>
        <w:rPr>
          <w:rFonts w:ascii="Arial" w:cs="Arial" w:eastAsia="Arial" w:hAnsi="Arial"/>
          <w:sz w:val="16"/>
          <w:szCs w:val="16"/>
          <w:color w:val="auto"/>
        </w:rPr>
      </w:pPr>
    </w:p>
    <w:p>
      <w:pPr>
        <w:ind w:left="620" w:right="299" w:hanging="281"/>
        <w:spacing w:after="0" w:line="251" w:lineRule="auto"/>
        <w:tabs>
          <w:tab w:leader="none" w:pos="6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physicians or persuade adequate numbers of physicians to prescribe any of our current or future product candidates;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302895</wp:posOffset>
            </wp:positionV>
            <wp:extent cx="5682615" cy="222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82615" cy="22225"/>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69" w:name="page70"/>
    <w:bookmarkEnd w:id="69"/>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620" w:hanging="281"/>
        <w:spacing w:after="0"/>
        <w:tabs>
          <w:tab w:leader="none" w:pos="6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inability to effectively oversee a geographically dispersed sales and marketing team;</w:t>
      </w:r>
    </w:p>
    <w:p>
      <w:pPr>
        <w:spacing w:after="0" w:line="181" w:lineRule="exact"/>
        <w:rPr>
          <w:rFonts w:ascii="Arial" w:cs="Arial" w:eastAsia="Arial" w:hAnsi="Arial"/>
          <w:sz w:val="16"/>
          <w:szCs w:val="16"/>
          <w:color w:val="auto"/>
        </w:rPr>
      </w:pPr>
    </w:p>
    <w:p>
      <w:pPr>
        <w:ind w:left="620" w:right="299" w:hanging="281"/>
        <w:spacing w:after="0" w:line="251" w:lineRule="auto"/>
        <w:tabs>
          <w:tab w:leader="none" w:pos="6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costs associated with training sales and marketing personnel on legal and regulatory compliance matters and monitoring their actions;</w:t>
      </w:r>
    </w:p>
    <w:p>
      <w:pPr>
        <w:spacing w:after="0" w:line="157" w:lineRule="exact"/>
        <w:rPr>
          <w:rFonts w:ascii="Arial" w:cs="Arial" w:eastAsia="Arial" w:hAnsi="Arial"/>
          <w:sz w:val="16"/>
          <w:szCs w:val="16"/>
          <w:color w:val="auto"/>
        </w:rPr>
      </w:pPr>
    </w:p>
    <w:p>
      <w:pPr>
        <w:ind w:left="620" w:hanging="281"/>
        <w:spacing w:after="0"/>
        <w:tabs>
          <w:tab w:leader="none" w:pos="6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 inability to secure adequate coverage and reimbursement by government and private health plans;</w:t>
      </w:r>
    </w:p>
    <w:p>
      <w:pPr>
        <w:spacing w:after="0" w:line="181" w:lineRule="exact"/>
        <w:rPr>
          <w:rFonts w:ascii="Arial" w:cs="Arial" w:eastAsia="Arial" w:hAnsi="Arial"/>
          <w:sz w:val="16"/>
          <w:szCs w:val="16"/>
          <w:color w:val="auto"/>
        </w:rPr>
      </w:pPr>
    </w:p>
    <w:p>
      <w:pPr>
        <w:ind w:left="620" w:hanging="281"/>
        <w:spacing w:after="0"/>
        <w:tabs>
          <w:tab w:leader="none" w:pos="6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clinical indications and labeled claims for which the product is approved;</w:t>
      </w:r>
    </w:p>
    <w:p>
      <w:pPr>
        <w:spacing w:after="0" w:line="181" w:lineRule="exact"/>
        <w:rPr>
          <w:rFonts w:ascii="Arial" w:cs="Arial" w:eastAsia="Arial" w:hAnsi="Arial"/>
          <w:sz w:val="16"/>
          <w:szCs w:val="16"/>
          <w:color w:val="auto"/>
        </w:rPr>
      </w:pPr>
    </w:p>
    <w:p>
      <w:pPr>
        <w:ind w:left="620" w:hanging="281"/>
        <w:spacing w:after="0"/>
        <w:tabs>
          <w:tab w:leader="none" w:pos="6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limitations or warnings, including distribution or use restrictions, contained in the product’s approved labeling;</w:t>
      </w:r>
    </w:p>
    <w:p>
      <w:pPr>
        <w:spacing w:after="0" w:line="181" w:lineRule="exact"/>
        <w:rPr>
          <w:rFonts w:ascii="Arial" w:cs="Arial" w:eastAsia="Arial" w:hAnsi="Arial"/>
          <w:sz w:val="16"/>
          <w:szCs w:val="16"/>
          <w:color w:val="auto"/>
        </w:rPr>
      </w:pPr>
    </w:p>
    <w:p>
      <w:pPr>
        <w:ind w:left="620" w:right="439" w:hanging="281"/>
        <w:spacing w:after="0" w:line="251" w:lineRule="auto"/>
        <w:tabs>
          <w:tab w:leader="none" w:pos="6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any distribution and use restrictions imposed by the FDA or to which we agree as part of a mandatory REMS or voluntary risk management plan;</w:t>
      </w:r>
    </w:p>
    <w:p>
      <w:pPr>
        <w:spacing w:after="0" w:line="157" w:lineRule="exact"/>
        <w:rPr>
          <w:rFonts w:ascii="Arial" w:cs="Arial" w:eastAsia="Arial" w:hAnsi="Arial"/>
          <w:sz w:val="16"/>
          <w:szCs w:val="16"/>
          <w:color w:val="auto"/>
        </w:rPr>
      </w:pPr>
    </w:p>
    <w:p>
      <w:pPr>
        <w:ind w:left="620" w:hanging="281"/>
        <w:spacing w:after="0"/>
        <w:tabs>
          <w:tab w:leader="none" w:pos="6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liability for sales or marketing personnel who fail to comply with the applicable legal and regulatory requirements;</w:t>
      </w:r>
    </w:p>
    <w:p>
      <w:pPr>
        <w:spacing w:after="0" w:line="181" w:lineRule="exact"/>
        <w:rPr>
          <w:rFonts w:ascii="Arial" w:cs="Arial" w:eastAsia="Arial" w:hAnsi="Arial"/>
          <w:sz w:val="16"/>
          <w:szCs w:val="16"/>
          <w:color w:val="auto"/>
        </w:rPr>
      </w:pPr>
    </w:p>
    <w:p>
      <w:pPr>
        <w:ind w:left="620" w:right="339" w:hanging="281"/>
        <w:spacing w:after="0" w:line="251" w:lineRule="auto"/>
        <w:tabs>
          <w:tab w:leader="none" w:pos="6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lack of complementary products to be offered by sales personnel, which may put us at a competitive disadvantage relative to companies with more extensive product lines; and</w:t>
      </w:r>
    </w:p>
    <w:p>
      <w:pPr>
        <w:spacing w:after="0" w:line="157" w:lineRule="exact"/>
        <w:rPr>
          <w:rFonts w:ascii="Arial" w:cs="Arial" w:eastAsia="Arial" w:hAnsi="Arial"/>
          <w:sz w:val="16"/>
          <w:szCs w:val="16"/>
          <w:color w:val="auto"/>
        </w:rPr>
      </w:pPr>
    </w:p>
    <w:p>
      <w:pPr>
        <w:ind w:left="620" w:right="379" w:hanging="281"/>
        <w:spacing w:after="0" w:line="251" w:lineRule="auto"/>
        <w:tabs>
          <w:tab w:leader="none" w:pos="6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unforeseen costs and expenses associated with creating an independent sales and marketing organization or engaging a contract sales organization.</w:t>
      </w:r>
    </w:p>
    <w:p>
      <w:pPr>
        <w:spacing w:after="0" w:line="157" w:lineRule="exact"/>
        <w:rPr>
          <w:sz w:val="20"/>
          <w:szCs w:val="20"/>
          <w:color w:val="auto"/>
        </w:rPr>
      </w:pPr>
    </w:p>
    <w:p>
      <w:pPr>
        <w:ind w:left="40" w:right="79" w:firstLine="566"/>
        <w:spacing w:after="0" w:line="304" w:lineRule="auto"/>
        <w:rPr>
          <w:sz w:val="20"/>
          <w:szCs w:val="20"/>
          <w:color w:val="auto"/>
        </w:rPr>
      </w:pPr>
      <w:r>
        <w:rPr>
          <w:rFonts w:ascii="Arial" w:cs="Arial" w:eastAsia="Arial" w:hAnsi="Arial"/>
          <w:sz w:val="13"/>
          <w:szCs w:val="13"/>
          <w:color w:val="auto"/>
        </w:rPr>
        <w:t>Although our current plan is to hire most of our sales and marketing personnel only if a product candidate is approved by the FDA, we will incur expenses prior to product launch in recruiting this sales force and developing a compliant marketing and sales infrastructure. If a commercial launch is delayed as a result of FDA requirements or other reasons, we would incur these expenses prior to being able to realize any revenue from sales of our product candidates. Even if we are able to effectively hire a sales force and develop a marketing and sales infrastructure, our sales force and marketing teams may not be successful in commercializing any of our current or future product candidates.</w:t>
      </w:r>
    </w:p>
    <w:p>
      <w:pPr>
        <w:spacing w:after="0" w:line="126" w:lineRule="exact"/>
        <w:rPr>
          <w:sz w:val="20"/>
          <w:szCs w:val="20"/>
          <w:color w:val="auto"/>
        </w:rPr>
      </w:pPr>
    </w:p>
    <w:p>
      <w:pPr>
        <w:ind w:left="40" w:right="59" w:firstLine="566"/>
        <w:spacing w:after="0" w:line="253" w:lineRule="auto"/>
        <w:rPr>
          <w:sz w:val="20"/>
          <w:szCs w:val="20"/>
          <w:color w:val="auto"/>
        </w:rPr>
      </w:pPr>
      <w:r>
        <w:rPr>
          <w:rFonts w:ascii="Arial" w:cs="Arial" w:eastAsia="Arial" w:hAnsi="Arial"/>
          <w:sz w:val="15"/>
          <w:szCs w:val="15"/>
          <w:color w:val="auto"/>
        </w:rPr>
        <w:t>In the event we are unable to collaborate with a third-party marketing and sales organization to commercialize any approved product candidates outside the United States, our ability to generate product revenues may be limited. To the extent we rely on third parties to commercialize any products for which we obtain regulatory approval, we may receive less revenues than if we commercialized these products ourselves and may be subject to additional regulatory restrictions associated with the operation of a contracted sales force. In addition, we would have less control over the sales efforts of any other third parties involved in our commercialization efforts, and could be held liable if they failed to comply with applicable legal or regulatory requirements.</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302895</wp:posOffset>
            </wp:positionV>
            <wp:extent cx="5682615" cy="222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82615" cy="22225"/>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70" w:name="page71"/>
    <w:bookmarkEnd w:id="70"/>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 w:right="59"/>
        <w:spacing w:after="0" w:line="251" w:lineRule="auto"/>
        <w:rPr>
          <w:sz w:val="20"/>
          <w:szCs w:val="20"/>
          <w:color w:val="auto"/>
        </w:rPr>
      </w:pPr>
      <w:r>
        <w:rPr>
          <w:rFonts w:ascii="Arial" w:cs="Arial" w:eastAsia="Arial" w:hAnsi="Arial"/>
          <w:sz w:val="16"/>
          <w:szCs w:val="16"/>
          <w:b w:val="1"/>
          <w:bCs w:val="1"/>
          <w:i w:val="1"/>
          <w:iCs w:val="1"/>
          <w:color w:val="auto"/>
        </w:rPr>
        <w:t>If any of our current or future product candidates do not achieve broad market acceptance, the revenues that we generate from their sales will be limited.</w:t>
      </w:r>
    </w:p>
    <w:p>
      <w:pPr>
        <w:spacing w:after="0" w:line="158" w:lineRule="exact"/>
        <w:rPr>
          <w:sz w:val="20"/>
          <w:szCs w:val="20"/>
          <w:color w:val="auto"/>
        </w:rPr>
      </w:pPr>
    </w:p>
    <w:p>
      <w:pPr>
        <w:ind w:left="40" w:right="79" w:firstLine="566"/>
        <w:spacing w:after="0" w:line="292" w:lineRule="auto"/>
        <w:rPr>
          <w:sz w:val="20"/>
          <w:szCs w:val="20"/>
          <w:color w:val="auto"/>
        </w:rPr>
      </w:pPr>
      <w:r>
        <w:rPr>
          <w:rFonts w:ascii="Arial" w:cs="Arial" w:eastAsia="Arial" w:hAnsi="Arial"/>
          <w:sz w:val="13"/>
          <w:szCs w:val="13"/>
          <w:color w:val="auto"/>
        </w:rPr>
        <w:t>We have never commercialized a product candidate for any indication. Even if any of our current or future product candidates are approved by the appropriate regulatory authorities for marketing and sale, it may not gain acceptance among physicians, patients, third-party payors, and others in the medical community. If any product candidates for which we obtain regulatory approval do not gain an adequate level of market acceptance, we may not generate significant product revenues or become profitable. Market acceptance of any of our current or future product candidates by the medical community, patients, and third-party payors will depend on a number of factors, some of which are beyond our control. For example, physicians are often reluctant to switch their patients from existing therapies even when new and potentially more effective or convenient treatments enter the market. Further, patients often acclimate to the therapy that they are currently taking and do not want to switch unless their physicians recommend switching products or they are required to switch therapies due to lack of reimbursement for existing therapies. Even if physicians prescribe our products, third party payors may not consider them cost effective without a significant price concession, which could negatively impact our revenue. Third party payors may also implement onerous access controls, which could further impede our efforts to effectively transition eligible patients to our therapies.</w:t>
      </w:r>
    </w:p>
    <w:p>
      <w:pPr>
        <w:spacing w:after="0" w:line="315" w:lineRule="exact"/>
        <w:rPr>
          <w:sz w:val="20"/>
          <w:szCs w:val="20"/>
          <w:color w:val="auto"/>
        </w:rPr>
      </w:pPr>
    </w:p>
    <w:p>
      <w:pPr>
        <w:ind w:left="40" w:right="239" w:firstLine="566"/>
        <w:spacing w:after="0" w:line="238" w:lineRule="auto"/>
        <w:rPr>
          <w:sz w:val="20"/>
          <w:szCs w:val="20"/>
          <w:color w:val="auto"/>
        </w:rPr>
      </w:pPr>
      <w:r>
        <w:rPr>
          <w:rFonts w:ascii="Arial" w:cs="Arial" w:eastAsia="Arial" w:hAnsi="Arial"/>
          <w:sz w:val="16"/>
          <w:szCs w:val="16"/>
          <w:color w:val="auto"/>
        </w:rPr>
        <w:t>Efforts to educate the medical community and third-party payors on the benefits of our product candidates may require significant resources and may not be successful. If any of our product candidates is approved but does not achieve an adequate level of market acceptance, we may not generate significant revenues and we may not become profitable. The degree of market acceptance of any of our product candidates will depend on a number of factors, including:</w:t>
      </w:r>
    </w:p>
    <w:p>
      <w:pPr>
        <w:spacing w:after="0" w:line="166" w:lineRule="exact"/>
        <w:rPr>
          <w:sz w:val="20"/>
          <w:szCs w:val="20"/>
          <w:color w:val="auto"/>
        </w:rPr>
      </w:pPr>
    </w:p>
    <w:p>
      <w:pPr>
        <w:ind w:left="620" w:hanging="281"/>
        <w:spacing w:after="0"/>
        <w:tabs>
          <w:tab w:leader="none" w:pos="6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efficacy of our product candidates;</w:t>
      </w:r>
    </w:p>
    <w:p>
      <w:pPr>
        <w:spacing w:after="0" w:line="181" w:lineRule="exact"/>
        <w:rPr>
          <w:rFonts w:ascii="Arial" w:cs="Arial" w:eastAsia="Arial" w:hAnsi="Arial"/>
          <w:sz w:val="16"/>
          <w:szCs w:val="16"/>
          <w:color w:val="auto"/>
        </w:rPr>
      </w:pPr>
    </w:p>
    <w:p>
      <w:pPr>
        <w:ind w:left="620" w:hanging="281"/>
        <w:spacing w:after="0"/>
        <w:tabs>
          <w:tab w:leader="none" w:pos="6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prevalence and severity of adverse events associated with such product candidate;</w:t>
      </w:r>
    </w:p>
    <w:p>
      <w:pPr>
        <w:spacing w:after="0" w:line="181" w:lineRule="exact"/>
        <w:rPr>
          <w:rFonts w:ascii="Arial" w:cs="Arial" w:eastAsia="Arial" w:hAnsi="Arial"/>
          <w:sz w:val="16"/>
          <w:szCs w:val="16"/>
          <w:color w:val="auto"/>
        </w:rPr>
      </w:pPr>
    </w:p>
    <w:p>
      <w:pPr>
        <w:ind w:left="620" w:hanging="281"/>
        <w:spacing w:after="0"/>
        <w:tabs>
          <w:tab w:leader="none" w:pos="6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clinical indications for which the product is approved and the approved claims that we may make for the product;</w:t>
      </w:r>
    </w:p>
    <w:p>
      <w:pPr>
        <w:spacing w:after="0" w:line="181" w:lineRule="exact"/>
        <w:rPr>
          <w:rFonts w:ascii="Arial" w:cs="Arial" w:eastAsia="Arial" w:hAnsi="Arial"/>
          <w:sz w:val="16"/>
          <w:szCs w:val="16"/>
          <w:color w:val="auto"/>
        </w:rPr>
      </w:pPr>
    </w:p>
    <w:p>
      <w:pPr>
        <w:ind w:left="620" w:right="419" w:hanging="281"/>
        <w:spacing w:after="0" w:line="251" w:lineRule="auto"/>
        <w:tabs>
          <w:tab w:leader="none" w:pos="6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limitations or warnings contained in the product’s FDA-approved labeling, including potential limitations or warnings for such product candidate, that may be more restrictive than other competitive products;</w:t>
      </w:r>
    </w:p>
    <w:p>
      <w:pPr>
        <w:spacing w:after="0" w:line="157" w:lineRule="exact"/>
        <w:rPr>
          <w:rFonts w:ascii="Arial" w:cs="Arial" w:eastAsia="Arial" w:hAnsi="Arial"/>
          <w:sz w:val="16"/>
          <w:szCs w:val="16"/>
          <w:color w:val="auto"/>
        </w:rPr>
      </w:pPr>
    </w:p>
    <w:p>
      <w:pPr>
        <w:ind w:left="620" w:right="159" w:hanging="281"/>
        <w:spacing w:after="0" w:line="251" w:lineRule="auto"/>
        <w:tabs>
          <w:tab w:leader="none" w:pos="6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changes in the standard of care for the targeted indications for such product candidate, which could reduce the marketing impact of any claims that we could make following FDA approval, if obtained;</w:t>
      </w:r>
    </w:p>
    <w:p>
      <w:pPr>
        <w:spacing w:after="0" w:line="157" w:lineRule="exact"/>
        <w:rPr>
          <w:rFonts w:ascii="Arial" w:cs="Arial" w:eastAsia="Arial" w:hAnsi="Arial"/>
          <w:sz w:val="16"/>
          <w:szCs w:val="16"/>
          <w:color w:val="auto"/>
        </w:rPr>
      </w:pPr>
    </w:p>
    <w:p>
      <w:pPr>
        <w:ind w:left="620" w:hanging="281"/>
        <w:spacing w:after="0"/>
        <w:tabs>
          <w:tab w:leader="none" w:pos="6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relative convenience and ease of administration of such product candidate;</w:t>
      </w:r>
    </w:p>
    <w:p>
      <w:pPr>
        <w:spacing w:after="0" w:line="181" w:lineRule="exact"/>
        <w:rPr>
          <w:rFonts w:ascii="Arial" w:cs="Arial" w:eastAsia="Arial" w:hAnsi="Arial"/>
          <w:sz w:val="16"/>
          <w:szCs w:val="16"/>
          <w:color w:val="auto"/>
        </w:rPr>
      </w:pPr>
    </w:p>
    <w:p>
      <w:pPr>
        <w:ind w:left="620" w:hanging="281"/>
        <w:spacing w:after="0"/>
        <w:tabs>
          <w:tab w:leader="none" w:pos="6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cost of treatment versus economic and clinical benefit in relation to alternative treatments or therapies;</w:t>
      </w:r>
    </w:p>
    <w:p>
      <w:pPr>
        <w:spacing w:after="0" w:line="181" w:lineRule="exact"/>
        <w:rPr>
          <w:rFonts w:ascii="Arial" w:cs="Arial" w:eastAsia="Arial" w:hAnsi="Arial"/>
          <w:sz w:val="16"/>
          <w:szCs w:val="16"/>
          <w:color w:val="auto"/>
        </w:rPr>
      </w:pPr>
    </w:p>
    <w:p>
      <w:pPr>
        <w:ind w:left="620" w:right="239" w:hanging="281"/>
        <w:spacing w:after="0" w:line="251" w:lineRule="auto"/>
        <w:tabs>
          <w:tab w:leader="none" w:pos="6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availability of adequate coverage or reimbursement by third parties, such as insurance companies and other healthcare payors, and by government healthcare programs, including Medicare and Medicaid;</w:t>
      </w:r>
    </w:p>
    <w:p>
      <w:pPr>
        <w:spacing w:after="0" w:line="157" w:lineRule="exact"/>
        <w:rPr>
          <w:rFonts w:ascii="Arial" w:cs="Arial" w:eastAsia="Arial" w:hAnsi="Arial"/>
          <w:sz w:val="16"/>
          <w:szCs w:val="16"/>
          <w:color w:val="auto"/>
        </w:rPr>
      </w:pPr>
    </w:p>
    <w:p>
      <w:pPr>
        <w:ind w:left="620" w:hanging="281"/>
        <w:spacing w:after="0"/>
        <w:tabs>
          <w:tab w:leader="none" w:pos="620" w:val="left"/>
        </w:tabs>
        <w:numPr>
          <w:ilvl w:val="0"/>
          <w:numId w:val="30"/>
        </w:numPr>
        <w:rPr>
          <w:rFonts w:ascii="Arial" w:cs="Arial" w:eastAsia="Arial" w:hAnsi="Arial"/>
          <w:sz w:val="13"/>
          <w:szCs w:val="13"/>
          <w:color w:val="auto"/>
        </w:rPr>
      </w:pPr>
      <w:r>
        <w:rPr>
          <w:rFonts w:ascii="Arial" w:cs="Arial" w:eastAsia="Arial" w:hAnsi="Arial"/>
          <w:sz w:val="13"/>
          <w:szCs w:val="13"/>
          <w:color w:val="auto"/>
        </w:rPr>
        <w:t>the willingness of third party payors to prefer similar but less expensive products even if not approved for our product’s indication;</w:t>
      </w:r>
    </w:p>
    <w:p>
      <w:pPr>
        <w:spacing w:after="0" w:line="215" w:lineRule="exact"/>
        <w:rPr>
          <w:rFonts w:ascii="Arial" w:cs="Arial" w:eastAsia="Arial" w:hAnsi="Arial"/>
          <w:sz w:val="13"/>
          <w:szCs w:val="13"/>
          <w:color w:val="auto"/>
        </w:rPr>
      </w:pPr>
    </w:p>
    <w:p>
      <w:pPr>
        <w:ind w:left="620" w:hanging="281"/>
        <w:spacing w:after="0"/>
        <w:tabs>
          <w:tab w:leader="none" w:pos="6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extent and strength of our marketing and distribution of such product candidate;</w:t>
      </w:r>
    </w:p>
    <w:p>
      <w:pPr>
        <w:spacing w:after="0" w:line="181" w:lineRule="exact"/>
        <w:rPr>
          <w:rFonts w:ascii="Arial" w:cs="Arial" w:eastAsia="Arial" w:hAnsi="Arial"/>
          <w:sz w:val="16"/>
          <w:szCs w:val="16"/>
          <w:color w:val="auto"/>
        </w:rPr>
      </w:pPr>
    </w:p>
    <w:p>
      <w:pPr>
        <w:ind w:left="620" w:right="179" w:hanging="281"/>
        <w:spacing w:after="0" w:line="251" w:lineRule="auto"/>
        <w:tabs>
          <w:tab w:leader="none" w:pos="6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safety, efficacy, and other potential advantages over, and availability of, alternative treatments already used or that may later be approved for any of our intended indications;</w:t>
      </w:r>
    </w:p>
    <w:p>
      <w:pPr>
        <w:spacing w:after="0" w:line="157" w:lineRule="exact"/>
        <w:rPr>
          <w:rFonts w:ascii="Arial" w:cs="Arial" w:eastAsia="Arial" w:hAnsi="Arial"/>
          <w:sz w:val="16"/>
          <w:szCs w:val="16"/>
          <w:color w:val="auto"/>
        </w:rPr>
      </w:pPr>
    </w:p>
    <w:p>
      <w:pPr>
        <w:ind w:left="620" w:right="519" w:hanging="281"/>
        <w:spacing w:after="0" w:line="251" w:lineRule="auto"/>
        <w:tabs>
          <w:tab w:leader="none" w:pos="6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distribution and use restrictions imposed by the FDA with respect to such product candidate or to which we agree as part of a mandatory risk evaluation and mitigation strategy or voluntary risk management plan;</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302895</wp:posOffset>
            </wp:positionV>
            <wp:extent cx="5682615" cy="222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82615" cy="22225"/>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71" w:name="page72"/>
    <w:bookmarkEnd w:id="71"/>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620" w:hanging="281"/>
        <w:spacing w:after="0"/>
        <w:tabs>
          <w:tab w:leader="none" w:pos="6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timing of market introduction of such product candidate, as well as competitive products;</w:t>
      </w:r>
    </w:p>
    <w:p>
      <w:pPr>
        <w:spacing w:after="0" w:line="181" w:lineRule="exact"/>
        <w:rPr>
          <w:rFonts w:ascii="Arial" w:cs="Arial" w:eastAsia="Arial" w:hAnsi="Arial"/>
          <w:sz w:val="16"/>
          <w:szCs w:val="16"/>
          <w:color w:val="auto"/>
        </w:rPr>
      </w:pPr>
    </w:p>
    <w:p>
      <w:pPr>
        <w:ind w:left="620" w:hanging="281"/>
        <w:spacing w:after="0"/>
        <w:tabs>
          <w:tab w:leader="none" w:pos="620" w:val="left"/>
        </w:tabs>
        <w:numPr>
          <w:ilvl w:val="0"/>
          <w:numId w:val="31"/>
        </w:numPr>
        <w:rPr>
          <w:rFonts w:ascii="Arial" w:cs="Arial" w:eastAsia="Arial" w:hAnsi="Arial"/>
          <w:sz w:val="13"/>
          <w:szCs w:val="13"/>
          <w:color w:val="auto"/>
        </w:rPr>
      </w:pPr>
      <w:r>
        <w:rPr>
          <w:rFonts w:ascii="Arial" w:cs="Arial" w:eastAsia="Arial" w:hAnsi="Arial"/>
          <w:sz w:val="13"/>
          <w:szCs w:val="13"/>
          <w:color w:val="auto"/>
        </w:rPr>
        <w:t>our ability to offer such product candidate for sale at competitive prices, including prices that are competitive with generic products;</w:t>
      </w:r>
    </w:p>
    <w:p>
      <w:pPr>
        <w:spacing w:after="0" w:line="215" w:lineRule="exact"/>
        <w:rPr>
          <w:rFonts w:ascii="Arial" w:cs="Arial" w:eastAsia="Arial" w:hAnsi="Arial"/>
          <w:sz w:val="13"/>
          <w:szCs w:val="13"/>
          <w:color w:val="auto"/>
        </w:rPr>
      </w:pPr>
    </w:p>
    <w:p>
      <w:pPr>
        <w:ind w:left="620" w:hanging="281"/>
        <w:spacing w:after="0"/>
        <w:tabs>
          <w:tab w:leader="none" w:pos="6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willingness of the target patient population to try new therapies and of physicians to prescribe these therapies;</w:t>
      </w:r>
    </w:p>
    <w:p>
      <w:pPr>
        <w:spacing w:after="0" w:line="181" w:lineRule="exact"/>
        <w:rPr>
          <w:rFonts w:ascii="Arial" w:cs="Arial" w:eastAsia="Arial" w:hAnsi="Arial"/>
          <w:sz w:val="16"/>
          <w:szCs w:val="16"/>
          <w:color w:val="auto"/>
        </w:rPr>
      </w:pPr>
    </w:p>
    <w:p>
      <w:pPr>
        <w:ind w:left="620" w:hanging="281"/>
        <w:spacing w:after="0"/>
        <w:tabs>
          <w:tab w:leader="none" w:pos="6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clinical indications for which such product candidate is approved;</w:t>
      </w:r>
    </w:p>
    <w:p>
      <w:pPr>
        <w:spacing w:after="0" w:line="181" w:lineRule="exact"/>
        <w:rPr>
          <w:rFonts w:ascii="Arial" w:cs="Arial" w:eastAsia="Arial" w:hAnsi="Arial"/>
          <w:sz w:val="16"/>
          <w:szCs w:val="16"/>
          <w:color w:val="auto"/>
        </w:rPr>
      </w:pPr>
    </w:p>
    <w:p>
      <w:pPr>
        <w:ind w:left="620" w:hanging="281"/>
        <w:spacing w:after="0"/>
        <w:tabs>
          <w:tab w:leader="none" w:pos="6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extent and strength of our third-party manufacturer and supplier support;</w:t>
      </w:r>
    </w:p>
    <w:p>
      <w:pPr>
        <w:spacing w:after="0" w:line="181" w:lineRule="exact"/>
        <w:rPr>
          <w:rFonts w:ascii="Arial" w:cs="Arial" w:eastAsia="Arial" w:hAnsi="Arial"/>
          <w:sz w:val="16"/>
          <w:szCs w:val="16"/>
          <w:color w:val="auto"/>
        </w:rPr>
      </w:pPr>
    </w:p>
    <w:p>
      <w:pPr>
        <w:ind w:left="620" w:hanging="281"/>
        <w:spacing w:after="0"/>
        <w:tabs>
          <w:tab w:leader="none" w:pos="6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approval of other new products for the same indications;</w:t>
      </w:r>
    </w:p>
    <w:p>
      <w:pPr>
        <w:spacing w:after="0" w:line="181" w:lineRule="exact"/>
        <w:rPr>
          <w:rFonts w:ascii="Arial" w:cs="Arial" w:eastAsia="Arial" w:hAnsi="Arial"/>
          <w:sz w:val="16"/>
          <w:szCs w:val="16"/>
          <w:color w:val="auto"/>
        </w:rPr>
      </w:pPr>
    </w:p>
    <w:p>
      <w:pPr>
        <w:ind w:left="620" w:hanging="281"/>
        <w:spacing w:after="0"/>
        <w:tabs>
          <w:tab w:leader="none" w:pos="6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adverse publicity about the product or favorable publicity about competitive products; and</w:t>
      </w:r>
    </w:p>
    <w:p>
      <w:pPr>
        <w:spacing w:after="0" w:line="181" w:lineRule="exact"/>
        <w:rPr>
          <w:rFonts w:ascii="Arial" w:cs="Arial" w:eastAsia="Arial" w:hAnsi="Arial"/>
          <w:sz w:val="16"/>
          <w:szCs w:val="16"/>
          <w:color w:val="auto"/>
        </w:rPr>
      </w:pPr>
    </w:p>
    <w:p>
      <w:pPr>
        <w:ind w:left="620" w:hanging="281"/>
        <w:spacing w:after="0"/>
        <w:tabs>
          <w:tab w:leader="none" w:pos="6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potential product liability claims.</w:t>
      </w:r>
    </w:p>
    <w:p>
      <w:pPr>
        <w:spacing w:after="0" w:line="182" w:lineRule="exact"/>
        <w:rPr>
          <w:sz w:val="20"/>
          <w:szCs w:val="20"/>
          <w:color w:val="auto"/>
        </w:rPr>
      </w:pPr>
    </w:p>
    <w:p>
      <w:pPr>
        <w:ind w:left="40" w:right="59" w:firstLine="566"/>
        <w:spacing w:after="0" w:line="294" w:lineRule="auto"/>
        <w:rPr>
          <w:sz w:val="20"/>
          <w:szCs w:val="20"/>
          <w:color w:val="auto"/>
        </w:rPr>
      </w:pPr>
      <w:r>
        <w:rPr>
          <w:rFonts w:ascii="Arial" w:cs="Arial" w:eastAsia="Arial" w:hAnsi="Arial"/>
          <w:sz w:val="13"/>
          <w:szCs w:val="13"/>
          <w:color w:val="auto"/>
        </w:rPr>
        <w:t>Our efforts to educate the medical community and third-party payors on the benefits of our product candidates may require significant resources and may never be successful. Even if the medical community accepts that one of our product candidates is safe and effective for its approved indications, physicians and patients may not immediately be receptive to such product candidate and may be slow to adopt it as an accepted treatment of the approved indication. It is unlikely that any labeling approved by the FDA will contain claims that one of our product candidates is safer or more effective than competitive products or will permit us to promote such product candidate as being superior to competing products. Further, the availability of inexpensive generic forms of pain management products for acute pain may also limit acceptance of certain of our product candidates among physicians, patients, and third-party payors. If any of our current or future product candidates is approved but does not achieve an adequate level of acceptance among physicians, patients, and third-party payors, we may not generate meaningful revenues from our product candidates, and we may not become profitable.</w:t>
      </w:r>
    </w:p>
    <w:p>
      <w:pPr>
        <w:spacing w:after="0" w:line="315" w:lineRule="exact"/>
        <w:rPr>
          <w:sz w:val="20"/>
          <w:szCs w:val="20"/>
          <w:color w:val="auto"/>
        </w:rPr>
      </w:pPr>
    </w:p>
    <w:p>
      <w:pPr>
        <w:ind w:left="40" w:right="79" w:firstLine="566"/>
        <w:spacing w:after="0" w:line="310" w:lineRule="auto"/>
        <w:rPr>
          <w:sz w:val="20"/>
          <w:szCs w:val="20"/>
          <w:color w:val="auto"/>
        </w:rPr>
      </w:pPr>
      <w:r>
        <w:rPr>
          <w:rFonts w:ascii="Arial" w:cs="Arial" w:eastAsia="Arial" w:hAnsi="Arial"/>
          <w:sz w:val="13"/>
          <w:szCs w:val="13"/>
          <w:color w:val="auto"/>
        </w:rPr>
        <w:t>The ability of patients to purchase certain of the active ingredients of our product candidates in generic form could put us at a competitive disadvantage. For example, in some foreign jurisdictions, generic oral forms of DM and bupropion are currently available individually for consumer purchase. In addition, physicians may prescribe generic zoledronic acid for the treatment of pain off-label. Any use of these generic forms of the active molecules of our product candidates could adversely affect our business and our results of operations.</w:t>
      </w:r>
    </w:p>
    <w:p>
      <w:pPr>
        <w:spacing w:after="0" w:line="124" w:lineRule="exact"/>
        <w:rPr>
          <w:sz w:val="20"/>
          <w:szCs w:val="20"/>
          <w:color w:val="auto"/>
        </w:rPr>
      </w:pPr>
    </w:p>
    <w:p>
      <w:pPr>
        <w:ind w:left="40" w:right="59" w:firstLine="566"/>
        <w:spacing w:after="0" w:line="253" w:lineRule="auto"/>
        <w:rPr>
          <w:sz w:val="20"/>
          <w:szCs w:val="20"/>
          <w:color w:val="auto"/>
        </w:rPr>
      </w:pPr>
      <w:r>
        <w:rPr>
          <w:rFonts w:ascii="Arial" w:cs="Arial" w:eastAsia="Arial" w:hAnsi="Arial"/>
          <w:sz w:val="15"/>
          <w:szCs w:val="15"/>
          <w:color w:val="auto"/>
        </w:rPr>
        <w:t>The potential market opportunities for our product candidates are difficult to precisely estimate. Our estimates of the potential market opportunities are predicated on many assumptions including industry knowledge and publications, third-party research reports, and other surveys. While we believe that our internal assumptions are reasonable, these assumptions involve the exercise of significant judgment on the part of our management and are inherently uncertain, and the reasonableness of these assumptions has not been assessed by an independent source. If any of the assumptions proves to be inaccurate, the actual markets for our product candidates could be smaller than our estimates of the potential market opportunities.</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302895</wp:posOffset>
            </wp:positionV>
            <wp:extent cx="5682615" cy="222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82615" cy="22225"/>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72" w:name="page73"/>
    <w:bookmarkEnd w:id="72"/>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 w:right="159"/>
        <w:spacing w:after="0" w:line="284" w:lineRule="auto"/>
        <w:rPr>
          <w:sz w:val="20"/>
          <w:szCs w:val="20"/>
          <w:color w:val="auto"/>
        </w:rPr>
      </w:pPr>
      <w:r>
        <w:rPr>
          <w:rFonts w:ascii="Arial" w:cs="Arial" w:eastAsia="Arial" w:hAnsi="Arial"/>
          <w:sz w:val="15"/>
          <w:szCs w:val="15"/>
          <w:b w:val="1"/>
          <w:bCs w:val="1"/>
          <w:i w:val="1"/>
          <w:iCs w:val="1"/>
          <w:color w:val="auto"/>
        </w:rPr>
        <w:t>We face potential product liability exposure, and if successful claims are brought against us, we may incur substantial liability for any of our current or future product candidates and may have to limit their commercialization.</w:t>
      </w:r>
    </w:p>
    <w:p>
      <w:pPr>
        <w:spacing w:after="0" w:line="134" w:lineRule="exact"/>
        <w:rPr>
          <w:sz w:val="20"/>
          <w:szCs w:val="20"/>
          <w:color w:val="auto"/>
        </w:rPr>
      </w:pPr>
    </w:p>
    <w:p>
      <w:pPr>
        <w:ind w:left="40" w:right="59" w:firstLine="566"/>
        <w:spacing w:after="0" w:line="292" w:lineRule="auto"/>
        <w:rPr>
          <w:sz w:val="20"/>
          <w:szCs w:val="20"/>
          <w:color w:val="auto"/>
        </w:rPr>
      </w:pPr>
      <w:r>
        <w:rPr>
          <w:rFonts w:ascii="Arial" w:cs="Arial" w:eastAsia="Arial" w:hAnsi="Arial"/>
          <w:sz w:val="13"/>
          <w:szCs w:val="13"/>
          <w:color w:val="auto"/>
        </w:rPr>
        <w:t>The use of any of our current or future product candidates in clinical trials, and the sale of any of our product candidates for which we obtain regulatory approval, exposes us to the risk of product liability claims. We face inherent risk of product liability related to the testing of our product candidates in human clinical trials and will face an even greater risk if we commercially sell any product candidates that we may develop. For example, we may be sued if any product candidate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Product liability claims might be brought against us by consumers, healthcare providers, or others using, administering, or selling our products. If we cannot successfully defend ourselves against these claims, we will incur substantial liabilities or be required to limit commercialization of our product candidates. Even successful defense would require significant financial and management resources. Regardless of merit or eventual outcome, liability claims may result in:</w:t>
      </w:r>
    </w:p>
    <w:p>
      <w:pPr>
        <w:spacing w:after="0" w:line="138" w:lineRule="exact"/>
        <w:rPr>
          <w:sz w:val="20"/>
          <w:szCs w:val="20"/>
          <w:color w:val="auto"/>
        </w:rPr>
      </w:pPr>
    </w:p>
    <w:p>
      <w:pPr>
        <w:ind w:left="620" w:hanging="281"/>
        <w:spacing w:after="0"/>
        <w:tabs>
          <w:tab w:leader="none" w:pos="6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loss of revenue from decreased demand for our products and/or product candidates;</w:t>
      </w:r>
    </w:p>
    <w:p>
      <w:pPr>
        <w:spacing w:after="0" w:line="181" w:lineRule="exact"/>
        <w:rPr>
          <w:rFonts w:ascii="Arial" w:cs="Arial" w:eastAsia="Arial" w:hAnsi="Arial"/>
          <w:sz w:val="16"/>
          <w:szCs w:val="16"/>
          <w:color w:val="auto"/>
        </w:rPr>
      </w:pPr>
    </w:p>
    <w:p>
      <w:pPr>
        <w:ind w:left="620" w:hanging="281"/>
        <w:spacing w:after="0"/>
        <w:tabs>
          <w:tab w:leader="none" w:pos="6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impairment of our business reputation or financial stability;</w:t>
      </w:r>
    </w:p>
    <w:p>
      <w:pPr>
        <w:spacing w:after="0" w:line="181" w:lineRule="exact"/>
        <w:rPr>
          <w:rFonts w:ascii="Arial" w:cs="Arial" w:eastAsia="Arial" w:hAnsi="Arial"/>
          <w:sz w:val="16"/>
          <w:szCs w:val="16"/>
          <w:color w:val="auto"/>
        </w:rPr>
      </w:pPr>
    </w:p>
    <w:p>
      <w:pPr>
        <w:ind w:left="620" w:hanging="281"/>
        <w:spacing w:after="0"/>
        <w:tabs>
          <w:tab w:leader="none" w:pos="6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costs of related litigation;</w:t>
      </w:r>
    </w:p>
    <w:p>
      <w:pPr>
        <w:spacing w:after="0" w:line="181" w:lineRule="exact"/>
        <w:rPr>
          <w:rFonts w:ascii="Arial" w:cs="Arial" w:eastAsia="Arial" w:hAnsi="Arial"/>
          <w:sz w:val="16"/>
          <w:szCs w:val="16"/>
          <w:color w:val="auto"/>
        </w:rPr>
      </w:pPr>
    </w:p>
    <w:p>
      <w:pPr>
        <w:ind w:left="620" w:hanging="281"/>
        <w:spacing w:after="0"/>
        <w:tabs>
          <w:tab w:leader="none" w:pos="6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substantial monetary awards to patients or other claimants;</w:t>
      </w:r>
    </w:p>
    <w:p>
      <w:pPr>
        <w:spacing w:after="0" w:line="181" w:lineRule="exact"/>
        <w:rPr>
          <w:rFonts w:ascii="Arial" w:cs="Arial" w:eastAsia="Arial" w:hAnsi="Arial"/>
          <w:sz w:val="16"/>
          <w:szCs w:val="16"/>
          <w:color w:val="auto"/>
        </w:rPr>
      </w:pPr>
    </w:p>
    <w:p>
      <w:pPr>
        <w:ind w:left="620" w:hanging="281"/>
        <w:spacing w:after="0"/>
        <w:tabs>
          <w:tab w:leader="none" w:pos="6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diversion of management attention;</w:t>
      </w:r>
    </w:p>
    <w:p>
      <w:pPr>
        <w:spacing w:after="0" w:line="181" w:lineRule="exact"/>
        <w:rPr>
          <w:rFonts w:ascii="Arial" w:cs="Arial" w:eastAsia="Arial" w:hAnsi="Arial"/>
          <w:sz w:val="16"/>
          <w:szCs w:val="16"/>
          <w:color w:val="auto"/>
        </w:rPr>
      </w:pPr>
    </w:p>
    <w:p>
      <w:pPr>
        <w:ind w:left="620" w:hanging="281"/>
        <w:spacing w:after="0"/>
        <w:tabs>
          <w:tab w:leader="none" w:pos="6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loss of revenues;</w:t>
      </w:r>
    </w:p>
    <w:p>
      <w:pPr>
        <w:spacing w:after="0" w:line="181" w:lineRule="exact"/>
        <w:rPr>
          <w:rFonts w:ascii="Arial" w:cs="Arial" w:eastAsia="Arial" w:hAnsi="Arial"/>
          <w:sz w:val="16"/>
          <w:szCs w:val="16"/>
          <w:color w:val="auto"/>
        </w:rPr>
      </w:pPr>
    </w:p>
    <w:p>
      <w:pPr>
        <w:ind w:left="620" w:hanging="281"/>
        <w:spacing w:after="0"/>
        <w:tabs>
          <w:tab w:leader="none" w:pos="6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withdrawal of clinical trial participants and potential termination of clinical trial sites or entire clinical programs;</w:t>
      </w:r>
    </w:p>
    <w:p>
      <w:pPr>
        <w:spacing w:after="0" w:line="181" w:lineRule="exact"/>
        <w:rPr>
          <w:rFonts w:ascii="Arial" w:cs="Arial" w:eastAsia="Arial" w:hAnsi="Arial"/>
          <w:sz w:val="16"/>
          <w:szCs w:val="16"/>
          <w:color w:val="auto"/>
        </w:rPr>
      </w:pPr>
    </w:p>
    <w:p>
      <w:pPr>
        <w:ind w:left="620" w:hanging="281"/>
        <w:spacing w:after="0"/>
        <w:tabs>
          <w:tab w:leader="none" w:pos="6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inability to commercialize our product candidates;</w:t>
      </w:r>
    </w:p>
    <w:p>
      <w:pPr>
        <w:spacing w:after="0" w:line="181" w:lineRule="exact"/>
        <w:rPr>
          <w:rFonts w:ascii="Arial" w:cs="Arial" w:eastAsia="Arial" w:hAnsi="Arial"/>
          <w:sz w:val="16"/>
          <w:szCs w:val="16"/>
          <w:color w:val="auto"/>
        </w:rPr>
      </w:pPr>
    </w:p>
    <w:p>
      <w:pPr>
        <w:ind w:left="620" w:hanging="281"/>
        <w:spacing w:after="0"/>
        <w:tabs>
          <w:tab w:leader="none" w:pos="6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significant negative media attention;</w:t>
      </w:r>
    </w:p>
    <w:p>
      <w:pPr>
        <w:spacing w:after="0" w:line="181" w:lineRule="exact"/>
        <w:rPr>
          <w:rFonts w:ascii="Arial" w:cs="Arial" w:eastAsia="Arial" w:hAnsi="Arial"/>
          <w:sz w:val="16"/>
          <w:szCs w:val="16"/>
          <w:color w:val="auto"/>
        </w:rPr>
      </w:pPr>
    </w:p>
    <w:p>
      <w:pPr>
        <w:ind w:left="620" w:hanging="281"/>
        <w:spacing w:after="0"/>
        <w:tabs>
          <w:tab w:leader="none" w:pos="6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decrease in our stock price;</w:t>
      </w:r>
    </w:p>
    <w:p>
      <w:pPr>
        <w:spacing w:after="0" w:line="181" w:lineRule="exact"/>
        <w:rPr>
          <w:rFonts w:ascii="Arial" w:cs="Arial" w:eastAsia="Arial" w:hAnsi="Arial"/>
          <w:sz w:val="16"/>
          <w:szCs w:val="16"/>
          <w:color w:val="auto"/>
        </w:rPr>
      </w:pPr>
    </w:p>
    <w:p>
      <w:pPr>
        <w:ind w:left="620" w:hanging="281"/>
        <w:spacing w:after="0"/>
        <w:tabs>
          <w:tab w:leader="none" w:pos="6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initiation of investigations and enforcement actions by regulators; and</w:t>
      </w:r>
    </w:p>
    <w:p>
      <w:pPr>
        <w:spacing w:after="0" w:line="181" w:lineRule="exact"/>
        <w:rPr>
          <w:rFonts w:ascii="Arial" w:cs="Arial" w:eastAsia="Arial" w:hAnsi="Arial"/>
          <w:sz w:val="16"/>
          <w:szCs w:val="16"/>
          <w:color w:val="auto"/>
        </w:rPr>
      </w:pPr>
    </w:p>
    <w:p>
      <w:pPr>
        <w:ind w:left="620" w:hanging="281"/>
        <w:spacing w:after="0"/>
        <w:tabs>
          <w:tab w:leader="none" w:pos="6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product recalls, withdrawals, or labeling, marketing, or promotional restrictions.</w:t>
      </w:r>
    </w:p>
    <w:p>
      <w:pPr>
        <w:spacing w:after="0" w:line="182" w:lineRule="exact"/>
        <w:rPr>
          <w:sz w:val="20"/>
          <w:szCs w:val="20"/>
          <w:color w:val="auto"/>
        </w:rPr>
      </w:pPr>
    </w:p>
    <w:p>
      <w:pPr>
        <w:ind w:left="40" w:right="59" w:firstLine="566"/>
        <w:spacing w:after="0" w:line="250" w:lineRule="auto"/>
        <w:rPr>
          <w:sz w:val="20"/>
          <w:szCs w:val="20"/>
          <w:color w:val="auto"/>
        </w:rPr>
      </w:pPr>
      <w:r>
        <w:rPr>
          <w:rFonts w:ascii="Arial" w:cs="Arial" w:eastAsia="Arial" w:hAnsi="Arial"/>
          <w:sz w:val="15"/>
          <w:szCs w:val="15"/>
          <w:color w:val="auto"/>
        </w:rPr>
        <w:t>We have obtained limited product liability insurance coverage for our products and our clinical trials with a $8.0 million annual aggregate coverage limit. We have also obtained local policies in those foreign jurisdictions where it was appropriate. However, our insurance coverage may not reimburse us or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We intend to expand our insurance coverage to include the sale of commercial products if we obtain FDA approval for our product candidates in development, but we may be unable to obtain commercially reasonable product liability insurance for any products approved for marketing, or at all. On occasion, large judgments have been awarded in class action lawsuits based on drugs that had unanticipated side effects. A successful product liability claim or series of claims brought against us could cause our stock price to fall and, if judgments exceed our insurance coverage, could decrease our cash and adversely affect our business and our prospects.</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302895</wp:posOffset>
            </wp:positionV>
            <wp:extent cx="5682615" cy="222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82615" cy="22225"/>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73" w:name="page74"/>
    <w:bookmarkEnd w:id="73"/>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RISKS RELATED TO OUR DEPENDENCE ON THIRD PARTIES</w:t>
      </w:r>
    </w:p>
    <w:p>
      <w:pPr>
        <w:spacing w:after="0" w:line="186" w:lineRule="exact"/>
        <w:rPr>
          <w:sz w:val="20"/>
          <w:szCs w:val="20"/>
          <w:color w:val="auto"/>
        </w:rPr>
      </w:pPr>
    </w:p>
    <w:p>
      <w:pPr>
        <w:ind w:left="40" w:right="79"/>
        <w:spacing w:after="0" w:line="241" w:lineRule="auto"/>
        <w:rPr>
          <w:sz w:val="20"/>
          <w:szCs w:val="20"/>
          <w:color w:val="auto"/>
        </w:rPr>
      </w:pPr>
      <w:r>
        <w:rPr>
          <w:rFonts w:ascii="Arial" w:cs="Arial" w:eastAsia="Arial" w:hAnsi="Arial"/>
          <w:sz w:val="16"/>
          <w:szCs w:val="16"/>
          <w:b w:val="1"/>
          <w:bCs w:val="1"/>
          <w:i w:val="1"/>
          <w:iCs w:val="1"/>
          <w:color w:val="auto"/>
        </w:rPr>
        <w:t>We rely, and expect to continue to rely, on third parties to conduct, supervise, and monitor our preclinical studies and clinical trials, and those third parties may not perform satisfactorily, including failing to meet deadlines for the completion of such trials or failing to comply with regulatory requirements.</w:t>
      </w:r>
    </w:p>
    <w:p>
      <w:pPr>
        <w:spacing w:after="0" w:line="165" w:lineRule="exact"/>
        <w:rPr>
          <w:sz w:val="20"/>
          <w:szCs w:val="20"/>
          <w:color w:val="auto"/>
        </w:rPr>
      </w:pPr>
    </w:p>
    <w:p>
      <w:pPr>
        <w:ind w:left="40" w:right="159" w:firstLine="566"/>
        <w:spacing w:after="0" w:line="250" w:lineRule="auto"/>
        <w:rPr>
          <w:sz w:val="20"/>
          <w:szCs w:val="20"/>
          <w:color w:val="auto"/>
        </w:rPr>
      </w:pPr>
      <w:r>
        <w:rPr>
          <w:rFonts w:ascii="Arial" w:cs="Arial" w:eastAsia="Arial" w:hAnsi="Arial"/>
          <w:sz w:val="15"/>
          <w:szCs w:val="15"/>
          <w:color w:val="auto"/>
        </w:rPr>
        <w:t>We rely on third-party CROs to conduct, supervise, and monitor our preclinical studies and certain clinical trials for our product candidates and do not currently plan to independently conduct preclinical studies or clinical trials of any other potential product candidates. We expect to continue to rely on third parties, such as CROs, clinical data management organizations, medical institutions, and clinical investigators, to conduct our preclinical studies and clinical trials. While we have agreements governing their activities, we have limited influence over their actual performance and control only certain aspects of their activities. The failure of these third parties to successfully carry out their contractual duties or meet expected deadlines could substantially harm our business because we may not obtain marketing approval for or commercialize our product candidates in a timely manner or at all. Moreover, these agreements might terminate for a variety of reasons, including a failure to perform by the third parties. If we need to enter into alternative arrangements, that would delay our product development activities and adversely affect our business.</w:t>
      </w:r>
    </w:p>
    <w:p>
      <w:pPr>
        <w:spacing w:after="0" w:line="163" w:lineRule="exact"/>
        <w:rPr>
          <w:sz w:val="20"/>
          <w:szCs w:val="20"/>
          <w:color w:val="auto"/>
        </w:rPr>
      </w:pPr>
    </w:p>
    <w:p>
      <w:pPr>
        <w:ind w:left="40" w:right="79" w:firstLine="566"/>
        <w:spacing w:after="0" w:line="291" w:lineRule="auto"/>
        <w:rPr>
          <w:sz w:val="20"/>
          <w:szCs w:val="20"/>
          <w:color w:val="auto"/>
        </w:rPr>
      </w:pPr>
      <w:r>
        <w:rPr>
          <w:rFonts w:ascii="Arial" w:cs="Arial" w:eastAsia="Arial" w:hAnsi="Arial"/>
          <w:sz w:val="13"/>
          <w:szCs w:val="13"/>
          <w:color w:val="auto"/>
        </w:rPr>
        <w:t>Our reliance on these third parties for development activities will reduce our control over these activities. Nevertheless, we are responsible for ensuring that each of our studies is conducted in accordance with the applicable protocol, legal, regulatory, and scientific standards and our reliance on the CROs does not relieve us of our regulatory responsibilities. For example, we will remain responsible for ensuring that each of our clinical trials is conducted in accordance with the general investigational plan and protocols for the trial and for ensuring that our preclinical trials are conducted in accordance with good laboratory practice, or GLP, as appropriate. Moreover, the FDA and comparable foreign regulatory authorities require us to comply with standards, commonly referred to as good clinical practices, or GCPs, for conducting, monitoring, recording, and reporting the results of clinical trials to assure that data and reported results are credible and accurate and that the rights, integrity, and confidentiality of trial participants are protected. As a clinical trial sponsor, we also have regulatory requirements that directly apply to us. Regulatory authorities enforce these requirements through periodic inspections of trial sponsors, clinical investigators, and trial sites. If we or any of our CROs fail to comply with applicable GCPs, we or our CROs may be subject to enforcement or other legal actions, the clinical data generated in our clinical trials may be deemed unreliable and the FDA or comparable foreign regulatory authorities may require us to perform additional clinical trials.</w:t>
      </w:r>
    </w:p>
    <w:p>
      <w:pPr>
        <w:spacing w:after="0" w:line="317" w:lineRule="exact"/>
        <w:rPr>
          <w:sz w:val="20"/>
          <w:szCs w:val="20"/>
          <w:color w:val="auto"/>
        </w:rPr>
      </w:pPr>
    </w:p>
    <w:p>
      <w:pPr>
        <w:ind w:left="40" w:right="199" w:firstLine="566"/>
        <w:spacing w:after="0" w:line="253" w:lineRule="auto"/>
        <w:rPr>
          <w:sz w:val="20"/>
          <w:szCs w:val="20"/>
          <w:color w:val="auto"/>
        </w:rPr>
      </w:pPr>
      <w:r>
        <w:rPr>
          <w:rFonts w:ascii="Arial" w:cs="Arial" w:eastAsia="Arial" w:hAnsi="Arial"/>
          <w:sz w:val="15"/>
          <w:szCs w:val="15"/>
          <w:color w:val="auto"/>
        </w:rPr>
        <w:t>In addition, once we have an approved product, we will be required to report certain financial interests of our third-party investigators if these relationships exceed certain financial thresholds or meet other criteria. The FDA and comparable foreign regulatory authorities may question the integrity of the data from those clinical trials conducted by investigators who previously served or currently serve as scientific advisors or consultants to us from time to time and receive cash compensation in connection with such services or otherwise receive compensation from us that could be deemed to impact study outcome, proprietary interests in a product candidate, certain company equity interests, or significant payments of other sorts.</w:t>
      </w:r>
    </w:p>
    <w:p>
      <w:pPr>
        <w:spacing w:after="0" w:line="159" w:lineRule="exact"/>
        <w:rPr>
          <w:sz w:val="20"/>
          <w:szCs w:val="20"/>
          <w:color w:val="auto"/>
        </w:rPr>
      </w:pPr>
    </w:p>
    <w:p>
      <w:pPr>
        <w:ind w:left="40" w:right="139" w:firstLine="566"/>
        <w:spacing w:after="0" w:line="235" w:lineRule="auto"/>
        <w:rPr>
          <w:sz w:val="20"/>
          <w:szCs w:val="20"/>
          <w:color w:val="auto"/>
        </w:rPr>
      </w:pPr>
      <w:r>
        <w:rPr>
          <w:rFonts w:ascii="Arial" w:cs="Arial" w:eastAsia="Arial" w:hAnsi="Arial"/>
          <w:sz w:val="16"/>
          <w:szCs w:val="16"/>
          <w:color w:val="auto"/>
        </w:rPr>
        <w:t>We cannot assure you that upon inspection by a given regulatory authority, such regulatory authority will determine that any of our clinical trials complies with GCP regulations. In addition, our clinical trials must be conducted with product candidates that were produced under cGMP regulations. Our failure to comply with these regulations may require us to repeat clinical trials, which would delay the regulatory approval process. We also are required to register certain clinical trials and post the results of certain completed clinical trials on a government-sponsored database, ClinicalTrials.gov, within specified timeframes. Failure to do so can result in enforcement actions and adverse publicity.</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302895</wp:posOffset>
            </wp:positionV>
            <wp:extent cx="5682615" cy="222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82615" cy="22225"/>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74" w:name="page75"/>
    <w:bookmarkEnd w:id="74"/>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 w:right="59" w:firstLine="566"/>
        <w:spacing w:after="0" w:line="291" w:lineRule="auto"/>
        <w:rPr>
          <w:sz w:val="20"/>
          <w:szCs w:val="20"/>
          <w:color w:val="auto"/>
        </w:rPr>
      </w:pPr>
      <w:r>
        <w:rPr>
          <w:rFonts w:ascii="Arial" w:cs="Arial" w:eastAsia="Arial" w:hAnsi="Arial"/>
          <w:sz w:val="13"/>
          <w:szCs w:val="13"/>
          <w:color w:val="auto"/>
        </w:rPr>
        <w:t>Our CROs may also have relationships with other entities, some of which may be our competitors, for whom they may also be conducting clinical trials or other drug development activities that could harm our competitive position. In addition, our CROs are not our employees, and except for remedies available to us under our agreements with such CROs, we cannot control whether or not they devote sufficient time and resources to our ongoing clinical, non-clinical, and preclinical programs. If these third parties do not successfully carry out their contractual duties, meet expected deadlines or conduct our preclinical studies or clinical trials in accordance with regulatory requirements or our stated protocols,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obtain, or may be delayed in obtaining, marketing approvals for our product candidates and will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revenues could be delayed. To the extent we are unable to successfully identify and manage the performance of third-party service providers in the future, our business may be materially and adversely affected.</w:t>
      </w:r>
    </w:p>
    <w:p>
      <w:pPr>
        <w:spacing w:after="0" w:line="317" w:lineRule="exact"/>
        <w:rPr>
          <w:sz w:val="20"/>
          <w:szCs w:val="20"/>
          <w:color w:val="auto"/>
        </w:rPr>
      </w:pPr>
    </w:p>
    <w:p>
      <w:pPr>
        <w:ind w:left="40" w:right="59" w:firstLine="566"/>
        <w:spacing w:after="0" w:line="300" w:lineRule="auto"/>
        <w:rPr>
          <w:sz w:val="20"/>
          <w:szCs w:val="20"/>
          <w:color w:val="auto"/>
        </w:rPr>
      </w:pPr>
      <w:r>
        <w:rPr>
          <w:rFonts w:ascii="Arial" w:cs="Arial" w:eastAsia="Arial" w:hAnsi="Arial"/>
          <w:sz w:val="13"/>
          <w:szCs w:val="13"/>
          <w:color w:val="auto"/>
        </w:rPr>
        <w:t>If any of our relationships with these third-party CROs terminate, we may not be able to enter into arrangements with alternative CROs or to do so on commercially reasonable terms. Switching or adding additional CROs involves additional cost and requires management time and focus. In addition, there is a natural transition period when a new CRO commences work. As a result, delays could occur, which could compromise our ability to meet our desired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 and results of operations.</w:t>
      </w:r>
    </w:p>
    <w:p>
      <w:pPr>
        <w:spacing w:after="0" w:line="129" w:lineRule="exact"/>
        <w:rPr>
          <w:sz w:val="20"/>
          <w:szCs w:val="20"/>
          <w:color w:val="auto"/>
        </w:rPr>
      </w:pPr>
    </w:p>
    <w:p>
      <w:pPr>
        <w:ind w:left="40" w:right="319"/>
        <w:spacing w:after="0" w:line="324" w:lineRule="auto"/>
        <w:rPr>
          <w:sz w:val="20"/>
          <w:szCs w:val="20"/>
          <w:color w:val="auto"/>
        </w:rPr>
      </w:pPr>
      <w:r>
        <w:rPr>
          <w:rFonts w:ascii="Arial" w:cs="Arial" w:eastAsia="Arial" w:hAnsi="Arial"/>
          <w:sz w:val="13"/>
          <w:szCs w:val="13"/>
          <w:b w:val="1"/>
          <w:bCs w:val="1"/>
          <w:i w:val="1"/>
          <w:iCs w:val="1"/>
          <w:color w:val="auto"/>
        </w:rPr>
        <w:t>If the manufacturers upon whom we rely fail to produce our product candidates in the volumes that we require on a timely basis, or to comply with stringent regulations applicable to pharmaceutical drug manufacturers, we may face delays in the development and commercialization of, or be unable to meet demand for, our products and may lose potential revenues.</w:t>
      </w:r>
    </w:p>
    <w:p>
      <w:pPr>
        <w:spacing w:after="0" w:line="114" w:lineRule="exact"/>
        <w:rPr>
          <w:sz w:val="20"/>
          <w:szCs w:val="20"/>
          <w:color w:val="auto"/>
        </w:rPr>
      </w:pPr>
    </w:p>
    <w:p>
      <w:pPr>
        <w:ind w:left="40" w:right="59" w:firstLine="566"/>
        <w:spacing w:after="0" w:line="235" w:lineRule="auto"/>
        <w:rPr>
          <w:sz w:val="20"/>
          <w:szCs w:val="20"/>
          <w:color w:val="auto"/>
        </w:rPr>
      </w:pPr>
      <w:r>
        <w:rPr>
          <w:rFonts w:ascii="Arial" w:cs="Arial" w:eastAsia="Arial" w:hAnsi="Arial"/>
          <w:sz w:val="16"/>
          <w:szCs w:val="16"/>
          <w:color w:val="auto"/>
        </w:rPr>
        <w:t>We do not manufacture any of our product candidates, and we do not currently plan to develop any capacity to do so. We currently outsource all manufacturing of our product candidates to third parties typically without any guarantee that there will be sufficient supplies to fulfill our requirements or that we may obtain such supplies on acceptable terms. Any delays in obtaining adequate supplies with respect to our product candidates may delay the development or commercialization of our product candidates. Moreover, we do not yet have agreements established regarding commercial supply of our product candidates, and we may not be able to establish or maintain commercial manufacturing arrangements on commercially reasonable terms for any of our current or future product candidates for which we obtain approval in the future.</w:t>
      </w:r>
    </w:p>
    <w:p>
      <w:pPr>
        <w:spacing w:after="0" w:line="166" w:lineRule="exact"/>
        <w:rPr>
          <w:sz w:val="20"/>
          <w:szCs w:val="20"/>
          <w:color w:val="auto"/>
        </w:rPr>
      </w:pPr>
    </w:p>
    <w:p>
      <w:pPr>
        <w:ind w:left="40" w:right="139" w:firstLine="566"/>
        <w:spacing w:after="0" w:line="250" w:lineRule="auto"/>
        <w:rPr>
          <w:sz w:val="20"/>
          <w:szCs w:val="20"/>
          <w:color w:val="auto"/>
        </w:rPr>
      </w:pPr>
      <w:r>
        <w:rPr>
          <w:rFonts w:ascii="Arial" w:cs="Arial" w:eastAsia="Arial" w:hAnsi="Arial"/>
          <w:sz w:val="15"/>
          <w:szCs w:val="15"/>
          <w:color w:val="auto"/>
        </w:rPr>
        <w:t>We may not succeed in our efforts to establish manufacturing relationships or other alternative arrangements for any of our existing or future product candidates and programs. Our product candidates may compete with other products and product candidates for access to manufacturing facilities. There are a limited number of manufacturers that operate under cGMP regulations and that are both capable of manufacturing for us and willing to do so. If our existing third-party manufacturers, or the third parties that we engage in the future to manufacture a product for commercial sale or for our clinical trials, should cease to continue to do so for any reason, we likely would experience delays in obtaining sufficient quantities of our product candidates for us to meet commercial demand or to advance our clinical trials while we identify and qualify replacement suppliers. If for any reason we are unable to obtain adequate supplies of our product candidates or the drug substances used to manufacture them, it will be more difficult for us to develop our product candidates and compete effectively. Further, even if we do establish such collaborations or arrangements, our third-party manufacturers may breach, terminate, or not renew these agreements.</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302895</wp:posOffset>
            </wp:positionV>
            <wp:extent cx="5682615" cy="222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82615" cy="22225"/>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75" w:name="page76"/>
    <w:bookmarkEnd w:id="75"/>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 w:right="59" w:firstLine="566"/>
        <w:spacing w:after="0" w:line="250" w:lineRule="auto"/>
        <w:rPr>
          <w:sz w:val="20"/>
          <w:szCs w:val="20"/>
          <w:color w:val="auto"/>
        </w:rPr>
      </w:pPr>
      <w:r>
        <w:rPr>
          <w:rFonts w:ascii="Arial" w:cs="Arial" w:eastAsia="Arial" w:hAnsi="Arial"/>
          <w:sz w:val="15"/>
          <w:szCs w:val="15"/>
          <w:color w:val="auto"/>
        </w:rPr>
        <w:t>Any problems or delays we experience in preparing for commercial-scale manufacturing of a product candidate may result in a delay in FDA approval of the product candidate or may impair our ability to manufacture commercial quantities or such quantities at an acceptable cost, which could result in the delay, prevention, or impairment of clinical development and commercialization of our product candidates and could adversely affect our business. For example, our manufacturers will need to produce specific batches of our product candidates to demonstrate acceptable stability under various conditions and for commercially viable lengths of time. We and our contract manufacturers will need to demonstrate to the FDA and other regulatory authorities that this is acceptable stability data for our product candidates, as well as validate methods and manufacturing processes, in order to receive regulatory approval to commercialize any of our current or future product candidates. Furthermore, if our commercial manufacturers fail to deliver the required commercial quantities of bulk drug substance or finished product on a timely basis and at commercially reasonable prices, we would likely be unable to meet demand for our products and we would lose potential revenues.</w:t>
      </w:r>
    </w:p>
    <w:p>
      <w:pPr>
        <w:spacing w:after="0" w:line="160" w:lineRule="exact"/>
        <w:rPr>
          <w:sz w:val="20"/>
          <w:szCs w:val="20"/>
          <w:color w:val="auto"/>
        </w:rPr>
      </w:pPr>
    </w:p>
    <w:p>
      <w:pPr>
        <w:ind w:left="40" w:right="59" w:firstLine="566"/>
        <w:spacing w:after="0" w:line="250" w:lineRule="auto"/>
        <w:rPr>
          <w:sz w:val="20"/>
          <w:szCs w:val="20"/>
          <w:color w:val="auto"/>
        </w:rPr>
      </w:pPr>
      <w:r>
        <w:rPr>
          <w:rFonts w:ascii="Arial" w:cs="Arial" w:eastAsia="Arial" w:hAnsi="Arial"/>
          <w:sz w:val="15"/>
          <w:szCs w:val="15"/>
          <w:color w:val="auto"/>
        </w:rPr>
        <w:t>We have a limited number of contract manufacturers for our products. At times we may have only one manufacturer for a product. In addition, we do not have any long-term commitments from our suppliers of clinical trial material or guaranteed prices for our product candidates. The manufacture of pharmaceutical products requires significant expertise and capital investment, including the development of advanced manufacturing techniques and process controls. Manufacturers of pharmaceutical products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and compliance with strictly enforced federal, state, and foreign regulations. Our manufacturers may not perform as agreed. If our manufacturers were to encounter any of these difficulties, our ability to provide product candidates to patients in our clinical trials and for commercial use, if approved, would be jeopardized.</w:t>
      </w:r>
    </w:p>
    <w:p>
      <w:pPr>
        <w:spacing w:after="0" w:line="163" w:lineRule="exact"/>
        <w:rPr>
          <w:sz w:val="20"/>
          <w:szCs w:val="20"/>
          <w:color w:val="auto"/>
        </w:rPr>
      </w:pPr>
    </w:p>
    <w:p>
      <w:pPr>
        <w:ind w:left="40" w:right="79" w:firstLine="566"/>
        <w:spacing w:after="0" w:line="288" w:lineRule="auto"/>
        <w:rPr>
          <w:sz w:val="20"/>
          <w:szCs w:val="20"/>
          <w:color w:val="auto"/>
        </w:rPr>
      </w:pPr>
      <w:r>
        <w:rPr>
          <w:rFonts w:ascii="Arial" w:cs="Arial" w:eastAsia="Arial" w:hAnsi="Arial"/>
          <w:sz w:val="13"/>
          <w:szCs w:val="13"/>
          <w:color w:val="auto"/>
        </w:rPr>
        <w:t>In addition, all manufacturers of our product candidates must comply with cGMP requirements enforced by the FDA and comparable foreign regulatory authorities that are applicable to both finished drug products and active pharmaceutical ingredients used both for clinical and commercial supply, through its facilities inspection program. The FDA must verify our contract manufacturers’ compliance with cGMP requirements and comparable foreign regulatory authorities will similarly inspect our contract manufacturers’ facilities after we submit our marketing applications to the agency and comparable foreign regulatory authorities. The cGMP requirements include quality control, quality assurance, and the maintenance of records and documentation. Manufacturers of our product candidates may be unable to comply with our specifications, these cGMP requirements and with other FDA, state, and foreign regulatory requirements. If our contract manufacturers cannot successfully manufacture material that conforms to our specifications and the strict regulatory requirements of the FDA or other regulatory authorities, they will not be able to secure or maintain regulatory approval for their manufacturing facilities. While we are ultimately responsible for the manufacture of our product candidates, other than through our contractual arrangements, we have little control over our manufacturers’ compliance with these regulations and standards.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A failure to comply with these requirements may result in regulatory enforcement actions against our manufacturers or us, including fines and civil and criminal penalties, including imprisonment; suspension or restrictions of production; suspension, delay, or denial of product approval or supplements to approved products; clinical holds or termination of clinical studies; warning or untitled letters; regulatory authority communications warning the public about safety issues with the drug; refusal to permit the import or export of the products; product seizure, detention, or recall; suits under the civil False Claims Act; corporate integrity agreements; consent decrees; or withdrawal of product approval. If the safety of any quantities supplied is compromised due to our manufacturers’ failure to adhere to applicable laws or for other reasons, we may not be able to obtain regulatory approval for or successfully commercialize our product candidates.</w:t>
      </w:r>
    </w:p>
    <w:p>
      <w:pPr>
        <w:spacing w:after="0" w:line="200" w:lineRule="exact"/>
        <w:rPr>
          <w:sz w:val="20"/>
          <w:szCs w:val="20"/>
          <w:color w:val="auto"/>
        </w:rPr>
      </w:pPr>
    </w:p>
    <w:p>
      <w:pPr>
        <w:spacing w:after="0" w:line="294" w:lineRule="exact"/>
        <w:rPr>
          <w:sz w:val="20"/>
          <w:szCs w:val="20"/>
          <w:color w:val="auto"/>
        </w:rPr>
      </w:pPr>
    </w:p>
    <w:p>
      <w:pPr>
        <w:ind w:left="40" w:right="339" w:firstLine="566"/>
        <w:spacing w:after="0" w:line="238" w:lineRule="auto"/>
        <w:rPr>
          <w:sz w:val="20"/>
          <w:szCs w:val="20"/>
          <w:color w:val="auto"/>
        </w:rPr>
      </w:pPr>
      <w:r>
        <w:rPr>
          <w:rFonts w:ascii="Arial" w:cs="Arial" w:eastAsia="Arial" w:hAnsi="Arial"/>
          <w:sz w:val="16"/>
          <w:szCs w:val="16"/>
          <w:color w:val="auto"/>
        </w:rPr>
        <w:t>Any failure or refusal to supply our product candidates or components for our current or future product candidates that we may develop could delay, prevent, or impair our clinical development or commercialization efforts. Any change in our manufacturers could be costly because the commercial terms of any new arrangement could be less favorable and because the expenses relating to the transfer of necessary technology and processes could be significant.</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302895</wp:posOffset>
            </wp:positionV>
            <wp:extent cx="5682615" cy="222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82615" cy="22225"/>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76" w:name="page77"/>
    <w:bookmarkEnd w:id="76"/>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 w:right="519"/>
        <w:spacing w:after="0" w:line="284" w:lineRule="auto"/>
        <w:rPr>
          <w:sz w:val="20"/>
          <w:szCs w:val="20"/>
          <w:color w:val="auto"/>
        </w:rPr>
      </w:pPr>
      <w:r>
        <w:rPr>
          <w:rFonts w:ascii="Arial" w:cs="Arial" w:eastAsia="Arial" w:hAnsi="Arial"/>
          <w:sz w:val="15"/>
          <w:szCs w:val="15"/>
          <w:b w:val="1"/>
          <w:bCs w:val="1"/>
          <w:i w:val="1"/>
          <w:iCs w:val="1"/>
          <w:color w:val="auto"/>
        </w:rPr>
        <w:t>Our business operations, financial condition, results of operations and cash flows may be adversely affected by the effects of health epidemics, pandemics, or outbreaks of infectious diseases, including the recent COVID-19 pandemic.</w:t>
      </w:r>
    </w:p>
    <w:p>
      <w:pPr>
        <w:spacing w:after="0" w:line="134" w:lineRule="exact"/>
        <w:rPr>
          <w:sz w:val="20"/>
          <w:szCs w:val="20"/>
          <w:color w:val="auto"/>
        </w:rPr>
      </w:pPr>
    </w:p>
    <w:p>
      <w:pPr>
        <w:ind w:left="40" w:right="139" w:firstLine="566"/>
        <w:spacing w:after="0" w:line="365" w:lineRule="auto"/>
        <w:rPr>
          <w:sz w:val="20"/>
          <w:szCs w:val="20"/>
          <w:color w:val="auto"/>
        </w:rPr>
      </w:pPr>
      <w:r>
        <w:rPr>
          <w:rFonts w:ascii="Arial" w:cs="Arial" w:eastAsia="Arial" w:hAnsi="Arial"/>
          <w:sz w:val="13"/>
          <w:szCs w:val="13"/>
          <w:color w:val="auto"/>
        </w:rPr>
        <w:t>Our business could be adversely affected by health epidemics in regions where we have concentrations of clinical trial sites or other business operations, and could cause significant disruption in the operations of third-party manufacturers and CROs upon whom we rely.</w:t>
      </w:r>
    </w:p>
    <w:p>
      <w:pPr>
        <w:spacing w:after="0" w:line="88" w:lineRule="exact"/>
        <w:rPr>
          <w:sz w:val="20"/>
          <w:szCs w:val="20"/>
          <w:color w:val="auto"/>
        </w:rPr>
      </w:pPr>
    </w:p>
    <w:p>
      <w:pPr>
        <w:ind w:left="40" w:right="79" w:firstLine="566"/>
        <w:spacing w:after="0" w:line="291" w:lineRule="auto"/>
        <w:rPr>
          <w:sz w:val="20"/>
          <w:szCs w:val="20"/>
          <w:color w:val="auto"/>
        </w:rPr>
      </w:pPr>
      <w:r>
        <w:rPr>
          <w:rFonts w:ascii="Arial" w:cs="Arial" w:eastAsia="Arial" w:hAnsi="Arial"/>
          <w:sz w:val="13"/>
          <w:szCs w:val="13"/>
          <w:color w:val="auto"/>
        </w:rPr>
        <w:t>For example, in December 2019, a novel strain of coronavirus, COVID-19, was identified in Wuhan, China. This virus continues to spread globally and in March 2020, the World Health Organization declared COVID-19 a pandemic. The COVID-19 pandemic has negatively impacted the global economy, disrupted global supply chains and created significant volatility and disruption of financial markets. Currently, the COVID-19 pandemic is having a significant adverse impact on the conduct of oncology clinical trials in the US. The evolving COVID-19 pandemic has impacted the pace of enrollment in clinical trials and we may be affected by similar delays as patients may avoid or may not be able to travel to healthcare facilities and physicians’ offices unless due to a health emergency and clinical trial staff can no longer get to the clinic. Such facilities and offices have been and may continue to be required to focus limited resources on non-clinical trial matters, including treatment of COVID-19 patients, thereby decreasing availability, in whole or in part, for clinical trial services. In addition, employee disruptions and remote working environments related to the COVID-19 pandemic and the federal, state and local responses to such virus, has impacted and could continue to impact the efficiency and pace with which we work and develop our product candidates and our manufacturing capabilities. In addition, the COVID-19 pandemic has affected and may continue to affect the operations of the FDA and other health authorities, which could result in delays of reviews and approvals.</w:t>
      </w:r>
    </w:p>
    <w:p>
      <w:pPr>
        <w:spacing w:after="0" w:line="317" w:lineRule="exact"/>
        <w:rPr>
          <w:sz w:val="20"/>
          <w:szCs w:val="20"/>
          <w:color w:val="auto"/>
        </w:rPr>
      </w:pPr>
    </w:p>
    <w:p>
      <w:pPr>
        <w:ind w:left="40" w:right="79" w:firstLine="566"/>
        <w:spacing w:after="0" w:line="251" w:lineRule="auto"/>
        <w:rPr>
          <w:sz w:val="20"/>
          <w:szCs w:val="20"/>
          <w:color w:val="auto"/>
        </w:rPr>
      </w:pPr>
      <w:r>
        <w:rPr>
          <w:rFonts w:ascii="Arial" w:cs="Arial" w:eastAsia="Arial" w:hAnsi="Arial"/>
          <w:sz w:val="15"/>
          <w:szCs w:val="15"/>
          <w:color w:val="auto"/>
        </w:rPr>
        <w:t>We may utilize contract manufacturers to manufacture our investigational products and plan to utilize contract manufacturers if and when we obtain FDA approval. The FDA has announced that domestic and foreign facility inspections are temporarily delayed, while inspections deemed “mission critical” (e.g., pre-approval and for-cause inspections) will be carried out on a case-by-case basis. Depending on the length of the COVID-19 pandemic and FDA’s related internal policies, this could impact future applications and product candidates. The FDA has indicated that it will utilize interim measures such as reviewing a firm’s previous compliance history, using information shared from foreign governments as part of mutual recognition and confidentiality agreements and requesting records “in advance of or in lieu of” on-site drug inspections. Nevertheless, we cannot predict at this time whether this or other developments will cause delays or cause other situations that may impact our business.</w:t>
      </w:r>
    </w:p>
    <w:p>
      <w:pPr>
        <w:spacing w:after="0" w:line="160" w:lineRule="exact"/>
        <w:rPr>
          <w:sz w:val="20"/>
          <w:szCs w:val="20"/>
          <w:color w:val="auto"/>
        </w:rPr>
      </w:pPr>
    </w:p>
    <w:p>
      <w:pPr>
        <w:ind w:left="40" w:right="79" w:firstLine="566"/>
        <w:spacing w:after="0" w:line="250" w:lineRule="auto"/>
        <w:rPr>
          <w:sz w:val="20"/>
          <w:szCs w:val="20"/>
          <w:color w:val="auto"/>
        </w:rPr>
      </w:pPr>
      <w:r>
        <w:rPr>
          <w:rFonts w:ascii="Arial" w:cs="Arial" w:eastAsia="Arial" w:hAnsi="Arial"/>
          <w:sz w:val="15"/>
          <w:szCs w:val="15"/>
          <w:color w:val="auto"/>
        </w:rPr>
        <w:t>Further, on March 25, 2020 and updated on July 2, 2020, the FDA issued Guidance on Conduct of Clinical Trials of Medical Products during the COVID-19 Pandemic for Industry, Investigators, and Institutional Review Boards to assist sponsors in assuring the safety of trial participants, maintaining compliance with good clinical practices, and minimizing risks to trial integrity during the COVID-19 Pandemic, or the COVID-19 Guidelines. The policy is intended to remain in effect only for the duration of the public health emergency related to COVID-19 declared by the Department of Health and Human Services on January 31, 2020. We have implemented several procedures in accordance with the COVID-19 Guidelines to address patient safety and clinical trial conduct during the COVID-19 pandemic, including remote monitoring of patients through telemedical visits, remote monitoring of sites by our clinical trial monitors, remote data entry, and follow-up visits at sites other than the site where the patient was initially treated. Our implementation of the COVID-19 Guidelines and potential disruptions to patient follow up, site monitoring or the timely completion of our trials may have a negative effect on our ability to complete trials and associated regulatory filings</w:t>
      </w:r>
    </w:p>
    <w:p>
      <w:pPr>
        <w:spacing w:after="0" w:line="160" w:lineRule="exact"/>
        <w:rPr>
          <w:sz w:val="20"/>
          <w:szCs w:val="20"/>
          <w:color w:val="auto"/>
        </w:rPr>
      </w:pPr>
    </w:p>
    <w:p>
      <w:pPr>
        <w:ind w:left="40" w:right="39" w:firstLine="566"/>
        <w:spacing w:after="0" w:line="255" w:lineRule="auto"/>
        <w:rPr>
          <w:sz w:val="20"/>
          <w:szCs w:val="20"/>
          <w:color w:val="auto"/>
        </w:rPr>
      </w:pPr>
      <w:r>
        <w:rPr>
          <w:rFonts w:ascii="Arial" w:cs="Arial" w:eastAsia="Arial" w:hAnsi="Arial"/>
          <w:sz w:val="15"/>
          <w:szCs w:val="15"/>
          <w:color w:val="auto"/>
        </w:rPr>
        <w:t>The ultimate impact of the COVID-19 pandemic is highly uncertain and subject to change. We do not yet know the full extent of potential delays or impacts on our business, financing or clinical trial activities or on healthcare systems or the global economy as a whole. However, these effects may have a material impact on our liquidity, capital resources, operations and business and those of the third parties on which we rely and a recession or market correction resulting from the spread of COVID-19 could materially affect our business and the value of our common stock. We will continue to monitor the COVID-19 situation closely.</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302895</wp:posOffset>
            </wp:positionV>
            <wp:extent cx="5682615" cy="222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82615" cy="22225"/>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77" w:name="page78"/>
    <w:bookmarkEnd w:id="77"/>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 w:right="199"/>
        <w:spacing w:after="0" w:line="236" w:lineRule="auto"/>
        <w:rPr>
          <w:sz w:val="20"/>
          <w:szCs w:val="20"/>
          <w:color w:val="auto"/>
        </w:rPr>
      </w:pPr>
      <w:r>
        <w:rPr>
          <w:rFonts w:ascii="Arial" w:cs="Arial" w:eastAsia="Arial" w:hAnsi="Arial"/>
          <w:sz w:val="16"/>
          <w:szCs w:val="16"/>
          <w:b w:val="1"/>
          <w:bCs w:val="1"/>
          <w:i w:val="1"/>
          <w:iCs w:val="1"/>
          <w:color w:val="auto"/>
        </w:rPr>
        <w:t>We may rely on third parties to perform many essential services for any products that we commercialize, including services related to warehousing and inventory control, distribution, government price reporting, customer service, accounts receivable management, cash collection, and adverse event reporting. If these third parties fail to perform as expected or to comply with legal and regulatory requirements, our ability to commercialize any of our current or future product candidates will be significantly impacted and we may be subject to regulatory sanctions.</w:t>
      </w:r>
    </w:p>
    <w:p>
      <w:pPr>
        <w:spacing w:after="0" w:line="168" w:lineRule="exact"/>
        <w:rPr>
          <w:sz w:val="20"/>
          <w:szCs w:val="20"/>
          <w:color w:val="auto"/>
        </w:rPr>
      </w:pPr>
    </w:p>
    <w:p>
      <w:pPr>
        <w:ind w:left="40" w:right="79" w:firstLine="566"/>
        <w:spacing w:after="0" w:line="250" w:lineRule="auto"/>
        <w:rPr>
          <w:sz w:val="20"/>
          <w:szCs w:val="20"/>
          <w:color w:val="auto"/>
        </w:rPr>
      </w:pPr>
      <w:r>
        <w:rPr>
          <w:rFonts w:ascii="Arial" w:cs="Arial" w:eastAsia="Arial" w:hAnsi="Arial"/>
          <w:sz w:val="15"/>
          <w:szCs w:val="15"/>
          <w:color w:val="auto"/>
        </w:rPr>
        <w:t>We may retain third-party service providers to perform a variety of functions related to the sale and distribution of any of our current or future product candidates, key aspects of which will be out of our direct control. These service providers may provide key services related to warehousing and inventory control, distribution, government price reporting, customer service, accounts receivable management, and cash collection, and, as a result, most of our inventory may be stored at a single warehouse maintained by one such service provider. If we retain a service provider, we would substantially rely on it as well as other third-party providers that perform services for us, including entrusting our inventories of products to their care and handling. If these third-party service providers fail to comply with applicable laws and regulations, fail to meet expected deadlines, or otherwise do not carry out their contractual duties to us, or encounter physical or natural damage at their facilities, our ability to deliver product to meet commercial demand would be significantly impaired and we may be subject to regulatory enforcement action.</w:t>
      </w:r>
    </w:p>
    <w:p>
      <w:pPr>
        <w:spacing w:after="0" w:line="163" w:lineRule="exact"/>
        <w:rPr>
          <w:sz w:val="20"/>
          <w:szCs w:val="20"/>
          <w:color w:val="auto"/>
        </w:rPr>
      </w:pPr>
    </w:p>
    <w:p>
      <w:pPr>
        <w:ind w:left="40" w:right="119" w:firstLine="566"/>
        <w:spacing w:after="0" w:line="258" w:lineRule="auto"/>
        <w:rPr>
          <w:sz w:val="20"/>
          <w:szCs w:val="20"/>
          <w:color w:val="auto"/>
        </w:rPr>
      </w:pPr>
      <w:r>
        <w:rPr>
          <w:rFonts w:ascii="Arial" w:cs="Arial" w:eastAsia="Arial" w:hAnsi="Arial"/>
          <w:sz w:val="15"/>
          <w:szCs w:val="15"/>
          <w:color w:val="auto"/>
        </w:rPr>
        <w:t>In addition, we may engage third parties to perform various other services for us relating to adverse event reporting, safety database management, fulfillment of requests for medical information regarding our product candidates and related services. If the quality or accuracy of the data maintained by these service providers is insufficient, or these third parties otherwise fail to comply with regulatory requirements related to adverse event reporting, we could be subject to regulatory sanctions.</w:t>
      </w:r>
    </w:p>
    <w:p>
      <w:pPr>
        <w:spacing w:after="0" w:line="154" w:lineRule="exact"/>
        <w:rPr>
          <w:sz w:val="20"/>
          <w:szCs w:val="20"/>
          <w:color w:val="auto"/>
        </w:rPr>
      </w:pPr>
    </w:p>
    <w:p>
      <w:pPr>
        <w:ind w:left="40" w:right="99" w:firstLine="566"/>
        <w:spacing w:after="0" w:line="241" w:lineRule="auto"/>
        <w:rPr>
          <w:sz w:val="20"/>
          <w:szCs w:val="20"/>
          <w:color w:val="auto"/>
        </w:rPr>
      </w:pPr>
      <w:r>
        <w:rPr>
          <w:rFonts w:ascii="Arial" w:cs="Arial" w:eastAsia="Arial" w:hAnsi="Arial"/>
          <w:sz w:val="16"/>
          <w:szCs w:val="16"/>
          <w:color w:val="auto"/>
        </w:rPr>
        <w:t>Additionally, if a third party errs in calculating government pricing information from transactional data in our financial records, it could impact our discount and rebate liability and potentially cause government programs to overpay providers for our products, which could expose us to significant False Claims Act liability and other civil monetary penalties.</w:t>
      </w:r>
    </w:p>
    <w:p>
      <w:pPr>
        <w:spacing w:after="0" w:line="165" w:lineRule="exact"/>
        <w:rPr>
          <w:sz w:val="20"/>
          <w:szCs w:val="20"/>
          <w:color w:val="auto"/>
        </w:rPr>
      </w:pPr>
    </w:p>
    <w:p>
      <w:pPr>
        <w:ind w:left="40" w:right="119"/>
        <w:spacing w:after="0" w:line="251" w:lineRule="auto"/>
        <w:rPr>
          <w:sz w:val="20"/>
          <w:szCs w:val="20"/>
          <w:color w:val="auto"/>
        </w:rPr>
      </w:pPr>
      <w:r>
        <w:rPr>
          <w:rFonts w:ascii="Arial" w:cs="Arial" w:eastAsia="Arial" w:hAnsi="Arial"/>
          <w:sz w:val="16"/>
          <w:szCs w:val="16"/>
          <w:b w:val="1"/>
          <w:bCs w:val="1"/>
          <w:i w:val="1"/>
          <w:iCs w:val="1"/>
          <w:color w:val="auto"/>
        </w:rPr>
        <w:t>Any collaboration arrangements that we are a party to or may enter into in the future may not be successful, which could adversely affect our ability to develop and commercialize our product candidates.</w:t>
      </w:r>
    </w:p>
    <w:p>
      <w:pPr>
        <w:spacing w:after="0" w:line="157" w:lineRule="exact"/>
        <w:rPr>
          <w:sz w:val="20"/>
          <w:szCs w:val="20"/>
          <w:color w:val="auto"/>
        </w:rPr>
      </w:pPr>
    </w:p>
    <w:p>
      <w:pPr>
        <w:ind w:left="40" w:right="99" w:firstLine="566"/>
        <w:spacing w:after="0" w:line="249" w:lineRule="auto"/>
        <w:rPr>
          <w:sz w:val="20"/>
          <w:szCs w:val="20"/>
          <w:color w:val="auto"/>
        </w:rPr>
      </w:pPr>
      <w:r>
        <w:rPr>
          <w:rFonts w:ascii="Arial" w:cs="Arial" w:eastAsia="Arial" w:hAnsi="Arial"/>
          <w:sz w:val="15"/>
          <w:szCs w:val="15"/>
          <w:color w:val="auto"/>
        </w:rPr>
        <w:t>Our business model is to commercialize our product candidates in the United States and generally to seek future collaboration arrangements with pharmaceutical or biotechnology companies, or academic institutions, for the development or commercialization of our product candidates in the rest of the world. For example, in December 2017, we entered into a research collaboration agreement with Duke University for the conduct of a Phase 2 clinical trial of AXS-05 for smoking cessation treatment, which was completed in April 2019. We currently have not entered into any sub-license agreements. Our current and future collaboration arrangements may not be successful, and the success of them will depend heavily on the efforts and activities of our collaborators. Collaborators generally have significant discretion in determining the efforts and resources that they will apply to these collaboration arrangements. For clinical trials of our product candidates being conducted by our collaborators, for example, the Phase 2 clinical trial of AXS-05 for smoking cessation in collaboration with Duke University, we rely on timeline estimates provided by our collaborators for these trials. Such timeline estimates may differ materially from actual trial completion dates.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 making authority.</w:t>
      </w:r>
    </w:p>
    <w:p>
      <w:pPr>
        <w:spacing w:after="0" w:line="161" w:lineRule="exact"/>
        <w:rPr>
          <w:sz w:val="20"/>
          <w:szCs w:val="20"/>
          <w:color w:val="auto"/>
        </w:rPr>
      </w:pPr>
    </w:p>
    <w:p>
      <w:pPr>
        <w:ind w:left="40" w:right="339" w:firstLine="566"/>
        <w:spacing w:after="0" w:line="324" w:lineRule="auto"/>
        <w:rPr>
          <w:sz w:val="20"/>
          <w:szCs w:val="20"/>
          <w:color w:val="auto"/>
        </w:rPr>
      </w:pPr>
      <w:r>
        <w:rPr>
          <w:rFonts w:ascii="Arial" w:cs="Arial" w:eastAsia="Arial" w:hAnsi="Arial"/>
          <w:sz w:val="13"/>
          <w:szCs w:val="13"/>
          <w:color w:val="auto"/>
        </w:rPr>
        <w:t>We may license the right to market and sell our product candidates under our collaborators’ labeler codes. Alternatively, we may enter into agreements with collaborators to market and sell our product candidates under our own labeler code, in which case errors and omissions by collaborators in capturing and transmitting transactional data may impact the accuracy of our government price reporting.</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302895</wp:posOffset>
            </wp:positionV>
            <wp:extent cx="5682615" cy="222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82615" cy="22225"/>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78" w:name="page79"/>
    <w:bookmarkEnd w:id="78"/>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ind w:left="40" w:right="219" w:firstLine="566"/>
        <w:spacing w:after="0" w:line="241" w:lineRule="auto"/>
        <w:rPr>
          <w:sz w:val="20"/>
          <w:szCs w:val="20"/>
          <w:color w:val="auto"/>
        </w:rPr>
      </w:pPr>
      <w:r>
        <w:rPr>
          <w:rFonts w:ascii="Arial" w:cs="Arial" w:eastAsia="Arial" w:hAnsi="Arial"/>
          <w:sz w:val="16"/>
          <w:szCs w:val="16"/>
          <w:color w:val="auto"/>
        </w:rPr>
        <w:t>Collaborations with pharmaceutical companies and other third parties often are terminated or allowed to expire by the other party. Any such termination or expiration would adversely affect us financially and could harm our business reputation. Any future collaborations we might enter into may pose a number of risks, including the following:</w:t>
      </w:r>
    </w:p>
    <w:p>
      <w:pPr>
        <w:spacing w:after="0" w:line="165" w:lineRule="exact"/>
        <w:rPr>
          <w:sz w:val="20"/>
          <w:szCs w:val="20"/>
          <w:color w:val="auto"/>
        </w:rPr>
      </w:pPr>
    </w:p>
    <w:p>
      <w:pPr>
        <w:ind w:left="620" w:hanging="281"/>
        <w:spacing w:after="0"/>
        <w:tabs>
          <w:tab w:leader="none" w:pos="6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collaborators may not perform their obligations as expected;</w:t>
      </w:r>
    </w:p>
    <w:p>
      <w:pPr>
        <w:spacing w:after="0" w:line="181" w:lineRule="exact"/>
        <w:rPr>
          <w:rFonts w:ascii="Arial" w:cs="Arial" w:eastAsia="Arial" w:hAnsi="Arial"/>
          <w:sz w:val="16"/>
          <w:szCs w:val="16"/>
          <w:color w:val="auto"/>
        </w:rPr>
      </w:pPr>
    </w:p>
    <w:p>
      <w:pPr>
        <w:ind w:left="620" w:right="339" w:hanging="281"/>
        <w:spacing w:after="0" w:line="238" w:lineRule="auto"/>
        <w:tabs>
          <w:tab w:leader="none" w:pos="6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166" w:lineRule="exact"/>
        <w:rPr>
          <w:rFonts w:ascii="Arial" w:cs="Arial" w:eastAsia="Arial" w:hAnsi="Arial"/>
          <w:sz w:val="16"/>
          <w:szCs w:val="16"/>
          <w:color w:val="auto"/>
        </w:rPr>
      </w:pPr>
    </w:p>
    <w:p>
      <w:pPr>
        <w:jc w:val="both"/>
        <w:ind w:left="620" w:right="399" w:hanging="281"/>
        <w:spacing w:after="0" w:line="365" w:lineRule="auto"/>
        <w:tabs>
          <w:tab w:leader="none" w:pos="620" w:val="left"/>
        </w:tabs>
        <w:numPr>
          <w:ilvl w:val="0"/>
          <w:numId w:val="33"/>
        </w:numPr>
        <w:rPr>
          <w:rFonts w:ascii="Arial" w:cs="Arial" w:eastAsia="Arial" w:hAnsi="Arial"/>
          <w:sz w:val="13"/>
          <w:szCs w:val="13"/>
          <w:color w:val="auto"/>
        </w:rPr>
      </w:pPr>
      <w:r>
        <w:rPr>
          <w:rFonts w:ascii="Arial" w:cs="Arial" w:eastAsia="Arial" w:hAnsi="Arial"/>
          <w:sz w:val="13"/>
          <w:szCs w:val="13"/>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87" w:lineRule="exact"/>
        <w:rPr>
          <w:rFonts w:ascii="Arial" w:cs="Arial" w:eastAsia="Arial" w:hAnsi="Arial"/>
          <w:sz w:val="13"/>
          <w:szCs w:val="13"/>
          <w:color w:val="auto"/>
        </w:rPr>
      </w:pPr>
    </w:p>
    <w:p>
      <w:pPr>
        <w:ind w:left="620" w:hanging="281"/>
        <w:spacing w:after="0"/>
        <w:tabs>
          <w:tab w:leader="none" w:pos="6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collaborators could fail to make timely regulatory submissions for a product candidate;</w:t>
      </w:r>
    </w:p>
    <w:p>
      <w:pPr>
        <w:spacing w:after="0" w:line="181" w:lineRule="exact"/>
        <w:rPr>
          <w:rFonts w:ascii="Arial" w:cs="Arial" w:eastAsia="Arial" w:hAnsi="Arial"/>
          <w:sz w:val="16"/>
          <w:szCs w:val="16"/>
          <w:color w:val="auto"/>
        </w:rPr>
      </w:pPr>
    </w:p>
    <w:p>
      <w:pPr>
        <w:ind w:left="620" w:right="319" w:hanging="281"/>
        <w:spacing w:after="0" w:line="251" w:lineRule="auto"/>
        <w:tabs>
          <w:tab w:leader="none" w:pos="6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collaborators may not comply with all applicable regulatory requirements or may fail to report safety data in accordance with all applicable regulatory requirements;</w:t>
      </w:r>
    </w:p>
    <w:p>
      <w:pPr>
        <w:spacing w:after="0" w:line="157" w:lineRule="exact"/>
        <w:rPr>
          <w:rFonts w:ascii="Arial" w:cs="Arial" w:eastAsia="Arial" w:hAnsi="Arial"/>
          <w:sz w:val="16"/>
          <w:szCs w:val="16"/>
          <w:color w:val="auto"/>
        </w:rPr>
      </w:pPr>
    </w:p>
    <w:p>
      <w:pPr>
        <w:ind w:left="620" w:right="99" w:hanging="281"/>
        <w:spacing w:after="0" w:line="241" w:lineRule="auto"/>
        <w:tabs>
          <w:tab w:leader="none" w:pos="6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164" w:lineRule="exact"/>
        <w:rPr>
          <w:rFonts w:ascii="Arial" w:cs="Arial" w:eastAsia="Arial" w:hAnsi="Arial"/>
          <w:sz w:val="16"/>
          <w:szCs w:val="16"/>
          <w:color w:val="auto"/>
        </w:rPr>
      </w:pPr>
    </w:p>
    <w:p>
      <w:pPr>
        <w:ind w:left="620" w:right="239" w:hanging="281"/>
        <w:spacing w:after="0" w:line="241" w:lineRule="auto"/>
        <w:tabs>
          <w:tab w:leader="none" w:pos="6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164" w:lineRule="exact"/>
        <w:rPr>
          <w:rFonts w:ascii="Arial" w:cs="Arial" w:eastAsia="Arial" w:hAnsi="Arial"/>
          <w:sz w:val="16"/>
          <w:szCs w:val="16"/>
          <w:color w:val="auto"/>
        </w:rPr>
      </w:pPr>
    </w:p>
    <w:p>
      <w:pPr>
        <w:ind w:left="620" w:right="119" w:hanging="281"/>
        <w:spacing w:after="0" w:line="251" w:lineRule="auto"/>
        <w:tabs>
          <w:tab w:leader="none" w:pos="6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 collaborator with marketing and distribution rights to one or more of our product candidates that achieve regulatory approval may not commit sufficient resources to the marketing and distribution of such product candidate or product;</w:t>
      </w:r>
    </w:p>
    <w:p>
      <w:pPr>
        <w:spacing w:after="0" w:line="157" w:lineRule="exact"/>
        <w:rPr>
          <w:rFonts w:ascii="Arial" w:cs="Arial" w:eastAsia="Arial" w:hAnsi="Arial"/>
          <w:sz w:val="16"/>
          <w:szCs w:val="16"/>
          <w:color w:val="auto"/>
        </w:rPr>
      </w:pPr>
    </w:p>
    <w:p>
      <w:pPr>
        <w:ind w:left="620" w:right="119" w:hanging="281"/>
        <w:spacing w:after="0" w:line="238" w:lineRule="auto"/>
        <w:tabs>
          <w:tab w:leader="none" w:pos="6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 consuming and expensive;</w:t>
      </w:r>
    </w:p>
    <w:p>
      <w:pPr>
        <w:spacing w:after="0" w:line="166" w:lineRule="exact"/>
        <w:rPr>
          <w:rFonts w:ascii="Arial" w:cs="Arial" w:eastAsia="Arial" w:hAnsi="Arial"/>
          <w:sz w:val="16"/>
          <w:szCs w:val="16"/>
          <w:color w:val="auto"/>
        </w:rPr>
      </w:pPr>
    </w:p>
    <w:p>
      <w:pPr>
        <w:ind w:left="620" w:right="179" w:hanging="281"/>
        <w:spacing w:after="0" w:line="241" w:lineRule="auto"/>
        <w:tabs>
          <w:tab w:leader="none" w:pos="6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 and</w:t>
      </w:r>
    </w:p>
    <w:p>
      <w:pPr>
        <w:spacing w:after="0" w:line="164" w:lineRule="exact"/>
        <w:rPr>
          <w:rFonts w:ascii="Arial" w:cs="Arial" w:eastAsia="Arial" w:hAnsi="Arial"/>
          <w:sz w:val="16"/>
          <w:szCs w:val="16"/>
          <w:color w:val="auto"/>
        </w:rPr>
      </w:pPr>
    </w:p>
    <w:p>
      <w:pPr>
        <w:ind w:left="620" w:hanging="281"/>
        <w:spacing w:after="0"/>
        <w:tabs>
          <w:tab w:leader="none" w:pos="620" w:val="left"/>
        </w:tabs>
        <w:numPr>
          <w:ilvl w:val="0"/>
          <w:numId w:val="33"/>
        </w:numPr>
        <w:rPr>
          <w:rFonts w:ascii="Arial" w:cs="Arial" w:eastAsia="Arial" w:hAnsi="Arial"/>
          <w:sz w:val="13"/>
          <w:szCs w:val="13"/>
          <w:color w:val="auto"/>
        </w:rPr>
      </w:pPr>
      <w:r>
        <w:rPr>
          <w:rFonts w:ascii="Arial" w:cs="Arial" w:eastAsia="Arial" w:hAnsi="Arial"/>
          <w:sz w:val="13"/>
          <w:szCs w:val="13"/>
          <w:color w:val="auto"/>
        </w:rPr>
        <w:t>collaborators may infringe the intellectual property rights of third parties, which may expose us to litigation and potential liability.</w:t>
      </w:r>
    </w:p>
    <w:p>
      <w:pPr>
        <w:spacing w:after="0" w:line="216" w:lineRule="exact"/>
        <w:rPr>
          <w:sz w:val="20"/>
          <w:szCs w:val="20"/>
          <w:color w:val="auto"/>
        </w:rPr>
      </w:pPr>
    </w:p>
    <w:p>
      <w:pPr>
        <w:ind w:left="40" w:right="59" w:firstLine="566"/>
        <w:spacing w:after="0" w:line="310" w:lineRule="auto"/>
        <w:rPr>
          <w:sz w:val="20"/>
          <w:szCs w:val="20"/>
          <w:color w:val="auto"/>
        </w:rPr>
      </w:pPr>
      <w:r>
        <w:rPr>
          <w:rFonts w:ascii="Arial" w:cs="Arial" w:eastAsia="Arial" w:hAnsi="Arial"/>
          <w:sz w:val="13"/>
          <w:szCs w:val="13"/>
          <w:color w:val="auto"/>
        </w:rPr>
        <w:t>If any collaborations we might enter into in the future do not result in the successful development and commercialization of products or if one of our collaborators subsequently terminates its agreement with us, we may not receive any future research funding or milestone or royalty payments under the collaboration. If we do not receive the funding we expect under the agreements, our development of our product candidates could be delayed and we may need additional resources to develop our product candidates and our product platform.</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302895</wp:posOffset>
            </wp:positionV>
            <wp:extent cx="5682615" cy="222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82615" cy="22225"/>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79" w:name="page80"/>
    <w:bookmarkEnd w:id="79"/>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 w:right="39" w:firstLine="566"/>
        <w:spacing w:after="0" w:line="238" w:lineRule="auto"/>
        <w:rPr>
          <w:sz w:val="20"/>
          <w:szCs w:val="20"/>
          <w:color w:val="auto"/>
        </w:rPr>
      </w:pPr>
      <w:r>
        <w:rPr>
          <w:rFonts w:ascii="Arial" w:cs="Arial" w:eastAsia="Arial" w:hAnsi="Arial"/>
          <w:sz w:val="16"/>
          <w:szCs w:val="16"/>
          <w:color w:val="auto"/>
        </w:rPr>
        <w:t>Additionally, if any future collaborator of ours is involved in a business combination, the collaborator might deemphasize or terminate development or commercialization of any product candidate licensed to it by us. If one of our collaborators terminates its agreement with us, we may find it more difficult to attract new collaborators and our reputation in the business and financial communities could be adversely affected.</w:t>
      </w:r>
    </w:p>
    <w:p>
      <w:pPr>
        <w:spacing w:after="0" w:line="166" w:lineRule="exact"/>
        <w:rPr>
          <w:sz w:val="20"/>
          <w:szCs w:val="20"/>
          <w:color w:val="auto"/>
        </w:rPr>
      </w:pPr>
    </w:p>
    <w:p>
      <w:pPr>
        <w:ind w:left="40" w:right="59" w:firstLine="566"/>
        <w:spacing w:after="0" w:line="291" w:lineRule="auto"/>
        <w:rPr>
          <w:sz w:val="20"/>
          <w:szCs w:val="20"/>
          <w:color w:val="auto"/>
        </w:rPr>
      </w:pPr>
      <w:r>
        <w:rPr>
          <w:rFonts w:ascii="Arial" w:cs="Arial" w:eastAsia="Arial" w:hAnsi="Arial"/>
          <w:sz w:val="13"/>
          <w:szCs w:val="13"/>
          <w:color w:val="auto"/>
        </w:rPr>
        <w:t>We may in the future determine to collaborate with additional pharmaceutical and biotechnology companies and academic institutions for the development and potential commercialization of any of our current or future product candidates. We face significant competition in seeking appropriate collaborators. Our ability to reach a definitive agreement for collaboration will depend upon, among other things, our assessment of the collaborator’s resources and expertise, the terms and conditions of the proposed collaboration, and the proposed collaborator’s evaluation of a number of factors. 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product platform and our business may be materially and adversely affected.</w:t>
      </w:r>
    </w:p>
    <w:p>
      <w:pPr>
        <w:spacing w:after="0" w:line="317" w:lineRule="exact"/>
        <w:rPr>
          <w:sz w:val="20"/>
          <w:szCs w:val="20"/>
          <w:color w:val="auto"/>
        </w:rPr>
      </w:pPr>
    </w:p>
    <w:p>
      <w:pPr>
        <w:ind w:left="40" w:right="779"/>
        <w:spacing w:after="0" w:line="251" w:lineRule="auto"/>
        <w:rPr>
          <w:sz w:val="20"/>
          <w:szCs w:val="20"/>
          <w:color w:val="auto"/>
        </w:rPr>
      </w:pPr>
      <w:r>
        <w:rPr>
          <w:rFonts w:ascii="Arial" w:cs="Arial" w:eastAsia="Arial" w:hAnsi="Arial"/>
          <w:sz w:val="16"/>
          <w:szCs w:val="16"/>
          <w:b w:val="1"/>
          <w:bCs w:val="1"/>
          <w:i w:val="1"/>
          <w:iCs w:val="1"/>
          <w:color w:val="auto"/>
        </w:rPr>
        <w:t>We are dependent on third parties to decide to utilize our product candidates to make them readily available at the point of care throughout their networks of pharmacies.</w:t>
      </w:r>
    </w:p>
    <w:p>
      <w:pPr>
        <w:spacing w:after="0" w:line="158" w:lineRule="exact"/>
        <w:rPr>
          <w:sz w:val="20"/>
          <w:szCs w:val="20"/>
          <w:color w:val="auto"/>
        </w:rPr>
      </w:pPr>
    </w:p>
    <w:p>
      <w:pPr>
        <w:ind w:left="40" w:right="79" w:firstLine="566"/>
        <w:spacing w:after="0" w:line="289" w:lineRule="auto"/>
        <w:rPr>
          <w:sz w:val="20"/>
          <w:szCs w:val="20"/>
          <w:color w:val="auto"/>
        </w:rPr>
      </w:pPr>
      <w:r>
        <w:rPr>
          <w:rFonts w:ascii="Arial" w:cs="Arial" w:eastAsia="Arial" w:hAnsi="Arial"/>
          <w:sz w:val="13"/>
          <w:szCs w:val="13"/>
          <w:color w:val="auto"/>
        </w:rPr>
        <w:t>In addition to extensive internal efforts, the successful commercialization of our product candidates will require many third parties, over whom we have no control, to decide to utilize our product candidates, and to make them readily available at the point of care throughout their networks of pharmacies. These third parties include HMOs, long term care facilities, and pharmacy benefit managers, or PBMs, which use pharmacy and therapeutics committees, commonly referred to as P&amp;T committees, to make purchasing and reimbursement decisions. Generally, before an HMO or long-term care facility will acquire any of our product candidate for its own pharmacies, or a PBM will pay retail network pharmacies on behalf of its health plans, any such product candidates must be approved for addition to that organization’s list of approved drugs, or formulary list, by the organization’s P&amp;T committee. An institutional P&amp;T committee typically governs all matters pertaining to the use of medications within the institution, including review of medication formulary data and recommendations for the appropriate use of drugs within the institution to the medical staff. PBM P&amp;T committees develop the criteria for plan beneficiaries to access prescription medication, including such cost control measures as step therapy and prior authorization. The frequency of P&amp;T committee meetings varies considerably, and P&amp;T committees often require additional information to aid in their decision-making process, so we may experience substantial delays in obtaining formulary approvals. Additionally, P&amp;T committees may be concerned that the cost of acquiring any of our product candidates for use in their institutions or reimbursing retail pharmacies outweighs clinical benefits and will resist efforts to add any such product candidate to the formulary, or implement restrictions on the usage of the drug in order to control costs. Third party payors often have tiered formularies in which the non-preferred drugs have significantly higher co-pays, causing prescription rejections, and define therapeutic class broadly to increase competition for preferred status. We cannot guarantee that we will be successful in getting the approvals we need from enough P&amp;T committees quickly enough to maintain and grow sales of any of our product candidates.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302895</wp:posOffset>
            </wp:positionV>
            <wp:extent cx="5682615" cy="222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82615" cy="22225"/>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80" w:name="page81"/>
    <w:bookmarkEnd w:id="80"/>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RISKS RELATED TO INTELLECTUAL PROPERTY</w:t>
      </w:r>
    </w:p>
    <w:p>
      <w:pPr>
        <w:spacing w:after="0" w:line="186" w:lineRule="exact"/>
        <w:rPr>
          <w:sz w:val="20"/>
          <w:szCs w:val="20"/>
          <w:color w:val="auto"/>
        </w:rPr>
      </w:pPr>
    </w:p>
    <w:p>
      <w:pPr>
        <w:ind w:left="40" w:right="139"/>
        <w:spacing w:after="0" w:line="251" w:lineRule="auto"/>
        <w:rPr>
          <w:sz w:val="20"/>
          <w:szCs w:val="20"/>
          <w:color w:val="auto"/>
        </w:rPr>
      </w:pPr>
      <w:r>
        <w:rPr>
          <w:rFonts w:ascii="Arial" w:cs="Arial" w:eastAsia="Arial" w:hAnsi="Arial"/>
          <w:sz w:val="16"/>
          <w:szCs w:val="16"/>
          <w:b w:val="1"/>
          <w:bCs w:val="1"/>
          <w:i w:val="1"/>
          <w:iCs w:val="1"/>
          <w:color w:val="auto"/>
        </w:rPr>
        <w:t>It is difficult and costly to protect our proprietary rights and as a result we may not be able to ensure their protection. In addition, patents have a limited lifespan and will eventually expire.</w:t>
      </w:r>
    </w:p>
    <w:p>
      <w:pPr>
        <w:spacing w:after="0" w:line="157" w:lineRule="exact"/>
        <w:rPr>
          <w:sz w:val="20"/>
          <w:szCs w:val="20"/>
          <w:color w:val="auto"/>
        </w:rPr>
      </w:pPr>
    </w:p>
    <w:p>
      <w:pPr>
        <w:ind w:left="40" w:right="59" w:firstLine="566"/>
        <w:spacing w:after="0" w:line="236" w:lineRule="auto"/>
        <w:rPr>
          <w:sz w:val="20"/>
          <w:szCs w:val="20"/>
          <w:color w:val="auto"/>
        </w:rPr>
      </w:pPr>
      <w:r>
        <w:rPr>
          <w:rFonts w:ascii="Arial" w:cs="Arial" w:eastAsia="Arial" w:hAnsi="Arial"/>
          <w:sz w:val="16"/>
          <w:szCs w:val="16"/>
          <w:color w:val="auto"/>
        </w:rPr>
        <w:t>Market exclusivity awarded by the FDA upon the approval of an NDA is limited in scope and duration. Our commercial success will depend in part on obtaining, maintaining, enforcing, and defending against third-party challenges, patent and trade secret protection for our current and future product candidates that we may develop, license, or acquire, as well as the related manufacturing methods. We will be able to protect our technologies from unauthorized use by third parties to the extent that the technologies are covered by valid and enforceable patents or trade secrets.</w:t>
      </w:r>
    </w:p>
    <w:p>
      <w:pPr>
        <w:spacing w:after="0" w:line="168" w:lineRule="exact"/>
        <w:rPr>
          <w:sz w:val="20"/>
          <w:szCs w:val="20"/>
          <w:color w:val="auto"/>
        </w:rPr>
      </w:pPr>
    </w:p>
    <w:p>
      <w:pPr>
        <w:ind w:left="40" w:right="59" w:firstLine="566"/>
        <w:spacing w:after="0" w:line="289" w:lineRule="auto"/>
        <w:rPr>
          <w:sz w:val="20"/>
          <w:szCs w:val="20"/>
          <w:color w:val="auto"/>
        </w:rPr>
      </w:pPr>
      <w:r>
        <w:rPr>
          <w:rFonts w:ascii="Arial" w:cs="Arial" w:eastAsia="Arial" w:hAnsi="Arial"/>
          <w:sz w:val="13"/>
          <w:szCs w:val="13"/>
          <w:color w:val="auto"/>
        </w:rPr>
        <w:t>The patent prosecution process is expensive and time 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Moreover, should we enter into additional collaborations we may be required to consult with or cede control to collaborators regarding the prosecution, maintenance, and enforcement of our patent applications and patents. Therefore, these patents and patent applications may not be prosecuted and enforced in a manner consistent with the best interests of our business. The patent positions of pharmaceutical and biotechnology companies can be highly uncertain and involve complex legal and factual questions for which important legal principles remain unresolved. No consistent policy regarding the breadth of claims allowed in pharmaceutical or biotechnology patents has emerged to date in the United States. The patent situation outside the United States is even more uncertain. Changes in either the patent laws or in interpretations of patent laws in the United States and other countries may diminish the value of our intellectual property. Accordingly, we cannot predict the breadth of claims that may be allowed or enforced in our patents and patent applications or in third-party patents and patent applications. The degree of future protection for our proprietary rights is uncertain because legal means afford only limited protection and may not adequately protect our rights or permit us to gain or keep our competitive advantage. Moreover, the patent application process is also subject to numerous risks and uncertainties, and there can be no assurance that we or any of our future development partners will be successful in protecting any of our current or future product candidates that we may develop, license, or acquire by obtaining and defending patents. For example:</w:t>
      </w:r>
    </w:p>
    <w:p>
      <w:pPr>
        <w:spacing w:after="0" w:line="321" w:lineRule="exact"/>
        <w:rPr>
          <w:sz w:val="20"/>
          <w:szCs w:val="20"/>
          <w:color w:val="auto"/>
        </w:rPr>
      </w:pPr>
    </w:p>
    <w:p>
      <w:pPr>
        <w:ind w:left="620" w:right="739" w:hanging="281"/>
        <w:spacing w:after="0" w:line="251" w:lineRule="auto"/>
        <w:tabs>
          <w:tab w:leader="none" w:pos="6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we may not have been the first to conceive of and reduce to practice the inventions covered by each of our pending patent applications and issued patents;</w:t>
      </w:r>
    </w:p>
    <w:p>
      <w:pPr>
        <w:spacing w:after="0" w:line="157" w:lineRule="exact"/>
        <w:rPr>
          <w:rFonts w:ascii="Arial" w:cs="Arial" w:eastAsia="Arial" w:hAnsi="Arial"/>
          <w:sz w:val="16"/>
          <w:szCs w:val="16"/>
          <w:color w:val="auto"/>
        </w:rPr>
      </w:pPr>
    </w:p>
    <w:p>
      <w:pPr>
        <w:ind w:left="620" w:hanging="281"/>
        <w:spacing w:after="0"/>
        <w:tabs>
          <w:tab w:leader="none" w:pos="6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we may not have been the first to file patent applications for these inventions;</w:t>
      </w:r>
    </w:p>
    <w:p>
      <w:pPr>
        <w:spacing w:after="0" w:line="181" w:lineRule="exact"/>
        <w:rPr>
          <w:rFonts w:ascii="Arial" w:cs="Arial" w:eastAsia="Arial" w:hAnsi="Arial"/>
          <w:sz w:val="16"/>
          <w:szCs w:val="16"/>
          <w:color w:val="auto"/>
        </w:rPr>
      </w:pPr>
    </w:p>
    <w:p>
      <w:pPr>
        <w:ind w:left="620" w:hanging="281"/>
        <w:spacing w:after="0"/>
        <w:tabs>
          <w:tab w:leader="none" w:pos="620" w:val="left"/>
        </w:tabs>
        <w:numPr>
          <w:ilvl w:val="0"/>
          <w:numId w:val="34"/>
        </w:numPr>
        <w:rPr>
          <w:rFonts w:ascii="Arial" w:cs="Arial" w:eastAsia="Arial" w:hAnsi="Arial"/>
          <w:sz w:val="13"/>
          <w:szCs w:val="13"/>
          <w:color w:val="auto"/>
        </w:rPr>
      </w:pPr>
      <w:r>
        <w:rPr>
          <w:rFonts w:ascii="Arial" w:cs="Arial" w:eastAsia="Arial" w:hAnsi="Arial"/>
          <w:sz w:val="13"/>
          <w:szCs w:val="13"/>
          <w:color w:val="auto"/>
        </w:rPr>
        <w:t>others may independently develop similar or alternative technologies or duplicate any of our product candidates or technologies;</w:t>
      </w:r>
    </w:p>
    <w:p>
      <w:pPr>
        <w:spacing w:after="0" w:line="215" w:lineRule="exact"/>
        <w:rPr>
          <w:rFonts w:ascii="Arial" w:cs="Arial" w:eastAsia="Arial" w:hAnsi="Arial"/>
          <w:sz w:val="13"/>
          <w:szCs w:val="13"/>
          <w:color w:val="auto"/>
        </w:rPr>
      </w:pPr>
    </w:p>
    <w:p>
      <w:pPr>
        <w:ind w:left="620" w:hanging="281"/>
        <w:spacing w:after="0"/>
        <w:tabs>
          <w:tab w:leader="none" w:pos="6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it is possible that none of the pending patent applications will result in issued patents;</w:t>
      </w:r>
    </w:p>
    <w:p>
      <w:pPr>
        <w:spacing w:after="0" w:line="181" w:lineRule="exact"/>
        <w:rPr>
          <w:rFonts w:ascii="Arial" w:cs="Arial" w:eastAsia="Arial" w:hAnsi="Arial"/>
          <w:sz w:val="16"/>
          <w:szCs w:val="16"/>
          <w:color w:val="auto"/>
        </w:rPr>
      </w:pPr>
    </w:p>
    <w:p>
      <w:pPr>
        <w:ind w:left="620" w:right="119" w:hanging="281"/>
        <w:spacing w:after="0" w:line="251" w:lineRule="auto"/>
        <w:tabs>
          <w:tab w:leader="none" w:pos="6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issued patents may not cover commercially viable active products, may not provide us with any competitive advantages, or may be successfully challenged by third parties;</w:t>
      </w:r>
    </w:p>
    <w:p>
      <w:pPr>
        <w:spacing w:after="0" w:line="157" w:lineRule="exact"/>
        <w:rPr>
          <w:rFonts w:ascii="Arial" w:cs="Arial" w:eastAsia="Arial" w:hAnsi="Arial"/>
          <w:sz w:val="16"/>
          <w:szCs w:val="16"/>
          <w:color w:val="auto"/>
        </w:rPr>
      </w:pPr>
    </w:p>
    <w:p>
      <w:pPr>
        <w:ind w:left="620" w:hanging="281"/>
        <w:spacing w:after="0"/>
        <w:tabs>
          <w:tab w:leader="none" w:pos="6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we may not develop additional proprietary technologies that are patentable;</w:t>
      </w:r>
    </w:p>
    <w:p>
      <w:pPr>
        <w:spacing w:after="0" w:line="181" w:lineRule="exact"/>
        <w:rPr>
          <w:rFonts w:ascii="Arial" w:cs="Arial" w:eastAsia="Arial" w:hAnsi="Arial"/>
          <w:sz w:val="16"/>
          <w:szCs w:val="16"/>
          <w:color w:val="auto"/>
        </w:rPr>
      </w:pPr>
    </w:p>
    <w:p>
      <w:pPr>
        <w:ind w:left="620" w:hanging="281"/>
        <w:spacing w:after="0"/>
        <w:tabs>
          <w:tab w:leader="none" w:pos="6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patents of others may have an adverse effect on our business;</w:t>
      </w:r>
    </w:p>
    <w:p>
      <w:pPr>
        <w:spacing w:after="0" w:line="181" w:lineRule="exact"/>
        <w:rPr>
          <w:rFonts w:ascii="Arial" w:cs="Arial" w:eastAsia="Arial" w:hAnsi="Arial"/>
          <w:sz w:val="16"/>
          <w:szCs w:val="16"/>
          <w:color w:val="auto"/>
        </w:rPr>
      </w:pPr>
    </w:p>
    <w:p>
      <w:pPr>
        <w:ind w:left="620" w:right="79" w:hanging="281"/>
        <w:spacing w:after="0" w:line="241" w:lineRule="auto"/>
        <w:tabs>
          <w:tab w:leader="none" w:pos="6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noncompliance with requirements of governmental patent agencies can result in abandonment or lapse of a patent or patent application, resulting in partial or complete loss of patent rights in the relevant jurisdiction, potentially allowing competitors to enter the market earlier than would otherwise have been the case;</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302895</wp:posOffset>
            </wp:positionV>
            <wp:extent cx="5682615" cy="222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82615" cy="22225"/>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81" w:name="page82"/>
    <w:bookmarkEnd w:id="81"/>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620" w:right="239" w:hanging="281"/>
        <w:spacing w:after="0" w:line="241" w:lineRule="auto"/>
        <w:tabs>
          <w:tab w:leader="none" w:pos="6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 or</w:t>
      </w:r>
    </w:p>
    <w:p>
      <w:pPr>
        <w:spacing w:after="0" w:line="164" w:lineRule="exact"/>
        <w:rPr>
          <w:rFonts w:ascii="Arial" w:cs="Arial" w:eastAsia="Arial" w:hAnsi="Arial"/>
          <w:sz w:val="16"/>
          <w:szCs w:val="16"/>
          <w:color w:val="auto"/>
        </w:rPr>
      </w:pPr>
    </w:p>
    <w:p>
      <w:pPr>
        <w:ind w:left="620" w:right="179" w:hanging="281"/>
        <w:spacing w:after="0" w:line="241" w:lineRule="auto"/>
        <w:tabs>
          <w:tab w:leader="none" w:pos="6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there may be significant pressure on the U.S. government and international governmental bodies to limit the scope of available patent protection both inside and outside the United States for disease treatments that prove successful, as a matter of public policy regarding worldwide health concerns.</w:t>
      </w:r>
    </w:p>
    <w:p>
      <w:pPr>
        <w:spacing w:after="0" w:line="165" w:lineRule="exact"/>
        <w:rPr>
          <w:sz w:val="20"/>
          <w:szCs w:val="20"/>
          <w:color w:val="auto"/>
        </w:rPr>
      </w:pPr>
    </w:p>
    <w:p>
      <w:pPr>
        <w:ind w:left="40" w:right="39" w:firstLine="566"/>
        <w:spacing w:after="0" w:line="291" w:lineRule="auto"/>
        <w:rPr>
          <w:sz w:val="20"/>
          <w:szCs w:val="20"/>
          <w:color w:val="auto"/>
        </w:rPr>
      </w:pPr>
      <w:r>
        <w:rPr>
          <w:rFonts w:ascii="Arial" w:cs="Arial" w:eastAsia="Arial" w:hAnsi="Arial"/>
          <w:sz w:val="13"/>
          <w:szCs w:val="13"/>
          <w:color w:val="auto"/>
        </w:rPr>
        <w:t>Patents have a limited lifespan. In most countries, including the United States, the expiration of a patent is typically 20 years from the date that the application for the patent is filed. Various extensions of patent term may be available in particular countries; however, in all circumstances the life of a patent, and the protection it affords, has a limited term. If we encounter delays in obtaining regulatory approvals, the period of time during which we could market a product under patent protection could be reduced. We expect to seek extensions of patent terms where these are available in any countries where we are prosecuting patents. Such possible extensions include those permitted under the Drug Price Competition and Patent Term Restoration Act of 1984 in the United States, which permits a patent term extension of up to five years to cover an FDA-approved product. The actual length of the extension will depend on the amount of patent term lost while the product was in clinical trials. However, the applicable authorities, including the U.S. Patent and Trademark Office, or USPTO and the FDA in the United States, and any equivalent regulatory authority in other countries, may not agree with our assessment of whether such extensions are available, and may refuse to grant extensions to our patents, or may grant more limited extensions than we request. If this occurs, our competitors may be able to take advantage of our investment in development and clinical trials by referencing our clinical and preclinical data, and then may be able to launch their product earlier than might otherwise be the case.</w:t>
      </w:r>
    </w:p>
    <w:p>
      <w:pPr>
        <w:spacing w:after="0" w:line="317" w:lineRule="exact"/>
        <w:rPr>
          <w:sz w:val="20"/>
          <w:szCs w:val="20"/>
          <w:color w:val="auto"/>
        </w:rPr>
      </w:pPr>
    </w:p>
    <w:p>
      <w:pPr>
        <w:ind w:left="40" w:right="39"/>
        <w:spacing w:after="0" w:line="251" w:lineRule="auto"/>
        <w:rPr>
          <w:sz w:val="20"/>
          <w:szCs w:val="20"/>
          <w:color w:val="auto"/>
        </w:rPr>
      </w:pPr>
      <w:r>
        <w:rPr>
          <w:rFonts w:ascii="Arial" w:cs="Arial" w:eastAsia="Arial" w:hAnsi="Arial"/>
          <w:sz w:val="16"/>
          <w:szCs w:val="16"/>
          <w:b w:val="1"/>
          <w:bCs w:val="1"/>
          <w:i w:val="1"/>
          <w:iCs w:val="1"/>
          <w:color w:val="auto"/>
        </w:rPr>
        <w:t>Recent patent reform legislation could increase the uncertainties and costs surrounding the prosecution of our patent applications and the enforcement or defense of our issued patents.</w:t>
      </w:r>
    </w:p>
    <w:p>
      <w:pPr>
        <w:spacing w:after="0" w:line="157" w:lineRule="exact"/>
        <w:rPr>
          <w:sz w:val="20"/>
          <w:szCs w:val="20"/>
          <w:color w:val="auto"/>
        </w:rPr>
      </w:pPr>
    </w:p>
    <w:p>
      <w:pPr>
        <w:ind w:left="40" w:right="99" w:firstLine="566"/>
        <w:spacing w:after="0" w:line="251" w:lineRule="auto"/>
        <w:rPr>
          <w:sz w:val="20"/>
          <w:szCs w:val="20"/>
          <w:color w:val="auto"/>
        </w:rPr>
      </w:pPr>
      <w:r>
        <w:rPr>
          <w:rFonts w:ascii="Arial" w:cs="Arial" w:eastAsia="Arial" w:hAnsi="Arial"/>
          <w:sz w:val="15"/>
          <w:szCs w:val="15"/>
          <w:color w:val="auto"/>
        </w:rPr>
        <w:t>On September 16, 2011, the Leahy-Smith America Invents Act, or the Leahy-Smith Act, was signed into law. The Leahy-Smith Act includes a number of significant changes to U.S. patent law. These include provisions that affect the way patent applications are prosecuted and may also affect patent litigation. In particular, under the Leahy-Smith Act, the United States transitioned in March 2013 to a "first to file" system in which the first inventor to file a patent application will be entitled to the patent. Third parties are allowed to submit prior art before the issuance of a patent by the USPTO, and may become involved in post-grant proceedings including reexamination, post-grant review, inter-partes review, or derivation or interference proceedings challenging our patent rights or the patent rights of others. An adverse determination in any such submission, proceeding, or litigation could reduce the scope or enforceability of, or invalidate, our patent rights, which could adversely affect our competitive position.</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302895</wp:posOffset>
            </wp:positionV>
            <wp:extent cx="5682615" cy="222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82615" cy="22225"/>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82" w:name="page83"/>
    <w:bookmarkEnd w:id="82"/>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 w:right="39" w:firstLine="566"/>
        <w:spacing w:after="0" w:line="289" w:lineRule="auto"/>
        <w:rPr>
          <w:sz w:val="20"/>
          <w:szCs w:val="20"/>
          <w:color w:val="auto"/>
        </w:rPr>
      </w:pPr>
      <w:r>
        <w:rPr>
          <w:rFonts w:ascii="Arial" w:cs="Arial" w:eastAsia="Arial" w:hAnsi="Arial"/>
          <w:sz w:val="13"/>
          <w:szCs w:val="13"/>
          <w:color w:val="auto"/>
        </w:rPr>
        <w:t>The USPTO has developed regulations and procedures to govern administration of the Leahy-Smith Act, and many of the substantive changes to patent law associated with the Leahy-Smith Act, and in particular, the first to file provisions, did not become effective until March 16, 2013. However, the full impact of the Leahy-Smith Act and the courts' review of any appeals to related proceedings is in its early stages. Accordingly, the full impact that the Leahy-Smith Act will have on the operation of our business is not clear. However, the Leahy-Smith Act and its implementation could increase the uncertainties and costs surrounding the prosecution of our patent applications and the enforcement or defense of our issued patents, as well as our ability to bring about timely favorable resolution of any disputes involving our patents and the patents of others. Patent applications in the United States are maintained in confidence for at least 18 months after their earliest effective filing date. Consequently, we cannot be certain we were the first to invent or the first to file patent applications of our current or future product candidates that we may develop, license, or acquire. In the event that a third party has also filed a U.S. patent application relating to our product candidates or a similar invention, we may have to participate in interference proceedings declared by the USPTO to determine priority of invention in the United States. The costs of these proceedings could be substantial and it is possible that our efforts would be unsuccessful, resulting in a material adverse effect on our U.S. patent position. The results of these types of proceedings may reduce the scope of, or invalidate, our patent rights, may allow third parties to commercialize our technology or products and compete directly with us, without payment to us, or may result in our inability to manufacture or commercialize products without infringing third party patent rights. In addition, if the breadth or strength of protection provided by our patents and patent applications is threatened, it could dissuade companies from collaborating with us to license, develop, or commercialize current or future product candidates. Such results could have a material adverse effect on our business, financial condition, results of operations, and prospects.</w:t>
      </w:r>
    </w:p>
    <w:p>
      <w:pPr>
        <w:spacing w:after="0" w:line="315" w:lineRule="exact"/>
        <w:rPr>
          <w:sz w:val="20"/>
          <w:szCs w:val="20"/>
          <w:color w:val="auto"/>
        </w:rPr>
      </w:pPr>
    </w:p>
    <w:p>
      <w:pPr>
        <w:ind w:left="40" w:right="79" w:firstLine="566"/>
        <w:spacing w:after="0" w:line="234" w:lineRule="auto"/>
        <w:rPr>
          <w:sz w:val="20"/>
          <w:szCs w:val="20"/>
          <w:color w:val="auto"/>
        </w:rPr>
      </w:pPr>
      <w:r>
        <w:rPr>
          <w:rFonts w:ascii="Arial" w:cs="Arial" w:eastAsia="Arial" w:hAnsi="Arial"/>
          <w:sz w:val="16"/>
          <w:szCs w:val="16"/>
          <w:color w:val="auto"/>
        </w:rPr>
        <w:t>In addition, the patentability of claims in pending patent applications covering any of our current or future product candidates can be challenged by third parties during prosecution before the USPTO, for example by third-party observations and derivation proceedings, and the validity of claims in issued patents can be challenged by third parties in various post-grant proceedings such as post-grant review, reexamination, and inter-partes review proceedings. For example, petitions for post-grant review of 9 U.S. patents covering the Axsome PPC programs oral zoledronic acid, the active moiety in our AXS-02 product candidate, and neridronic acid, the active moiety in a product candidate under development by a competitor of Axsome, were filed at the USPTO by Grunenthal GmbH, or Grunenthal, requesting that the Patent Trial and Appeal Board, or PTAB, institute proceedings to review the validity of the patents. Post-grant reviews were instituted for each.</w:t>
      </w:r>
    </w:p>
    <w:p>
      <w:pPr>
        <w:spacing w:after="0" w:line="168" w:lineRule="exact"/>
        <w:rPr>
          <w:sz w:val="20"/>
          <w:szCs w:val="20"/>
          <w:color w:val="auto"/>
        </w:rPr>
      </w:pPr>
    </w:p>
    <w:p>
      <w:pPr>
        <w:ind w:left="40" w:right="59" w:firstLine="566"/>
        <w:spacing w:after="0" w:line="249" w:lineRule="auto"/>
        <w:rPr>
          <w:sz w:val="20"/>
          <w:szCs w:val="20"/>
          <w:color w:val="auto"/>
        </w:rPr>
      </w:pPr>
      <w:r>
        <w:rPr>
          <w:rFonts w:ascii="Arial" w:cs="Arial" w:eastAsia="Arial" w:hAnsi="Arial"/>
          <w:sz w:val="15"/>
          <w:szCs w:val="15"/>
          <w:color w:val="auto"/>
        </w:rPr>
        <w:t>In July 2020, the PTAB entered final written decisions for U.S. Patents No. 9,931,352; 10,039,774; and 10,052,338, each containing claims directed to the use of neridronic acid for the treatment of complex regional pain syndrome, or CRPS, holding that the claims were invalid for obviousness. In June, the PTAB entered a final written decision for U.S. Patent No. 9,707,245, containing claims directed to the use of neridronic acid for the treatment of CRPS, holding that the claims were invalid for lacking novelty and for obviousness. In May 2020, the PTAB entered a final written decision for U.S. Patent No. 9,867,839, containing claims directed to the use of oral zoledronic acid, and of neridronic acid, for the treatment of joint pain, holding that the sixteen claims covering oral zoledronic acid were valid and that the fourteen claims covering neridronic acid were invalid for obviousness. In February 2020, the PTAB entered a final written decision for U.S. Patent No. 9,820,999, containing claims directed to the use of neridronic acid for the treatment of CRPS, holding that thirteen of the claims were valid, and seventeen of the claims were invalid for lacking novelty. The PTAB previously entered final written decisions for U.S. Patents No. 9,283,239; 9,408,862; and 9,539,268, each containing claims directed to certain dosage forms containing zoledronic acid or the use of certain dosage forms containing zoledronic acid, holding that the claims were invalid for lack of written description, lack of enablement, lack of novelty, and/or obviousness.</w:t>
      </w:r>
    </w:p>
    <w:p>
      <w:pPr>
        <w:spacing w:after="0" w:line="163" w:lineRule="exact"/>
        <w:rPr>
          <w:sz w:val="20"/>
          <w:szCs w:val="20"/>
          <w:color w:val="auto"/>
        </w:rPr>
      </w:pPr>
    </w:p>
    <w:p>
      <w:pPr>
        <w:ind w:left="40" w:right="59" w:firstLine="566"/>
        <w:spacing w:after="0" w:line="236" w:lineRule="auto"/>
        <w:rPr>
          <w:sz w:val="20"/>
          <w:szCs w:val="20"/>
          <w:color w:val="auto"/>
        </w:rPr>
      </w:pPr>
      <w:r>
        <w:rPr>
          <w:rFonts w:ascii="Arial" w:cs="Arial" w:eastAsia="Arial" w:hAnsi="Arial"/>
          <w:sz w:val="16"/>
          <w:szCs w:val="16"/>
          <w:color w:val="auto"/>
        </w:rPr>
        <w:t>Any claim the PTAB determines to be unpatentable as a result of these proceedings would be stricken from the challenged patents or modified. Additionally, we cannot be sure that the validity of the claims in other issued patents covering any of our current or future product candidates will not also be challenged, or that Grunenthal will not file any additional petitions for post-grant review with respect to any of our current or future product candidates. We may incur increased expenses related to the growth of our intellectual property portfolio and to its defense.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302895</wp:posOffset>
            </wp:positionV>
            <wp:extent cx="5682615" cy="222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82615" cy="22225"/>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83" w:name="page84"/>
    <w:bookmarkEnd w:id="83"/>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 w:right="59" w:firstLine="566"/>
        <w:spacing w:after="0" w:line="235" w:lineRule="auto"/>
        <w:rPr>
          <w:sz w:val="20"/>
          <w:szCs w:val="20"/>
          <w:color w:val="auto"/>
        </w:rPr>
      </w:pPr>
      <w:r>
        <w:rPr>
          <w:rFonts w:ascii="Arial" w:cs="Arial" w:eastAsia="Arial" w:hAnsi="Arial"/>
          <w:sz w:val="16"/>
          <w:szCs w:val="16"/>
          <w:color w:val="auto"/>
        </w:rPr>
        <w:t>Furthermore, we may not have identified all United States and foreign patents or published applications that affect our business either by blocking our ability to commercialize our drugs or by covering similar technologies that affect our drug market. In addition, some countries, including many in Europe, do not grant patent claims directed to methods of treating humans, and in these countries patent protection may not be available at all to protect our product candidates. Even if patents issue, we cannot guarantee that the claims of those patents will be valid and enforceable or provide us with any significant protection against competitive products, or otherwise be commercially valuable to us.</w:t>
      </w:r>
    </w:p>
    <w:p>
      <w:pPr>
        <w:spacing w:after="0" w:line="169" w:lineRule="exact"/>
        <w:rPr>
          <w:sz w:val="20"/>
          <w:szCs w:val="20"/>
          <w:color w:val="auto"/>
        </w:rPr>
      </w:pPr>
    </w:p>
    <w:p>
      <w:pPr>
        <w:ind w:left="40" w:right="119" w:firstLine="566"/>
        <w:spacing w:after="0" w:line="300" w:lineRule="auto"/>
        <w:rPr>
          <w:sz w:val="20"/>
          <w:szCs w:val="20"/>
          <w:color w:val="auto"/>
        </w:rPr>
      </w:pPr>
      <w:r>
        <w:rPr>
          <w:rFonts w:ascii="Arial" w:cs="Arial" w:eastAsia="Arial" w:hAnsi="Arial"/>
          <w:sz w:val="13"/>
          <w:szCs w:val="13"/>
          <w:color w:val="auto"/>
        </w:rPr>
        <w:t>We also rely on trade secrets to protect our technology, particularly where we do not believe patent protection is appropriate or obtainable. However, trade secrets are difficult to protect. While we use reasonable efforts to protect our trade secrets, our licensors, employees, consultants, contractors, outside scientific collaborators, and other advisors may unintentionally or willfully disclose our information to competitors. Enforcing a claim that a third party illegally obtained and is using our trade secrets is expensive and time consuming, and the outcome is unpredictable. In addition, courts outside the United States are sometimes less willing to protect trade secrets. Moreover, our competitors may independently develop equivalent knowledge, methods, and know-how.</w:t>
      </w:r>
    </w:p>
    <w:p>
      <w:pPr>
        <w:spacing w:after="0" w:line="129" w:lineRule="exact"/>
        <w:rPr>
          <w:sz w:val="20"/>
          <w:szCs w:val="20"/>
          <w:color w:val="auto"/>
        </w:rPr>
      </w:pPr>
    </w:p>
    <w:p>
      <w:pPr>
        <w:ind w:left="40" w:right="59"/>
        <w:spacing w:after="0" w:line="241" w:lineRule="auto"/>
        <w:rPr>
          <w:sz w:val="20"/>
          <w:szCs w:val="20"/>
          <w:color w:val="auto"/>
        </w:rPr>
      </w:pPr>
      <w:r>
        <w:rPr>
          <w:rFonts w:ascii="Arial" w:cs="Arial" w:eastAsia="Arial" w:hAnsi="Arial"/>
          <w:sz w:val="16"/>
          <w:szCs w:val="16"/>
          <w:b w:val="1"/>
          <w:bCs w:val="1"/>
          <w:i w:val="1"/>
          <w:iCs w:val="1"/>
          <w:color w:val="auto"/>
        </w:rPr>
        <w:t>Obtaining and maintaining our patent protection depends on compliance with various procedural, documentary, fee payment, and other requirements imposed by governmental patent agencies, and our patent protection could be reduced or eliminated for noncompliance with these requirements.</w:t>
      </w:r>
    </w:p>
    <w:p>
      <w:pPr>
        <w:spacing w:after="0" w:line="165" w:lineRule="exact"/>
        <w:rPr>
          <w:sz w:val="20"/>
          <w:szCs w:val="20"/>
          <w:color w:val="auto"/>
        </w:rPr>
      </w:pPr>
    </w:p>
    <w:p>
      <w:pPr>
        <w:ind w:left="40" w:right="139" w:firstLine="566"/>
        <w:spacing w:after="0" w:line="292" w:lineRule="auto"/>
        <w:rPr>
          <w:sz w:val="20"/>
          <w:szCs w:val="20"/>
          <w:color w:val="auto"/>
        </w:rPr>
      </w:pPr>
      <w:r>
        <w:rPr>
          <w:rFonts w:ascii="Arial" w:cs="Arial" w:eastAsia="Arial" w:hAnsi="Arial"/>
          <w:sz w:val="13"/>
          <w:szCs w:val="13"/>
          <w:color w:val="auto"/>
        </w:rPr>
        <w:t>The USPTO and various foreign governmental patent agencies require compliance with a number of procedural, documentary, fee payment, and other similar provisions during the patent prosecution process. Periodic maintenance fees, renewal fees, annuity fees, and various other governmental fees on patents or patent applications will be due to be paid to the USPTO and various patent agencies outside of the United States in several stages over the lifetime of the patents and applications. We have systems in place to remind us to pay these fees, and we employ and rely on reputable law firms and other professionals to effect payment of these fees to the USPTO and non-U.S. patent agencies for the patents and patent applications we own and those that we in-license. We also employ reputable law firms and other professionals to help us comply with the various documentary and other procedural requirements with respect to the patents and patent applications that we own and those that we in-license. In some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enter the market and this circumstance would have a material adverse effect on our business.</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302895</wp:posOffset>
            </wp:positionV>
            <wp:extent cx="5682615" cy="222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82615" cy="22225"/>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84" w:name="page85"/>
    <w:bookmarkEnd w:id="84"/>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 w:right="419"/>
        <w:spacing w:after="0" w:line="251" w:lineRule="auto"/>
        <w:rPr>
          <w:sz w:val="20"/>
          <w:szCs w:val="20"/>
          <w:color w:val="auto"/>
        </w:rPr>
      </w:pPr>
      <w:r>
        <w:rPr>
          <w:rFonts w:ascii="Arial" w:cs="Arial" w:eastAsia="Arial" w:hAnsi="Arial"/>
          <w:sz w:val="16"/>
          <w:szCs w:val="16"/>
          <w:b w:val="1"/>
          <w:bCs w:val="1"/>
          <w:i w:val="1"/>
          <w:iCs w:val="1"/>
          <w:color w:val="auto"/>
        </w:rPr>
        <w:t>If we or any future collaboration partner are sued for infringing intellectual property rights of third parties, it will be costly and time consuming, and an unfavorable outcome in any litigation would harm our business.</w:t>
      </w:r>
    </w:p>
    <w:p>
      <w:pPr>
        <w:spacing w:after="0" w:line="157" w:lineRule="exact"/>
        <w:rPr>
          <w:sz w:val="20"/>
          <w:szCs w:val="20"/>
          <w:color w:val="auto"/>
        </w:rPr>
      </w:pPr>
    </w:p>
    <w:p>
      <w:pPr>
        <w:ind w:left="40" w:right="39" w:firstLine="566"/>
        <w:spacing w:after="0" w:line="291" w:lineRule="auto"/>
        <w:rPr>
          <w:sz w:val="20"/>
          <w:szCs w:val="20"/>
          <w:color w:val="auto"/>
        </w:rPr>
      </w:pPr>
      <w:r>
        <w:rPr>
          <w:rFonts w:ascii="Arial" w:cs="Arial" w:eastAsia="Arial" w:hAnsi="Arial"/>
          <w:sz w:val="13"/>
          <w:szCs w:val="13"/>
          <w:color w:val="auto"/>
        </w:rPr>
        <w:t>Our ability to develop, manufacture, market, and sell any of our current and future product candidates depends upon our ability to avoid infringing the proprietary rights of third parties, and our commercial success depends upon our ability, and the ability of our collaborators, to develop, manufacture, market, and sell our product candidates and use our proprietary technologies without infringing the proprietary rights of third parties. There is considerable intellectual property litigation in the biotechnology and pharmaceutical industries. Numerous U.S. and foreign issued patents and pending patent applications owned by third parties, exist in the general field of treatment and management of pain and other CNS disorders and cover the use of numerous compounds and formulations in our targeted markets. Third parties may assert infringement claims against us based on existing patents or patents that may be granted in the future. Because of the uncertainty inherent in any patent or other litigation involving proprietary rights, we and our licensors may not be successful in defending intellectual property claims by third parties, which could have a material adverse effect on our business, financial condition, results of operations, and prospects. Regardless of the outcome of any litigation, defending against litigation may be expensive, time consuming, and distracting to management. In addition, because patent applications can take many years to issue, there may be currently pending applications, unknown to us, which may later result in issued patents that any of our current or future product candidates may infringe. There could also be existing patents of which we are not aware that any of our current or future product candidates may inadvertently infringe.</w:t>
      </w:r>
    </w:p>
    <w:p>
      <w:pPr>
        <w:spacing w:after="0" w:line="31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If a third party claims that we infringe their intellectual property rights, we could face a number of issues, including:</w:t>
      </w:r>
    </w:p>
    <w:p>
      <w:pPr>
        <w:spacing w:after="0" w:line="182" w:lineRule="exact"/>
        <w:rPr>
          <w:sz w:val="20"/>
          <w:szCs w:val="20"/>
          <w:color w:val="auto"/>
        </w:rPr>
      </w:pPr>
    </w:p>
    <w:p>
      <w:pPr>
        <w:ind w:left="620" w:right="399" w:hanging="281"/>
        <w:spacing w:after="0" w:line="251" w:lineRule="auto"/>
        <w:tabs>
          <w:tab w:leader="none" w:pos="6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infringement and other intellectual property claims which, whether meritorious or not, can be expensive and time consuming to litigate and can divert management’s attention from our core business;</w:t>
      </w:r>
    </w:p>
    <w:p>
      <w:pPr>
        <w:spacing w:after="0" w:line="157" w:lineRule="exact"/>
        <w:rPr>
          <w:rFonts w:ascii="Arial" w:cs="Arial" w:eastAsia="Arial" w:hAnsi="Arial"/>
          <w:sz w:val="16"/>
          <w:szCs w:val="16"/>
          <w:color w:val="auto"/>
        </w:rPr>
      </w:pPr>
    </w:p>
    <w:p>
      <w:pPr>
        <w:ind w:left="620" w:right="159" w:hanging="281"/>
        <w:spacing w:after="0" w:line="251" w:lineRule="auto"/>
        <w:tabs>
          <w:tab w:leader="none" w:pos="6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substantial damages for past infringement which we may have to pay if a court decides that our product infringes on a competitor’s patent;</w:t>
      </w:r>
    </w:p>
    <w:p>
      <w:pPr>
        <w:spacing w:after="0" w:line="157" w:lineRule="exact"/>
        <w:rPr>
          <w:rFonts w:ascii="Arial" w:cs="Arial" w:eastAsia="Arial" w:hAnsi="Arial"/>
          <w:sz w:val="16"/>
          <w:szCs w:val="16"/>
          <w:color w:val="auto"/>
        </w:rPr>
      </w:pPr>
    </w:p>
    <w:p>
      <w:pPr>
        <w:ind w:left="620" w:right="199" w:hanging="281"/>
        <w:spacing w:after="0" w:line="251" w:lineRule="auto"/>
        <w:tabs>
          <w:tab w:leader="none" w:pos="6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 court prohibiting us from selling or licensing our product unless the patent holder licenses the patent to us, which it would not be required to do;</w:t>
      </w:r>
    </w:p>
    <w:p>
      <w:pPr>
        <w:spacing w:after="0" w:line="157" w:lineRule="exact"/>
        <w:rPr>
          <w:rFonts w:ascii="Arial" w:cs="Arial" w:eastAsia="Arial" w:hAnsi="Arial"/>
          <w:sz w:val="16"/>
          <w:szCs w:val="16"/>
          <w:color w:val="auto"/>
        </w:rPr>
      </w:pPr>
    </w:p>
    <w:p>
      <w:pPr>
        <w:ind w:left="620" w:hanging="281"/>
        <w:spacing w:after="0"/>
        <w:tabs>
          <w:tab w:leader="none" w:pos="620" w:val="left"/>
        </w:tabs>
        <w:numPr>
          <w:ilvl w:val="0"/>
          <w:numId w:val="36"/>
        </w:numPr>
        <w:rPr>
          <w:rFonts w:ascii="Arial" w:cs="Arial" w:eastAsia="Arial" w:hAnsi="Arial"/>
          <w:sz w:val="13"/>
          <w:szCs w:val="13"/>
          <w:color w:val="auto"/>
        </w:rPr>
      </w:pPr>
      <w:r>
        <w:rPr>
          <w:rFonts w:ascii="Arial" w:cs="Arial" w:eastAsia="Arial" w:hAnsi="Arial"/>
          <w:sz w:val="13"/>
          <w:szCs w:val="13"/>
          <w:color w:val="auto"/>
        </w:rPr>
        <w:t>if a license is available from a patent holder, we may have to pay substantial royalties or grant cross licenses to our patents; and</w:t>
      </w:r>
    </w:p>
    <w:p>
      <w:pPr>
        <w:spacing w:after="0" w:line="215" w:lineRule="exact"/>
        <w:rPr>
          <w:rFonts w:ascii="Arial" w:cs="Arial" w:eastAsia="Arial" w:hAnsi="Arial"/>
          <w:sz w:val="13"/>
          <w:szCs w:val="13"/>
          <w:color w:val="auto"/>
        </w:rPr>
      </w:pPr>
    </w:p>
    <w:p>
      <w:pPr>
        <w:ind w:left="620" w:right="319" w:hanging="281"/>
        <w:spacing w:after="0" w:line="251" w:lineRule="auto"/>
        <w:tabs>
          <w:tab w:leader="none" w:pos="6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redesigning our product candidates and processes so they do not infringe, which may not be possible or could require substantial funds and time.</w:t>
      </w:r>
    </w:p>
    <w:p>
      <w:pPr>
        <w:spacing w:after="0" w:line="157" w:lineRule="exact"/>
        <w:rPr>
          <w:sz w:val="20"/>
          <w:szCs w:val="20"/>
          <w:color w:val="auto"/>
        </w:rPr>
      </w:pPr>
    </w:p>
    <w:p>
      <w:pPr>
        <w:ind w:left="40" w:right="99" w:firstLine="566"/>
        <w:spacing w:after="0" w:line="250" w:lineRule="auto"/>
        <w:rPr>
          <w:sz w:val="20"/>
          <w:szCs w:val="20"/>
          <w:color w:val="auto"/>
        </w:rPr>
      </w:pPr>
      <w:r>
        <w:rPr>
          <w:rFonts w:ascii="Arial" w:cs="Arial" w:eastAsia="Arial" w:hAnsi="Arial"/>
          <w:sz w:val="15"/>
          <w:szCs w:val="15"/>
          <w:color w:val="auto"/>
        </w:rPr>
        <w:t>If we are found to infringe a third party’s intellectual property rights, we could be required to obtain a license from such third party to continue developing and marketing our products and technology. However, we may not be able to obtain any required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 financial condition, results of operations, and prospects.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302895</wp:posOffset>
            </wp:positionV>
            <wp:extent cx="5682615" cy="222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82615" cy="22225"/>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85" w:name="page86"/>
    <w:bookmarkEnd w:id="85"/>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 w:right="799"/>
        <w:spacing w:after="0" w:line="251" w:lineRule="auto"/>
        <w:rPr>
          <w:sz w:val="20"/>
          <w:szCs w:val="20"/>
          <w:color w:val="auto"/>
        </w:rPr>
      </w:pPr>
      <w:r>
        <w:rPr>
          <w:rFonts w:ascii="Arial" w:cs="Arial" w:eastAsia="Arial" w:hAnsi="Arial"/>
          <w:sz w:val="16"/>
          <w:szCs w:val="16"/>
          <w:b w:val="1"/>
          <w:bCs w:val="1"/>
          <w:i w:val="1"/>
          <w:iCs w:val="1"/>
          <w:color w:val="auto"/>
        </w:rPr>
        <w:t>We may be involved in lawsuits to protect or enforce our patents or the patents of our licensors, which could be expensive, time consuming, and unsuccessful.</w:t>
      </w:r>
    </w:p>
    <w:p>
      <w:pPr>
        <w:spacing w:after="0" w:line="158" w:lineRule="exact"/>
        <w:rPr>
          <w:sz w:val="20"/>
          <w:szCs w:val="20"/>
          <w:color w:val="auto"/>
        </w:rPr>
      </w:pPr>
    </w:p>
    <w:p>
      <w:pPr>
        <w:ind w:left="40" w:right="79" w:firstLine="566"/>
        <w:spacing w:after="0" w:line="250" w:lineRule="auto"/>
        <w:rPr>
          <w:sz w:val="20"/>
          <w:szCs w:val="20"/>
          <w:color w:val="auto"/>
        </w:rPr>
      </w:pPr>
      <w:r>
        <w:rPr>
          <w:rFonts w:ascii="Arial" w:cs="Arial" w:eastAsia="Arial" w:hAnsi="Arial"/>
          <w:sz w:val="15"/>
          <w:szCs w:val="15"/>
          <w:color w:val="auto"/>
        </w:rPr>
        <w:t>Competitors may infringe our issued patents, our in-licensed patents, or other intellectual property that we own or in-license. Under the terms of our license agreements with Antecip, if we believe a third party is infringing on the patents subject to the licenses, we are obligated, at our own expense, to initiate suit against those third parties. To counter infringement or unauthorized use, we may be required to file infringement claims, which can be expensive and time consuming. Any claims we assert against perceived infringers could provoke these parties to assert counterclaims against us alleging that we infringe their patents. In addition, in a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in question. An adverse result in any litigation proceeding could put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60" w:lineRule="exact"/>
        <w:rPr>
          <w:sz w:val="20"/>
          <w:szCs w:val="20"/>
          <w:color w:val="auto"/>
        </w:rPr>
      </w:pPr>
    </w:p>
    <w:p>
      <w:pPr>
        <w:jc w:val="both"/>
        <w:ind w:left="40" w:right="119" w:firstLine="566"/>
        <w:spacing w:after="0" w:line="310" w:lineRule="auto"/>
        <w:rPr>
          <w:sz w:val="20"/>
          <w:szCs w:val="20"/>
          <w:color w:val="auto"/>
        </w:rPr>
      </w:pPr>
      <w:r>
        <w:rPr>
          <w:rFonts w:ascii="Arial" w:cs="Arial" w:eastAsia="Arial" w:hAnsi="Arial"/>
          <w:sz w:val="13"/>
          <w:szCs w:val="13"/>
          <w:color w:val="auto"/>
        </w:rPr>
        <w:t>Most of our competitors are larger than we are and have substantially greater resources than we do. They are, therefore, likely to be able to sustain the costs of complex patent litigation longer than we could. In addition, the uncertainties associated with litigation could have a material adverse effect on our ability to raise the funds necessary to continue our clinical trials, continue our internal research programs, in-license needed technology, or enter into development partnerships that would help us bring our product candidates to market.</w:t>
      </w:r>
    </w:p>
    <w:p>
      <w:pPr>
        <w:spacing w:after="0" w:line="124" w:lineRule="exact"/>
        <w:rPr>
          <w:sz w:val="20"/>
          <w:szCs w:val="20"/>
          <w:color w:val="auto"/>
        </w:rPr>
      </w:pPr>
    </w:p>
    <w:p>
      <w:pPr>
        <w:ind w:left="40" w:right="119"/>
        <w:spacing w:after="0" w:line="241" w:lineRule="auto"/>
        <w:rPr>
          <w:sz w:val="20"/>
          <w:szCs w:val="20"/>
          <w:color w:val="auto"/>
        </w:rPr>
      </w:pPr>
      <w:r>
        <w:rPr>
          <w:rFonts w:ascii="Arial" w:cs="Arial" w:eastAsia="Arial" w:hAnsi="Arial"/>
          <w:sz w:val="16"/>
          <w:szCs w:val="16"/>
          <w:b w:val="1"/>
          <w:bCs w:val="1"/>
          <w:i w:val="1"/>
          <w:iCs w:val="1"/>
          <w:color w:val="auto"/>
        </w:rPr>
        <w:t>We have licensed and may need to license certain intellectual property from third parties in the future, such licenses may not be available or may not be available on commercially reasonable terms, and if the licenses are terminated for any reason our business may be materially harmed.</w:t>
      </w:r>
    </w:p>
    <w:p>
      <w:pPr>
        <w:spacing w:after="0" w:line="165" w:lineRule="exact"/>
        <w:rPr>
          <w:sz w:val="20"/>
          <w:szCs w:val="20"/>
          <w:color w:val="auto"/>
        </w:rPr>
      </w:pPr>
    </w:p>
    <w:p>
      <w:pPr>
        <w:ind w:left="40" w:right="39" w:firstLine="566"/>
        <w:spacing w:after="0" w:line="295" w:lineRule="auto"/>
        <w:rPr>
          <w:sz w:val="20"/>
          <w:szCs w:val="20"/>
          <w:color w:val="auto"/>
        </w:rPr>
      </w:pPr>
      <w:r>
        <w:rPr>
          <w:rFonts w:ascii="Arial" w:cs="Arial" w:eastAsia="Arial" w:hAnsi="Arial"/>
          <w:sz w:val="13"/>
          <w:szCs w:val="13"/>
          <w:color w:val="auto"/>
        </w:rPr>
        <w:t>We are a party to certain license agreements under which we are granted rights to intellectual property, including patent rights that are important to our business. We expect that we may need to enter into additional license agreements in the future to commercialize our products, in which case we would be required to obtain a license from additional third parties. Such licenses may not be available on commercially reasonable terms, or at all, which could materially harm our business, financial condition, results of operations, and prospects. We rely on these licenses to use intellectual property that may be material to our business and important or necessary to the development or commercialization of our products. Our existing license agreements impose, and we expect that future license agreements will impose on us, various exclusivity obligations. If we fail to comply with our obligations under these agreements, the applicable licensor may have the right to terminate our license, in which case we may not be able to develop or commercialize the products covered by such license.</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302895</wp:posOffset>
            </wp:positionV>
            <wp:extent cx="5682615" cy="222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82615" cy="22225"/>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86" w:name="page87"/>
    <w:bookmarkEnd w:id="86"/>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 w:right="79" w:firstLine="566"/>
        <w:spacing w:after="0" w:line="287" w:lineRule="auto"/>
        <w:rPr>
          <w:sz w:val="20"/>
          <w:szCs w:val="20"/>
          <w:color w:val="auto"/>
        </w:rPr>
      </w:pPr>
      <w:r>
        <w:rPr>
          <w:rFonts w:ascii="Arial" w:cs="Arial" w:eastAsia="Arial" w:hAnsi="Arial"/>
          <w:sz w:val="13"/>
          <w:szCs w:val="13"/>
          <w:color w:val="auto"/>
        </w:rPr>
        <w:t>In January 2020, we entered into an agreement with Pfizer Inc., or Pfizer, for an exclusive U.S. license to Pfizer’s clinical and nonclinical data, and intellectual property for reboxetine, the active pharmaceutical ingredient in AXS-12 which Axsome is developing for the treatment of narcolepsy. The agreement also provides Axsome exclusive rights to develop and commercialize esreboxetine, a new late-stage product candidate now referred to as AXS-14, in the U.S. for the treatment of fibromyalgia. Under the terms of the agreement, we received from Pfizer an exclusive U.S. license to Pfizer data for reboxetine and esreboxetine encompassing a full range of nonclinical studies, and short-term and long-term clinical trials involving more than five thousand patients. The licensed data includes results of a positive Phase</w:t>
      </w:r>
    </w:p>
    <w:p>
      <w:pPr>
        <w:spacing w:after="0" w:line="2" w:lineRule="exact"/>
        <w:rPr>
          <w:sz w:val="20"/>
          <w:szCs w:val="20"/>
          <w:color w:val="auto"/>
        </w:rPr>
      </w:pPr>
    </w:p>
    <w:p>
      <w:pPr>
        <w:ind w:left="40" w:right="39"/>
        <w:spacing w:after="0" w:line="288" w:lineRule="auto"/>
        <w:rPr>
          <w:sz w:val="20"/>
          <w:szCs w:val="20"/>
          <w:color w:val="auto"/>
        </w:rPr>
      </w:pPr>
      <w:r>
        <w:rPr>
          <w:rFonts w:ascii="Arial" w:cs="Arial" w:eastAsia="Arial" w:hAnsi="Arial"/>
          <w:sz w:val="13"/>
          <w:szCs w:val="13"/>
          <w:color w:val="auto"/>
        </w:rPr>
        <w:t>3 trial and a positive Phase 2 trial of esreboxetine in the treatment of fibromyalgia. We will have the exclusive right and sole responsibility of developing AXS-14 (esreboxetine) in the U.S. for the treatment of fibromyalgia and for other indications. Pfizer received 82,019 shares of our common stock having a value of $8.0 million, based on the average closing price of our common stock for the 10 prior trading days of $97.54, in consideration for the license and rights. Pfizer also received an upfront cash payment of $3.0 million and will receive up to $323 million in regulatory and sales milestones, and tiered mid-single to low double-digit royalties on future sales. Pfizer will also have a right of first negotiation on any potential future strategic transactions involving AXS-12 and AXS-14. Under the agreement, we are obligated to use commercially reasonable efforts to develop, manufacture and commercialize the compounds and products in the United States and to seek and maintain regulatory approvals for the compounds and products The agreement will expire on a product-by-product basis upon expiration of the last-to-expire royalty term for such product. On expiration (but not earlier termination), we will have a perpetual, non-exclusive, fully paid, royalty-free and irrevocable license under the licensed patent rights and related data to develop, manufacture, use, commercialize and otherwise exploit the compounds. Either party may terminate the agreement for the other party’s material breach following a cure period. Pfizer may immediately terminate the agreement upon certain insolvency events relating to us. We may terminate the agreement for any reason upon ninety days written notice to Pfizer at any time after the first anniversary of the agreement. If the license agreement with Pfizer is terminated for any reason, our business, financial condition, results of operations, and prospects will be materially harmed.</w:t>
      </w:r>
    </w:p>
    <w:p>
      <w:pPr>
        <w:spacing w:after="0" w:line="318" w:lineRule="exact"/>
        <w:rPr>
          <w:sz w:val="20"/>
          <w:szCs w:val="20"/>
          <w:color w:val="auto"/>
        </w:rPr>
      </w:pPr>
    </w:p>
    <w:p>
      <w:pPr>
        <w:ind w:left="40" w:right="59" w:firstLine="566"/>
        <w:spacing w:after="0" w:line="289" w:lineRule="auto"/>
        <w:rPr>
          <w:sz w:val="20"/>
          <w:szCs w:val="20"/>
          <w:color w:val="auto"/>
        </w:rPr>
      </w:pPr>
      <w:r>
        <w:rPr>
          <w:rFonts w:ascii="Arial" w:cs="Arial" w:eastAsia="Arial" w:hAnsi="Arial"/>
          <w:sz w:val="13"/>
          <w:szCs w:val="13"/>
          <w:color w:val="auto"/>
        </w:rPr>
        <w:t>In 2012, we entered into three exclusive license agreements with Antecip Bioventures II LLC, or Antecip, an entity owned by our Chief Executive Officer and Chairman of the Board, Herriot Tabuteau, M.D., in which we were granted exclusive licenses to develop, manufacture, and commercialize Antecip’s patents and applications related to the development of AXS-02 and AXS-05, as well as AXS-04, a product candidate that is currently in early stage development, anywhere in the world for human therapeutic, veterinary, and diagnostic use. The agreements were amended in August 2015 to update the schedule of patents and applications subject to the license agreements. Pursuant to the agreements, we are required to use commercially reasonable efforts to develop, obtain regulatory approval for, and commercialize AXS-02, AXS-05, and AXS-04. Under the terms of the agreements, we are required to pay to Antecip a royalty equal to 4.5% for AXS-02, 3.0% for AXS-05, and 1.5% for AXS-04, of net sales of products containing the licensed technology by us, our affiliates, or permitted sublicensees. These royalty payments are subject to reduction by an amount up to 50.0% of any required payments to third parties. Unless earlier terminated by a party for cause or by us for convenience, the agreements remain in effect on a product-by-product and country-by-country basis until the later to occur of (1) the applicable product is no longer covered by a valid claim in that country or (2) 10 years from the first commercial sale of the applicable product in that country. Upon expiration of the agreements with respect to a product in a country, our license grant for that product in that country will become a fully paid up, royalty free, perpetual non-exclusive license. If Antecip terminates any of the agreements for cause, or if we exercise our right to terminate any of the agreements for convenience, the rights granted to us under such terminated agreement will revert to Antecip. To date, we have not been required to make any payments to Antecip under any of the license agreements. We are dependent upon the license agreements with Antecip and if any of the license agreements with Antecip are terminated for any reason, our business, financial condition, results of operations, and prospects will be materially harmed.</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302895</wp:posOffset>
            </wp:positionV>
            <wp:extent cx="5682615" cy="222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82615" cy="22225"/>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87" w:name="page88"/>
    <w:bookmarkEnd w:id="87"/>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 w:right="159"/>
        <w:spacing w:after="0" w:line="251" w:lineRule="auto"/>
        <w:rPr>
          <w:sz w:val="20"/>
          <w:szCs w:val="20"/>
          <w:color w:val="auto"/>
        </w:rPr>
      </w:pPr>
      <w:r>
        <w:rPr>
          <w:rFonts w:ascii="Arial" w:cs="Arial" w:eastAsia="Arial" w:hAnsi="Arial"/>
          <w:sz w:val="16"/>
          <w:szCs w:val="16"/>
          <w:b w:val="1"/>
          <w:bCs w:val="1"/>
          <w:i w:val="1"/>
          <w:iCs w:val="1"/>
          <w:color w:val="auto"/>
        </w:rPr>
        <w:t>We may be subject to claims that our employees, independent contractors, or consultants have wrongfully used or disclosed alleged trade secrets of their former employers or other third parties.</w:t>
      </w:r>
    </w:p>
    <w:p>
      <w:pPr>
        <w:spacing w:after="0" w:line="158" w:lineRule="exact"/>
        <w:rPr>
          <w:sz w:val="20"/>
          <w:szCs w:val="20"/>
          <w:color w:val="auto"/>
        </w:rPr>
      </w:pPr>
    </w:p>
    <w:p>
      <w:pPr>
        <w:ind w:left="40" w:right="139" w:firstLine="566"/>
        <w:spacing w:after="0" w:line="304" w:lineRule="auto"/>
        <w:rPr>
          <w:sz w:val="20"/>
          <w:szCs w:val="20"/>
          <w:color w:val="auto"/>
        </w:rPr>
      </w:pPr>
      <w:r>
        <w:rPr>
          <w:rFonts w:ascii="Arial" w:cs="Arial" w:eastAsia="Arial" w:hAnsi="Arial"/>
          <w:sz w:val="13"/>
          <w:szCs w:val="13"/>
          <w:color w:val="auto"/>
        </w:rPr>
        <w:t>As is common in the biotechnology and pharmaceutical industry, we employ individuals who were previously employed at other biotechnology or pharmaceutical companies, including our competitors or potential competitors. Although no claims against us are currently pending, we may be subject to claims that these individuals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We may be unable to adequately prevent disclosure of trade secrets and other proprietary information.</w:t>
      </w:r>
    </w:p>
    <w:p>
      <w:pPr>
        <w:spacing w:after="0" w:line="182" w:lineRule="exact"/>
        <w:rPr>
          <w:sz w:val="20"/>
          <w:szCs w:val="20"/>
          <w:color w:val="auto"/>
        </w:rPr>
      </w:pPr>
    </w:p>
    <w:p>
      <w:pPr>
        <w:jc w:val="both"/>
        <w:ind w:left="40" w:right="119" w:firstLine="566"/>
        <w:spacing w:after="0" w:line="288" w:lineRule="auto"/>
        <w:rPr>
          <w:sz w:val="20"/>
          <w:szCs w:val="20"/>
          <w:color w:val="auto"/>
        </w:rPr>
      </w:pPr>
      <w:r>
        <w:rPr>
          <w:rFonts w:ascii="Arial" w:cs="Arial" w:eastAsia="Arial" w:hAnsi="Arial"/>
          <w:sz w:val="13"/>
          <w:szCs w:val="13"/>
          <w:color w:val="auto"/>
        </w:rPr>
        <w:t>We rely on trade secrets to protect our proprietary technological advances and know-how, especially where we do not believe patent protection is appropriate or obtainable. However, trade secrets are difficult to protect. We rely in part on confidentiality agreements with our employees, consultants, contractors, outside scientific collaborators, sponsored researchers, and other advisors, including the third parties we rely on to manufacture our product candidates, to protect our trade secrets and other proprietary information. However, any party with whom we have executed such an agreement may breach that agreement and disclose our proprietary information, including our trade secrets.</w:t>
      </w:r>
    </w:p>
    <w:p>
      <w:pPr>
        <w:spacing w:after="0" w:line="1" w:lineRule="exact"/>
        <w:rPr>
          <w:sz w:val="20"/>
          <w:szCs w:val="20"/>
          <w:color w:val="auto"/>
        </w:rPr>
      </w:pPr>
    </w:p>
    <w:p>
      <w:pPr>
        <w:ind w:left="40" w:right="79"/>
        <w:spacing w:after="0" w:line="248" w:lineRule="auto"/>
        <w:rPr>
          <w:sz w:val="20"/>
          <w:szCs w:val="20"/>
          <w:color w:val="auto"/>
        </w:rPr>
      </w:pPr>
      <w:r>
        <w:rPr>
          <w:rFonts w:ascii="Arial" w:cs="Arial" w:eastAsia="Arial" w:hAnsi="Arial"/>
          <w:sz w:val="15"/>
          <w:szCs w:val="15"/>
          <w:color w:val="auto"/>
        </w:rPr>
        <w:t>Accordingly, these agreements may not effectively prevent disclosure of confidential information and may not provide an adequate remedy in the event of unauthorized disclosure of confidential information. Costly and time-consuming litigation could be necessary to enforce and determine the scope of our proprietary rights. In addition, others may independently discover our trade secrets and proprietary information. Further, the FDA, as part of its Transparency Initiative, a proposal to increase disclosure and make data more accessible to the public,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 Failure to obtain or maintain trade secret protection could enable competitors to use our proprietary information to develop products that compete with our products or cause additional, material adverse effects upon our competitive business position and financial results.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We or our licensors may not be able to protect our intellectual property rights throughout the world.</w:t>
      </w:r>
    </w:p>
    <w:p>
      <w:pPr>
        <w:spacing w:after="0" w:line="182" w:lineRule="exact"/>
        <w:rPr>
          <w:sz w:val="20"/>
          <w:szCs w:val="20"/>
          <w:color w:val="auto"/>
        </w:rPr>
      </w:pPr>
    </w:p>
    <w:p>
      <w:pPr>
        <w:ind w:left="40" w:right="79" w:firstLine="566"/>
        <w:spacing w:after="0" w:line="294" w:lineRule="auto"/>
        <w:rPr>
          <w:sz w:val="20"/>
          <w:szCs w:val="20"/>
          <w:color w:val="auto"/>
        </w:rPr>
      </w:pPr>
      <w:r>
        <w:rPr>
          <w:rFonts w:ascii="Arial" w:cs="Arial" w:eastAsia="Arial" w:hAnsi="Arial"/>
          <w:sz w:val="13"/>
          <w:szCs w:val="13"/>
          <w:color w:val="auto"/>
        </w:rPr>
        <w:t>Filing, prosecuting, and defending patent applications and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rights are not as strong as those in the United States. These products may compete with our product candidates and our patents or other intellectual property rights may not be effective or sufficient to prevent them from competing.</w:t>
      </w:r>
    </w:p>
    <w:p>
      <w:pPr>
        <w:spacing w:after="0" w:line="315" w:lineRule="exact"/>
        <w:rPr>
          <w:sz w:val="20"/>
          <w:szCs w:val="20"/>
          <w:color w:val="auto"/>
        </w:rPr>
      </w:pPr>
    </w:p>
    <w:p>
      <w:pPr>
        <w:ind w:left="40" w:right="59" w:firstLine="566"/>
        <w:spacing w:after="0" w:line="251" w:lineRule="auto"/>
        <w:rPr>
          <w:sz w:val="20"/>
          <w:szCs w:val="20"/>
          <w:color w:val="auto"/>
        </w:rPr>
      </w:pPr>
      <w:r>
        <w:rPr>
          <w:rFonts w:ascii="Arial" w:cs="Arial" w:eastAsia="Arial" w:hAnsi="Arial"/>
          <w:sz w:val="15"/>
          <w:szCs w:val="15"/>
          <w:color w:val="auto"/>
        </w:rPr>
        <w:t>Many companies have encountered significant problems in protecting and defending intellectual property rights in foreign jurisdictions. The legal systems of certain countries do not favor the enforcement of patents and other intellectual property protection, which could make it difficult for us to stop the infringement of our patents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or our licensors’ intellectual property rights around the world may be inadequate to obtain a significant commercial advantage from the intellectual property that we develop or license.</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302895</wp:posOffset>
            </wp:positionV>
            <wp:extent cx="5682615" cy="222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82615" cy="22225"/>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88" w:name="page89"/>
    <w:bookmarkEnd w:id="88"/>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RISKS RELATED TO LEGAL AND COMPLIANCE MATTERS</w:t>
      </w:r>
    </w:p>
    <w:p>
      <w:pPr>
        <w:spacing w:after="0" w:line="186" w:lineRule="exact"/>
        <w:rPr>
          <w:sz w:val="20"/>
          <w:szCs w:val="20"/>
          <w:color w:val="auto"/>
        </w:rPr>
      </w:pPr>
    </w:p>
    <w:p>
      <w:pPr>
        <w:ind w:left="40" w:right="39"/>
        <w:spacing w:after="0" w:line="241" w:lineRule="auto"/>
        <w:rPr>
          <w:sz w:val="20"/>
          <w:szCs w:val="20"/>
          <w:color w:val="auto"/>
        </w:rPr>
      </w:pPr>
      <w:r>
        <w:rPr>
          <w:rFonts w:ascii="Arial" w:cs="Arial" w:eastAsia="Arial" w:hAnsi="Arial"/>
          <w:sz w:val="16"/>
          <w:szCs w:val="16"/>
          <w:b w:val="1"/>
          <w:bCs w:val="1"/>
          <w:i w:val="1"/>
          <w:iCs w:val="1"/>
          <w:color w:val="auto"/>
        </w:rPr>
        <w:t>If we fail to comply with federal state, and foreign healthcare laws, including fraud and abuse and transparency and health and other information privacy and security laws, we could face substantial penalties and our business, financial condition, results of operations, and prospects could be adversely affected.</w:t>
      </w:r>
    </w:p>
    <w:p>
      <w:pPr>
        <w:spacing w:after="0" w:line="165" w:lineRule="exact"/>
        <w:rPr>
          <w:sz w:val="20"/>
          <w:szCs w:val="20"/>
          <w:color w:val="auto"/>
        </w:rPr>
      </w:pPr>
    </w:p>
    <w:p>
      <w:pPr>
        <w:ind w:left="40" w:right="79" w:firstLine="566"/>
        <w:spacing w:after="0" w:line="295" w:lineRule="auto"/>
        <w:rPr>
          <w:sz w:val="20"/>
          <w:szCs w:val="20"/>
          <w:color w:val="auto"/>
        </w:rPr>
      </w:pPr>
      <w:r>
        <w:rPr>
          <w:rFonts w:ascii="Arial" w:cs="Arial" w:eastAsia="Arial" w:hAnsi="Arial"/>
          <w:sz w:val="13"/>
          <w:szCs w:val="13"/>
          <w:color w:val="auto"/>
        </w:rPr>
        <w:t>As a pharmaceutical company, we are subject to many federal and state healthcare laws, including those described in the “Business —Government Regulation and Product Approval” section of this Annual Report on Form 10-K, such as the federal Anti-Kickback Statute, the federal civil and criminal False Claims Act, the civil monetary penalties statute, the Medicaid Drug Rebate statute and other price reporting requirements, the Veterans Health Care Act of 1992, the Physician Payments Sunshine Act, the Foreign Corrupt Practices Act of 1977, the Patient Protection and Affordable Care Act of 2010, and similar state and foreign laws. Even though we do not and will not control referrals of healthcare services or bill directly to Medicare, Medicaid, or other third party payors, certain federal and state healthcare laws and regulations pertaining to fraud and abuse and patients’ rights are and will be applicable to our business. We would be subject to healthcare fraud and abuse laws by both the federal government and the states in which we conduct our business.</w:t>
      </w:r>
    </w:p>
    <w:p>
      <w:pPr>
        <w:spacing w:after="0" w:line="133" w:lineRule="exact"/>
        <w:rPr>
          <w:sz w:val="20"/>
          <w:szCs w:val="20"/>
          <w:color w:val="auto"/>
        </w:rPr>
      </w:pPr>
    </w:p>
    <w:p>
      <w:pPr>
        <w:ind w:left="40" w:right="79" w:firstLine="566"/>
        <w:spacing w:after="0" w:line="251" w:lineRule="auto"/>
        <w:rPr>
          <w:sz w:val="20"/>
          <w:szCs w:val="20"/>
          <w:color w:val="auto"/>
        </w:rPr>
      </w:pPr>
      <w:r>
        <w:rPr>
          <w:rFonts w:ascii="Arial" w:cs="Arial" w:eastAsia="Arial" w:hAnsi="Arial"/>
          <w:sz w:val="15"/>
          <w:szCs w:val="15"/>
          <w:color w:val="auto"/>
        </w:rPr>
        <w:t>If we or our operations are found to be in violation of any federal or state healthcare law, or any other governmental regulations that apply to us, we may be subject to penalties, including civil, criminal, and administrative penalties, damages, fines, disgorgement, debarment from government contracts, refusal of orders under existing contracts, exclusion from participation in U.S. federal or state health care programs, corporate integrity agreements, and the curtailment or restructuring of our operations, any of which could materially adversely affect our ability to operate our business and our financial results. If any of the physicians or other healthcare providers or entities with whom we expect to do business, including our collaborators, is found not to be in compliance with applicable laws, it may be subject to criminal, civil, or administrative sanctions, including but not limited to, exclusions from participation in government healthcare programs, which could also materially affect our business.</w:t>
      </w:r>
    </w:p>
    <w:p>
      <w:pPr>
        <w:spacing w:after="0" w:line="160" w:lineRule="exact"/>
        <w:rPr>
          <w:sz w:val="20"/>
          <w:szCs w:val="20"/>
          <w:color w:val="auto"/>
        </w:rPr>
      </w:pPr>
    </w:p>
    <w:p>
      <w:pPr>
        <w:jc w:val="both"/>
        <w:ind w:left="40" w:right="259" w:firstLine="566"/>
        <w:spacing w:after="0" w:line="258" w:lineRule="auto"/>
        <w:rPr>
          <w:sz w:val="20"/>
          <w:szCs w:val="20"/>
          <w:color w:val="auto"/>
        </w:rPr>
      </w:pPr>
      <w:r>
        <w:rPr>
          <w:rFonts w:ascii="Arial" w:cs="Arial" w:eastAsia="Arial" w:hAnsi="Arial"/>
          <w:sz w:val="15"/>
          <w:szCs w:val="15"/>
          <w:color w:val="auto"/>
        </w:rPr>
        <w:t>Although an effective compliance program can mitigate the risk of investigation and prosecution for violations of these laws, the risks cannot be entirely eliminated. Moreover, achieving and sustaining compliance with applicable federal and state fraud laws may prove costly. Any action against us for violation of these laws, even if we successfully defend against it, could cause us to incur significant legal expenses and divert our management’s attention from the operation of our business.</w:t>
      </w:r>
    </w:p>
    <w:p>
      <w:pPr>
        <w:spacing w:after="0" w:line="154" w:lineRule="exact"/>
        <w:rPr>
          <w:sz w:val="20"/>
          <w:szCs w:val="20"/>
          <w:color w:val="auto"/>
        </w:rPr>
      </w:pPr>
    </w:p>
    <w:p>
      <w:pPr>
        <w:ind w:left="40" w:right="419"/>
        <w:spacing w:after="0" w:line="241" w:lineRule="auto"/>
        <w:rPr>
          <w:sz w:val="20"/>
          <w:szCs w:val="20"/>
          <w:color w:val="auto"/>
        </w:rPr>
      </w:pPr>
      <w:r>
        <w:rPr>
          <w:rFonts w:ascii="Arial" w:cs="Arial" w:eastAsia="Arial" w:hAnsi="Arial"/>
          <w:sz w:val="16"/>
          <w:szCs w:val="16"/>
          <w:b w:val="1"/>
          <w:bCs w:val="1"/>
          <w:i w:val="1"/>
          <w:iCs w:val="1"/>
          <w:color w:val="auto"/>
        </w:rPr>
        <w:t>If the government or third-party payors fail to provide adequate coverage and payment rates for any of our current or future product candidates, or if HMOs or long-term care facilities choose to use therapies that are less expensive, our revenue and prospects for profitability will be limited.</w:t>
      </w:r>
    </w:p>
    <w:p>
      <w:pPr>
        <w:spacing w:after="0" w:line="165" w:lineRule="exact"/>
        <w:rPr>
          <w:sz w:val="20"/>
          <w:szCs w:val="20"/>
          <w:color w:val="auto"/>
        </w:rPr>
      </w:pPr>
    </w:p>
    <w:p>
      <w:pPr>
        <w:ind w:left="40" w:right="99" w:firstLine="566"/>
        <w:spacing w:after="0" w:line="249" w:lineRule="auto"/>
        <w:rPr>
          <w:sz w:val="20"/>
          <w:szCs w:val="20"/>
          <w:color w:val="auto"/>
        </w:rPr>
      </w:pPr>
      <w:r>
        <w:rPr>
          <w:rFonts w:ascii="Arial" w:cs="Arial" w:eastAsia="Arial" w:hAnsi="Arial"/>
          <w:sz w:val="15"/>
          <w:szCs w:val="15"/>
          <w:color w:val="auto"/>
        </w:rPr>
        <w:t>In both domestic and foreign markets, sales of our future products will depend in part upon the availability of coverage and reimbursement from third party payors. Such third party payors include government health programs such as Medicare and Medicaid, managed care providers, private health insurers, and other organizations. Coverage decisions may depend upon clinical and economic standards that disfavor new drug products when more established or lower cost therapeutic alternatives are already available or subsequently become available. Many private payors employ “new-to-market blocks” for newly launched medications and other products until the payors have had the opportunity to make a coverage decision based upon their internal review of such products. When a medication or other product is not covered, the patient is responsible to pay the full price, which can significantly limit utilization. If reimbursement is not available, or is available only to limited levels, our product candidates may be competitively disadvantaged, and we, or our collaborators, may not be able to successfully commercialize our product candidates. Even if coverage is provided, the approved reimbursement amount may not be high enough to allow us, or our collaborators, to establish or maintain a market share sufficient to realize a sufficient return on our or their investments. Alternatively, securing favorable reimbursement terms may require us to compromise pricing and prevent us from realizing an adequate margin over cost.</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302895</wp:posOffset>
            </wp:positionV>
            <wp:extent cx="5682615" cy="222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82615" cy="22225"/>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89" w:name="page90"/>
    <w:bookmarkEnd w:id="89"/>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 w:right="59" w:firstLine="566"/>
        <w:spacing w:after="0" w:line="288" w:lineRule="auto"/>
        <w:rPr>
          <w:sz w:val="20"/>
          <w:szCs w:val="20"/>
          <w:color w:val="auto"/>
        </w:rPr>
      </w:pPr>
      <w:r>
        <w:rPr>
          <w:rFonts w:ascii="Arial" w:cs="Arial" w:eastAsia="Arial" w:hAnsi="Arial"/>
          <w:sz w:val="13"/>
          <w:szCs w:val="13"/>
          <w:color w:val="auto"/>
        </w:rPr>
        <w:t>There is significant uncertainty related to third party payor coverage and reimbursement of newly approved drugs. Marketing approvals, pricing,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commercial launch of the product, possibly for lengthy time periods, which may negatively impact the revenues we are able to generate from the sale of the product in that country. Additionally, drug pricing is a key state and federal issue within the U.S., with recent legislation and additional proposals designed to bring more transparency to drug pricing, reduce the cost of prescription drugs under Medicare and Medicaid, review the relationship between pricing and manufacturer patient programs and reform government program reimbursement methodologies for drugs. We expect continued focus and pressure on drug pricing going forward, regardless of the results of the 2020 presidential election. Adverse pricing limitations may hinder our ability or the ability of our collaborators to recoup our or their investment in one or more product candidates, even if our product candidates obtain marketing approval. Our ability, and the ability of our collaborators, to commercialize our product candidates will depend in part on the extent to which coverage and reimbursement for these products and related treatments will be available from government health administration authorities, private health insurers, and other organizations. Regulatory authorities and third party payors, such as private health insurers and health maintenance organizations, decide which medications they will cover and establish reimbursement levels. The healthcare industry is acutely focused on cost containment, both in the United States and elsewhere. Several third party payors are requiring that drug companies provide them with predetermined discounts from list prices, are using preferred drug lists to leverage greater discounts in competitive classes, are disregarding therapeutic differentiators within classes, and are challenging the prices charged for drugs. Brand drugs without generic equivalents are often included in therapeutic classes with other brands that have generic versions and may be similarly disadvantaged by the availability of low cost alternatives within the class, particularly if a generic version of the same agent is available in another form.</w:t>
      </w:r>
    </w:p>
    <w:p>
      <w:pPr>
        <w:spacing w:after="0" w:line="200" w:lineRule="exact"/>
        <w:rPr>
          <w:sz w:val="20"/>
          <w:szCs w:val="20"/>
          <w:color w:val="auto"/>
        </w:rPr>
      </w:pPr>
    </w:p>
    <w:p>
      <w:pPr>
        <w:spacing w:after="0" w:line="291" w:lineRule="exact"/>
        <w:rPr>
          <w:sz w:val="20"/>
          <w:szCs w:val="20"/>
          <w:color w:val="auto"/>
        </w:rPr>
      </w:pPr>
    </w:p>
    <w:p>
      <w:pPr>
        <w:ind w:left="40" w:right="79" w:firstLine="566"/>
        <w:spacing w:after="0" w:line="252" w:lineRule="auto"/>
        <w:rPr>
          <w:sz w:val="20"/>
          <w:szCs w:val="20"/>
          <w:color w:val="auto"/>
        </w:rPr>
      </w:pPr>
      <w:r>
        <w:rPr>
          <w:rFonts w:ascii="Arial" w:cs="Arial" w:eastAsia="Arial" w:hAnsi="Arial"/>
          <w:sz w:val="15"/>
          <w:szCs w:val="15"/>
          <w:color w:val="auto"/>
        </w:rPr>
        <w:t>Third party payors, whether foreign or domestic, or governmental or commercial, are developing increasingly sophisticated methods of controlling healthcare costs. In addition, in the United States, no uniform policy of coverage and reimbursement for drug products exists among third party payors. Therefore, coverage and reimbursement for drug products can differ significantly from payor to payor. Further, we believe that future coverage and reimbursement will likely be subject to increased restrictions both in the United States and in international markets. Third party coverage and reimbursement for our products or product candidates for which we receive regulatory approval may not be available or adequate in either the United States or international markets, which could have a negative effect on our business, financial condition, results of operations, and prospects.</w:t>
      </w:r>
    </w:p>
    <w:p>
      <w:pPr>
        <w:spacing w:after="0" w:line="159" w:lineRule="exact"/>
        <w:rPr>
          <w:sz w:val="20"/>
          <w:szCs w:val="20"/>
          <w:color w:val="auto"/>
        </w:rPr>
      </w:pPr>
    </w:p>
    <w:p>
      <w:pPr>
        <w:ind w:left="40" w:right="59" w:firstLine="566"/>
        <w:spacing w:after="0" w:line="295" w:lineRule="auto"/>
        <w:rPr>
          <w:sz w:val="20"/>
          <w:szCs w:val="20"/>
          <w:color w:val="auto"/>
        </w:rPr>
      </w:pPr>
      <w:r>
        <w:rPr>
          <w:rFonts w:ascii="Arial" w:cs="Arial" w:eastAsia="Arial" w:hAnsi="Arial"/>
          <w:sz w:val="13"/>
          <w:szCs w:val="13"/>
          <w:color w:val="auto"/>
        </w:rPr>
        <w:t>Assuming coverage is approved, the resulting reimbursement payment rates might not be adequate. If payors subject our product candidates to maximum payment amounts, or impose limitations that make it difficult to obtain reimbursement, providers may choose to use therapies which are less expensive or have fewer access restrictions when compared to our product candidates. Additionally, if payors require high copayments, beneficiaries may decline prescriptions and seek alternative therapies. We may need to conduct post marketing studies in order to demonstrate the cost effectiveness of any future products to the satisfaction of hospitals and other target customers and their third party payors. Such studies might require us to commit a significant amount of management time and financial and other resources. Our future products might not ultimately be considered cost effective. Adequate third party coverage and reimbursement might not be available to enable us to maintain price levels sufficient to realize an appropriate return on investment in product development.</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302895</wp:posOffset>
            </wp:positionV>
            <wp:extent cx="5682615" cy="2222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82615" cy="22225"/>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90" w:name="page91"/>
    <w:bookmarkEnd w:id="90"/>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 w:right="79" w:firstLine="566"/>
        <w:spacing w:after="0" w:line="293" w:lineRule="auto"/>
        <w:rPr>
          <w:sz w:val="20"/>
          <w:szCs w:val="20"/>
          <w:color w:val="auto"/>
        </w:rPr>
      </w:pPr>
      <w:r>
        <w:rPr>
          <w:rFonts w:ascii="Arial" w:cs="Arial" w:eastAsia="Arial" w:hAnsi="Arial"/>
          <w:sz w:val="13"/>
          <w:szCs w:val="13"/>
          <w:color w:val="auto"/>
        </w:rPr>
        <w:t>In addition, federal programs impose penalties on manufacturers of drugs marketed under an NDA, including 505(b)(2) drugs, in the form of mandatory additional rebates and/or discounts if commercial prices increase at a rate greater than the Consumer Price Index Urban, and these rebates and/or discounts, which can be substantial, may impact our ability to raise commercial prices. Regulatory authorities and third party payors have attempted to control costs by limiting coverage and the amount of reimbursement for particular medications, which could affect our ability or that of our collaborators to sell our product candidates profitably. These payors may not view our products, if any, as cost effective, and coverage and reimbursement may not be available to our customers, or those of our collaborators, or may not be sufficient to allow our products, if any, to be marketed on a competitive basis. Cost control initiatives could cause us, or our collaborators, to decrease, discount, or rebate a portion of the price we, or they, might establish for products, which could result in lower than anticipated product revenues. If the realized prices for our products, if any, decrease or if governmental and other third party payors do not provide adequate coverage or reimbursement, our prospects for revenue and profitability will suffer.</w:t>
      </w:r>
    </w:p>
    <w:p>
      <w:pPr>
        <w:spacing w:after="0" w:line="315" w:lineRule="exact"/>
        <w:rPr>
          <w:sz w:val="20"/>
          <w:szCs w:val="20"/>
          <w:color w:val="auto"/>
        </w:rPr>
      </w:pPr>
    </w:p>
    <w:p>
      <w:pPr>
        <w:ind w:left="40" w:right="259" w:firstLine="566"/>
        <w:spacing w:after="0" w:line="252" w:lineRule="auto"/>
        <w:rPr>
          <w:sz w:val="20"/>
          <w:szCs w:val="20"/>
          <w:color w:val="auto"/>
        </w:rPr>
      </w:pPr>
      <w:r>
        <w:rPr>
          <w:rFonts w:ascii="Arial" w:cs="Arial" w:eastAsia="Arial" w:hAnsi="Arial"/>
          <w:sz w:val="15"/>
          <w:szCs w:val="15"/>
          <w:color w:val="auto"/>
        </w:rPr>
        <w:t>There may also be delays in obtaining coverage and reimbursement for newly approved drugs, and coverage may be more limited than the indications for which the drug is approved by the FDA or comparable foreign regulatory authorities.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only be temporary. Reimbursement rates may vary, by way of example, according to the use of the drug and the clinical setting in which it is used. Reimbursement rates may also be based on reimbursement levels already set for lower cost drugs or may be incorporated into existing payments for other services.</w:t>
      </w:r>
    </w:p>
    <w:p>
      <w:pPr>
        <w:spacing w:after="0" w:line="159" w:lineRule="exact"/>
        <w:rPr>
          <w:sz w:val="20"/>
          <w:szCs w:val="20"/>
          <w:color w:val="auto"/>
        </w:rPr>
      </w:pPr>
    </w:p>
    <w:p>
      <w:pPr>
        <w:ind w:left="40" w:right="159" w:firstLine="566"/>
        <w:spacing w:after="0" w:line="297" w:lineRule="auto"/>
        <w:rPr>
          <w:sz w:val="20"/>
          <w:szCs w:val="20"/>
          <w:color w:val="auto"/>
        </w:rPr>
      </w:pPr>
      <w:r>
        <w:rPr>
          <w:rFonts w:ascii="Arial" w:cs="Arial" w:eastAsia="Arial" w:hAnsi="Arial"/>
          <w:sz w:val="13"/>
          <w:szCs w:val="13"/>
          <w:color w:val="auto"/>
        </w:rPr>
        <w:t>Prices paid for a drug also vary depending on the class of trade. Prices charged to government customers are subject to price controls, including ceilings, and private institutions obtain discounts through group purchasing organizations. Net prices for drugs may be further reduced by mandatory discounts or rebates required by government healthcare programs and demanded by private payors. Drugs approved under NDAs, including 505(b)(2) drugs, are subject to greater discounts and reporting obligations under federal programs than drugs approved under ANDAs, and the inflation penalty applicable to these products can equal the selling price. It is also not uncommon for market conditions to warrant multiple discounts to different customers on the same unit, such as purchase discounts to institutional care providers and rebates to the health plans that pay them, which reduces the net realization on the original sale.</w:t>
      </w:r>
    </w:p>
    <w:p>
      <w:pPr>
        <w:spacing w:after="0" w:line="132" w:lineRule="exact"/>
        <w:rPr>
          <w:sz w:val="20"/>
          <w:szCs w:val="20"/>
          <w:color w:val="auto"/>
        </w:rPr>
      </w:pPr>
    </w:p>
    <w:p>
      <w:pPr>
        <w:ind w:left="40" w:right="99" w:firstLine="566"/>
        <w:spacing w:after="0" w:line="297" w:lineRule="auto"/>
        <w:rPr>
          <w:sz w:val="20"/>
          <w:szCs w:val="20"/>
          <w:color w:val="auto"/>
        </w:rPr>
      </w:pPr>
      <w:r>
        <w:rPr>
          <w:rFonts w:ascii="Arial" w:cs="Arial" w:eastAsia="Arial" w:hAnsi="Arial"/>
          <w:sz w:val="13"/>
          <w:szCs w:val="13"/>
          <w:color w:val="auto"/>
        </w:rPr>
        <w:t>In addition, increasingly, third party payors are requiring higher levels of evidence of the benefits and clinical outcomes of new technologies and are challenging the prices charged. We, and our collaborators, cannot be sure that coverage will be available for any product candidate that we, or they,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United States. An inability to promptly obtain coverage and adequate payment rates from both government funded and private payors for any our product candidates for which we obtain marketing approval could have a material adverse effect on our operating results, our ability to raise capital needed to commercialize products, and our overall financial condition.</w:t>
      </w:r>
    </w:p>
    <w:p>
      <w:pPr>
        <w:spacing w:after="0" w:line="132" w:lineRule="exact"/>
        <w:rPr>
          <w:sz w:val="20"/>
          <w:szCs w:val="20"/>
          <w:color w:val="auto"/>
        </w:rPr>
      </w:pPr>
    </w:p>
    <w:p>
      <w:pPr>
        <w:ind w:left="40" w:right="259"/>
        <w:spacing w:after="0" w:line="284" w:lineRule="auto"/>
        <w:rPr>
          <w:sz w:val="20"/>
          <w:szCs w:val="20"/>
          <w:color w:val="auto"/>
        </w:rPr>
      </w:pPr>
      <w:r>
        <w:rPr>
          <w:rFonts w:ascii="Arial" w:cs="Arial" w:eastAsia="Arial" w:hAnsi="Arial"/>
          <w:sz w:val="15"/>
          <w:szCs w:val="15"/>
          <w:b w:val="1"/>
          <w:bCs w:val="1"/>
          <w:i w:val="1"/>
          <w:iCs w:val="1"/>
          <w:color w:val="auto"/>
        </w:rPr>
        <w:t>We are subject to new legislation, regulatory proposals, and healthcare payor initiatives that may increase our costs of compliance, and adversely affect our ability to market our products, obtain collaborators, and raise capital.</w:t>
      </w:r>
    </w:p>
    <w:p>
      <w:pPr>
        <w:spacing w:after="0" w:line="134" w:lineRule="exact"/>
        <w:rPr>
          <w:sz w:val="20"/>
          <w:szCs w:val="20"/>
          <w:color w:val="auto"/>
        </w:rPr>
      </w:pPr>
    </w:p>
    <w:p>
      <w:pPr>
        <w:ind w:left="40" w:right="239" w:firstLine="566"/>
        <w:spacing w:after="0" w:line="235" w:lineRule="auto"/>
        <w:rPr>
          <w:sz w:val="20"/>
          <w:szCs w:val="20"/>
          <w:color w:val="auto"/>
        </w:rPr>
      </w:pPr>
      <w:r>
        <w:rPr>
          <w:rFonts w:ascii="Arial" w:cs="Arial" w:eastAsia="Arial" w:hAnsi="Arial"/>
          <w:sz w:val="16"/>
          <w:szCs w:val="16"/>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or the ability of our collaborators, to profitably sell any products for which we obtain marketing approval. We expect that current laws, as well as other healthcare reform measures that may be adopted in the future, may result in more rigorous coverage criteria and in additional downward pressure on the price that we, or our collaborators, may receive for any approved products.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302895</wp:posOffset>
            </wp:positionV>
            <wp:extent cx="5682615" cy="222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82615" cy="22225"/>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91" w:name="page92"/>
    <w:bookmarkEnd w:id="91"/>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 w:right="59" w:firstLine="566"/>
        <w:spacing w:after="0" w:line="291" w:lineRule="auto"/>
        <w:rPr>
          <w:sz w:val="20"/>
          <w:szCs w:val="20"/>
          <w:color w:val="auto"/>
        </w:rPr>
      </w:pPr>
      <w:r>
        <w:rPr>
          <w:rFonts w:ascii="Arial" w:cs="Arial" w:eastAsia="Arial" w:hAnsi="Arial"/>
          <w:sz w:val="13"/>
          <w:szCs w:val="13"/>
          <w:color w:val="auto"/>
        </w:rPr>
        <w:t>For example, there have been numerous attempts by Congress and the Trump Administration, through legislation and executive orders, to repeal or materially modify various aspects of ACA. In addition, there have been multiple lawsuits challenging the constitutionality of the ACA as well as various components of the ACA, and it is unclear what impact these various efforts have and will have on our business operations and resulting financial condition. Next term, the Supreme Court will hear arguments on the constitutionality of the ACA, in particular with respect to Texas v. Azar’s holding that the TCJA rendered the individual mandate unconstitutional and by extension, the entirety of the ACA. It is unclear how the eventual decisions from the Supreme Court and the various other courts across the country to repeal and replace the ACA will impact the ACA and our business. It is also unclear how regulations and sub-regulatory policy, which fluctuate continually, may affect interpretation and implementation of the ACA and its practical effects on our business, particularly entering an election year. We are unable to predict the future course of federal or state healthcare legislation in the United States directed at broadening the availability of healthcare and containing or lowering the cost of healthcare, including drugs and biologics. The fate of the ACA and any further changes in the law or regulatory framework that reduce our revenue or increase our costs could also have a material and adverse effect on our business, financial condition and results of operations.</w:t>
      </w:r>
    </w:p>
    <w:p>
      <w:pPr>
        <w:spacing w:after="0" w:line="317" w:lineRule="exact"/>
        <w:rPr>
          <w:sz w:val="20"/>
          <w:szCs w:val="20"/>
          <w:color w:val="auto"/>
        </w:rPr>
      </w:pPr>
    </w:p>
    <w:p>
      <w:pPr>
        <w:ind w:left="40" w:right="39" w:firstLine="566"/>
        <w:spacing w:after="0" w:line="292" w:lineRule="auto"/>
        <w:rPr>
          <w:sz w:val="20"/>
          <w:szCs w:val="20"/>
          <w:color w:val="auto"/>
        </w:rPr>
      </w:pPr>
      <w:r>
        <w:rPr>
          <w:rFonts w:ascii="Arial" w:cs="Arial" w:eastAsia="Arial" w:hAnsi="Arial"/>
          <w:sz w:val="13"/>
          <w:szCs w:val="13"/>
          <w:color w:val="auto"/>
        </w:rPr>
        <w:t>While the full effect that the ACA may have on our business continues to evolve, we expect that the ACA, as well as other federal and state healthcare reform measures that may be adopted in the future, may result in more rigorous coverage criteria, increased regulatory burdens and operating costs, decreased net revenue from our pharmaceutical products, decreased potential returns from our development efforts, and additional downward pressure on the price that we receive for any approved drug. There is also an increasing focus on the price of drugs, both at the state and federal levels, and it is likely that additional pricing controls will be enacted and could harm our business, financial condition and results of operations. For instance, states such as California have begun enacting transparency laws aimed at curbing drug price increases and both the U.S. Congress and the Trump Administration have indicated that they will continue to seek new legislative and administrative measures to control drug costs. Any reduction in reimbursement from Medicare or other government healthcare programs may result in a similar reduction in payments from private payors. The implementation of cost containment measures or other healthcare reforms may prevent us from being able to generate revenue, attain profitability or commercialize our drugs.</w:t>
      </w:r>
    </w:p>
    <w:p>
      <w:pPr>
        <w:spacing w:after="0" w:line="138" w:lineRule="exact"/>
        <w:rPr>
          <w:sz w:val="20"/>
          <w:szCs w:val="20"/>
          <w:color w:val="auto"/>
        </w:rPr>
      </w:pPr>
    </w:p>
    <w:p>
      <w:pPr>
        <w:ind w:left="40" w:right="179" w:firstLine="566"/>
        <w:spacing w:after="0" w:line="304" w:lineRule="auto"/>
        <w:rPr>
          <w:sz w:val="20"/>
          <w:szCs w:val="20"/>
          <w:color w:val="auto"/>
        </w:rPr>
      </w:pPr>
      <w:r>
        <w:rPr>
          <w:rFonts w:ascii="Arial" w:cs="Arial" w:eastAsia="Arial" w:hAnsi="Arial"/>
          <w:sz w:val="13"/>
          <w:szCs w:val="13"/>
          <w:color w:val="auto"/>
        </w:rPr>
        <w:t>Legislative and regulatory proposals may also be made to expand post-approval requirements and restrict sales and promotional activities for drugs.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26" w:lineRule="exact"/>
        <w:rPr>
          <w:sz w:val="20"/>
          <w:szCs w:val="20"/>
          <w:color w:val="auto"/>
        </w:rPr>
      </w:pPr>
    </w:p>
    <w:p>
      <w:pPr>
        <w:ind w:left="40" w:right="59" w:firstLine="566"/>
        <w:spacing w:after="0" w:line="249" w:lineRule="auto"/>
        <w:rPr>
          <w:sz w:val="20"/>
          <w:szCs w:val="20"/>
          <w:color w:val="auto"/>
        </w:rPr>
      </w:pPr>
      <w:r>
        <w:rPr>
          <w:rFonts w:ascii="Arial" w:cs="Arial" w:eastAsia="Arial" w:hAnsi="Arial"/>
          <w:sz w:val="15"/>
          <w:szCs w:val="15"/>
          <w:color w:val="auto"/>
        </w:rPr>
        <w:t>In addition, there have been a number of other legislative and regulatory proposals aimed at changing the pharmaceutical industry. For instance, the enacted Drug Supply Chain Security Act, or DSCSA imposes obligations on manufacturers of prescription drug products for commercial distribution, regulating the distribution of the products at the federal level, and sets certain standards for federal or state registration and compliance of entities in the supply chain (manufacturers and repackagers, wholesale distributors, third-party logistics providers, and dispensers). The DSCSA preempts certain previously enacted state pedigree laws and the pedigree requirements of the Prescription Drug Marketing Act, or PDMA. Trading partners within the drug supply chain must now ensure certain product tracing requirements are met that they are doing business with other authorized trading partners; and they are required to exchange transaction information, transaction history, and transaction statements. Further, the DSCSA limits the distribution of prescription pharmaceutical products and imposes requirements to ensure overall accountability and security in the drug supply chain. Product identifier information (an aspect of the product tracing scheme) is also now required. The DSCSA requirements, development of standards, and the system for product tracing have been and will continue to be phased in over a period of years through 2023, and subject companies will need to continue their implementation efforts. Many states still have in place licensure and other requirements for manufacturers and distributors of drug products. The distribution of product samples continues to be regulated under the PDMA, and some states also impose regulations on drug sample distribution.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302895</wp:posOffset>
            </wp:positionV>
            <wp:extent cx="5682615" cy="2222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82615" cy="22225"/>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92" w:name="page93"/>
    <w:bookmarkEnd w:id="92"/>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 w:right="199" w:firstLine="566"/>
        <w:spacing w:after="0" w:line="238" w:lineRule="auto"/>
        <w:rPr>
          <w:sz w:val="20"/>
          <w:szCs w:val="20"/>
          <w:color w:val="auto"/>
        </w:rPr>
      </w:pPr>
      <w:r>
        <w:rPr>
          <w:rFonts w:ascii="Arial" w:cs="Arial" w:eastAsia="Arial" w:hAnsi="Arial"/>
          <w:sz w:val="16"/>
          <w:szCs w:val="16"/>
          <w:color w:val="auto"/>
        </w:rPr>
        <w:t>Compliance with the federal track and trace requirements may increase our operational expenses and impose significant administrative burdens. As a result of these and other new proposals, we may determine to change our current manner of operation, provide additional benefits, or change our contract arrangements, any of which could have a material adverse effect on our business, financial condition, and results of operations.</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Governments outside the United States tend to impose strict price controls, which may adversely affect our revenues, if any.</w:t>
      </w:r>
    </w:p>
    <w:p>
      <w:pPr>
        <w:spacing w:after="0" w:line="193" w:lineRule="exact"/>
        <w:rPr>
          <w:sz w:val="20"/>
          <w:szCs w:val="20"/>
          <w:color w:val="auto"/>
        </w:rPr>
      </w:pPr>
    </w:p>
    <w:p>
      <w:pPr>
        <w:ind w:left="40" w:right="119" w:firstLine="566"/>
        <w:spacing w:after="0" w:line="250" w:lineRule="auto"/>
        <w:rPr>
          <w:sz w:val="20"/>
          <w:szCs w:val="20"/>
          <w:color w:val="auto"/>
        </w:rPr>
      </w:pPr>
      <w:r>
        <w:rPr>
          <w:rFonts w:ascii="Arial" w:cs="Arial" w:eastAsia="Arial" w:hAnsi="Arial"/>
          <w:sz w:val="15"/>
          <w:szCs w:val="15"/>
          <w:color w:val="auto"/>
        </w:rPr>
        <w:t>In international markets, reimbursement and health care payment systems vary significantly by country, and many countries have instituted price ceilings on specific products and therapies. In some countries, particularly the countries of the EU,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cost-effectiveness of our product candidate to other available therapies. There can be no assurance that our products will be considered cost-effective by third-party payors, that an adequate level of reimbursement will be available, or that the third-party payors’ reimbursement policies will not adversely affect our ability to sell our products profitably. If reimbursement of our products is unavailable or limited in scope or amount, or if pricing is set at unsatisfactory levels, our business could be harmed, possibly materially.</w:t>
      </w:r>
    </w:p>
    <w:p>
      <w:pPr>
        <w:spacing w:after="0" w:line="163" w:lineRule="exact"/>
        <w:rPr>
          <w:sz w:val="20"/>
          <w:szCs w:val="20"/>
          <w:color w:val="auto"/>
        </w:rPr>
      </w:pPr>
    </w:p>
    <w:p>
      <w:pPr>
        <w:jc w:val="both"/>
        <w:ind w:left="40" w:right="179"/>
        <w:spacing w:after="0" w:line="241" w:lineRule="auto"/>
        <w:rPr>
          <w:sz w:val="20"/>
          <w:szCs w:val="20"/>
          <w:color w:val="auto"/>
        </w:rPr>
      </w:pPr>
      <w:r>
        <w:rPr>
          <w:rFonts w:ascii="Arial" w:cs="Arial" w:eastAsia="Arial" w:hAnsi="Arial"/>
          <w:sz w:val="16"/>
          <w:szCs w:val="16"/>
          <w:b w:val="1"/>
          <w:bCs w:val="1"/>
          <w:i w:val="1"/>
          <w:iCs w:val="1"/>
          <w:color w:val="auto"/>
        </w:rPr>
        <w:t>Our employees, independent contractors, consultants, commercial partners, principal investigators, or CROs may engage in misconduct or other improper activities, including noncompliance with regulatory standards and requirements, which could have a material adverse effect on our business.</w:t>
      </w:r>
    </w:p>
    <w:p>
      <w:pPr>
        <w:spacing w:after="0" w:line="165" w:lineRule="exact"/>
        <w:rPr>
          <w:sz w:val="20"/>
          <w:szCs w:val="20"/>
          <w:color w:val="auto"/>
        </w:rPr>
      </w:pPr>
    </w:p>
    <w:p>
      <w:pPr>
        <w:ind w:left="40" w:right="79" w:firstLine="566"/>
        <w:spacing w:after="0" w:line="249" w:lineRule="auto"/>
        <w:rPr>
          <w:sz w:val="20"/>
          <w:szCs w:val="20"/>
          <w:color w:val="auto"/>
        </w:rPr>
      </w:pPr>
      <w:r>
        <w:rPr>
          <w:rFonts w:ascii="Arial" w:cs="Arial" w:eastAsia="Arial" w:hAnsi="Arial"/>
          <w:sz w:val="15"/>
          <w:szCs w:val="15"/>
          <w:color w:val="auto"/>
        </w:rPr>
        <w:t>We are exposed to the risk of employee fraud or other misconduct. Misconduct by employees, independent contractors, consultants, commercial partners, principal investigators, or CROs could include intentional, reckless, negligent, or unintentional failures to comply with FDA regulations, comply with applicable fraud and abuse laws, provide accurate information to the FDA, report financial information or data accurately, or disclose unauthorized activities to us. This misconduct could also involve the improper use or misrepresentation of information obtained in the course of clinical trials, which could result in regulatory sanctions and serious harm to our reputation. It is not always possible to identify and deter this type of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financial condition, and results of operations, including the imposition of significant fines or other sanctions. Further, even if we are successful in mounting a defense, we may incur substantial costs in preparing and maintaining our defense and any such action would be time- and resource-intensive and potentially divert management’s attention from the business, which could adversely affect our ability to operate our business and our results of operations.</w:t>
      </w:r>
    </w:p>
    <w:p>
      <w:pPr>
        <w:spacing w:after="0" w:line="161" w:lineRule="exact"/>
        <w:rPr>
          <w:sz w:val="20"/>
          <w:szCs w:val="20"/>
          <w:color w:val="auto"/>
        </w:rPr>
      </w:pPr>
    </w:p>
    <w:p>
      <w:pPr>
        <w:ind w:left="40" w:right="79"/>
        <w:spacing w:after="0" w:line="284" w:lineRule="auto"/>
        <w:rPr>
          <w:sz w:val="20"/>
          <w:szCs w:val="20"/>
          <w:color w:val="auto"/>
        </w:rPr>
      </w:pPr>
      <w:r>
        <w:rPr>
          <w:rFonts w:ascii="Arial" w:cs="Arial" w:eastAsia="Arial" w:hAnsi="Arial"/>
          <w:sz w:val="15"/>
          <w:szCs w:val="15"/>
          <w:b w:val="1"/>
          <w:bCs w:val="1"/>
          <w:i w:val="1"/>
          <w:iCs w:val="1"/>
          <w:color w:val="auto"/>
        </w:rPr>
        <w:t>Our third-party manufacturers may use hazardous materials in the production of our product candidates and if so, they must comply with environmental laws and regulations, which can be expensive and restrict how we or they do business.</w:t>
      </w:r>
    </w:p>
    <w:p>
      <w:pPr>
        <w:spacing w:after="0" w:line="134" w:lineRule="exact"/>
        <w:rPr>
          <w:sz w:val="20"/>
          <w:szCs w:val="20"/>
          <w:color w:val="auto"/>
        </w:rPr>
      </w:pPr>
    </w:p>
    <w:p>
      <w:pPr>
        <w:ind w:left="40" w:right="59" w:firstLine="566"/>
        <w:spacing w:after="0" w:line="250" w:lineRule="auto"/>
        <w:rPr>
          <w:sz w:val="20"/>
          <w:szCs w:val="20"/>
          <w:color w:val="auto"/>
        </w:rPr>
      </w:pPr>
      <w:r>
        <w:rPr>
          <w:rFonts w:ascii="Arial" w:cs="Arial" w:eastAsia="Arial" w:hAnsi="Arial"/>
          <w:sz w:val="15"/>
          <w:szCs w:val="15"/>
          <w:color w:val="auto"/>
        </w:rPr>
        <w:t>Manufacturing activities for the production of our product candidates involve the controlled storage, use, and disposal of hazardous materials, including the components of our product candidates, and other hazardous compounds. Our third-party manufacturers and we are subject to federal, state, and local laws and regulations governing the use, manufacture, storage, handling, release, and disposal of, and exposure to, these hazardous materials. Violation of these laws and regulations could lead to substantial fines and penalties. Although we believe that our safety procedures, and those of our third-party manufacturers, for handling and disposing of these materials comply with the standards prescribed by these laws and regulations, we cannot eliminate the risk of accidental contamination or injury from these materials. In the event of an accident, state or federal authorities may curtail our use of these materials and interrupt our business operations. In addition, we could become subject to potentially material liabilities relating to the investigation and cleanup of any contamination, whether currently unknown or caused by future releases.</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302895</wp:posOffset>
            </wp:positionV>
            <wp:extent cx="5682615" cy="222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82615" cy="22225"/>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93" w:name="page94"/>
    <w:bookmarkEnd w:id="93"/>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 w:right="239" w:firstLine="566"/>
        <w:spacing w:after="0" w:line="238" w:lineRule="auto"/>
        <w:rPr>
          <w:sz w:val="20"/>
          <w:szCs w:val="20"/>
          <w:color w:val="auto"/>
        </w:rPr>
      </w:pPr>
      <w:r>
        <w:rPr>
          <w:rFonts w:ascii="Arial" w:cs="Arial" w:eastAsia="Arial" w:hAnsi="Arial"/>
          <w:sz w:val="16"/>
          <w:szCs w:val="16"/>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54" w:lineRule="exact"/>
        <w:rPr>
          <w:sz w:val="20"/>
          <w:szCs w:val="20"/>
          <w:color w:val="auto"/>
        </w:rPr>
      </w:pPr>
    </w:p>
    <w:p>
      <w:pPr>
        <w:ind w:left="40" w:right="159" w:firstLine="566"/>
        <w:spacing w:after="0" w:line="265" w:lineRule="auto"/>
        <w:rPr>
          <w:sz w:val="20"/>
          <w:szCs w:val="20"/>
          <w:color w:val="auto"/>
        </w:rPr>
      </w:pPr>
      <w:r>
        <w:rPr>
          <w:rFonts w:ascii="Arial" w:cs="Arial" w:eastAsia="Arial" w:hAnsi="Arial"/>
          <w:sz w:val="15"/>
          <w:szCs w:val="15"/>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RISKS RELATED TO OUR BUSINESS OPERATIONS</w:t>
      </w:r>
    </w:p>
    <w:p>
      <w:pPr>
        <w:spacing w:after="0" w:line="186"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We will need to significantly increase the size of our organization, and we may experience difficulties in managing growth.</w:t>
      </w:r>
    </w:p>
    <w:p>
      <w:pPr>
        <w:spacing w:after="0" w:line="193" w:lineRule="exact"/>
        <w:rPr>
          <w:sz w:val="20"/>
          <w:szCs w:val="20"/>
          <w:color w:val="auto"/>
        </w:rPr>
      </w:pPr>
    </w:p>
    <w:p>
      <w:pPr>
        <w:ind w:left="40" w:right="119" w:firstLine="283"/>
        <w:spacing w:after="0" w:line="250" w:lineRule="auto"/>
        <w:rPr>
          <w:sz w:val="20"/>
          <w:szCs w:val="20"/>
          <w:color w:val="auto"/>
        </w:rPr>
      </w:pPr>
      <w:r>
        <w:rPr>
          <w:rFonts w:ascii="Arial" w:cs="Arial" w:eastAsia="Arial" w:hAnsi="Arial"/>
          <w:sz w:val="15"/>
          <w:szCs w:val="15"/>
          <w:color w:val="auto"/>
        </w:rPr>
        <w:t>As of October 30, 2020, we had only 53 full-time employees. We will need to substantially expand our managerial, commercial, financial, manufacturing, and other personnel resources in order to manage our operations and prepare for the commercialization of our product candidates, if approved. Our management, personnel, systems, and facilities currently in place may not be adequate to support this future growth. In addition, we may not be able to recruit and retain qualified personnel in the future, particularly for sales and marketing positions, due to competition for personnel among pharmaceutical businesses, and the failure to do so could have a significant negative impact on our future product revenues and business results. Further, the value to employees of stock options or restricted stock units that vest over time is significantly affected by movements in our stock price that are beyond our control, and may at any time be insufficient to counteract more lucrative offers from other companies. Our need to effectively manage our operations, growth and various projects requires that we:</w:t>
      </w:r>
    </w:p>
    <w:p>
      <w:pPr>
        <w:spacing w:after="0" w:line="163" w:lineRule="exact"/>
        <w:rPr>
          <w:sz w:val="20"/>
          <w:szCs w:val="20"/>
          <w:color w:val="auto"/>
        </w:rPr>
      </w:pPr>
    </w:p>
    <w:p>
      <w:pPr>
        <w:ind w:left="620" w:right="59" w:hanging="281"/>
        <w:spacing w:after="0" w:line="284" w:lineRule="auto"/>
        <w:tabs>
          <w:tab w:leader="none" w:pos="620" w:val="left"/>
        </w:tabs>
        <w:numPr>
          <w:ilvl w:val="0"/>
          <w:numId w:val="37"/>
        </w:numPr>
        <w:rPr>
          <w:rFonts w:ascii="Arial" w:cs="Arial" w:eastAsia="Arial" w:hAnsi="Arial"/>
          <w:sz w:val="15"/>
          <w:szCs w:val="15"/>
          <w:color w:val="auto"/>
        </w:rPr>
      </w:pPr>
      <w:r>
        <w:rPr>
          <w:rFonts w:ascii="Arial" w:cs="Arial" w:eastAsia="Arial" w:hAnsi="Arial"/>
          <w:sz w:val="15"/>
          <w:szCs w:val="15"/>
          <w:color w:val="auto"/>
        </w:rPr>
        <w:t>continue the hiring and training of personnel for an effective commercial organization in anticipation of the potential approval of our product candidates, and establish appropriate systems, policies and infrastructure to support that organization;</w:t>
      </w:r>
    </w:p>
    <w:p>
      <w:pPr>
        <w:spacing w:after="0" w:line="134" w:lineRule="exact"/>
        <w:rPr>
          <w:rFonts w:ascii="Arial" w:cs="Arial" w:eastAsia="Arial" w:hAnsi="Arial"/>
          <w:sz w:val="15"/>
          <w:szCs w:val="15"/>
          <w:color w:val="auto"/>
        </w:rPr>
      </w:pPr>
    </w:p>
    <w:p>
      <w:pPr>
        <w:ind w:left="620" w:right="399" w:hanging="281"/>
        <w:spacing w:after="0" w:line="251" w:lineRule="auto"/>
        <w:tabs>
          <w:tab w:leader="none" w:pos="6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ensure that our consultants and other service providers successfully carry out their contractual obligations, provide high quality results, and meet expected deadlines;</w:t>
      </w:r>
    </w:p>
    <w:p>
      <w:pPr>
        <w:spacing w:after="0" w:line="157" w:lineRule="exact"/>
        <w:rPr>
          <w:rFonts w:ascii="Arial" w:cs="Arial" w:eastAsia="Arial" w:hAnsi="Arial"/>
          <w:sz w:val="16"/>
          <w:szCs w:val="16"/>
          <w:color w:val="auto"/>
        </w:rPr>
      </w:pPr>
    </w:p>
    <w:p>
      <w:pPr>
        <w:ind w:left="620" w:hanging="281"/>
        <w:spacing w:after="0"/>
        <w:tabs>
          <w:tab w:leader="none" w:pos="6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continue to carry out our own contractual obligations to our licensors and other third parties; and</w:t>
      </w:r>
    </w:p>
    <w:p>
      <w:pPr>
        <w:spacing w:after="0" w:line="181" w:lineRule="exact"/>
        <w:rPr>
          <w:rFonts w:ascii="Arial" w:cs="Arial" w:eastAsia="Arial" w:hAnsi="Arial"/>
          <w:sz w:val="16"/>
          <w:szCs w:val="16"/>
          <w:color w:val="auto"/>
        </w:rPr>
      </w:pPr>
    </w:p>
    <w:p>
      <w:pPr>
        <w:ind w:left="620" w:hanging="281"/>
        <w:spacing w:after="0"/>
        <w:tabs>
          <w:tab w:leader="none" w:pos="6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continue to improve our operational, financial, and management controls, reporting systems, and procedures.</w:t>
      </w:r>
    </w:p>
    <w:p>
      <w:pPr>
        <w:spacing w:after="0" w:line="182" w:lineRule="exact"/>
        <w:rPr>
          <w:sz w:val="20"/>
          <w:szCs w:val="20"/>
          <w:color w:val="auto"/>
        </w:rPr>
      </w:pPr>
    </w:p>
    <w:p>
      <w:pPr>
        <w:ind w:left="40" w:right="259" w:firstLine="566"/>
        <w:spacing w:after="0" w:line="251" w:lineRule="auto"/>
        <w:rPr>
          <w:sz w:val="20"/>
          <w:szCs w:val="20"/>
          <w:color w:val="auto"/>
        </w:rPr>
      </w:pPr>
      <w:r>
        <w:rPr>
          <w:rFonts w:ascii="Arial" w:cs="Arial" w:eastAsia="Arial" w:hAnsi="Arial"/>
          <w:sz w:val="16"/>
          <w:szCs w:val="16"/>
          <w:color w:val="auto"/>
        </w:rPr>
        <w:t>We may be unable to successfully implement these tasks on a larger scale and, accordingly, may not achieve our development and commercialization goals.</w:t>
      </w:r>
    </w:p>
    <w:p>
      <w:pPr>
        <w:spacing w:after="0" w:line="157" w:lineRule="exact"/>
        <w:rPr>
          <w:sz w:val="20"/>
          <w:szCs w:val="20"/>
          <w:color w:val="auto"/>
        </w:rPr>
      </w:pPr>
    </w:p>
    <w:p>
      <w:pPr>
        <w:ind w:left="40" w:right="259"/>
        <w:spacing w:after="0" w:line="365" w:lineRule="auto"/>
        <w:rPr>
          <w:sz w:val="20"/>
          <w:szCs w:val="20"/>
          <w:color w:val="auto"/>
        </w:rPr>
      </w:pPr>
      <w:r>
        <w:rPr>
          <w:rFonts w:ascii="Arial" w:cs="Arial" w:eastAsia="Arial" w:hAnsi="Arial"/>
          <w:sz w:val="13"/>
          <w:szCs w:val="13"/>
          <w:b w:val="1"/>
          <w:bCs w:val="1"/>
          <w:i w:val="1"/>
          <w:iCs w:val="1"/>
          <w:color w:val="auto"/>
        </w:rPr>
        <w:t>Our continued growth could strain our personnel resources and infrastructure, and if we are unable to implement appropriate controls and procedures to manage our growth, we will not be able to implement our business plan successfully.</w:t>
      </w:r>
    </w:p>
    <w:p>
      <w:pPr>
        <w:spacing w:after="0" w:line="88" w:lineRule="exact"/>
        <w:rPr>
          <w:sz w:val="20"/>
          <w:szCs w:val="20"/>
          <w:color w:val="auto"/>
        </w:rPr>
      </w:pPr>
    </w:p>
    <w:p>
      <w:pPr>
        <w:ind w:left="40" w:right="119" w:firstLine="566"/>
        <w:spacing w:after="0" w:line="297" w:lineRule="auto"/>
        <w:rPr>
          <w:sz w:val="20"/>
          <w:szCs w:val="20"/>
          <w:color w:val="auto"/>
        </w:rPr>
      </w:pPr>
      <w:r>
        <w:rPr>
          <w:rFonts w:ascii="Arial" w:cs="Arial" w:eastAsia="Arial" w:hAnsi="Arial"/>
          <w:sz w:val="13"/>
          <w:szCs w:val="13"/>
          <w:color w:val="auto"/>
        </w:rPr>
        <w:t>As we continue to complete our clinical trials and prepare for commercialization of our product candidates, and as our company continues to grow, we may experience significant strains on our resources, including to our administrative, operational and financial infrastructure, which will result in additional burdens on management. Our success will depend in part upon the ability of our senior management to manage this growth effectively. To do so, we must continue to hire, train and manage new employees as needed. If our new hires perform poorly, or if we are unsuccessful in hiring, training, managing and integrating these new employees, or if we are not successful in retaining our existing employees, our business would be harmed. To manage the expected growth of our operations and personnel, we will need to continue to improve our operational, financial and management controls and our reporting systems and procedures.</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302895</wp:posOffset>
            </wp:positionV>
            <wp:extent cx="5682615" cy="222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82615" cy="22225"/>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94" w:name="page95"/>
    <w:bookmarkEnd w:id="94"/>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 w:right="139"/>
        <w:spacing w:after="0" w:line="251" w:lineRule="auto"/>
        <w:rPr>
          <w:sz w:val="20"/>
          <w:szCs w:val="20"/>
          <w:color w:val="auto"/>
        </w:rPr>
      </w:pPr>
      <w:r>
        <w:rPr>
          <w:rFonts w:ascii="Arial" w:cs="Arial" w:eastAsia="Arial" w:hAnsi="Arial"/>
          <w:sz w:val="16"/>
          <w:szCs w:val="16"/>
          <w:b w:val="1"/>
          <w:bCs w:val="1"/>
          <w:i w:val="1"/>
          <w:iCs w:val="1"/>
          <w:color w:val="auto"/>
        </w:rPr>
        <w:t>We may acquire businesses or products, or form strategic alliances in the future, and we may not realize the benefits of such acquisitions or alliances.</w:t>
      </w:r>
    </w:p>
    <w:p>
      <w:pPr>
        <w:spacing w:after="0" w:line="157" w:lineRule="exact"/>
        <w:rPr>
          <w:sz w:val="20"/>
          <w:szCs w:val="20"/>
          <w:color w:val="auto"/>
        </w:rPr>
      </w:pPr>
    </w:p>
    <w:p>
      <w:pPr>
        <w:ind w:left="40" w:right="159" w:firstLine="566"/>
        <w:spacing w:after="0" w:line="300" w:lineRule="auto"/>
        <w:rPr>
          <w:sz w:val="20"/>
          <w:szCs w:val="20"/>
          <w:color w:val="auto"/>
        </w:rPr>
      </w:pPr>
      <w:r>
        <w:rPr>
          <w:rFonts w:ascii="Arial" w:cs="Arial" w:eastAsia="Arial" w:hAnsi="Arial"/>
          <w:sz w:val="13"/>
          <w:szCs w:val="13"/>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29"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We may not be able to manage our business effectively if we are unable to attract and retain key personnel.</w:t>
      </w:r>
    </w:p>
    <w:p>
      <w:pPr>
        <w:spacing w:after="0" w:line="182" w:lineRule="exact"/>
        <w:rPr>
          <w:sz w:val="20"/>
          <w:szCs w:val="20"/>
          <w:color w:val="auto"/>
        </w:rPr>
      </w:pPr>
    </w:p>
    <w:p>
      <w:pPr>
        <w:ind w:left="40" w:right="179" w:firstLine="566"/>
        <w:spacing w:after="0" w:line="310" w:lineRule="auto"/>
        <w:rPr>
          <w:sz w:val="20"/>
          <w:szCs w:val="20"/>
          <w:color w:val="auto"/>
        </w:rPr>
      </w:pPr>
      <w:r>
        <w:rPr>
          <w:rFonts w:ascii="Arial" w:cs="Arial" w:eastAsia="Arial" w:hAnsi="Arial"/>
          <w:sz w:val="13"/>
          <w:szCs w:val="13"/>
          <w:color w:val="auto"/>
        </w:rPr>
        <w:t>We may not be able to attract or retain qualified management and commercial, scientific, and clinical personnel due to the intense competition for qualified personnel among biotechnology, pharmaceutical, and other businesses. If we are not able to attract and retain necessary personnel to accomplish our business objectives, we may experience constraints that will significantly impede the achievement of our development objectives, our ability to raise additional capital and our ability to implement our business strategy.</w:t>
      </w:r>
    </w:p>
    <w:p>
      <w:pPr>
        <w:spacing w:after="0" w:line="124" w:lineRule="exact"/>
        <w:rPr>
          <w:sz w:val="20"/>
          <w:szCs w:val="20"/>
          <w:color w:val="auto"/>
        </w:rPr>
      </w:pPr>
    </w:p>
    <w:p>
      <w:pPr>
        <w:ind w:left="40" w:right="79" w:firstLine="566"/>
        <w:spacing w:after="0" w:line="250" w:lineRule="auto"/>
        <w:rPr>
          <w:sz w:val="20"/>
          <w:szCs w:val="20"/>
          <w:color w:val="auto"/>
        </w:rPr>
      </w:pPr>
      <w:r>
        <w:rPr>
          <w:rFonts w:ascii="Arial" w:cs="Arial" w:eastAsia="Arial" w:hAnsi="Arial"/>
          <w:sz w:val="15"/>
          <w:szCs w:val="15"/>
          <w:color w:val="auto"/>
        </w:rPr>
        <w:t>Our industry has experienced a high rate of turnover of management personnel in recent years. We are highly dependent on the skills and leadership of our management team, including Dr. Herriot Tabuteau, our Chief Executive Officer and Chairman of the Board. We do not have formal employment agreements with any of our management team. However, we typically enter into offer letters with our executive officers and key personnel. Our senior management may terminate their employment with us at any time. If we lose one or more members of our senior management team, our ability to successfully implement our business strategy could be seriously harmed. Replacing these employees may be difficult and may take an extended period of time because of the limited number of individuals in our industry with the breadth of skills and experience required to develop, gain regulatory approval of, and commercialize products successfully. Competition to hire from this limited pool is intense, and we may be unable to hire, train, retain, or motivate additional key personnel. We do not maintain “key person” insurance for any of our executives or other employees.</w:t>
      </w:r>
    </w:p>
    <w:p>
      <w:pPr>
        <w:spacing w:after="0" w:line="163" w:lineRule="exact"/>
        <w:rPr>
          <w:sz w:val="20"/>
          <w:szCs w:val="20"/>
          <w:color w:val="auto"/>
        </w:rPr>
      </w:pPr>
    </w:p>
    <w:p>
      <w:pPr>
        <w:ind w:left="40" w:right="199"/>
        <w:spacing w:after="0" w:line="251" w:lineRule="auto"/>
        <w:rPr>
          <w:sz w:val="20"/>
          <w:szCs w:val="20"/>
          <w:color w:val="auto"/>
        </w:rPr>
      </w:pPr>
      <w:r>
        <w:rPr>
          <w:rFonts w:ascii="Arial" w:cs="Arial" w:eastAsia="Arial" w:hAnsi="Arial"/>
          <w:sz w:val="16"/>
          <w:szCs w:val="16"/>
          <w:b w:val="1"/>
          <w:bCs w:val="1"/>
          <w:i w:val="1"/>
          <w:iCs w:val="1"/>
          <w:color w:val="auto"/>
        </w:rPr>
        <w:t>We continue to incur significant increased costs as a result of operating as a public company, and our management is required to devote substantial time to compliance initiatives.</w:t>
      </w:r>
    </w:p>
    <w:p>
      <w:pPr>
        <w:spacing w:after="0" w:line="157" w:lineRule="exact"/>
        <w:rPr>
          <w:sz w:val="20"/>
          <w:szCs w:val="20"/>
          <w:color w:val="auto"/>
        </w:rPr>
      </w:pPr>
    </w:p>
    <w:p>
      <w:pPr>
        <w:ind w:left="40" w:right="59" w:firstLine="566"/>
        <w:spacing w:after="0" w:line="253" w:lineRule="auto"/>
        <w:rPr>
          <w:sz w:val="20"/>
          <w:szCs w:val="20"/>
          <w:color w:val="auto"/>
        </w:rPr>
      </w:pPr>
      <w:r>
        <w:rPr>
          <w:rFonts w:ascii="Arial" w:cs="Arial" w:eastAsia="Arial" w:hAnsi="Arial"/>
          <w:sz w:val="15"/>
          <w:szCs w:val="15"/>
          <w:color w:val="auto"/>
        </w:rPr>
        <w:t>As a public company, we continue to incur significant legal, accounting and other expenses that we did not incur as a private company. In addition, the Sarbanes-Oxley Act, as well as rules subsequently implemented by the SEC and the Nasdaq Global Market, impose various requirements on public companies, including requiring establishment and maintenance of effective disclosure controls and internal control over financial reporting and changes in corporate governance practices. Our management and other personnel devote a substantial amount of time to these compliance initiatives. Moreover, these rules and regulations have increased our legal and financial compliance costs and have made some activities more time-consuming and costly.</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302895</wp:posOffset>
            </wp:positionV>
            <wp:extent cx="5682615" cy="2222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82615" cy="22225"/>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95" w:name="page96"/>
    <w:bookmarkEnd w:id="95"/>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 w:right="59" w:firstLine="566"/>
        <w:spacing w:after="0" w:line="290" w:lineRule="auto"/>
        <w:rPr>
          <w:sz w:val="20"/>
          <w:szCs w:val="20"/>
          <w:color w:val="auto"/>
        </w:rPr>
      </w:pPr>
      <w:r>
        <w:rPr>
          <w:rFonts w:ascii="Arial" w:cs="Arial" w:eastAsia="Arial" w:hAnsi="Arial"/>
          <w:sz w:val="13"/>
          <w:szCs w:val="13"/>
          <w:color w:val="auto"/>
        </w:rPr>
        <w:t>Section 404(a) of the Sarbanes-Oxley Act requires annual management assessments of the effectiveness of our internal control over financial reporting. However, for as long as we remain an “emerging growth company” as defined in the Jumpstart Our Business Startups Act of 2012, or JOBS Act, we intend to take advantage of certain exemptions from various reporting requirements that are applicable to other public companies that are not “emerging growth companies” including, but not limited to, not being required to comply with the auditor attestation requirements of Section 404(b) of the Sarbanes-Oxley Act. We may take advantage of these reporting exemptions until we are no longer an “emerging growth company.” As of December 31, 2020, we will no longer be an “emerging growth company”. As such, we will incur significant additional expenses that we did not previously incur in complying with the Sarbanes-Oxley Act and rules implemented by the SEC. The cost of compliance with Section 404 requires us to incur substantial accounting expense and expend significant management time on compliance-related issues as we implement additional corporate governance practices and comply with reporting requirements. Moreover, if we or our independent registered public accounting firm identifies deficiencies in our internal control over financial reporting as material weaknesses, we may be required to make prospective or retroactive changes to our financial statements, consider other areas for further attention or improvement, or be unable to obtain the required attestation in a timely manner, if at all. In addition, the market price of our stock could decline and we could be subject to sanctions or investigations by the SEC or other regulatory authorities, which would require additional financial and management resources.</w:t>
      </w:r>
    </w:p>
    <w:p>
      <w:pPr>
        <w:spacing w:after="0" w:line="316" w:lineRule="exact"/>
        <w:rPr>
          <w:sz w:val="20"/>
          <w:szCs w:val="20"/>
          <w:color w:val="auto"/>
        </w:rPr>
      </w:pPr>
    </w:p>
    <w:p>
      <w:pPr>
        <w:ind w:left="40" w:right="79" w:firstLine="566"/>
        <w:spacing w:after="0" w:line="251" w:lineRule="auto"/>
        <w:rPr>
          <w:sz w:val="20"/>
          <w:szCs w:val="20"/>
          <w:color w:val="auto"/>
        </w:rPr>
      </w:pPr>
      <w:r>
        <w:rPr>
          <w:rFonts w:ascii="Arial" w:cs="Arial" w:eastAsia="Arial" w:hAnsi="Arial"/>
          <w:sz w:val="15"/>
          <w:szCs w:val="15"/>
          <w:color w:val="auto"/>
        </w:rPr>
        <w:t>Our testing, or the subsequent testing by our independent registered public accounting firm, may reveal deficiencies in our internal control over financial reporting that are deemed to be material weaknesses. We will incur substantial accounting expense and expend significant management efforts to comply with internal control over financial reporting requirements. We currently do not have an internal audit group, and we may need to hire additional accounting and financial staff with appropriate public company experience and technical accounting knowledge. Moreover, if we are not able to comply with these requirements in a timely manner or if we or our independent registered public accounting firm identifies deficiencies in our internal control over financial reporting that are deemed to be material weaknesses, the market price of our stock could decline, and we could be subject to sanctions or investigations by the Nasdaq Global Market, the SEC or other regulatory authorities, which would require additional financial and management resources.</w:t>
      </w:r>
    </w:p>
    <w:p>
      <w:pPr>
        <w:spacing w:after="0" w:line="160" w:lineRule="exact"/>
        <w:rPr>
          <w:sz w:val="20"/>
          <w:szCs w:val="20"/>
          <w:color w:val="auto"/>
        </w:rPr>
      </w:pPr>
    </w:p>
    <w:p>
      <w:pPr>
        <w:ind w:left="40" w:right="99"/>
        <w:spacing w:after="0" w:line="241" w:lineRule="auto"/>
        <w:rPr>
          <w:sz w:val="20"/>
          <w:szCs w:val="20"/>
          <w:color w:val="auto"/>
        </w:rPr>
      </w:pPr>
      <w:r>
        <w:rPr>
          <w:rFonts w:ascii="Arial" w:cs="Arial" w:eastAsia="Arial" w:hAnsi="Arial"/>
          <w:sz w:val="16"/>
          <w:szCs w:val="16"/>
          <w:b w:val="1"/>
          <w:bCs w:val="1"/>
          <w:i w:val="1"/>
          <w:iCs w:val="1"/>
          <w:color w:val="auto"/>
        </w:rPr>
        <w:t>If we fail to maintain an effective system of internal control over financial reporting in the future, we may not be able to accurately report our financial condition, results of operations or cash flows, which may adversely affect investor confidence in us and, as a result, the value of our common stock.</w:t>
      </w:r>
    </w:p>
    <w:p>
      <w:pPr>
        <w:spacing w:after="0" w:line="165" w:lineRule="exact"/>
        <w:rPr>
          <w:sz w:val="20"/>
          <w:szCs w:val="20"/>
          <w:color w:val="auto"/>
        </w:rPr>
      </w:pPr>
    </w:p>
    <w:p>
      <w:pPr>
        <w:ind w:left="40" w:right="179" w:firstLine="566"/>
        <w:spacing w:after="0" w:line="291" w:lineRule="auto"/>
        <w:rPr>
          <w:sz w:val="20"/>
          <w:szCs w:val="20"/>
          <w:color w:val="auto"/>
        </w:rPr>
      </w:pPr>
      <w:r>
        <w:rPr>
          <w:rFonts w:ascii="Arial" w:cs="Arial" w:eastAsia="Arial" w:hAnsi="Arial"/>
          <w:sz w:val="13"/>
          <w:szCs w:val="13"/>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of the Sarbanes-Oxley Act, or the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begins its Section 404 reviews, we could lose investor confidence in the accuracy and completeness of our financial reports, the market price of our common stock could decline, and we could be subject to sanctions or investigations by the Nasdaq Global Market,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302895</wp:posOffset>
            </wp:positionV>
            <wp:extent cx="5682615" cy="222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82615" cy="22225"/>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96" w:name="page97"/>
    <w:bookmarkEnd w:id="96"/>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Our disclosure controls and procedures may not prevent or detect all errors or acts of fraud.</w:t>
      </w:r>
    </w:p>
    <w:p>
      <w:pPr>
        <w:spacing w:after="0" w:line="170" w:lineRule="exact"/>
        <w:rPr>
          <w:sz w:val="20"/>
          <w:szCs w:val="20"/>
          <w:color w:val="auto"/>
        </w:rPr>
      </w:pPr>
    </w:p>
    <w:p>
      <w:pPr>
        <w:ind w:left="40" w:right="59" w:firstLine="566"/>
        <w:spacing w:after="0" w:line="235" w:lineRule="auto"/>
        <w:rPr>
          <w:sz w:val="20"/>
          <w:szCs w:val="20"/>
          <w:color w:val="auto"/>
        </w:rPr>
      </w:pPr>
      <w:r>
        <w:rPr>
          <w:rFonts w:ascii="Arial" w:cs="Arial" w:eastAsia="Arial" w:hAnsi="Arial"/>
          <w:sz w:val="16"/>
          <w:szCs w:val="16"/>
          <w:color w:val="auto"/>
        </w:rPr>
        <w:t>We are subject to the periodic reporting requirements of the Securities Exchange Act of 1934, as amended, or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w:t>
      </w:r>
    </w:p>
    <w:p>
      <w:pPr>
        <w:spacing w:after="0" w:line="169" w:lineRule="exact"/>
        <w:rPr>
          <w:sz w:val="20"/>
          <w:szCs w:val="20"/>
          <w:color w:val="auto"/>
        </w:rPr>
      </w:pPr>
    </w:p>
    <w:p>
      <w:pPr>
        <w:ind w:left="40" w:right="39" w:firstLine="566"/>
        <w:spacing w:after="0" w:line="249" w:lineRule="auto"/>
        <w:rPr>
          <w:sz w:val="20"/>
          <w:szCs w:val="20"/>
          <w:color w:val="auto"/>
        </w:rPr>
      </w:pPr>
      <w:r>
        <w:rPr>
          <w:rFonts w:ascii="Arial" w:cs="Arial" w:eastAsia="Arial" w:hAnsi="Arial"/>
          <w:sz w:val="15"/>
          <w:szCs w:val="15"/>
          <w:color w:val="auto"/>
        </w:rPr>
        <w:t>In addition, the Sarbanes-Oxley Act requires, among other things, that we maintain effective disclosure controls and procedures and internal control over financial reporting. In particular, Section 404 of the Sarbanes-Oxley Act will require us to perform system and process evaluation and testing of our internal control over financial reporting to allow management to report on, and our independent registered public accounting firm to attest to, the effectiveness of our internal control over financial reporting. Pursuant to Section 404, as of December 31, 2020, once we are no longer an “emerging growth company,” we will be required to provide an annual management report on the effectiveness of our internal control over financial reporting and we will also be required to include with such annual report an attestation report on internal controls over financial reporting issued by our independent registered public accounting firm. At such time, our independent registered public accounting firm may issue a report that is adverse in the event that we have not maintained effective internal controls over financial reporting, in all material respects. Any failure to maintain effective disclosure controls and internal control over financial reporting could have a material and adverse effect on our business, results of operations and financial condition and could cause a decline in the trading price of our common stock.</w:t>
      </w:r>
    </w:p>
    <w:p>
      <w:pPr>
        <w:spacing w:after="0" w:line="154" w:lineRule="exact"/>
        <w:rPr>
          <w:sz w:val="20"/>
          <w:szCs w:val="20"/>
          <w:color w:val="auto"/>
        </w:rPr>
      </w:pPr>
    </w:p>
    <w:p>
      <w:pPr>
        <w:ind w:left="40" w:right="119" w:firstLine="566"/>
        <w:spacing w:after="0" w:line="258" w:lineRule="auto"/>
        <w:rPr>
          <w:sz w:val="20"/>
          <w:szCs w:val="20"/>
          <w:color w:val="auto"/>
        </w:rPr>
      </w:pPr>
      <w:r>
        <w:rPr>
          <w:rFonts w:ascii="Arial" w:cs="Arial" w:eastAsia="Arial" w:hAnsi="Arial"/>
          <w:sz w:val="15"/>
          <w:szCs w:val="15"/>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143"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Our business and operations would suffer in the event of system failures.</w:t>
      </w:r>
    </w:p>
    <w:p>
      <w:pPr>
        <w:spacing w:after="0" w:line="182" w:lineRule="exact"/>
        <w:rPr>
          <w:sz w:val="20"/>
          <w:szCs w:val="20"/>
          <w:color w:val="auto"/>
        </w:rPr>
      </w:pPr>
    </w:p>
    <w:p>
      <w:pPr>
        <w:ind w:left="40" w:right="119" w:firstLine="566"/>
        <w:spacing w:after="0" w:line="292" w:lineRule="auto"/>
        <w:rPr>
          <w:sz w:val="20"/>
          <w:szCs w:val="20"/>
          <w:color w:val="auto"/>
        </w:rPr>
      </w:pPr>
      <w:r>
        <w:rPr>
          <w:rFonts w:ascii="Arial" w:cs="Arial" w:eastAsia="Arial" w:hAnsi="Arial"/>
          <w:sz w:val="13"/>
          <w:szCs w:val="13"/>
          <w:color w:val="auto"/>
        </w:rPr>
        <w:t>Despite our implementation of security measures, our internal computer systems and those of our CROs and other contractors and consultants are vulnerable to damage from computer viruses, unauthorized access, natural disasters, terrorism, war, telecommunication and electrical failures, cyber-attacks or cyber-intrusions over the Internet, attachments to emails, persons inside our organization, or persons with access to systems inside our organization.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If such an event were to occur and cause interruptions in our operations, it could result in a material disruption of our product candidate development programs. For example, the loss of clinical trial data from completed, ongoing, or planned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personal, confidential, or proprietary information, we could incur liability and the further development of any of our product candidates could be delayed.</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302895</wp:posOffset>
            </wp:positionV>
            <wp:extent cx="5682615" cy="2222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82615" cy="22225"/>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97" w:name="page98"/>
    <w:bookmarkEnd w:id="97"/>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 w:right="39"/>
        <w:spacing w:after="0" w:line="251" w:lineRule="auto"/>
        <w:rPr>
          <w:sz w:val="20"/>
          <w:szCs w:val="20"/>
          <w:color w:val="auto"/>
        </w:rPr>
      </w:pPr>
      <w:r>
        <w:rPr>
          <w:rFonts w:ascii="Arial" w:cs="Arial" w:eastAsia="Arial" w:hAnsi="Arial"/>
          <w:sz w:val="16"/>
          <w:szCs w:val="16"/>
          <w:b w:val="1"/>
          <w:bCs w:val="1"/>
          <w:i w:val="1"/>
          <w:iCs w:val="1"/>
          <w:color w:val="auto"/>
        </w:rPr>
        <w:t>Our failure to comply with international data protection laws and regulations could lead to government enforcement actions and significant penalties against us, and adversely impact our operating results.</w:t>
      </w:r>
    </w:p>
    <w:p>
      <w:pPr>
        <w:spacing w:after="0" w:line="158" w:lineRule="exact"/>
        <w:rPr>
          <w:sz w:val="20"/>
          <w:szCs w:val="20"/>
          <w:color w:val="auto"/>
        </w:rPr>
      </w:pPr>
    </w:p>
    <w:p>
      <w:pPr>
        <w:ind w:left="40" w:right="39" w:firstLine="566"/>
        <w:spacing w:after="0" w:line="248" w:lineRule="auto"/>
        <w:rPr>
          <w:sz w:val="20"/>
          <w:szCs w:val="20"/>
          <w:color w:val="auto"/>
        </w:rPr>
      </w:pPr>
      <w:r>
        <w:rPr>
          <w:rFonts w:ascii="Arial" w:cs="Arial" w:eastAsia="Arial" w:hAnsi="Arial"/>
          <w:sz w:val="15"/>
          <w:szCs w:val="15"/>
          <w:color w:val="auto"/>
        </w:rPr>
        <w:t>EU member states and other foreign jurisdictions, including Switzerland, have adopted data protection laws and regulations which impose significant compliance obligations. Moreover, the collection and use of personal health data in the EU, which was formerly governed by the provisions of the EU Data Protection Directive, was replaced with the EU General Data Protection Regulation, or the GDPR, in May 2018. The GDPR, which is wide-ranging in scope, imposes several requirements relating to the consent of the individuals to whom the personal data relates, the information provided to the individuals, the security and confidentiality of the personal data, data breach notification and the use of third party processors in connection with the processing of personal data. The GDPR also imposes strict rules on the transfer of personal data out of the EU to the U.S., provides an enforcement authority and imposes large penalties for noncompliance, including the potential for fines of up to €20 million or 4% of the annual global revenues of the noncompliant company, whichever is greater. The GDPR requirements apply not only to third-party transactions, but also to transfers of information between us and our subsidiaries, including employee information. The recent implementation of the GDPR has increased our responsibility and liability in relation to personal data that we process, including in clinical trials, and we may in the future be required to put in place additional mechanisms to ensure compliance with the GDPR, which could divert management’s attention and increase our cost of doing business. In addition, new regulation or legislative actions regarding data privacy and security (together with applicable industry standards) may increase our costs of doing business. In this regard, we expect that there will continue to be new proposed laws, regulations and industry standards relating to privacy and data protection in the United States, the EU and other jurisdictions, and we cannot determine the impact such future laws, regulations and standards may have on our business.</w:t>
      </w:r>
    </w:p>
    <w:p>
      <w:pPr>
        <w:spacing w:after="0" w:line="166" w:lineRule="exact"/>
        <w:rPr>
          <w:sz w:val="20"/>
          <w:szCs w:val="20"/>
          <w:color w:val="auto"/>
        </w:rPr>
      </w:pPr>
    </w:p>
    <w:p>
      <w:pPr>
        <w:ind w:left="40" w:right="59"/>
        <w:spacing w:after="0" w:line="251" w:lineRule="auto"/>
        <w:rPr>
          <w:sz w:val="20"/>
          <w:szCs w:val="20"/>
          <w:color w:val="auto"/>
        </w:rPr>
      </w:pPr>
      <w:r>
        <w:rPr>
          <w:rFonts w:ascii="Arial" w:cs="Arial" w:eastAsia="Arial" w:hAnsi="Arial"/>
          <w:sz w:val="16"/>
          <w:szCs w:val="16"/>
          <w:b w:val="1"/>
          <w:bCs w:val="1"/>
          <w:i w:val="1"/>
          <w:iCs w:val="1"/>
          <w:color w:val="auto"/>
        </w:rPr>
        <w:t>Our failure to comply with state and/or national data protection laws and regulations could lead to government enforcement actions and significant penalties against us, and adversely impact our operating results.</w:t>
      </w:r>
    </w:p>
    <w:p>
      <w:pPr>
        <w:spacing w:after="0" w:line="193" w:lineRule="exact"/>
        <w:rPr>
          <w:sz w:val="20"/>
          <w:szCs w:val="20"/>
          <w:color w:val="auto"/>
        </w:rPr>
      </w:pPr>
    </w:p>
    <w:p>
      <w:pPr>
        <w:ind w:left="40" w:right="99" w:firstLine="566"/>
        <w:spacing w:after="0" w:line="294" w:lineRule="auto"/>
        <w:rPr>
          <w:sz w:val="20"/>
          <w:szCs w:val="20"/>
          <w:color w:val="auto"/>
        </w:rPr>
      </w:pPr>
      <w:r>
        <w:rPr>
          <w:rFonts w:ascii="Arial" w:cs="Arial" w:eastAsia="Arial" w:hAnsi="Arial"/>
          <w:sz w:val="13"/>
          <w:szCs w:val="13"/>
          <w:color w:val="auto"/>
        </w:rPr>
        <w:t>There are numerous other laws and legislative and regulatory initiatives at the federal and state levels addressing privacy and security concerns, and some state privacy and security laws apply more broadly than the Health Insurance Portability and Accountability Act (HIPAA) and its implementing regulations. For example, California recently enacted legislation – the California Consumer Privacy Act, or CCPA – effective January 1, 2020. The CCPA, among other things, creates new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Further, many data privacy and security laws within the U.S. have concurrent jurisdiction, which could subject us to enforcement by multiple agencies under multiple statutes for the same conduct (e.g., FTC enforcement under Section 5, HHS-Office for Civil Rights enforcement under HIPAA, and actions by state Attorneys General for violation of applicable state laws).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302895</wp:posOffset>
            </wp:positionV>
            <wp:extent cx="5682615" cy="152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82615" cy="15240"/>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98" w:name="page99"/>
    <w:bookmarkEnd w:id="98"/>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RISKS RELATED TO OWNERSHIP OF OUR COMMON STOCK</w:t>
      </w:r>
    </w:p>
    <w:p>
      <w:pPr>
        <w:spacing w:after="0" w:line="186"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An active trading market for our common stock may not be sustained.</w:t>
      </w:r>
    </w:p>
    <w:p>
      <w:pPr>
        <w:spacing w:after="0" w:line="182" w:lineRule="exact"/>
        <w:rPr>
          <w:sz w:val="20"/>
          <w:szCs w:val="20"/>
          <w:color w:val="auto"/>
        </w:rPr>
      </w:pPr>
    </w:p>
    <w:p>
      <w:pPr>
        <w:ind w:left="40" w:right="79" w:firstLine="566"/>
        <w:spacing w:after="0" w:line="300" w:lineRule="auto"/>
        <w:rPr>
          <w:sz w:val="20"/>
          <w:szCs w:val="20"/>
          <w:color w:val="auto"/>
        </w:rPr>
      </w:pPr>
      <w:r>
        <w:rPr>
          <w:rFonts w:ascii="Arial" w:cs="Arial" w:eastAsia="Arial" w:hAnsi="Arial"/>
          <w:sz w:val="13"/>
          <w:szCs w:val="13"/>
          <w:color w:val="auto"/>
        </w:rPr>
        <w:t>In November 2015, we closed our initial public offering. Prior to our initial public offering, there was no public market for shares of our common stock. Although we have completed our initial public offering and shares of our common stock are listed and trading on The Nasdaq Global Market, an active trading market for our shares may not be sustained. If an active market for our common stock does not continue, it may be difficult for our stockholders to sell their shares without depressing the market price for the shares or sell their shares at or above the prices at which they acquired their shares or sell their shares at the time they would like to sell. Any inactive trading market for our common stock may also impair our ability to raise capital to continue to fund our operations by selling shares.</w:t>
      </w:r>
    </w:p>
    <w:p>
      <w:pPr>
        <w:spacing w:after="0" w:line="129"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The market price of our common stock may be highly volatile.</w:t>
      </w:r>
    </w:p>
    <w:p>
      <w:pPr>
        <w:spacing w:after="0" w:line="182" w:lineRule="exact"/>
        <w:rPr>
          <w:sz w:val="20"/>
          <w:szCs w:val="20"/>
          <w:color w:val="auto"/>
        </w:rPr>
      </w:pPr>
    </w:p>
    <w:p>
      <w:pPr>
        <w:ind w:left="40" w:right="39" w:firstLine="566"/>
        <w:spacing w:after="0" w:line="236" w:lineRule="auto"/>
        <w:rPr>
          <w:sz w:val="20"/>
          <w:szCs w:val="20"/>
          <w:color w:val="auto"/>
        </w:rPr>
      </w:pPr>
      <w:r>
        <w:rPr>
          <w:rFonts w:ascii="Arial" w:cs="Arial" w:eastAsia="Arial" w:hAnsi="Arial"/>
          <w:sz w:val="16"/>
          <w:szCs w:val="16"/>
          <w:color w:val="auto"/>
        </w:rPr>
        <w:t>The trading price of our common stock is likely to be highly volatile. For example, in 2019, we experienced an extraordinary level of appreciation in our stock price. Such levels of gain are unlikely to continue in the future, and already during the first half of 2020, we have seen both significant appreciations and depreciations in our stock price. As a result of this volatility, investors may not be able to sell their common stock at or above the price paid for the shares. The market price for our common stock may be influenced by many factors, including:</w:t>
      </w:r>
    </w:p>
    <w:p>
      <w:pPr>
        <w:spacing w:after="0" w:line="168" w:lineRule="exact"/>
        <w:rPr>
          <w:sz w:val="20"/>
          <w:szCs w:val="20"/>
          <w:color w:val="auto"/>
        </w:rPr>
      </w:pPr>
    </w:p>
    <w:p>
      <w:pPr>
        <w:ind w:left="620" w:right="539" w:hanging="281"/>
        <w:spacing w:after="0" w:line="251" w:lineRule="auto"/>
        <w:tabs>
          <w:tab w:leader="none" w:pos="6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delays in the commencement, enrollment, and ultimate completion, of our planned and ongoing Phase 3 clinical trials for our product candidates;</w:t>
      </w:r>
    </w:p>
    <w:p>
      <w:pPr>
        <w:spacing w:after="0" w:line="157" w:lineRule="exact"/>
        <w:rPr>
          <w:rFonts w:ascii="Arial" w:cs="Arial" w:eastAsia="Arial" w:hAnsi="Arial"/>
          <w:sz w:val="16"/>
          <w:szCs w:val="16"/>
          <w:color w:val="auto"/>
        </w:rPr>
      </w:pPr>
    </w:p>
    <w:p>
      <w:pPr>
        <w:ind w:left="620" w:hanging="281"/>
        <w:spacing w:after="0"/>
        <w:tabs>
          <w:tab w:leader="none" w:pos="6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any delay or refusal on the part of the FDA in approving an NDA for any of our current and future product candidates;</w:t>
      </w:r>
    </w:p>
    <w:p>
      <w:pPr>
        <w:spacing w:after="0" w:line="181" w:lineRule="exact"/>
        <w:rPr>
          <w:rFonts w:ascii="Arial" w:cs="Arial" w:eastAsia="Arial" w:hAnsi="Arial"/>
          <w:sz w:val="16"/>
          <w:szCs w:val="16"/>
          <w:color w:val="auto"/>
        </w:rPr>
      </w:pPr>
    </w:p>
    <w:p>
      <w:pPr>
        <w:ind w:left="620" w:hanging="281"/>
        <w:spacing w:after="0"/>
        <w:tabs>
          <w:tab w:leader="none" w:pos="6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commercial success of any of our current and future product candidates, if approved by the FDA;</w:t>
      </w:r>
    </w:p>
    <w:p>
      <w:pPr>
        <w:spacing w:after="0" w:line="181" w:lineRule="exact"/>
        <w:rPr>
          <w:rFonts w:ascii="Arial" w:cs="Arial" w:eastAsia="Arial" w:hAnsi="Arial"/>
          <w:sz w:val="16"/>
          <w:szCs w:val="16"/>
          <w:color w:val="auto"/>
        </w:rPr>
      </w:pPr>
    </w:p>
    <w:p>
      <w:pPr>
        <w:ind w:left="620" w:hanging="281"/>
        <w:spacing w:after="0"/>
        <w:tabs>
          <w:tab w:leader="none" w:pos="6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operating and stock price performance of other companies that investors deem comparable to ours;</w:t>
      </w:r>
    </w:p>
    <w:p>
      <w:pPr>
        <w:spacing w:after="0" w:line="181" w:lineRule="exact"/>
        <w:rPr>
          <w:rFonts w:ascii="Arial" w:cs="Arial" w:eastAsia="Arial" w:hAnsi="Arial"/>
          <w:sz w:val="16"/>
          <w:szCs w:val="16"/>
          <w:color w:val="auto"/>
        </w:rPr>
      </w:pPr>
    </w:p>
    <w:p>
      <w:pPr>
        <w:ind w:left="620" w:hanging="281"/>
        <w:spacing w:after="0"/>
        <w:tabs>
          <w:tab w:leader="none" w:pos="6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recommendations by securities analysts;</w:t>
      </w:r>
    </w:p>
    <w:p>
      <w:pPr>
        <w:spacing w:after="0" w:line="181" w:lineRule="exact"/>
        <w:rPr>
          <w:rFonts w:ascii="Arial" w:cs="Arial" w:eastAsia="Arial" w:hAnsi="Arial"/>
          <w:sz w:val="16"/>
          <w:szCs w:val="16"/>
          <w:color w:val="auto"/>
        </w:rPr>
      </w:pPr>
    </w:p>
    <w:p>
      <w:pPr>
        <w:ind w:left="620" w:hanging="281"/>
        <w:spacing w:after="0"/>
        <w:tabs>
          <w:tab w:leader="none" w:pos="6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news relating to our industry as a whole and news relating to trends in our markets;</w:t>
      </w:r>
    </w:p>
    <w:p>
      <w:pPr>
        <w:spacing w:after="0" w:line="181" w:lineRule="exact"/>
        <w:rPr>
          <w:rFonts w:ascii="Arial" w:cs="Arial" w:eastAsia="Arial" w:hAnsi="Arial"/>
          <w:sz w:val="16"/>
          <w:szCs w:val="16"/>
          <w:color w:val="auto"/>
        </w:rPr>
      </w:pPr>
    </w:p>
    <w:p>
      <w:pPr>
        <w:ind w:left="620" w:hanging="281"/>
        <w:spacing w:after="0"/>
        <w:tabs>
          <w:tab w:leader="none" w:pos="6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results of clinical trials of any of our current and future product candidates or those of our competitors;</w:t>
      </w:r>
    </w:p>
    <w:p>
      <w:pPr>
        <w:spacing w:after="0" w:line="181" w:lineRule="exact"/>
        <w:rPr>
          <w:rFonts w:ascii="Arial" w:cs="Arial" w:eastAsia="Arial" w:hAnsi="Arial"/>
          <w:sz w:val="16"/>
          <w:szCs w:val="16"/>
          <w:color w:val="auto"/>
        </w:rPr>
      </w:pPr>
    </w:p>
    <w:p>
      <w:pPr>
        <w:ind w:left="620" w:hanging="281"/>
        <w:spacing w:after="0"/>
        <w:tabs>
          <w:tab w:leader="none" w:pos="6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actual or anticipated variations in quarterly or annual operating results;</w:t>
      </w:r>
    </w:p>
    <w:p>
      <w:pPr>
        <w:spacing w:after="0" w:line="181" w:lineRule="exact"/>
        <w:rPr>
          <w:rFonts w:ascii="Arial" w:cs="Arial" w:eastAsia="Arial" w:hAnsi="Arial"/>
          <w:sz w:val="16"/>
          <w:szCs w:val="16"/>
          <w:color w:val="auto"/>
        </w:rPr>
      </w:pPr>
    </w:p>
    <w:p>
      <w:pPr>
        <w:ind w:left="620" w:hanging="281"/>
        <w:spacing w:after="0"/>
        <w:tabs>
          <w:tab w:leader="none" w:pos="6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failure to meet or exceed financial projections we provide to the public, if any;</w:t>
      </w:r>
    </w:p>
    <w:p>
      <w:pPr>
        <w:spacing w:after="0" w:line="181" w:lineRule="exact"/>
        <w:rPr>
          <w:rFonts w:ascii="Arial" w:cs="Arial" w:eastAsia="Arial" w:hAnsi="Arial"/>
          <w:sz w:val="16"/>
          <w:szCs w:val="16"/>
          <w:color w:val="auto"/>
        </w:rPr>
      </w:pPr>
    </w:p>
    <w:p>
      <w:pPr>
        <w:ind w:left="620" w:hanging="281"/>
        <w:spacing w:after="0"/>
        <w:tabs>
          <w:tab w:leader="none" w:pos="6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failure to meet or exceed the estimates and projections of the investment community, including securities analysts;</w:t>
      </w:r>
    </w:p>
    <w:p>
      <w:pPr>
        <w:spacing w:after="0" w:line="181" w:lineRule="exact"/>
        <w:rPr>
          <w:rFonts w:ascii="Arial" w:cs="Arial" w:eastAsia="Arial" w:hAnsi="Arial"/>
          <w:sz w:val="16"/>
          <w:szCs w:val="16"/>
          <w:color w:val="auto"/>
        </w:rPr>
      </w:pPr>
    </w:p>
    <w:p>
      <w:pPr>
        <w:ind w:left="620" w:hanging="281"/>
        <w:spacing w:after="0"/>
        <w:tabs>
          <w:tab w:leader="none" w:pos="6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introduction of competitive products or technologies;</w:t>
      </w:r>
    </w:p>
    <w:p>
      <w:pPr>
        <w:spacing w:after="0" w:line="181" w:lineRule="exact"/>
        <w:rPr>
          <w:rFonts w:ascii="Arial" w:cs="Arial" w:eastAsia="Arial" w:hAnsi="Arial"/>
          <w:sz w:val="16"/>
          <w:szCs w:val="16"/>
          <w:color w:val="auto"/>
        </w:rPr>
      </w:pPr>
    </w:p>
    <w:p>
      <w:pPr>
        <w:ind w:left="620" w:hanging="281"/>
        <w:spacing w:after="0"/>
        <w:tabs>
          <w:tab w:leader="none" w:pos="6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changes or developments in laws or regulations applicable to our product candidates;</w:t>
      </w:r>
    </w:p>
    <w:p>
      <w:pPr>
        <w:spacing w:after="0" w:line="181" w:lineRule="exact"/>
        <w:rPr>
          <w:rFonts w:ascii="Arial" w:cs="Arial" w:eastAsia="Arial" w:hAnsi="Arial"/>
          <w:sz w:val="16"/>
          <w:szCs w:val="16"/>
          <w:color w:val="auto"/>
        </w:rPr>
      </w:pPr>
    </w:p>
    <w:p>
      <w:pPr>
        <w:ind w:left="620" w:hanging="281"/>
        <w:spacing w:after="0"/>
        <w:tabs>
          <w:tab w:leader="none" w:pos="6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perception of the pharmaceutical industry by the public, legislatures, regulators, and the investment community;</w:t>
      </w:r>
    </w:p>
    <w:p>
      <w:pPr>
        <w:spacing w:after="0" w:line="181" w:lineRule="exact"/>
        <w:rPr>
          <w:rFonts w:ascii="Arial" w:cs="Arial" w:eastAsia="Arial" w:hAnsi="Arial"/>
          <w:sz w:val="16"/>
          <w:szCs w:val="16"/>
          <w:color w:val="auto"/>
        </w:rPr>
      </w:pPr>
    </w:p>
    <w:p>
      <w:pPr>
        <w:ind w:left="620" w:hanging="281"/>
        <w:spacing w:after="0"/>
        <w:tabs>
          <w:tab w:leader="none" w:pos="6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general economic and market conditions and overall fluctuations in U.S. equity markets;</w:t>
      </w:r>
    </w:p>
    <w:p>
      <w:pPr>
        <w:spacing w:after="0" w:line="181" w:lineRule="exact"/>
        <w:rPr>
          <w:rFonts w:ascii="Arial" w:cs="Arial" w:eastAsia="Arial" w:hAnsi="Arial"/>
          <w:sz w:val="16"/>
          <w:szCs w:val="16"/>
          <w:color w:val="auto"/>
        </w:rPr>
      </w:pPr>
    </w:p>
    <w:p>
      <w:pPr>
        <w:ind w:left="620" w:hanging="281"/>
        <w:spacing w:after="0"/>
        <w:tabs>
          <w:tab w:leader="none" w:pos="6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data or security breaches;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302895</wp:posOffset>
            </wp:positionV>
            <wp:extent cx="5682615" cy="222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82615" cy="22225"/>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99" w:name="page100"/>
    <w:bookmarkEnd w:id="99"/>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620" w:hanging="281"/>
        <w:spacing w:after="0"/>
        <w:tabs>
          <w:tab w:leader="none" w:pos="6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developments concerning our sources of manufacturing supply, warehousing, and inventory control;</w:t>
      </w:r>
    </w:p>
    <w:p>
      <w:pPr>
        <w:spacing w:after="0" w:line="181" w:lineRule="exact"/>
        <w:rPr>
          <w:rFonts w:ascii="Arial" w:cs="Arial" w:eastAsia="Arial" w:hAnsi="Arial"/>
          <w:sz w:val="16"/>
          <w:szCs w:val="16"/>
          <w:color w:val="auto"/>
        </w:rPr>
      </w:pPr>
    </w:p>
    <w:p>
      <w:pPr>
        <w:ind w:left="620" w:hanging="281"/>
        <w:spacing w:after="0"/>
        <w:tabs>
          <w:tab w:leader="none" w:pos="6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disputes or other developments relating to patents or other proprietary rights;</w:t>
      </w:r>
    </w:p>
    <w:p>
      <w:pPr>
        <w:spacing w:after="0" w:line="181" w:lineRule="exact"/>
        <w:rPr>
          <w:rFonts w:ascii="Arial" w:cs="Arial" w:eastAsia="Arial" w:hAnsi="Arial"/>
          <w:sz w:val="16"/>
          <w:szCs w:val="16"/>
          <w:color w:val="auto"/>
        </w:rPr>
      </w:pPr>
    </w:p>
    <w:p>
      <w:pPr>
        <w:ind w:left="620" w:hanging="281"/>
        <w:spacing w:after="0"/>
        <w:tabs>
          <w:tab w:leader="none" w:pos="6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additions or departures of key scientific or management personnel;</w:t>
      </w:r>
    </w:p>
    <w:p>
      <w:pPr>
        <w:spacing w:after="0" w:line="181" w:lineRule="exact"/>
        <w:rPr>
          <w:rFonts w:ascii="Arial" w:cs="Arial" w:eastAsia="Arial" w:hAnsi="Arial"/>
          <w:sz w:val="16"/>
          <w:szCs w:val="16"/>
          <w:color w:val="auto"/>
        </w:rPr>
      </w:pPr>
    </w:p>
    <w:p>
      <w:pPr>
        <w:ind w:left="620" w:hanging="281"/>
        <w:spacing w:after="0"/>
        <w:tabs>
          <w:tab w:leader="none" w:pos="6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announcements of investigations or regulatory scrutiny of our operations or lawsuits filed against us;</w:t>
      </w:r>
    </w:p>
    <w:p>
      <w:pPr>
        <w:spacing w:after="0" w:line="181" w:lineRule="exact"/>
        <w:rPr>
          <w:rFonts w:ascii="Arial" w:cs="Arial" w:eastAsia="Arial" w:hAnsi="Arial"/>
          <w:sz w:val="16"/>
          <w:szCs w:val="16"/>
          <w:color w:val="auto"/>
        </w:rPr>
      </w:pPr>
    </w:p>
    <w:p>
      <w:pPr>
        <w:ind w:left="620" w:hanging="281"/>
        <w:spacing w:after="0"/>
        <w:tabs>
          <w:tab w:leader="none" w:pos="6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capital commitments;</w:t>
      </w:r>
    </w:p>
    <w:p>
      <w:pPr>
        <w:spacing w:after="0" w:line="181" w:lineRule="exact"/>
        <w:rPr>
          <w:rFonts w:ascii="Arial" w:cs="Arial" w:eastAsia="Arial" w:hAnsi="Arial"/>
          <w:sz w:val="16"/>
          <w:szCs w:val="16"/>
          <w:color w:val="auto"/>
        </w:rPr>
      </w:pPr>
    </w:p>
    <w:p>
      <w:pPr>
        <w:ind w:left="620" w:hanging="281"/>
        <w:spacing w:after="0"/>
        <w:tabs>
          <w:tab w:leader="none" w:pos="6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investors’ general perception of our company and our business;</w:t>
      </w:r>
    </w:p>
    <w:p>
      <w:pPr>
        <w:spacing w:after="0" w:line="181" w:lineRule="exact"/>
        <w:rPr>
          <w:rFonts w:ascii="Arial" w:cs="Arial" w:eastAsia="Arial" w:hAnsi="Arial"/>
          <w:sz w:val="16"/>
          <w:szCs w:val="16"/>
          <w:color w:val="auto"/>
        </w:rPr>
      </w:pPr>
    </w:p>
    <w:p>
      <w:pPr>
        <w:ind w:left="620" w:hanging="281"/>
        <w:spacing w:after="0"/>
        <w:tabs>
          <w:tab w:leader="none" w:pos="620" w:val="left"/>
        </w:tabs>
        <w:numPr>
          <w:ilvl w:val="0"/>
          <w:numId w:val="39"/>
        </w:numPr>
        <w:rPr>
          <w:rFonts w:ascii="Arial" w:cs="Arial" w:eastAsia="Arial" w:hAnsi="Arial"/>
          <w:sz w:val="13"/>
          <w:szCs w:val="13"/>
          <w:color w:val="auto"/>
        </w:rPr>
      </w:pPr>
      <w:r>
        <w:rPr>
          <w:rFonts w:ascii="Arial" w:cs="Arial" w:eastAsia="Arial" w:hAnsi="Arial"/>
          <w:sz w:val="13"/>
          <w:szCs w:val="13"/>
          <w:color w:val="auto"/>
        </w:rPr>
        <w:t>announcements and expectations of additional financing efforts, including the issuance of debt, equity or convertible securities;</w:t>
      </w:r>
    </w:p>
    <w:p>
      <w:pPr>
        <w:spacing w:after="0" w:line="215" w:lineRule="exact"/>
        <w:rPr>
          <w:rFonts w:ascii="Arial" w:cs="Arial" w:eastAsia="Arial" w:hAnsi="Arial"/>
          <w:sz w:val="13"/>
          <w:szCs w:val="13"/>
          <w:color w:val="auto"/>
        </w:rPr>
      </w:pPr>
    </w:p>
    <w:p>
      <w:pPr>
        <w:ind w:left="620" w:hanging="281"/>
        <w:spacing w:after="0"/>
        <w:tabs>
          <w:tab w:leader="none" w:pos="6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sales of our common stock, including sales by our directors and officers or significant stockholders;</w:t>
      </w:r>
    </w:p>
    <w:p>
      <w:pPr>
        <w:spacing w:after="0" w:line="181" w:lineRule="exact"/>
        <w:rPr>
          <w:rFonts w:ascii="Arial" w:cs="Arial" w:eastAsia="Arial" w:hAnsi="Arial"/>
          <w:sz w:val="16"/>
          <w:szCs w:val="16"/>
          <w:color w:val="auto"/>
        </w:rPr>
      </w:pPr>
    </w:p>
    <w:p>
      <w:pPr>
        <w:ind w:left="620" w:hanging="281"/>
        <w:spacing w:after="0"/>
        <w:tabs>
          <w:tab w:leader="none" w:pos="6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changes in the market valuations of companies similar to us;</w:t>
      </w:r>
    </w:p>
    <w:p>
      <w:pPr>
        <w:spacing w:after="0" w:line="181" w:lineRule="exact"/>
        <w:rPr>
          <w:rFonts w:ascii="Arial" w:cs="Arial" w:eastAsia="Arial" w:hAnsi="Arial"/>
          <w:sz w:val="16"/>
          <w:szCs w:val="16"/>
          <w:color w:val="auto"/>
        </w:rPr>
      </w:pPr>
    </w:p>
    <w:p>
      <w:pPr>
        <w:ind w:left="620" w:hanging="281"/>
        <w:spacing w:after="0"/>
        <w:tabs>
          <w:tab w:leader="none" w:pos="6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acquisitions, strategic partnerships, or divestitures;</w:t>
      </w:r>
    </w:p>
    <w:p>
      <w:pPr>
        <w:spacing w:after="0" w:line="181" w:lineRule="exact"/>
        <w:rPr>
          <w:rFonts w:ascii="Arial" w:cs="Arial" w:eastAsia="Arial" w:hAnsi="Arial"/>
          <w:sz w:val="16"/>
          <w:szCs w:val="16"/>
          <w:color w:val="auto"/>
        </w:rPr>
      </w:pPr>
    </w:p>
    <w:p>
      <w:pPr>
        <w:ind w:left="620" w:hanging="281"/>
        <w:spacing w:after="0"/>
        <w:tabs>
          <w:tab w:leader="none" w:pos="6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general conditions or trends in our industry; and</w:t>
      </w:r>
    </w:p>
    <w:p>
      <w:pPr>
        <w:spacing w:after="0" w:line="181" w:lineRule="exact"/>
        <w:rPr>
          <w:rFonts w:ascii="Arial" w:cs="Arial" w:eastAsia="Arial" w:hAnsi="Arial"/>
          <w:sz w:val="16"/>
          <w:szCs w:val="16"/>
          <w:color w:val="auto"/>
        </w:rPr>
      </w:pPr>
    </w:p>
    <w:p>
      <w:pPr>
        <w:ind w:left="620" w:hanging="281"/>
        <w:spacing w:after="0"/>
        <w:tabs>
          <w:tab w:leader="none" w:pos="6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other factors described in this “Risk Factors” section.</w:t>
      </w:r>
    </w:p>
    <w:p>
      <w:pPr>
        <w:spacing w:after="0" w:line="182" w:lineRule="exact"/>
        <w:rPr>
          <w:sz w:val="20"/>
          <w:szCs w:val="20"/>
          <w:color w:val="auto"/>
        </w:rPr>
      </w:pPr>
    </w:p>
    <w:p>
      <w:pPr>
        <w:ind w:left="40" w:right="79" w:firstLine="566"/>
        <w:spacing w:after="0" w:line="238" w:lineRule="auto"/>
        <w:rPr>
          <w:sz w:val="20"/>
          <w:szCs w:val="20"/>
          <w:color w:val="auto"/>
        </w:rPr>
      </w:pPr>
      <w:r>
        <w:rPr>
          <w:rFonts w:ascii="Arial" w:cs="Arial" w:eastAsia="Arial" w:hAnsi="Arial"/>
          <w:sz w:val="16"/>
          <w:szCs w:val="16"/>
          <w:color w:val="auto"/>
        </w:rPr>
        <w:t>In addition, the stock market in general, and the market for small pharmaceutical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166" w:lineRule="exact"/>
        <w:rPr>
          <w:sz w:val="20"/>
          <w:szCs w:val="20"/>
          <w:color w:val="auto"/>
        </w:rPr>
      </w:pPr>
    </w:p>
    <w:p>
      <w:pPr>
        <w:jc w:val="both"/>
        <w:ind w:left="40" w:right="39" w:firstLine="566"/>
        <w:spacing w:after="0" w:line="241" w:lineRule="auto"/>
        <w:rPr>
          <w:sz w:val="20"/>
          <w:szCs w:val="20"/>
          <w:color w:val="auto"/>
        </w:rPr>
      </w:pPr>
      <w:r>
        <w:rPr>
          <w:rFonts w:ascii="Arial" w:cs="Arial" w:eastAsia="Arial" w:hAnsi="Arial"/>
          <w:sz w:val="16"/>
          <w:szCs w:val="16"/>
          <w:color w:val="auto"/>
        </w:rPr>
        <w:t>Further, in the past, stockholders have initiated class action lawsuits against pharmaceutical and biotechnology companies following periods of volatility in the market prices of these companies’ stocks. Such litigation, if instituted against us, could cause us to incur substantial costs and divert management’s attention and resources from our business.</w:t>
      </w:r>
    </w:p>
    <w:p>
      <w:pPr>
        <w:spacing w:after="0" w:line="165" w:lineRule="exact"/>
        <w:rPr>
          <w:sz w:val="20"/>
          <w:szCs w:val="20"/>
          <w:color w:val="auto"/>
        </w:rPr>
      </w:pPr>
    </w:p>
    <w:p>
      <w:pPr>
        <w:ind w:left="40" w:right="199"/>
        <w:spacing w:after="0" w:line="251" w:lineRule="auto"/>
        <w:rPr>
          <w:sz w:val="20"/>
          <w:szCs w:val="20"/>
          <w:color w:val="auto"/>
        </w:rPr>
      </w:pPr>
      <w:r>
        <w:rPr>
          <w:rFonts w:ascii="Arial" w:cs="Arial" w:eastAsia="Arial" w:hAnsi="Arial"/>
          <w:sz w:val="16"/>
          <w:szCs w:val="16"/>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157" w:lineRule="exact"/>
        <w:rPr>
          <w:sz w:val="20"/>
          <w:szCs w:val="20"/>
          <w:color w:val="auto"/>
        </w:rPr>
      </w:pPr>
    </w:p>
    <w:p>
      <w:pPr>
        <w:ind w:left="40" w:right="59" w:firstLine="566"/>
        <w:spacing w:after="0" w:line="304" w:lineRule="auto"/>
        <w:rPr>
          <w:sz w:val="20"/>
          <w:szCs w:val="20"/>
          <w:color w:val="auto"/>
        </w:rPr>
      </w:pPr>
      <w:r>
        <w:rPr>
          <w:rFonts w:ascii="Arial" w:cs="Arial" w:eastAsia="Arial" w:hAnsi="Arial"/>
          <w:sz w:val="13"/>
          <w:szCs w:val="13"/>
          <w:color w:val="auto"/>
        </w:rPr>
        <w:t>The trading market for our common stock is influenced by the research and reports that equity research analysts publish about us and our business. We do not have any control over the equity research analysts that provide research coverage of our common stock or the content and opinions included in their reports. The price of our stock could decline if one or more equity research analysts downgrades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Our quarterly operating results may fluctuate significantly.</w:t>
      </w:r>
    </w:p>
    <w:p>
      <w:pPr>
        <w:spacing w:after="0" w:line="182" w:lineRule="exact"/>
        <w:rPr>
          <w:sz w:val="20"/>
          <w:szCs w:val="20"/>
          <w:color w:val="auto"/>
        </w:rPr>
      </w:pPr>
    </w:p>
    <w:p>
      <w:pPr>
        <w:ind w:left="40" w:right="299" w:firstLine="566"/>
        <w:spacing w:after="0" w:line="251" w:lineRule="auto"/>
        <w:rPr>
          <w:sz w:val="20"/>
          <w:szCs w:val="20"/>
          <w:color w:val="auto"/>
        </w:rPr>
      </w:pPr>
      <w:r>
        <w:rPr>
          <w:rFonts w:ascii="Arial" w:cs="Arial" w:eastAsia="Arial" w:hAnsi="Arial"/>
          <w:sz w:val="16"/>
          <w:szCs w:val="16"/>
          <w:color w:val="auto"/>
        </w:rPr>
        <w:t>We expect our operating results to be subject to quarterly fluctuations. Our net loss and other operating results will be affected by numerous factors, including:</w:t>
      </w:r>
    </w:p>
    <w:p>
      <w:pPr>
        <w:spacing w:after="0" w:line="157" w:lineRule="exact"/>
        <w:rPr>
          <w:sz w:val="20"/>
          <w:szCs w:val="20"/>
          <w:color w:val="auto"/>
        </w:rPr>
      </w:pPr>
    </w:p>
    <w:p>
      <w:pPr>
        <w:ind w:left="620" w:right="339" w:hanging="281"/>
        <w:spacing w:after="0" w:line="251" w:lineRule="auto"/>
        <w:tabs>
          <w:tab w:leader="none" w:pos="6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whether the FDA requires us to complete additional, unanticipated studies, tests, or other activities prior to approving any of our current and future product candidates, which would likely further delay any such approval;</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302895</wp:posOffset>
            </wp:positionV>
            <wp:extent cx="5682615" cy="2222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82615" cy="22225"/>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100" w:name="page101"/>
    <w:bookmarkEnd w:id="100"/>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620" w:right="179" w:hanging="281"/>
        <w:spacing w:after="0" w:line="265" w:lineRule="auto"/>
        <w:tabs>
          <w:tab w:leader="none" w:pos="620" w:val="left"/>
        </w:tabs>
        <w:numPr>
          <w:ilvl w:val="0"/>
          <w:numId w:val="41"/>
        </w:numPr>
        <w:rPr>
          <w:rFonts w:ascii="Arial" w:cs="Arial" w:eastAsia="Arial" w:hAnsi="Arial"/>
          <w:sz w:val="15"/>
          <w:szCs w:val="15"/>
          <w:color w:val="auto"/>
        </w:rPr>
      </w:pPr>
      <w:r>
        <w:rPr>
          <w:rFonts w:ascii="Arial" w:cs="Arial" w:eastAsia="Arial" w:hAnsi="Arial"/>
          <w:sz w:val="15"/>
          <w:szCs w:val="15"/>
          <w:color w:val="auto"/>
        </w:rPr>
        <w:t>if any of our current or future product candidates is approved, our ability to establish the necessary commercial infrastructure to launch this product candidate without substantial delays, including hiring sales and marketing personnel and contracting with third parties for warehousing, distribution, cash collection, and related commercial activities;</w:t>
      </w:r>
    </w:p>
    <w:p>
      <w:pPr>
        <w:spacing w:after="0" w:line="147" w:lineRule="exact"/>
        <w:rPr>
          <w:rFonts w:ascii="Arial" w:cs="Arial" w:eastAsia="Arial" w:hAnsi="Arial"/>
          <w:sz w:val="15"/>
          <w:szCs w:val="15"/>
          <w:color w:val="auto"/>
        </w:rPr>
      </w:pPr>
    </w:p>
    <w:p>
      <w:pPr>
        <w:ind w:left="620" w:right="199" w:hanging="281"/>
        <w:spacing w:after="0" w:line="251" w:lineRule="auto"/>
        <w:tabs>
          <w:tab w:leader="none" w:pos="6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our ability to identify and enter into third-party manufacturing arrangements capable of manufacturing any of our current or future product candidates in commercial quantities;</w:t>
      </w:r>
    </w:p>
    <w:p>
      <w:pPr>
        <w:spacing w:after="0" w:line="157" w:lineRule="exact"/>
        <w:rPr>
          <w:rFonts w:ascii="Arial" w:cs="Arial" w:eastAsia="Arial" w:hAnsi="Arial"/>
          <w:sz w:val="16"/>
          <w:szCs w:val="16"/>
          <w:color w:val="auto"/>
        </w:rPr>
      </w:pPr>
    </w:p>
    <w:p>
      <w:pPr>
        <w:ind w:left="620" w:right="199" w:hanging="281"/>
        <w:spacing w:after="0" w:line="251" w:lineRule="auto"/>
        <w:tabs>
          <w:tab w:leader="none" w:pos="6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our execution of other collaborative, licensing, or similar arrangements and the timing of payments we may make or receive under these arrangements;</w:t>
      </w:r>
    </w:p>
    <w:p>
      <w:pPr>
        <w:spacing w:after="0" w:line="157" w:lineRule="exact"/>
        <w:rPr>
          <w:rFonts w:ascii="Arial" w:cs="Arial" w:eastAsia="Arial" w:hAnsi="Arial"/>
          <w:sz w:val="16"/>
          <w:szCs w:val="16"/>
          <w:color w:val="auto"/>
        </w:rPr>
      </w:pPr>
    </w:p>
    <w:p>
      <w:pPr>
        <w:ind w:left="620" w:hanging="281"/>
        <w:spacing w:after="0"/>
        <w:tabs>
          <w:tab w:leader="none" w:pos="6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variations in the level of expenses related to our future development programs;</w:t>
      </w:r>
    </w:p>
    <w:p>
      <w:pPr>
        <w:spacing w:after="0" w:line="181" w:lineRule="exact"/>
        <w:rPr>
          <w:rFonts w:ascii="Arial" w:cs="Arial" w:eastAsia="Arial" w:hAnsi="Arial"/>
          <w:sz w:val="16"/>
          <w:szCs w:val="16"/>
          <w:color w:val="auto"/>
        </w:rPr>
      </w:pPr>
    </w:p>
    <w:p>
      <w:pPr>
        <w:ind w:left="620" w:hanging="281"/>
        <w:spacing w:after="0"/>
        <w:tabs>
          <w:tab w:leader="none" w:pos="6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any product liability or intellectual property infringement lawsuit in which we may become involved;</w:t>
      </w:r>
    </w:p>
    <w:p>
      <w:pPr>
        <w:spacing w:after="0" w:line="181" w:lineRule="exact"/>
        <w:rPr>
          <w:rFonts w:ascii="Arial" w:cs="Arial" w:eastAsia="Arial" w:hAnsi="Arial"/>
          <w:sz w:val="16"/>
          <w:szCs w:val="16"/>
          <w:color w:val="auto"/>
        </w:rPr>
      </w:pPr>
    </w:p>
    <w:p>
      <w:pPr>
        <w:ind w:left="620" w:hanging="281"/>
        <w:spacing w:after="0"/>
        <w:tabs>
          <w:tab w:leader="none" w:pos="620" w:val="left"/>
        </w:tabs>
        <w:numPr>
          <w:ilvl w:val="0"/>
          <w:numId w:val="41"/>
        </w:numPr>
        <w:rPr>
          <w:rFonts w:ascii="Arial" w:cs="Arial" w:eastAsia="Arial" w:hAnsi="Arial"/>
          <w:sz w:val="13"/>
          <w:szCs w:val="13"/>
          <w:color w:val="auto"/>
        </w:rPr>
      </w:pPr>
      <w:r>
        <w:rPr>
          <w:rFonts w:ascii="Arial" w:cs="Arial" w:eastAsia="Arial" w:hAnsi="Arial"/>
          <w:sz w:val="13"/>
          <w:szCs w:val="13"/>
          <w:color w:val="auto"/>
        </w:rPr>
        <w:t>regulatory developments affecting our current and future product candidates, or the product candidates of our competitors; and</w:t>
      </w:r>
    </w:p>
    <w:p>
      <w:pPr>
        <w:spacing w:after="0" w:line="215" w:lineRule="exact"/>
        <w:rPr>
          <w:rFonts w:ascii="Arial" w:cs="Arial" w:eastAsia="Arial" w:hAnsi="Arial"/>
          <w:sz w:val="13"/>
          <w:szCs w:val="13"/>
          <w:color w:val="auto"/>
        </w:rPr>
      </w:pPr>
    </w:p>
    <w:p>
      <w:pPr>
        <w:ind w:left="620" w:right="439" w:hanging="281"/>
        <w:spacing w:after="0" w:line="251" w:lineRule="auto"/>
        <w:tabs>
          <w:tab w:leader="none" w:pos="6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if any of our current or future product candidates receive regulatory approval, the level of underlying demand for such product candidate and wholesaler buying patterns.</w:t>
      </w:r>
    </w:p>
    <w:p>
      <w:pPr>
        <w:spacing w:after="0" w:line="158" w:lineRule="exact"/>
        <w:rPr>
          <w:sz w:val="20"/>
          <w:szCs w:val="20"/>
          <w:color w:val="auto"/>
        </w:rPr>
      </w:pPr>
    </w:p>
    <w:p>
      <w:pPr>
        <w:ind w:left="40" w:right="39" w:firstLine="566"/>
        <w:spacing w:after="0" w:line="238" w:lineRule="auto"/>
        <w:rPr>
          <w:sz w:val="20"/>
          <w:szCs w:val="20"/>
          <w:color w:val="auto"/>
        </w:rPr>
      </w:pPr>
      <w:r>
        <w:rPr>
          <w:rFonts w:ascii="Arial" w:cs="Arial" w:eastAsia="Arial" w:hAnsi="Arial"/>
          <w:sz w:val="16"/>
          <w:szCs w:val="16"/>
          <w:color w:val="auto"/>
        </w:rPr>
        <w:t>If our quarterly or annual operating results fall below the expectations of investors or securities analysts, the price of our common stock could decline substantially. Furthermore, any quarterly or annual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spacing w:after="0" w:line="166" w:lineRule="exact"/>
        <w:rPr>
          <w:sz w:val="20"/>
          <w:szCs w:val="20"/>
          <w:color w:val="auto"/>
        </w:rPr>
      </w:pPr>
    </w:p>
    <w:p>
      <w:pPr>
        <w:ind w:left="40" w:right="39"/>
        <w:spacing w:after="0" w:line="251" w:lineRule="auto"/>
        <w:rPr>
          <w:sz w:val="20"/>
          <w:szCs w:val="20"/>
          <w:color w:val="auto"/>
        </w:rPr>
      </w:pPr>
      <w:r>
        <w:rPr>
          <w:rFonts w:ascii="Arial" w:cs="Arial" w:eastAsia="Arial" w:hAnsi="Arial"/>
          <w:sz w:val="16"/>
          <w:szCs w:val="16"/>
          <w:b w:val="1"/>
          <w:bCs w:val="1"/>
          <w:i w:val="1"/>
          <w:iCs w:val="1"/>
          <w:color w:val="auto"/>
        </w:rPr>
        <w:t>Raising additional funds by issuing securities may cause dilution to existing stockholders and raising funds through lending and licensing arrangements may restrict our operations or require us to relinquish proprietary rights.</w:t>
      </w:r>
    </w:p>
    <w:p>
      <w:pPr>
        <w:spacing w:after="0" w:line="157" w:lineRule="exact"/>
        <w:rPr>
          <w:sz w:val="20"/>
          <w:szCs w:val="20"/>
          <w:color w:val="auto"/>
        </w:rPr>
      </w:pPr>
    </w:p>
    <w:p>
      <w:pPr>
        <w:ind w:left="40" w:right="79" w:firstLine="566"/>
        <w:spacing w:after="0" w:line="253" w:lineRule="auto"/>
        <w:rPr>
          <w:sz w:val="20"/>
          <w:szCs w:val="20"/>
          <w:color w:val="auto"/>
        </w:rPr>
      </w:pPr>
      <w:r>
        <w:rPr>
          <w:rFonts w:ascii="Arial" w:cs="Arial" w:eastAsia="Arial" w:hAnsi="Arial"/>
          <w:sz w:val="15"/>
          <w:szCs w:val="15"/>
          <w:color w:val="auto"/>
        </w:rPr>
        <w:t>Until such time, if ever, as we can generate substantial product revenues, we expect to finance our cash needs through a combination of equity offerings, debt financings, grants, and license and development agreements in connection with any collaborations. To the extent that we raise additional capital by issuing equity securities, our existing stockholders’ ownership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59" w:lineRule="exact"/>
        <w:rPr>
          <w:sz w:val="20"/>
          <w:szCs w:val="20"/>
          <w:color w:val="auto"/>
        </w:rPr>
      </w:pPr>
    </w:p>
    <w:p>
      <w:pPr>
        <w:ind w:left="40" w:right="99" w:firstLine="566"/>
        <w:spacing w:after="0" w:line="234" w:lineRule="auto"/>
        <w:rPr>
          <w:sz w:val="20"/>
          <w:szCs w:val="20"/>
          <w:color w:val="auto"/>
        </w:rPr>
      </w:pPr>
      <w:r>
        <w:rPr>
          <w:rFonts w:ascii="Arial" w:cs="Arial" w:eastAsia="Arial" w:hAnsi="Arial"/>
          <w:sz w:val="16"/>
          <w:szCs w:val="16"/>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Any debt financing we enter into may involve covenants that restrict our operations. These restrictive covenants may include limitations on additional borrowing and specific restrictions on the use of our assets as well as prohibitions on our ability to create liens, pay dividends, redeem our stock, or make investments.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302895</wp:posOffset>
            </wp:positionV>
            <wp:extent cx="5682615" cy="2222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82615" cy="22225"/>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101" w:name="page102"/>
    <w:bookmarkEnd w:id="101"/>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 w:right="239"/>
        <w:spacing w:after="0" w:line="251" w:lineRule="auto"/>
        <w:rPr>
          <w:sz w:val="20"/>
          <w:szCs w:val="20"/>
          <w:color w:val="auto"/>
        </w:rPr>
      </w:pPr>
      <w:r>
        <w:rPr>
          <w:rFonts w:ascii="Arial" w:cs="Arial" w:eastAsia="Arial" w:hAnsi="Arial"/>
          <w:sz w:val="16"/>
          <w:szCs w:val="16"/>
          <w:b w:val="1"/>
          <w:bCs w:val="1"/>
          <w:i w:val="1"/>
          <w:iCs w:val="1"/>
          <w:color w:val="auto"/>
        </w:rPr>
        <w:t>Our principal stockholders and management own a significant percentage of our stock and will be able to exert significant control over matters subject to stockholder approval.</w:t>
      </w:r>
    </w:p>
    <w:p>
      <w:pPr>
        <w:spacing w:after="0" w:line="158" w:lineRule="exact"/>
        <w:rPr>
          <w:sz w:val="20"/>
          <w:szCs w:val="20"/>
          <w:color w:val="auto"/>
        </w:rPr>
      </w:pPr>
    </w:p>
    <w:p>
      <w:pPr>
        <w:ind w:left="40" w:right="59" w:firstLine="566"/>
        <w:spacing w:after="0" w:line="235" w:lineRule="auto"/>
        <w:rPr>
          <w:sz w:val="20"/>
          <w:szCs w:val="20"/>
          <w:color w:val="auto"/>
        </w:rPr>
      </w:pPr>
      <w:r>
        <w:rPr>
          <w:rFonts w:ascii="Arial" w:cs="Arial" w:eastAsia="Arial" w:hAnsi="Arial"/>
          <w:sz w:val="16"/>
          <w:szCs w:val="16"/>
          <w:color w:val="auto"/>
        </w:rPr>
        <w:t>As of October 30, 2020, our executive officers, directors, and 5% stockholders and their affiliates beneficially owned an aggregate of approximately 41% of our outstanding common stock. As a result, these stockholders have significant influence and may be able to determine all matters requiring stockholder approval. For example, these stockholders may be able to control elections of directors, amendments of our organizational documents, or approval of any merger, sale of assets, or other major corporate transaction. This concentration of ownership could delay or prevent any acquisition of our company on terms that other stockholders may desire, and may adversely affect the market price of our common stock.</w:t>
      </w:r>
    </w:p>
    <w:p>
      <w:pPr>
        <w:spacing w:after="0" w:line="169" w:lineRule="exact"/>
        <w:rPr>
          <w:sz w:val="20"/>
          <w:szCs w:val="20"/>
          <w:color w:val="auto"/>
        </w:rPr>
      </w:pPr>
    </w:p>
    <w:p>
      <w:pPr>
        <w:ind w:left="40" w:right="79" w:firstLine="566"/>
        <w:spacing w:after="0" w:line="297" w:lineRule="auto"/>
        <w:rPr>
          <w:sz w:val="20"/>
          <w:szCs w:val="20"/>
          <w:color w:val="auto"/>
        </w:rPr>
      </w:pPr>
      <w:r>
        <w:rPr>
          <w:rFonts w:ascii="Arial" w:cs="Arial" w:eastAsia="Arial" w:hAnsi="Arial"/>
          <w:sz w:val="13"/>
          <w:szCs w:val="13"/>
          <w:color w:val="auto"/>
        </w:rPr>
        <w:t>Some of these persons or entities may have interests different than our other stockholders. For example, these stockholders, if they acted together, could significantly influence all matters requiring approval by our stockholders, including the election of directors and the approval of mergers or other business combination transactions. These stockholders may be able to determine all matters requiring stockholder approval. The interests of these stockholders may not always coincide with our interests or the interests of other stockholders. This may also prevent or discourage unsolicited acquisition proposals or offers for our common stock that other stockholders may feel are in their best interest and our large stockholders may act in a manner that advances their best interests and not necessarily those of other stockholders, including seeking a premium value for their common stock, and might affect the prevailing market price for our common stock.</w:t>
      </w:r>
    </w:p>
    <w:p>
      <w:pPr>
        <w:spacing w:after="0" w:line="132" w:lineRule="exact"/>
        <w:rPr>
          <w:sz w:val="20"/>
          <w:szCs w:val="20"/>
          <w:color w:val="auto"/>
        </w:rPr>
      </w:pPr>
    </w:p>
    <w:p>
      <w:pPr>
        <w:jc w:val="both"/>
        <w:ind w:left="40" w:right="399"/>
        <w:spacing w:after="0" w:line="251" w:lineRule="auto"/>
        <w:rPr>
          <w:sz w:val="20"/>
          <w:szCs w:val="20"/>
          <w:color w:val="auto"/>
        </w:rPr>
      </w:pPr>
      <w:r>
        <w:rPr>
          <w:rFonts w:ascii="Arial" w:cs="Arial" w:eastAsia="Arial" w:hAnsi="Arial"/>
          <w:sz w:val="16"/>
          <w:szCs w:val="16"/>
          <w:b w:val="1"/>
          <w:bCs w:val="1"/>
          <w:i w:val="1"/>
          <w:iCs w:val="1"/>
          <w:color w:val="auto"/>
        </w:rPr>
        <w:t>Sales of a substantial number of shares of our common stock in the public market by our existing stockholders could cause our stock price to fall.</w:t>
      </w:r>
    </w:p>
    <w:p>
      <w:pPr>
        <w:spacing w:after="0" w:line="157" w:lineRule="exact"/>
        <w:rPr>
          <w:sz w:val="20"/>
          <w:szCs w:val="20"/>
          <w:color w:val="auto"/>
        </w:rPr>
      </w:pPr>
    </w:p>
    <w:p>
      <w:pPr>
        <w:jc w:val="both"/>
        <w:ind w:left="40" w:right="379" w:firstLine="566"/>
        <w:spacing w:after="0" w:line="324" w:lineRule="auto"/>
        <w:rPr>
          <w:sz w:val="20"/>
          <w:szCs w:val="20"/>
          <w:color w:val="auto"/>
        </w:rPr>
      </w:pPr>
      <w:r>
        <w:rPr>
          <w:rFonts w:ascii="Arial" w:cs="Arial" w:eastAsia="Arial" w:hAnsi="Arial"/>
          <w:sz w:val="13"/>
          <w:szCs w:val="13"/>
          <w:color w:val="auto"/>
        </w:rPr>
        <w:t>Sales of a substantial number of shares of our common stock in the public market or the perception that these sales might occur, could depress the market price of our common stock and could impair our ability to raise adequate capital through the sale of additional equity securities. We are unable to predict the effect that sales may have on the prevailing market price of our common stock.</w:t>
      </w:r>
    </w:p>
    <w:p>
      <w:pPr>
        <w:spacing w:after="0" w:line="114" w:lineRule="exact"/>
        <w:rPr>
          <w:sz w:val="20"/>
          <w:szCs w:val="20"/>
          <w:color w:val="auto"/>
        </w:rPr>
      </w:pPr>
    </w:p>
    <w:p>
      <w:pPr>
        <w:ind w:left="40" w:right="139" w:firstLine="566"/>
        <w:spacing w:after="0" w:line="304" w:lineRule="auto"/>
        <w:rPr>
          <w:sz w:val="20"/>
          <w:szCs w:val="20"/>
          <w:color w:val="auto"/>
        </w:rPr>
      </w:pPr>
      <w:r>
        <w:rPr>
          <w:rFonts w:ascii="Arial" w:cs="Arial" w:eastAsia="Arial" w:hAnsi="Arial"/>
          <w:sz w:val="13"/>
          <w:szCs w:val="13"/>
          <w:color w:val="auto"/>
        </w:rPr>
        <w:t>As of October 30, 2020, we have outstanding 37,344,201 shares of common stock and 4,082,739 shares of common stock equivalents that would increase the number of common stock outstanding if these instruments were exercised or converted, including stock options to purchase common stock based on vesting requirements and warrants to purchase common stock, as well as outstanding restricted stock units. Of our currently outstanding shares of common stock, 29,382,477 are freely tradable. The remainder of the outstanding shares of common stock are held by our affiliates and may be considered “control securities” for purposes of Rule 144 under the Securities Act.</w:t>
      </w:r>
    </w:p>
    <w:p>
      <w:pPr>
        <w:spacing w:after="0" w:line="126" w:lineRule="exact"/>
        <w:rPr>
          <w:sz w:val="20"/>
          <w:szCs w:val="20"/>
          <w:color w:val="auto"/>
        </w:rPr>
      </w:pPr>
    </w:p>
    <w:p>
      <w:pPr>
        <w:ind w:left="40" w:right="199" w:firstLine="566"/>
        <w:spacing w:after="0" w:line="236" w:lineRule="auto"/>
        <w:rPr>
          <w:sz w:val="20"/>
          <w:szCs w:val="20"/>
          <w:color w:val="auto"/>
        </w:rPr>
      </w:pPr>
      <w:r>
        <w:rPr>
          <w:rFonts w:ascii="Arial" w:cs="Arial" w:eastAsia="Arial" w:hAnsi="Arial"/>
          <w:sz w:val="16"/>
          <w:szCs w:val="16"/>
          <w:color w:val="auto"/>
        </w:rPr>
        <w:t>In addition, we have filed one or more registration statements on Form S-8 registering the issuance of an aggregate of 7,481,050 shares of common stock subject to options or other equity awards issued or reserved for future issuance under our 2015 Omnibus Incentive Compensation Plan, or the Plan. Shares registered under registration statements on Form S-8 will be available for sale in the public market subject to vesting arrangements and exercise of options, the lock-up agreements described above and the restrictions of Rule 144 in the case of our affiliates.</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302895</wp:posOffset>
            </wp:positionV>
            <wp:extent cx="5682615" cy="2222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82615" cy="22225"/>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102" w:name="page103"/>
    <w:bookmarkEnd w:id="102"/>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 w:right="239"/>
        <w:spacing w:after="0" w:line="284" w:lineRule="auto"/>
        <w:rPr>
          <w:sz w:val="20"/>
          <w:szCs w:val="20"/>
          <w:color w:val="auto"/>
        </w:rPr>
      </w:pPr>
      <w:r>
        <w:rPr>
          <w:rFonts w:ascii="Arial" w:cs="Arial" w:eastAsia="Arial" w:hAnsi="Arial"/>
          <w:sz w:val="15"/>
          <w:szCs w:val="15"/>
          <w:b w:val="1"/>
          <w:bCs w:val="1"/>
          <w:i w:val="1"/>
          <w:iCs w:val="1"/>
          <w:color w:val="auto"/>
        </w:rPr>
        <w:t>Our management will have broad discretion in the use of the net proceeds from our capital raises, including our December 2019 public offering and the proceeds from sales pursuant to our Sales Agreement, and may not use them effectively.</w:t>
      </w:r>
    </w:p>
    <w:p>
      <w:pPr>
        <w:spacing w:after="0" w:line="134" w:lineRule="exact"/>
        <w:rPr>
          <w:sz w:val="20"/>
          <w:szCs w:val="20"/>
          <w:color w:val="auto"/>
        </w:rPr>
      </w:pPr>
    </w:p>
    <w:p>
      <w:pPr>
        <w:ind w:left="40" w:right="59" w:firstLine="566"/>
        <w:spacing w:after="0" w:line="292" w:lineRule="auto"/>
        <w:rPr>
          <w:sz w:val="20"/>
          <w:szCs w:val="20"/>
          <w:color w:val="auto"/>
        </w:rPr>
      </w:pPr>
      <w:r>
        <w:rPr>
          <w:rFonts w:ascii="Arial" w:cs="Arial" w:eastAsia="Arial" w:hAnsi="Arial"/>
          <w:sz w:val="13"/>
          <w:szCs w:val="13"/>
          <w:color w:val="auto"/>
        </w:rPr>
        <w:t>Our management will have broad discretion in the application of the net proceeds from our capital raises, which we refer to as our Capital Raises, including our December 2019 public offering and the proceeds from sales pursuant to our December 2019 “at-the-market” sales agreement with SVB Leerink, which provides for the sale of up to $80.0 million of our common stock from time to time, and our stockholders will not have the opportunity as part of their investment decision to assess whether the net proceeds from our Capital Raises are being used appropriately. Our stockholders may not agree with our decisions, and our use of the proceeds may not yield any return on investment for our stockholders. Because of the number and variability of factors that will determine our use of the net proceeds from our Capital Raises their ultimate use may vary substantially from their currently intended use. Our failure to apply the net proceeds of our Capital Raises effectively could compromise our ability to pursue our growth strategy and we might not be able to yield a significant return, if any, on our investment of those net proceeds. Our stockholders will not have the opportunity to influence our decisions on how to use our net proceeds from our Capital Raises. Pending their use, we may invest the net proceeds from our Capital Raises in short-term, investment-grade, interest-bearing instruments and U.S. government securities. These temporary investments are not likely to yield a significant return.</w:t>
      </w:r>
    </w:p>
    <w:p>
      <w:pPr>
        <w:spacing w:after="0" w:line="315" w:lineRule="exact"/>
        <w:rPr>
          <w:sz w:val="20"/>
          <w:szCs w:val="20"/>
          <w:color w:val="auto"/>
        </w:rPr>
      </w:pPr>
    </w:p>
    <w:p>
      <w:pPr>
        <w:ind w:left="40" w:right="279"/>
        <w:spacing w:after="0" w:line="251" w:lineRule="auto"/>
        <w:rPr>
          <w:sz w:val="20"/>
          <w:szCs w:val="20"/>
          <w:color w:val="auto"/>
        </w:rPr>
      </w:pPr>
      <w:r>
        <w:rPr>
          <w:rFonts w:ascii="Arial" w:cs="Arial" w:eastAsia="Arial" w:hAnsi="Arial"/>
          <w:sz w:val="16"/>
          <w:szCs w:val="16"/>
          <w:b w:val="1"/>
          <w:bCs w:val="1"/>
          <w:i w:val="1"/>
          <w:iCs w:val="1"/>
          <w:color w:val="auto"/>
        </w:rPr>
        <w:t>We are an “emerging growth company” and as a result of the reduced disclosure and governance requirements applicable to emerging growth companies, our common stock may be less attractive to investors.</w:t>
      </w:r>
    </w:p>
    <w:p>
      <w:pPr>
        <w:spacing w:after="0" w:line="157" w:lineRule="exact"/>
        <w:rPr>
          <w:sz w:val="20"/>
          <w:szCs w:val="20"/>
          <w:color w:val="auto"/>
        </w:rPr>
      </w:pPr>
    </w:p>
    <w:p>
      <w:pPr>
        <w:ind w:left="40" w:right="79" w:firstLine="566"/>
        <w:spacing w:after="0" w:line="295" w:lineRule="auto"/>
        <w:rPr>
          <w:sz w:val="20"/>
          <w:szCs w:val="20"/>
          <w:color w:val="auto"/>
        </w:rPr>
      </w:pPr>
      <w:r>
        <w:rPr>
          <w:rFonts w:ascii="Arial" w:cs="Arial" w:eastAsia="Arial" w:hAnsi="Arial"/>
          <w:sz w:val="13"/>
          <w:szCs w:val="13"/>
          <w:color w:val="auto"/>
        </w:rPr>
        <w:t>We are an “emerging growth company,” as defined in the Jumpstart Our Business Startups Act of 2012, or JOBS Act, and we intend to take advantage of some of the exemptions from reporting requirements that are applicable to other public companies that are not emerging growth companies, including not being required to comply with the auditor attestation requirements of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may take advantage of these reporting exemptions until we are no longer an emerging growth company. 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w:t>
      </w:r>
    </w:p>
    <w:p>
      <w:pPr>
        <w:spacing w:after="0" w:line="133" w:lineRule="exact"/>
        <w:rPr>
          <w:sz w:val="20"/>
          <w:szCs w:val="20"/>
          <w:color w:val="auto"/>
        </w:rPr>
      </w:pPr>
    </w:p>
    <w:p>
      <w:pPr>
        <w:ind w:left="40" w:right="119" w:firstLine="566"/>
        <w:spacing w:after="0" w:line="235" w:lineRule="auto"/>
        <w:rPr>
          <w:sz w:val="20"/>
          <w:szCs w:val="20"/>
          <w:color w:val="auto"/>
        </w:rPr>
      </w:pPr>
      <w:r>
        <w:rPr>
          <w:rFonts w:ascii="Arial" w:cs="Arial" w:eastAsia="Arial" w:hAnsi="Arial"/>
          <w:sz w:val="15"/>
          <w:szCs w:val="15"/>
          <w:color w:val="auto"/>
        </w:rPr>
        <w:t>We will remain an emerging growth company until the earlier of (1) December 31, 2020, (2) the last day of the fiscal year (a) in which we have total annual gross revenue of at least $1.07 billion, or (b) in which we are deemed to be a large accelerated filer, which means the market value of our common stock that is held by non-affiliates exceeds $700 million as of the prior June 30</w:t>
      </w:r>
      <w:r>
        <w:rPr>
          <w:rFonts w:ascii="Arial" w:cs="Arial" w:eastAsia="Arial" w:hAnsi="Arial"/>
          <w:sz w:val="22"/>
          <w:szCs w:val="22"/>
          <w:color w:val="auto"/>
          <w:vertAlign w:val="superscript"/>
        </w:rPr>
        <w:t>th</w:t>
      </w:r>
      <w:r>
        <w:rPr>
          <w:rFonts w:ascii="Arial" w:cs="Arial" w:eastAsia="Arial" w:hAnsi="Arial"/>
          <w:sz w:val="15"/>
          <w:szCs w:val="15"/>
          <w:color w:val="auto"/>
        </w:rPr>
        <w:t>, and (3) the date on which we have issued more than $1.0 billion in non-convertible debt during the prior three-year period. As such, we anticipate that we will no longer be an emerging growth company as of December 31, 2020. To the extent we are no longer eligible to use exemptions from various reporting requirements under the JOBS Act, we may be unable to realize our anticipated cost savings from these exemptions, which could have a material adverse impact on our operating results.</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302895</wp:posOffset>
            </wp:positionV>
            <wp:extent cx="5682615" cy="2222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82615" cy="22225"/>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103" w:name="page104"/>
    <w:bookmarkEnd w:id="103"/>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The use of our net operating loss carryforwards and research tax credits may be limited.</w:t>
      </w:r>
    </w:p>
    <w:p>
      <w:pPr>
        <w:spacing w:after="0" w:line="182" w:lineRule="exact"/>
        <w:rPr>
          <w:sz w:val="20"/>
          <w:szCs w:val="20"/>
          <w:color w:val="auto"/>
        </w:rPr>
      </w:pPr>
    </w:p>
    <w:p>
      <w:pPr>
        <w:ind w:left="40" w:right="39" w:firstLine="566"/>
        <w:spacing w:after="0" w:line="288" w:lineRule="auto"/>
        <w:rPr>
          <w:sz w:val="20"/>
          <w:szCs w:val="20"/>
          <w:color w:val="auto"/>
        </w:rPr>
      </w:pPr>
      <w:r>
        <w:rPr>
          <w:rFonts w:ascii="Arial" w:cs="Arial" w:eastAsia="Arial" w:hAnsi="Arial"/>
          <w:sz w:val="13"/>
          <w:szCs w:val="13"/>
          <w:color w:val="auto"/>
        </w:rPr>
        <w:t>Our net operating loss carryforwards and any future research and development tax credits may expire and not be used. As of December 31, 2019, we had U.S. federal net operating loss, NOL, carryforwards of approximately $154 million. Net operating loss carry forwards amounting to $60 million generated before the 2018 tax year will start expiring beginning 2033, if we have not used them prior to that time, and the net operating losses of approximately $94 million generated in 2018 and later have an indefinite carryforward period. Net operating loss carry forwards arising in taxable years ending after December 31, 2017 are no longer subject to expiration under the Internal Revenue Code of 1986, as amended, or the Code. Additionally, our ability to use any net operating loss and credit carryforwards to offset taxable income or tax, respectively, in the future will be limited under Sections 382 and 383 of the Code, respectively, if we have a cumulative change in ownership of more than 50% within a three-year period. The completion of our initial public offering, together with our March 2017 public offering, our December 2017 registered direct offering, our October 2018 registered direct offering, December 2019 public offering, private placements and other transactions that have occurred, may trigger, or may have already triggered, such an ownership change. In addition, since we may need to raise additional funding to finance our operations, we may undergo further ownership changes in the future. We have never completed an analysis as to whether such a change of ownership has occurred, but in such an event, we will be limited regarding the amount of net operating loss carryforwards and research tax credits that could be utilized annually in the future to offset taxable income or tax, respectively. Any such annual limitation may significantly reduce the utilization of the net operating loss carryforwards and research tax credits before they expire. In addition, certain states have suspended use of net operating loss carryforwards for certain taxable years, and other states are considering similar measures. As a result, we may incur higher state income tax expense in the future. Depending on our future tax position, continued suspension of our ability to use net operating loss carryforwards in states in which we are subject to income tax could have an adverse impact on our results of operations and financial condition.</w:t>
      </w:r>
    </w:p>
    <w:p>
      <w:pPr>
        <w:spacing w:after="0" w:line="322" w:lineRule="exact"/>
        <w:rPr>
          <w:sz w:val="20"/>
          <w:szCs w:val="20"/>
          <w:color w:val="auto"/>
        </w:rPr>
      </w:pPr>
    </w:p>
    <w:p>
      <w:pPr>
        <w:ind w:left="40" w:right="79" w:firstLine="566"/>
        <w:spacing w:after="0" w:line="295" w:lineRule="auto"/>
        <w:rPr>
          <w:sz w:val="20"/>
          <w:szCs w:val="20"/>
          <w:color w:val="auto"/>
        </w:rPr>
      </w:pPr>
      <w:r>
        <w:rPr>
          <w:rFonts w:ascii="Arial" w:cs="Arial" w:eastAsia="Arial" w:hAnsi="Arial"/>
          <w:sz w:val="13"/>
          <w:szCs w:val="13"/>
          <w:color w:val="auto"/>
        </w:rPr>
        <w:t>On March 27, 2020, the Coronavirus Aid, Relief, and Economic Security Act, or the CARES Act, was enacted and signed into law, and GAAP requires recognition of the tax effects of new legislation during the reporting period that includes the enactment date. The CARES Act, among other things, includes changes to the tax provisions that benefits business entities and makes certain technical corrections to the 2017 Tax Cuts and Jobs Act including permitting NOLs, carryovers and carrybacks to offset 100% of taxable income for taxable years beginning before 2021. In addition, the CARES Act allows NOLs incurred in 2018, 2019, and 2020 to be carried back to each of the five preceding taxable years to generate a refund of previously paid income taxes. The CARES Act provides other reliefs and stimulus measures. We are currently evaluating the impact of the CARES Act, however, at present we do not expect that any provision of the CARES Act would result in a material cash benefit to us or have a material impact on our financial statements or internal controls over financial reporting.</w:t>
      </w:r>
    </w:p>
    <w:p>
      <w:pPr>
        <w:spacing w:after="0" w:line="133" w:lineRule="exact"/>
        <w:rPr>
          <w:sz w:val="20"/>
          <w:szCs w:val="20"/>
          <w:color w:val="auto"/>
        </w:rPr>
      </w:pPr>
    </w:p>
    <w:p>
      <w:pPr>
        <w:ind w:left="40" w:right="159"/>
        <w:spacing w:after="0" w:line="251" w:lineRule="auto"/>
        <w:rPr>
          <w:sz w:val="20"/>
          <w:szCs w:val="20"/>
          <w:color w:val="auto"/>
        </w:rPr>
      </w:pPr>
      <w:r>
        <w:rPr>
          <w:rFonts w:ascii="Arial" w:cs="Arial" w:eastAsia="Arial" w:hAnsi="Arial"/>
          <w:sz w:val="16"/>
          <w:szCs w:val="16"/>
          <w:b w:val="1"/>
          <w:bCs w:val="1"/>
          <w:i w:val="1"/>
          <w:iCs w:val="1"/>
          <w:color w:val="auto"/>
        </w:rPr>
        <w:t>Because we do not intend to pay dividends on our common stock, returns for our stockholders will be limited to any increase in the value of our stock.</w:t>
      </w:r>
    </w:p>
    <w:p>
      <w:pPr>
        <w:spacing w:after="0" w:line="157" w:lineRule="exact"/>
        <w:rPr>
          <w:sz w:val="20"/>
          <w:szCs w:val="20"/>
          <w:color w:val="auto"/>
        </w:rPr>
      </w:pPr>
    </w:p>
    <w:p>
      <w:pPr>
        <w:ind w:left="40" w:right="59" w:firstLine="566"/>
        <w:spacing w:after="0" w:line="255" w:lineRule="auto"/>
        <w:rPr>
          <w:sz w:val="20"/>
          <w:szCs w:val="20"/>
          <w:color w:val="auto"/>
        </w:rPr>
      </w:pPr>
      <w:r>
        <w:rPr>
          <w:rFonts w:ascii="Arial" w:cs="Arial" w:eastAsia="Arial" w:hAnsi="Arial"/>
          <w:sz w:val="15"/>
          <w:szCs w:val="15"/>
          <w:color w:val="auto"/>
        </w:rPr>
        <w:t>We have never declared or paid any cash dividends on our capital stock. In addition, the terms of our existing credit facility with Hercules preclude us from paying cash dividends without Hercules’ consent. We currently intend to retain all available funds and any future earnings to support our operations and finance the growth and development of our business and do not anticipate declaring or paying any cash dividends on our common stock for the foreseeable future. Any return to stockholders will therefore be limited to the appreciation of their stock, if any. Investors seeking cash dividends should not purchase our common stock.</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302895</wp:posOffset>
            </wp:positionV>
            <wp:extent cx="5682615" cy="222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82615" cy="22225"/>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104" w:name="page105"/>
    <w:bookmarkEnd w:id="104"/>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ind w:left="40" w:right="159"/>
        <w:spacing w:after="0" w:line="241" w:lineRule="auto"/>
        <w:rPr>
          <w:sz w:val="20"/>
          <w:szCs w:val="20"/>
          <w:color w:val="auto"/>
        </w:rPr>
      </w:pPr>
      <w:r>
        <w:rPr>
          <w:rFonts w:ascii="Arial" w:cs="Arial" w:eastAsia="Arial" w:hAnsi="Arial"/>
          <w:sz w:val="16"/>
          <w:szCs w:val="16"/>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65" w:lineRule="exact"/>
        <w:rPr>
          <w:sz w:val="20"/>
          <w:szCs w:val="20"/>
          <w:color w:val="auto"/>
        </w:rPr>
      </w:pPr>
    </w:p>
    <w:p>
      <w:pPr>
        <w:ind w:left="40" w:right="39" w:firstLine="566"/>
        <w:spacing w:after="0" w:line="297" w:lineRule="auto"/>
        <w:rPr>
          <w:sz w:val="20"/>
          <w:szCs w:val="20"/>
          <w:color w:val="auto"/>
        </w:rPr>
      </w:pPr>
      <w:r>
        <w:rPr>
          <w:rFonts w:ascii="Arial" w:cs="Arial" w:eastAsia="Arial" w:hAnsi="Arial"/>
          <w:sz w:val="13"/>
          <w:szCs w:val="13"/>
          <w:color w:val="auto"/>
        </w:rPr>
        <w:t>There are provisions in our amended and restated certificate of incorporation and amended and restated bylaws that may make it difficult for a third party to acquire, or attempt to acquire, control of our company, even if a change in control was considered favorable by you and other stockholders. For example, our board of directors will have the authority to issue up to 10,000,000 shares of preferred stock and to fix the price, rights, preferences, privileges, and restrictions of the preferred stock without any further vote or action by our stockholders. We do not currently have any preferred stock outstanding. The issuance of shares of preferred stock may delay or prevent a change in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32" w:lineRule="exact"/>
        <w:rPr>
          <w:sz w:val="20"/>
          <w:szCs w:val="20"/>
          <w:color w:val="auto"/>
        </w:rPr>
      </w:pPr>
    </w:p>
    <w:p>
      <w:pPr>
        <w:ind w:left="40" w:right="59" w:firstLine="566"/>
        <w:spacing w:after="0" w:line="235" w:lineRule="auto"/>
        <w:rPr>
          <w:sz w:val="20"/>
          <w:szCs w:val="20"/>
          <w:color w:val="auto"/>
        </w:rPr>
      </w:pPr>
      <w:r>
        <w:rPr>
          <w:rFonts w:ascii="Arial" w:cs="Arial" w:eastAsia="Arial" w:hAnsi="Arial"/>
          <w:sz w:val="16"/>
          <w:szCs w:val="16"/>
          <w:color w:val="auto"/>
        </w:rPr>
        <w:t>In addition, we are subject to the anti-takeover provisions of Section 203 of the Delaware General Corporation Law, or DGCL, which regulates corporate acquisitions by prohibiting Delaware corporations from engaging in specified business combinations with particular stockholders of those companies.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169" w:lineRule="exact"/>
        <w:rPr>
          <w:sz w:val="20"/>
          <w:szCs w:val="20"/>
          <w:color w:val="auto"/>
        </w:rPr>
      </w:pPr>
    </w:p>
    <w:p>
      <w:pPr>
        <w:jc w:val="both"/>
        <w:ind w:left="40" w:right="59"/>
        <w:spacing w:after="0" w:line="265" w:lineRule="auto"/>
        <w:rPr>
          <w:sz w:val="20"/>
          <w:szCs w:val="20"/>
          <w:color w:val="auto"/>
        </w:rPr>
      </w:pPr>
      <w:r>
        <w:rPr>
          <w:rFonts w:ascii="Arial" w:cs="Arial" w:eastAsia="Arial" w:hAnsi="Arial"/>
          <w:sz w:val="15"/>
          <w:szCs w:val="15"/>
          <w:b w:val="1"/>
          <w:bCs w:val="1"/>
          <w:i w:val="1"/>
          <w:iCs w:val="1"/>
          <w:color w:val="auto"/>
        </w:rPr>
        <w:t>Our amended and restated certificate of incorporation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48" w:lineRule="exact"/>
        <w:rPr>
          <w:sz w:val="20"/>
          <w:szCs w:val="20"/>
          <w:color w:val="auto"/>
        </w:rPr>
      </w:pPr>
    </w:p>
    <w:p>
      <w:pPr>
        <w:ind w:left="40" w:right="79" w:firstLine="566"/>
        <w:spacing w:after="0" w:line="235" w:lineRule="auto"/>
        <w:rPr>
          <w:sz w:val="20"/>
          <w:szCs w:val="20"/>
          <w:color w:val="auto"/>
        </w:rPr>
      </w:pPr>
      <w:r>
        <w:rPr>
          <w:rFonts w:ascii="Arial" w:cs="Arial" w:eastAsia="Arial" w:hAnsi="Arial"/>
          <w:sz w:val="16"/>
          <w:szCs w:val="16"/>
          <w:color w:val="auto"/>
        </w:rPr>
        <w:t>Our amended and restated certificate of incorporation provides that, unless we consent in writing to the selection of an alternate form, the Court of Chancery of the State of Delaware will be the sole and exclusive forum for (1) any derivative action or proceeding brought on our behalf, (2) any action asserting a claim of breach of a fiduciary duty owed by any of our directors, officers, employees or agents to us or our stockholders, (3) any action asserting a claim arising pursuant to the DGCL, or (4) any other action asserting a claim against us that is governed by the internal affairs doctrine, in each such case subject to such Court of Chancery having personal jurisdiction over the indispensable parties named as defendants therein.</w:t>
      </w:r>
    </w:p>
    <w:p>
      <w:pPr>
        <w:spacing w:after="0" w:line="169" w:lineRule="exact"/>
        <w:rPr>
          <w:sz w:val="20"/>
          <w:szCs w:val="20"/>
          <w:color w:val="auto"/>
        </w:rPr>
      </w:pPr>
    </w:p>
    <w:p>
      <w:pPr>
        <w:ind w:left="40" w:right="59" w:firstLine="566"/>
        <w:spacing w:after="0" w:line="290" w:lineRule="auto"/>
        <w:rPr>
          <w:sz w:val="20"/>
          <w:szCs w:val="20"/>
          <w:color w:val="auto"/>
        </w:rPr>
      </w:pPr>
      <w:r>
        <w:rPr>
          <w:rFonts w:ascii="Arial" w:cs="Arial" w:eastAsia="Arial" w:hAnsi="Arial"/>
          <w:sz w:val="13"/>
          <w:szCs w:val="13"/>
          <w:color w:val="auto"/>
        </w:rPr>
        <w:t>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or agents, which may discourage such lawsuits against us and our directors, officers, employees, and agents. Further, this choice of forum provision does not preclude or contract the scope of exclusive federal or concurrent jurisdiction for any actions brought under the Securities Act or the Exchange Act.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In addition, Section 22 of the Securities Act creates concurrent jurisdiction for federal and state courts over all suits brought to enforce any duty or liability created by the Securities Act or the rules and regulations thereunder. As a result, the exclusive forum provision will not apply to suits brought to enforce any duty or liability created by the Securities Act or any other claim for which the federal and state courts have concurrent jurisdiction. Accordingly, our exclusive forum provision will not relieve us of our duties to comply with the federal securities laws and the rules and regulations thereunder, and our stockholders will not be deemed to have waived our compliance with these laws, rules and regulations.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302895</wp:posOffset>
            </wp:positionV>
            <wp:extent cx="5682615" cy="2222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82615" cy="22225"/>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105" w:name="page106"/>
    <w:bookmarkEnd w:id="105"/>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 w:right="119" w:firstLine="566"/>
        <w:spacing w:after="0" w:line="310" w:lineRule="auto"/>
        <w:rPr>
          <w:sz w:val="20"/>
          <w:szCs w:val="20"/>
          <w:color w:val="auto"/>
        </w:rPr>
      </w:pPr>
      <w:r>
        <w:rPr>
          <w:rFonts w:ascii="Arial" w:cs="Arial" w:eastAsia="Arial" w:hAnsi="Arial"/>
          <w:sz w:val="13"/>
          <w:szCs w:val="13"/>
          <w:color w:val="auto"/>
        </w:rPr>
        <w:t>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financial condition, and results of operations. Even if we are successful in defending against these claims, litigation could result in substantial costs and be a distraction to management and other employees.</w:t>
      </w:r>
    </w:p>
    <w:p>
      <w:pPr>
        <w:spacing w:after="0" w:line="10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6. Exhibits.</w:t>
      </w:r>
    </w:p>
    <w:p>
      <w:pPr>
        <w:spacing w:after="0" w:line="186" w:lineRule="exact"/>
        <w:rPr>
          <w:sz w:val="20"/>
          <w:szCs w:val="20"/>
          <w:color w:val="auto"/>
        </w:rPr>
      </w:pPr>
    </w:p>
    <w:p>
      <w:pPr>
        <w:ind w:left="40"/>
        <w:spacing w:after="0"/>
        <w:rPr>
          <w:sz w:val="20"/>
          <w:szCs w:val="20"/>
          <w:color w:val="auto"/>
        </w:rPr>
      </w:pPr>
      <w:r>
        <w:rPr>
          <w:rFonts w:ascii="Arial" w:cs="Arial" w:eastAsia="Arial" w:hAnsi="Arial"/>
          <w:sz w:val="13"/>
          <w:szCs w:val="13"/>
          <w:color w:val="auto"/>
        </w:rPr>
        <w:t>The exhibits filed as part of this Quarterly Report on Form 10-Q are set forth on the Exhibit Index, which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302895</wp:posOffset>
            </wp:positionV>
            <wp:extent cx="5682615" cy="2222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82615" cy="22225"/>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106" w:name="page107"/>
    <w:bookmarkEnd w:id="106"/>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380" w:type="dxa"/>
            <w:vAlign w:val="bottom"/>
            <w:gridSpan w:val="9"/>
          </w:tcPr>
          <w:p>
            <w:pPr>
              <w:ind w:left="140"/>
              <w:spacing w:after="0"/>
              <w:rPr>
                <w:sz w:val="20"/>
                <w:szCs w:val="20"/>
                <w:color w:val="auto"/>
              </w:rPr>
            </w:pPr>
            <w:r>
              <w:rPr>
                <w:rFonts w:ascii="Arial" w:cs="Arial" w:eastAsia="Arial" w:hAnsi="Arial"/>
                <w:sz w:val="16"/>
                <w:szCs w:val="16"/>
                <w:b w:val="1"/>
                <w:bCs w:val="1"/>
                <w:color w:val="auto"/>
              </w:rPr>
              <w:t>INDEX OF EXHIBITS</w:t>
            </w:r>
          </w:p>
        </w:tc>
      </w:tr>
      <w:tr>
        <w:trPr>
          <w:trHeight w:val="488"/>
        </w:trPr>
        <w:tc>
          <w:tcPr>
            <w:tcW w:w="9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7"/>
              </w:rPr>
              <w:t>Exhibit</w:t>
            </w: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1"/>
        </w:trPr>
        <w:tc>
          <w:tcPr>
            <w:tcW w:w="9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3"/>
              </w:rPr>
              <w:t>Number</w:t>
            </w:r>
          </w:p>
        </w:tc>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380" w:type="dxa"/>
            <w:vAlign w:val="bottom"/>
            <w:gridSpan w:val="9"/>
          </w:tcPr>
          <w:p>
            <w:pPr>
              <w:ind w:left="1060"/>
              <w:spacing w:after="0"/>
              <w:rPr>
                <w:sz w:val="20"/>
                <w:szCs w:val="20"/>
                <w:color w:val="auto"/>
              </w:rPr>
            </w:pPr>
            <w:r>
              <w:rPr>
                <w:rFonts w:ascii="Arial" w:cs="Arial" w:eastAsia="Arial" w:hAnsi="Arial"/>
                <w:sz w:val="13"/>
                <w:szCs w:val="13"/>
                <w:b w:val="1"/>
                <w:bCs w:val="1"/>
                <w:color w:val="auto"/>
              </w:rPr>
              <w:t>Description</w:t>
            </w:r>
          </w:p>
        </w:tc>
      </w:tr>
      <w:tr>
        <w:trPr>
          <w:trHeight w:val="322"/>
        </w:trPr>
        <w:tc>
          <w:tcPr>
            <w:tcW w:w="7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3"/>
              </w:rPr>
              <w:t>10.1</w:t>
            </w:r>
          </w:p>
        </w:tc>
        <w:tc>
          <w:tcPr>
            <w:tcW w:w="1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00" w:type="dxa"/>
            <w:vAlign w:val="bottom"/>
            <w:tcBorders>
              <w:top w:val="single" w:sz="8" w:color="auto"/>
            </w:tcBorders>
            <w:gridSpan w:val="13"/>
          </w:tcPr>
          <w:p>
            <w:pPr>
              <w:spacing w:after="0"/>
              <w:rPr>
                <w:rFonts w:ascii="Arial" w:cs="Arial" w:eastAsia="Arial" w:hAnsi="Arial"/>
                <w:sz w:val="16"/>
                <w:szCs w:val="16"/>
                <w:color w:val="0000EE"/>
                <w:w w:val="91"/>
              </w:rPr>
            </w:pPr>
            <w:hyperlink r:id="rId120">
              <w:r>
                <w:rPr>
                  <w:rFonts w:ascii="Arial" w:cs="Arial" w:eastAsia="Arial" w:hAnsi="Arial"/>
                  <w:sz w:val="16"/>
                  <w:szCs w:val="16"/>
                  <w:color w:val="0000EE"/>
                  <w:w w:val="91"/>
                </w:rPr>
                <w:t>WeWork Membership Agreement effective as of August 1, 2020, by and between the Company and 22 Cortlandt Street HQ</w:t>
              </w:r>
            </w:hyperlink>
          </w:p>
        </w:tc>
      </w:tr>
      <w:tr>
        <w:trPr>
          <w:trHeight w:val="157"/>
        </w:trPr>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60" w:type="dxa"/>
            <w:vAlign w:val="bottom"/>
            <w:tcBorders>
              <w:top w:val="single" w:sz="8" w:color="0000EE"/>
              <w:bottom w:val="single" w:sz="8" w:color="0000EE"/>
            </w:tcBorders>
            <w:gridSpan w:val="5"/>
          </w:tcPr>
          <w:p>
            <w:pPr>
              <w:spacing w:after="0" w:line="157" w:lineRule="exact"/>
              <w:rPr>
                <w:rFonts w:ascii="Arial" w:cs="Arial" w:eastAsia="Arial" w:hAnsi="Arial"/>
                <w:sz w:val="16"/>
                <w:szCs w:val="16"/>
                <w:color w:val="0000EE"/>
                <w:w w:val="90"/>
              </w:rPr>
            </w:pPr>
            <w:hyperlink r:id="rId120">
              <w:r>
                <w:rPr>
                  <w:rFonts w:ascii="Arial" w:cs="Arial" w:eastAsia="Arial" w:hAnsi="Arial"/>
                  <w:sz w:val="16"/>
                  <w:szCs w:val="16"/>
                  <w:color w:val="0000EE"/>
                  <w:w w:val="90"/>
                </w:rPr>
                <w:t>LLC (Incorporated by reference, Exhibit 10.1 to the Company’s Form 10-Q filed August 10, 2020).</w:t>
              </w:r>
            </w:hyperlink>
          </w:p>
        </w:tc>
        <w:tc>
          <w:tcPr>
            <w:tcW w:w="1500" w:type="dxa"/>
            <w:vAlign w:val="bottom"/>
            <w:tcBorders>
              <w:top w:val="single" w:sz="8" w:color="0000EE"/>
            </w:tcBorders>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368"/>
        </w:trPr>
        <w:tc>
          <w:tcPr>
            <w:tcW w:w="760" w:type="dxa"/>
            <w:vAlign w:val="bottom"/>
          </w:tcPr>
          <w:p>
            <w:pPr>
              <w:jc w:val="center"/>
              <w:spacing w:after="0"/>
              <w:rPr>
                <w:sz w:val="20"/>
                <w:szCs w:val="20"/>
                <w:color w:val="auto"/>
              </w:rPr>
            </w:pPr>
            <w:r>
              <w:rPr>
                <w:rFonts w:ascii="Arial" w:cs="Arial" w:eastAsia="Arial" w:hAnsi="Arial"/>
                <w:sz w:val="16"/>
                <w:szCs w:val="16"/>
                <w:color w:val="auto"/>
              </w:rPr>
              <w:t>10.2**+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0" w:type="dxa"/>
            <w:vAlign w:val="bottom"/>
            <w:gridSpan w:val="13"/>
          </w:tcPr>
          <w:p>
            <w:pPr>
              <w:spacing w:after="0"/>
              <w:rPr>
                <w:sz w:val="20"/>
                <w:szCs w:val="20"/>
                <w:color w:val="auto"/>
              </w:rPr>
            </w:pPr>
            <w:r>
              <w:rPr>
                <w:rFonts w:ascii="Arial" w:cs="Arial" w:eastAsia="Arial" w:hAnsi="Arial"/>
                <w:sz w:val="16"/>
                <w:szCs w:val="16"/>
                <w:color w:val="auto"/>
              </w:rPr>
              <w:t>Agreement, dated as of September 3, 2020, by and between Axsome Therapeutics, Inc. and David Marek.</w:t>
            </w:r>
          </w:p>
        </w:tc>
      </w:tr>
      <w:tr>
        <w:trPr>
          <w:trHeight w:val="319"/>
        </w:trPr>
        <w:tc>
          <w:tcPr>
            <w:tcW w:w="760" w:type="dxa"/>
            <w:vAlign w:val="bottom"/>
          </w:tcPr>
          <w:p>
            <w:pPr>
              <w:jc w:val="center"/>
              <w:spacing w:after="0"/>
              <w:rPr>
                <w:sz w:val="20"/>
                <w:szCs w:val="20"/>
                <w:color w:val="auto"/>
              </w:rPr>
            </w:pPr>
            <w:r>
              <w:rPr>
                <w:rFonts w:ascii="Arial" w:cs="Arial" w:eastAsia="Arial" w:hAnsi="Arial"/>
                <w:sz w:val="16"/>
                <w:szCs w:val="16"/>
                <w:color w:val="auto"/>
                <w:w w:val="96"/>
              </w:rPr>
              <w:t>10.3**</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80" w:type="dxa"/>
            <w:vAlign w:val="bottom"/>
            <w:tcBorders>
              <w:bottom w:val="single" w:sz="8" w:color="0000EE"/>
            </w:tcBorders>
            <w:gridSpan w:val="9"/>
          </w:tcPr>
          <w:p>
            <w:pPr>
              <w:spacing w:after="0"/>
              <w:rPr>
                <w:rFonts w:ascii="Arial" w:cs="Arial" w:eastAsia="Arial" w:hAnsi="Arial"/>
                <w:sz w:val="16"/>
                <w:szCs w:val="16"/>
                <w:color w:val="0000EE"/>
                <w:w w:val="88"/>
              </w:rPr>
            </w:pPr>
            <w:hyperlink w:anchor="page109">
              <w:r>
                <w:rPr>
                  <w:rFonts w:ascii="Arial" w:cs="Arial" w:eastAsia="Arial" w:hAnsi="Arial"/>
                  <w:sz w:val="16"/>
                  <w:szCs w:val="16"/>
                  <w:color w:val="0000EE"/>
                  <w:w w:val="88"/>
                </w:rPr>
                <w:t>Loan and Security Agreement, dated as of September 25, 2020, by and among Axsome Therapeutics, Inc., the Lenders who</w:t>
              </w:r>
            </w:hyperlink>
          </w:p>
        </w:tc>
        <w:tc>
          <w:tcPr>
            <w:tcW w:w="220" w:type="dxa"/>
            <w:vAlign w:val="bottom"/>
            <w:gridSpan w:val="4"/>
          </w:tcPr>
          <w:p>
            <w:pPr>
              <w:spacing w:after="0"/>
              <w:rPr>
                <w:sz w:val="24"/>
                <w:szCs w:val="24"/>
                <w:color w:val="auto"/>
              </w:rPr>
            </w:pPr>
          </w:p>
        </w:tc>
      </w:tr>
      <w:tr>
        <w:trPr>
          <w:trHeight w:val="157"/>
        </w:trPr>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0" w:type="dxa"/>
            <w:vAlign w:val="bottom"/>
            <w:gridSpan w:val="13"/>
          </w:tcPr>
          <w:p>
            <w:pPr>
              <w:spacing w:after="0" w:line="157" w:lineRule="exact"/>
              <w:rPr>
                <w:rFonts w:ascii="Arial" w:cs="Arial" w:eastAsia="Arial" w:hAnsi="Arial"/>
                <w:sz w:val="16"/>
                <w:szCs w:val="16"/>
                <w:color w:val="0000EE"/>
                <w:w w:val="90"/>
              </w:rPr>
            </w:pPr>
            <w:hyperlink w:anchor="page109">
              <w:r>
                <w:rPr>
                  <w:rFonts w:ascii="Arial" w:cs="Arial" w:eastAsia="Arial" w:hAnsi="Arial"/>
                  <w:sz w:val="16"/>
                  <w:szCs w:val="16"/>
                  <w:color w:val="0000EE"/>
                  <w:w w:val="90"/>
                </w:rPr>
                <w:t>from time to time may be party thereto, and Hercules Capital, Inc., in its capacity as administrative agent and collateral agent</w:t>
              </w:r>
            </w:hyperlink>
          </w:p>
        </w:tc>
      </w:tr>
      <w:tr>
        <w:trPr>
          <w:trHeight w:val="157"/>
        </w:trPr>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20" w:type="dxa"/>
            <w:vAlign w:val="bottom"/>
            <w:tcBorders>
              <w:top w:val="single" w:sz="8" w:color="0000EE"/>
              <w:bottom w:val="single" w:sz="8" w:color="0000EE"/>
            </w:tcBorders>
          </w:tcPr>
          <w:p>
            <w:pPr>
              <w:spacing w:after="0" w:line="157" w:lineRule="exact"/>
              <w:rPr>
                <w:rFonts w:ascii="Arial" w:cs="Arial" w:eastAsia="Arial" w:hAnsi="Arial"/>
                <w:sz w:val="16"/>
                <w:szCs w:val="16"/>
                <w:color w:val="0000EE"/>
                <w:w w:val="88"/>
              </w:rPr>
            </w:pPr>
            <w:hyperlink w:anchor="page109">
              <w:r>
                <w:rPr>
                  <w:rFonts w:ascii="Arial" w:cs="Arial" w:eastAsia="Arial" w:hAnsi="Arial"/>
                  <w:sz w:val="16"/>
                  <w:szCs w:val="16"/>
                  <w:color w:val="0000EE"/>
                  <w:w w:val="88"/>
                </w:rPr>
                <w:t>for itself and the Lenders.</w:t>
              </w:r>
            </w:hyperlink>
          </w:p>
        </w:tc>
        <w:tc>
          <w:tcPr>
            <w:tcW w:w="6240" w:type="dxa"/>
            <w:vAlign w:val="bottom"/>
            <w:tcBorders>
              <w:top w:val="single" w:sz="8" w:color="0000EE"/>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368"/>
        </w:trPr>
        <w:tc>
          <w:tcPr>
            <w:tcW w:w="760" w:type="dxa"/>
            <w:vAlign w:val="bottom"/>
          </w:tcPr>
          <w:p>
            <w:pPr>
              <w:jc w:val="center"/>
              <w:spacing w:after="0"/>
              <w:rPr>
                <w:sz w:val="20"/>
                <w:szCs w:val="20"/>
                <w:color w:val="auto"/>
              </w:rPr>
            </w:pPr>
            <w:r>
              <w:rPr>
                <w:rFonts w:ascii="Arial" w:cs="Arial" w:eastAsia="Arial" w:hAnsi="Arial"/>
                <w:sz w:val="16"/>
                <w:szCs w:val="16"/>
                <w:color w:val="auto"/>
                <w:w w:val="96"/>
              </w:rPr>
              <w:t>10.4**</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0" w:type="dxa"/>
            <w:vAlign w:val="bottom"/>
            <w:gridSpan w:val="13"/>
          </w:tcPr>
          <w:p>
            <w:pPr>
              <w:spacing w:after="0"/>
              <w:rPr>
                <w:rFonts w:ascii="Arial" w:cs="Arial" w:eastAsia="Arial" w:hAnsi="Arial"/>
                <w:sz w:val="16"/>
                <w:szCs w:val="16"/>
                <w:color w:val="0000EE"/>
                <w:w w:val="90"/>
              </w:rPr>
            </w:pPr>
            <w:hyperlink w:anchor="page211">
              <w:r>
                <w:rPr>
                  <w:rFonts w:ascii="Arial" w:cs="Arial" w:eastAsia="Arial" w:hAnsi="Arial"/>
                  <w:sz w:val="16"/>
                  <w:szCs w:val="16"/>
                  <w:u w:val="single" w:color="auto"/>
                  <w:color w:val="0000EE"/>
                  <w:w w:val="90"/>
                </w:rPr>
                <w:t>Warrant Agreement, dated as of September 25, 2020, by and between Axsome Therapeutics, Inc. and Hercules Capital, Inc</w:t>
              </w:r>
              <w:r>
                <w:rPr>
                  <w:rFonts w:ascii="Arial" w:cs="Arial" w:eastAsia="Arial" w:hAnsi="Arial"/>
                  <w:sz w:val="16"/>
                  <w:szCs w:val="16"/>
                  <w:color w:val="0000EE"/>
                  <w:w w:val="90"/>
                </w:rPr>
                <w:t>.</w:t>
              </w:r>
            </w:hyperlink>
          </w:p>
        </w:tc>
      </w:tr>
      <w:tr>
        <w:trPr>
          <w:trHeight w:val="319"/>
        </w:trPr>
        <w:tc>
          <w:tcPr>
            <w:tcW w:w="760" w:type="dxa"/>
            <w:vAlign w:val="bottom"/>
          </w:tcPr>
          <w:p>
            <w:pPr>
              <w:jc w:val="center"/>
              <w:spacing w:after="0"/>
              <w:rPr>
                <w:sz w:val="20"/>
                <w:szCs w:val="20"/>
                <w:color w:val="auto"/>
              </w:rPr>
            </w:pPr>
            <w:r>
              <w:rPr>
                <w:rFonts w:ascii="Arial" w:cs="Arial" w:eastAsia="Arial" w:hAnsi="Arial"/>
                <w:sz w:val="16"/>
                <w:szCs w:val="16"/>
                <w:color w:val="auto"/>
                <w:w w:val="96"/>
              </w:rPr>
              <w:t>10.5**</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0" w:type="dxa"/>
            <w:vAlign w:val="bottom"/>
            <w:gridSpan w:val="13"/>
          </w:tcPr>
          <w:p>
            <w:pPr>
              <w:spacing w:after="0"/>
              <w:rPr>
                <w:rFonts w:ascii="Arial" w:cs="Arial" w:eastAsia="Arial" w:hAnsi="Arial"/>
                <w:sz w:val="16"/>
                <w:szCs w:val="16"/>
                <w:color w:val="0000EE"/>
                <w:w w:val="94"/>
              </w:rPr>
            </w:pPr>
            <w:hyperlink w:anchor="page226">
              <w:r>
                <w:rPr>
                  <w:rFonts w:ascii="Arial" w:cs="Arial" w:eastAsia="Arial" w:hAnsi="Arial"/>
                  <w:sz w:val="16"/>
                  <w:szCs w:val="16"/>
                  <w:color w:val="0000EE"/>
                  <w:w w:val="94"/>
                </w:rPr>
                <w:t>Direct Agreement, by and among Axsome Therapeutics, Inc., Antecip Bioventures II LLC, and Hercules Capital Inc., as</w:t>
              </w:r>
            </w:hyperlink>
          </w:p>
        </w:tc>
      </w:tr>
      <w:tr>
        <w:trPr>
          <w:trHeight w:val="157"/>
        </w:trPr>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20" w:type="dxa"/>
            <w:vAlign w:val="bottom"/>
            <w:tcBorders>
              <w:top w:val="single" w:sz="8" w:color="0000EE"/>
              <w:bottom w:val="single" w:sz="8" w:color="0000EE"/>
            </w:tcBorders>
            <w:gridSpan w:val="4"/>
          </w:tcPr>
          <w:p>
            <w:pPr>
              <w:spacing w:after="0" w:line="157" w:lineRule="exact"/>
              <w:rPr>
                <w:rFonts w:ascii="Arial" w:cs="Arial" w:eastAsia="Arial" w:hAnsi="Arial"/>
                <w:sz w:val="16"/>
                <w:szCs w:val="16"/>
                <w:color w:val="0000EE"/>
                <w:w w:val="88"/>
              </w:rPr>
            </w:pPr>
            <w:hyperlink w:anchor="page226">
              <w:r>
                <w:rPr>
                  <w:rFonts w:ascii="Arial" w:cs="Arial" w:eastAsia="Arial" w:hAnsi="Arial"/>
                  <w:sz w:val="16"/>
                  <w:szCs w:val="16"/>
                  <w:color w:val="0000EE"/>
                  <w:w w:val="88"/>
                </w:rPr>
                <w:t>collateral agent for itself and the Lenders.</w:t>
              </w:r>
            </w:hyperlink>
          </w:p>
        </w:tc>
        <w:tc>
          <w:tcPr>
            <w:tcW w:w="4940" w:type="dxa"/>
            <w:vAlign w:val="bottom"/>
            <w:tcBorders>
              <w:top w:val="single" w:sz="8" w:color="0000EE"/>
            </w:tcBorders>
            <w:gridSpan w:val="2"/>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r>
      <w:tr>
        <w:trPr>
          <w:trHeight w:val="334"/>
        </w:trPr>
        <w:tc>
          <w:tcPr>
            <w:tcW w:w="760" w:type="dxa"/>
            <w:vAlign w:val="bottom"/>
          </w:tcPr>
          <w:p>
            <w:pPr>
              <w:jc w:val="center"/>
              <w:spacing w:after="0"/>
              <w:rPr>
                <w:sz w:val="20"/>
                <w:szCs w:val="20"/>
                <w:color w:val="auto"/>
              </w:rPr>
            </w:pPr>
            <w:r>
              <w:rPr>
                <w:rFonts w:ascii="Arial" w:cs="Arial" w:eastAsia="Arial" w:hAnsi="Arial"/>
                <w:sz w:val="16"/>
                <w:szCs w:val="16"/>
                <w:color w:val="auto"/>
                <w:w w:val="96"/>
              </w:rPr>
              <w:t>31.1**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0" w:type="dxa"/>
            <w:vAlign w:val="bottom"/>
            <w:gridSpan w:val="13"/>
          </w:tcPr>
          <w:p>
            <w:pPr>
              <w:spacing w:after="0"/>
              <w:rPr>
                <w:rFonts w:ascii="Arial" w:cs="Arial" w:eastAsia="Arial" w:hAnsi="Arial"/>
                <w:sz w:val="16"/>
                <w:szCs w:val="16"/>
                <w:color w:val="0000EE"/>
                <w:w w:val="91"/>
              </w:rPr>
            </w:pPr>
            <w:hyperlink w:anchor="page238">
              <w:r>
                <w:rPr>
                  <w:rFonts w:ascii="Arial" w:cs="Arial" w:eastAsia="Arial" w:hAnsi="Arial"/>
                  <w:sz w:val="16"/>
                  <w:szCs w:val="16"/>
                  <w:color w:val="0000EE"/>
                  <w:w w:val="91"/>
                </w:rPr>
                <w:t>Certification of Principal Executive Officer pursuant to Rule 13a-14(a)/15d-14(a), as adopted pursuant to Section 302 of the</w:t>
              </w:r>
            </w:hyperlink>
          </w:p>
        </w:tc>
      </w:tr>
      <w:tr>
        <w:trPr>
          <w:trHeight w:val="157"/>
        </w:trPr>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780" w:type="dxa"/>
            <w:vAlign w:val="bottom"/>
            <w:tcBorders>
              <w:top w:val="single" w:sz="8" w:color="0000EE"/>
            </w:tcBorders>
            <w:gridSpan w:val="9"/>
          </w:tcPr>
          <w:p>
            <w:pPr>
              <w:spacing w:after="0" w:line="157" w:lineRule="exact"/>
              <w:rPr>
                <w:rFonts w:ascii="Arial" w:cs="Arial" w:eastAsia="Arial" w:hAnsi="Arial"/>
                <w:sz w:val="16"/>
                <w:szCs w:val="16"/>
                <w:color w:val="0000EE"/>
              </w:rPr>
            </w:pPr>
            <w:hyperlink w:anchor="page238">
              <w:r>
                <w:rPr>
                  <w:rFonts w:ascii="Arial" w:cs="Arial" w:eastAsia="Arial" w:hAnsi="Arial"/>
                  <w:sz w:val="16"/>
                  <w:szCs w:val="16"/>
                  <w:color w:val="0000EE"/>
                </w:rPr>
                <w:t>Sarbanes-Oxley Act of 2002.</w:t>
              </w:r>
            </w:hyperlink>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34"/>
        </w:trPr>
        <w:tc>
          <w:tcPr>
            <w:tcW w:w="760" w:type="dxa"/>
            <w:vAlign w:val="bottom"/>
          </w:tcPr>
          <w:p>
            <w:pPr>
              <w:jc w:val="center"/>
              <w:spacing w:after="0"/>
              <w:rPr>
                <w:sz w:val="20"/>
                <w:szCs w:val="20"/>
                <w:color w:val="auto"/>
              </w:rPr>
            </w:pPr>
            <w:r>
              <w:rPr>
                <w:rFonts w:ascii="Arial" w:cs="Arial" w:eastAsia="Arial" w:hAnsi="Arial"/>
                <w:sz w:val="16"/>
                <w:szCs w:val="16"/>
                <w:color w:val="auto"/>
                <w:w w:val="96"/>
              </w:rPr>
              <w:t>31.2**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0" w:type="dxa"/>
            <w:vAlign w:val="bottom"/>
            <w:gridSpan w:val="13"/>
          </w:tcPr>
          <w:p>
            <w:pPr>
              <w:spacing w:after="0"/>
              <w:rPr>
                <w:rFonts w:ascii="Arial" w:cs="Arial" w:eastAsia="Arial" w:hAnsi="Arial"/>
                <w:sz w:val="16"/>
                <w:szCs w:val="16"/>
                <w:color w:val="0000EE"/>
                <w:w w:val="92"/>
              </w:rPr>
            </w:pPr>
            <w:hyperlink w:anchor="page239">
              <w:r>
                <w:rPr>
                  <w:rFonts w:ascii="Arial" w:cs="Arial" w:eastAsia="Arial" w:hAnsi="Arial"/>
                  <w:sz w:val="16"/>
                  <w:szCs w:val="16"/>
                  <w:color w:val="0000EE"/>
                  <w:w w:val="92"/>
                </w:rPr>
                <w:t>Certification of Principal Financial Officer pursuant to Rule 13a-14(a)/15d-14(a), as adopted pursuant to Section 302 of the</w:t>
              </w:r>
            </w:hyperlink>
          </w:p>
        </w:tc>
      </w:tr>
      <w:tr>
        <w:trPr>
          <w:trHeight w:val="157"/>
        </w:trPr>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740" w:type="dxa"/>
            <w:vAlign w:val="bottom"/>
            <w:tcBorders>
              <w:top w:val="single" w:sz="8" w:color="0000EE"/>
            </w:tcBorders>
            <w:gridSpan w:val="7"/>
          </w:tcPr>
          <w:p>
            <w:pPr>
              <w:spacing w:after="0" w:line="157" w:lineRule="exact"/>
              <w:rPr>
                <w:rFonts w:ascii="Arial" w:cs="Arial" w:eastAsia="Arial" w:hAnsi="Arial"/>
                <w:sz w:val="16"/>
                <w:szCs w:val="16"/>
                <w:color w:val="0000EE"/>
              </w:rPr>
            </w:pPr>
            <w:hyperlink w:anchor="page239">
              <w:r>
                <w:rPr>
                  <w:rFonts w:ascii="Arial" w:cs="Arial" w:eastAsia="Arial" w:hAnsi="Arial"/>
                  <w:sz w:val="16"/>
                  <w:szCs w:val="16"/>
                  <w:color w:val="0000EE"/>
                </w:rPr>
                <w:t>Sarbanes-Oxley Act of 2002.</w:t>
              </w:r>
            </w:hyperlink>
          </w:p>
        </w:tc>
        <w:tc>
          <w:tcPr>
            <w:tcW w:w="10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30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34"/>
        </w:trPr>
        <w:tc>
          <w:tcPr>
            <w:tcW w:w="760" w:type="dxa"/>
            <w:vAlign w:val="bottom"/>
          </w:tcPr>
          <w:p>
            <w:pPr>
              <w:jc w:val="center"/>
              <w:spacing w:after="0"/>
              <w:rPr>
                <w:sz w:val="20"/>
                <w:szCs w:val="20"/>
                <w:color w:val="auto"/>
              </w:rPr>
            </w:pPr>
            <w:r>
              <w:rPr>
                <w:rFonts w:ascii="Arial" w:cs="Arial" w:eastAsia="Arial" w:hAnsi="Arial"/>
                <w:sz w:val="16"/>
                <w:szCs w:val="16"/>
                <w:color w:val="auto"/>
                <w:w w:val="96"/>
              </w:rPr>
              <w:t>32.1**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0" w:type="dxa"/>
            <w:vAlign w:val="bottom"/>
            <w:gridSpan w:val="13"/>
          </w:tcPr>
          <w:p>
            <w:pPr>
              <w:spacing w:after="0"/>
              <w:rPr>
                <w:rFonts w:ascii="Arial" w:cs="Arial" w:eastAsia="Arial" w:hAnsi="Arial"/>
                <w:sz w:val="16"/>
                <w:szCs w:val="16"/>
                <w:color w:val="0000EE"/>
                <w:w w:val="90"/>
              </w:rPr>
            </w:pPr>
            <w:hyperlink w:anchor="page240">
              <w:r>
                <w:rPr>
                  <w:rFonts w:ascii="Arial" w:cs="Arial" w:eastAsia="Arial" w:hAnsi="Arial"/>
                  <w:sz w:val="16"/>
                  <w:szCs w:val="16"/>
                  <w:color w:val="0000EE"/>
                  <w:w w:val="90"/>
                </w:rPr>
                <w:t>Certification of Principal Executive Officer pursuant to 18 U.S.C. §1350, as adopted pursuant to Section 906 of the Sarbanes-</w:t>
              </w:r>
            </w:hyperlink>
          </w:p>
        </w:tc>
      </w:tr>
      <w:tr>
        <w:trPr>
          <w:trHeight w:val="157"/>
        </w:trPr>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40" w:type="dxa"/>
            <w:vAlign w:val="bottom"/>
            <w:tcBorders>
              <w:top w:val="single" w:sz="8" w:color="0000EE"/>
              <w:bottom w:val="single" w:sz="8" w:color="0000EE"/>
            </w:tcBorders>
            <w:gridSpan w:val="3"/>
          </w:tcPr>
          <w:p>
            <w:pPr>
              <w:spacing w:after="0" w:line="157" w:lineRule="exact"/>
              <w:rPr>
                <w:rFonts w:ascii="Arial" w:cs="Arial" w:eastAsia="Arial" w:hAnsi="Arial"/>
                <w:sz w:val="16"/>
                <w:szCs w:val="16"/>
                <w:color w:val="0000EE"/>
                <w:w w:val="91"/>
              </w:rPr>
            </w:pPr>
            <w:hyperlink w:anchor="page240">
              <w:r>
                <w:rPr>
                  <w:rFonts w:ascii="Arial" w:cs="Arial" w:eastAsia="Arial" w:hAnsi="Arial"/>
                  <w:sz w:val="16"/>
                  <w:szCs w:val="16"/>
                  <w:color w:val="0000EE"/>
                  <w:w w:val="91"/>
                </w:rPr>
                <w:t>Oxley Act of 2002 (furnished herewith).</w:t>
              </w:r>
            </w:hyperlink>
          </w:p>
        </w:tc>
        <w:tc>
          <w:tcPr>
            <w:tcW w:w="5340" w:type="dxa"/>
            <w:vAlign w:val="bottom"/>
            <w:tcBorders>
              <w:top w:val="single" w:sz="8" w:color="0000EE"/>
            </w:tcBorders>
            <w:gridSpan w:val="9"/>
          </w:tcPr>
          <w:p>
            <w:pPr>
              <w:spacing w:after="0"/>
              <w:rPr>
                <w:sz w:val="13"/>
                <w:szCs w:val="13"/>
                <w:color w:val="auto"/>
              </w:rPr>
            </w:pPr>
          </w:p>
        </w:tc>
        <w:tc>
          <w:tcPr>
            <w:tcW w:w="120" w:type="dxa"/>
            <w:vAlign w:val="bottom"/>
          </w:tcPr>
          <w:p>
            <w:pPr>
              <w:spacing w:after="0"/>
              <w:rPr>
                <w:sz w:val="13"/>
                <w:szCs w:val="13"/>
                <w:color w:val="auto"/>
              </w:rPr>
            </w:pPr>
          </w:p>
        </w:tc>
      </w:tr>
      <w:tr>
        <w:trPr>
          <w:trHeight w:val="334"/>
        </w:trPr>
        <w:tc>
          <w:tcPr>
            <w:tcW w:w="760" w:type="dxa"/>
            <w:vAlign w:val="bottom"/>
          </w:tcPr>
          <w:p>
            <w:pPr>
              <w:jc w:val="center"/>
              <w:spacing w:after="0"/>
              <w:rPr>
                <w:sz w:val="20"/>
                <w:szCs w:val="20"/>
                <w:color w:val="auto"/>
              </w:rPr>
            </w:pPr>
            <w:r>
              <w:rPr>
                <w:rFonts w:ascii="Arial" w:cs="Arial" w:eastAsia="Arial" w:hAnsi="Arial"/>
                <w:sz w:val="16"/>
                <w:szCs w:val="16"/>
                <w:color w:val="auto"/>
                <w:w w:val="96"/>
              </w:rPr>
              <w:t>32.2**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0" w:type="dxa"/>
            <w:vAlign w:val="bottom"/>
            <w:gridSpan w:val="13"/>
          </w:tcPr>
          <w:p>
            <w:pPr>
              <w:spacing w:after="0"/>
              <w:rPr>
                <w:rFonts w:ascii="Arial" w:cs="Arial" w:eastAsia="Arial" w:hAnsi="Arial"/>
                <w:sz w:val="16"/>
                <w:szCs w:val="16"/>
                <w:color w:val="0000EE"/>
                <w:w w:val="90"/>
              </w:rPr>
            </w:pPr>
            <w:hyperlink w:anchor="page241">
              <w:r>
                <w:rPr>
                  <w:rFonts w:ascii="Arial" w:cs="Arial" w:eastAsia="Arial" w:hAnsi="Arial"/>
                  <w:sz w:val="16"/>
                  <w:szCs w:val="16"/>
                  <w:color w:val="0000EE"/>
                  <w:w w:val="90"/>
                </w:rPr>
                <w:t>Certification of Principal Financial Officer pursuant to 18 U.S.C. §1350, as adopted pursuant to Section 906 of the Sarbanes-</w:t>
              </w:r>
            </w:hyperlink>
          </w:p>
        </w:tc>
      </w:tr>
      <w:tr>
        <w:trPr>
          <w:trHeight w:val="157"/>
        </w:trPr>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40" w:type="dxa"/>
            <w:vAlign w:val="bottom"/>
            <w:tcBorders>
              <w:top w:val="single" w:sz="8" w:color="0000EE"/>
              <w:bottom w:val="single" w:sz="8" w:color="0000EE"/>
            </w:tcBorders>
            <w:gridSpan w:val="3"/>
          </w:tcPr>
          <w:p>
            <w:pPr>
              <w:spacing w:after="0" w:line="157" w:lineRule="exact"/>
              <w:rPr>
                <w:rFonts w:ascii="Arial" w:cs="Arial" w:eastAsia="Arial" w:hAnsi="Arial"/>
                <w:sz w:val="16"/>
                <w:szCs w:val="16"/>
                <w:color w:val="0000EE"/>
                <w:w w:val="91"/>
              </w:rPr>
            </w:pPr>
            <w:hyperlink w:anchor="page241">
              <w:r>
                <w:rPr>
                  <w:rFonts w:ascii="Arial" w:cs="Arial" w:eastAsia="Arial" w:hAnsi="Arial"/>
                  <w:sz w:val="16"/>
                  <w:szCs w:val="16"/>
                  <w:color w:val="0000EE"/>
                  <w:w w:val="91"/>
                </w:rPr>
                <w:t>Oxley Act of 2002 (furnished herewith).</w:t>
              </w:r>
            </w:hyperlink>
          </w:p>
        </w:tc>
        <w:tc>
          <w:tcPr>
            <w:tcW w:w="5300" w:type="dxa"/>
            <w:vAlign w:val="bottom"/>
            <w:tcBorders>
              <w:top w:val="single" w:sz="8" w:color="0000EE"/>
            </w:tcBorders>
            <w:gridSpan w:val="7"/>
          </w:tcPr>
          <w:p>
            <w:pPr>
              <w:spacing w:after="0"/>
              <w:rPr>
                <w:sz w:val="13"/>
                <w:szCs w:val="13"/>
                <w:color w:val="auto"/>
              </w:rPr>
            </w:pPr>
          </w:p>
        </w:tc>
        <w:tc>
          <w:tcPr>
            <w:tcW w:w="160" w:type="dxa"/>
            <w:vAlign w:val="bottom"/>
            <w:gridSpan w:val="3"/>
          </w:tcPr>
          <w:p>
            <w:pPr>
              <w:spacing w:after="0"/>
              <w:rPr>
                <w:sz w:val="13"/>
                <w:szCs w:val="13"/>
                <w:color w:val="auto"/>
              </w:rPr>
            </w:pPr>
          </w:p>
        </w:tc>
      </w:tr>
      <w:tr>
        <w:trPr>
          <w:trHeight w:val="345"/>
        </w:trPr>
        <w:tc>
          <w:tcPr>
            <w:tcW w:w="920" w:type="dxa"/>
            <w:vAlign w:val="bottom"/>
            <w:gridSpan w:val="2"/>
          </w:tcPr>
          <w:p>
            <w:pPr>
              <w:jc w:val="center"/>
              <w:ind w:right="140"/>
              <w:spacing w:after="0"/>
              <w:rPr>
                <w:sz w:val="20"/>
                <w:szCs w:val="20"/>
                <w:color w:val="auto"/>
              </w:rPr>
            </w:pPr>
            <w:r>
              <w:rPr>
                <w:rFonts w:ascii="Arial" w:cs="Arial" w:eastAsia="Arial" w:hAnsi="Arial"/>
                <w:sz w:val="16"/>
                <w:szCs w:val="16"/>
                <w:color w:val="auto"/>
                <w:w w:val="93"/>
              </w:rPr>
              <w:t>101.INS</w:t>
            </w:r>
          </w:p>
        </w:tc>
        <w:tc>
          <w:tcPr>
            <w:tcW w:w="20" w:type="dxa"/>
            <w:vAlign w:val="bottom"/>
          </w:tcPr>
          <w:p>
            <w:pPr>
              <w:spacing w:after="0"/>
              <w:rPr>
                <w:sz w:val="24"/>
                <w:szCs w:val="24"/>
                <w:color w:val="auto"/>
              </w:rPr>
            </w:pPr>
          </w:p>
        </w:tc>
        <w:tc>
          <w:tcPr>
            <w:tcW w:w="8000" w:type="dxa"/>
            <w:vAlign w:val="bottom"/>
            <w:gridSpan w:val="13"/>
          </w:tcPr>
          <w:p>
            <w:pPr>
              <w:spacing w:after="0"/>
              <w:rPr>
                <w:sz w:val="20"/>
                <w:szCs w:val="20"/>
                <w:color w:val="auto"/>
              </w:rPr>
            </w:pPr>
            <w:r>
              <w:rPr>
                <w:rFonts w:ascii="Arial" w:cs="Arial" w:eastAsia="Arial" w:hAnsi="Arial"/>
                <w:sz w:val="16"/>
                <w:szCs w:val="16"/>
                <w:color w:val="auto"/>
                <w:w w:val="91"/>
              </w:rPr>
              <w:t>Inline XBRL Instance Document (the instance document does not appear in the Interactive Data File because its XBRL tags</w:t>
            </w:r>
          </w:p>
        </w:tc>
      </w:tr>
      <w:tr>
        <w:trPr>
          <w:trHeight w:val="200"/>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0" w:type="dxa"/>
            <w:vAlign w:val="bottom"/>
            <w:gridSpan w:val="13"/>
          </w:tcPr>
          <w:p>
            <w:pPr>
              <w:spacing w:after="0"/>
              <w:rPr>
                <w:sz w:val="20"/>
                <w:szCs w:val="20"/>
                <w:color w:val="auto"/>
              </w:rPr>
            </w:pPr>
            <w:r>
              <w:rPr>
                <w:rFonts w:ascii="Arial" w:cs="Arial" w:eastAsia="Arial" w:hAnsi="Arial"/>
                <w:sz w:val="16"/>
                <w:szCs w:val="16"/>
                <w:color w:val="auto"/>
              </w:rPr>
              <w:t>are embedded within the Inline XBRL document)</w:t>
            </w:r>
          </w:p>
        </w:tc>
      </w:tr>
      <w:tr>
        <w:trPr>
          <w:trHeight w:val="365"/>
        </w:trPr>
        <w:tc>
          <w:tcPr>
            <w:tcW w:w="920" w:type="dxa"/>
            <w:vAlign w:val="bottom"/>
            <w:gridSpan w:val="2"/>
          </w:tcPr>
          <w:p>
            <w:pPr>
              <w:jc w:val="center"/>
              <w:ind w:right="140"/>
              <w:spacing w:after="0"/>
              <w:rPr>
                <w:sz w:val="20"/>
                <w:szCs w:val="20"/>
                <w:color w:val="auto"/>
              </w:rPr>
            </w:pPr>
            <w:r>
              <w:rPr>
                <w:rFonts w:ascii="Arial" w:cs="Arial" w:eastAsia="Arial" w:hAnsi="Arial"/>
                <w:sz w:val="16"/>
                <w:szCs w:val="16"/>
                <w:color w:val="auto"/>
                <w:w w:val="89"/>
              </w:rPr>
              <w:t>101.SCH</w:t>
            </w:r>
          </w:p>
        </w:tc>
        <w:tc>
          <w:tcPr>
            <w:tcW w:w="20" w:type="dxa"/>
            <w:vAlign w:val="bottom"/>
          </w:tcPr>
          <w:p>
            <w:pPr>
              <w:spacing w:after="0"/>
              <w:rPr>
                <w:sz w:val="24"/>
                <w:szCs w:val="24"/>
                <w:color w:val="auto"/>
              </w:rPr>
            </w:pPr>
          </w:p>
        </w:tc>
        <w:tc>
          <w:tcPr>
            <w:tcW w:w="8000" w:type="dxa"/>
            <w:vAlign w:val="bottom"/>
            <w:gridSpan w:val="13"/>
          </w:tcPr>
          <w:p>
            <w:pPr>
              <w:spacing w:after="0"/>
              <w:rPr>
                <w:sz w:val="20"/>
                <w:szCs w:val="20"/>
                <w:color w:val="auto"/>
              </w:rPr>
            </w:pPr>
            <w:r>
              <w:rPr>
                <w:rFonts w:ascii="Arial" w:cs="Arial" w:eastAsia="Arial" w:hAnsi="Arial"/>
                <w:sz w:val="16"/>
                <w:szCs w:val="16"/>
                <w:color w:val="auto"/>
              </w:rPr>
              <w:t>Inline XBRL Taxonomy Extension Schema Document</w:t>
            </w:r>
          </w:p>
        </w:tc>
      </w:tr>
      <w:tr>
        <w:trPr>
          <w:trHeight w:val="354"/>
        </w:trPr>
        <w:tc>
          <w:tcPr>
            <w:tcW w:w="920" w:type="dxa"/>
            <w:vAlign w:val="bottom"/>
            <w:gridSpan w:val="2"/>
          </w:tcPr>
          <w:p>
            <w:pPr>
              <w:jc w:val="center"/>
              <w:ind w:right="140"/>
              <w:spacing w:after="0"/>
              <w:rPr>
                <w:sz w:val="20"/>
                <w:szCs w:val="20"/>
                <w:color w:val="auto"/>
              </w:rPr>
            </w:pPr>
            <w:r>
              <w:rPr>
                <w:rFonts w:ascii="Arial" w:cs="Arial" w:eastAsia="Arial" w:hAnsi="Arial"/>
                <w:sz w:val="16"/>
                <w:szCs w:val="16"/>
                <w:color w:val="auto"/>
                <w:w w:val="93"/>
              </w:rPr>
              <w:t>101.CAL</w:t>
            </w:r>
          </w:p>
        </w:tc>
        <w:tc>
          <w:tcPr>
            <w:tcW w:w="20" w:type="dxa"/>
            <w:vAlign w:val="bottom"/>
          </w:tcPr>
          <w:p>
            <w:pPr>
              <w:spacing w:after="0"/>
              <w:rPr>
                <w:sz w:val="24"/>
                <w:szCs w:val="24"/>
                <w:color w:val="auto"/>
              </w:rPr>
            </w:pPr>
          </w:p>
        </w:tc>
        <w:tc>
          <w:tcPr>
            <w:tcW w:w="8000" w:type="dxa"/>
            <w:vAlign w:val="bottom"/>
            <w:gridSpan w:val="13"/>
          </w:tcPr>
          <w:p>
            <w:pPr>
              <w:spacing w:after="0"/>
              <w:rPr>
                <w:sz w:val="20"/>
                <w:szCs w:val="20"/>
                <w:color w:val="auto"/>
              </w:rPr>
            </w:pPr>
            <w:r>
              <w:rPr>
                <w:rFonts w:ascii="Arial" w:cs="Arial" w:eastAsia="Arial" w:hAnsi="Arial"/>
                <w:sz w:val="16"/>
                <w:szCs w:val="16"/>
                <w:color w:val="auto"/>
              </w:rPr>
              <w:t>Inline XBRL Taxonomy Extension Calculation Database Document</w:t>
            </w:r>
          </w:p>
        </w:tc>
      </w:tr>
      <w:tr>
        <w:trPr>
          <w:trHeight w:val="354"/>
        </w:trPr>
        <w:tc>
          <w:tcPr>
            <w:tcW w:w="920" w:type="dxa"/>
            <w:vAlign w:val="bottom"/>
            <w:gridSpan w:val="2"/>
          </w:tcPr>
          <w:p>
            <w:pPr>
              <w:jc w:val="center"/>
              <w:ind w:right="140"/>
              <w:spacing w:after="0"/>
              <w:rPr>
                <w:sz w:val="20"/>
                <w:szCs w:val="20"/>
                <w:color w:val="auto"/>
              </w:rPr>
            </w:pPr>
            <w:r>
              <w:rPr>
                <w:rFonts w:ascii="Arial" w:cs="Arial" w:eastAsia="Arial" w:hAnsi="Arial"/>
                <w:sz w:val="16"/>
                <w:szCs w:val="16"/>
                <w:color w:val="auto"/>
                <w:w w:val="91"/>
              </w:rPr>
              <w:t>101.DEF</w:t>
            </w:r>
          </w:p>
        </w:tc>
        <w:tc>
          <w:tcPr>
            <w:tcW w:w="20" w:type="dxa"/>
            <w:vAlign w:val="bottom"/>
          </w:tcPr>
          <w:p>
            <w:pPr>
              <w:spacing w:after="0"/>
              <w:rPr>
                <w:sz w:val="24"/>
                <w:szCs w:val="24"/>
                <w:color w:val="auto"/>
              </w:rPr>
            </w:pPr>
          </w:p>
        </w:tc>
        <w:tc>
          <w:tcPr>
            <w:tcW w:w="8000" w:type="dxa"/>
            <w:vAlign w:val="bottom"/>
            <w:gridSpan w:val="13"/>
          </w:tcPr>
          <w:p>
            <w:pPr>
              <w:spacing w:after="0"/>
              <w:rPr>
                <w:sz w:val="20"/>
                <w:szCs w:val="20"/>
                <w:color w:val="auto"/>
              </w:rPr>
            </w:pPr>
            <w:r>
              <w:rPr>
                <w:rFonts w:ascii="Arial" w:cs="Arial" w:eastAsia="Arial" w:hAnsi="Arial"/>
                <w:sz w:val="16"/>
                <w:szCs w:val="16"/>
                <w:color w:val="auto"/>
              </w:rPr>
              <w:t>Inline XBRL Taxonomy Extension Definition Linkbase Document</w:t>
            </w:r>
          </w:p>
        </w:tc>
      </w:tr>
      <w:tr>
        <w:trPr>
          <w:trHeight w:val="354"/>
        </w:trPr>
        <w:tc>
          <w:tcPr>
            <w:tcW w:w="920" w:type="dxa"/>
            <w:vAlign w:val="bottom"/>
            <w:gridSpan w:val="2"/>
          </w:tcPr>
          <w:p>
            <w:pPr>
              <w:jc w:val="center"/>
              <w:ind w:right="140"/>
              <w:spacing w:after="0"/>
              <w:rPr>
                <w:sz w:val="20"/>
                <w:szCs w:val="20"/>
                <w:color w:val="auto"/>
              </w:rPr>
            </w:pPr>
            <w:r>
              <w:rPr>
                <w:rFonts w:ascii="Arial" w:cs="Arial" w:eastAsia="Arial" w:hAnsi="Arial"/>
                <w:sz w:val="16"/>
                <w:szCs w:val="16"/>
                <w:color w:val="auto"/>
                <w:w w:val="94"/>
              </w:rPr>
              <w:t>101.LAB</w:t>
            </w:r>
          </w:p>
        </w:tc>
        <w:tc>
          <w:tcPr>
            <w:tcW w:w="20" w:type="dxa"/>
            <w:vAlign w:val="bottom"/>
          </w:tcPr>
          <w:p>
            <w:pPr>
              <w:spacing w:after="0"/>
              <w:rPr>
                <w:sz w:val="24"/>
                <w:szCs w:val="24"/>
                <w:color w:val="auto"/>
              </w:rPr>
            </w:pPr>
          </w:p>
        </w:tc>
        <w:tc>
          <w:tcPr>
            <w:tcW w:w="8000" w:type="dxa"/>
            <w:vAlign w:val="bottom"/>
            <w:gridSpan w:val="13"/>
          </w:tcPr>
          <w:p>
            <w:pPr>
              <w:spacing w:after="0"/>
              <w:rPr>
                <w:sz w:val="20"/>
                <w:szCs w:val="20"/>
                <w:color w:val="auto"/>
              </w:rPr>
            </w:pPr>
            <w:r>
              <w:rPr>
                <w:rFonts w:ascii="Arial" w:cs="Arial" w:eastAsia="Arial" w:hAnsi="Arial"/>
                <w:sz w:val="16"/>
                <w:szCs w:val="16"/>
                <w:color w:val="auto"/>
              </w:rPr>
              <w:t>Inline XBRL Taxonomy Extension Label Linkbase Document</w:t>
            </w:r>
          </w:p>
        </w:tc>
      </w:tr>
      <w:tr>
        <w:trPr>
          <w:trHeight w:val="354"/>
        </w:trPr>
        <w:tc>
          <w:tcPr>
            <w:tcW w:w="920" w:type="dxa"/>
            <w:vAlign w:val="bottom"/>
            <w:gridSpan w:val="2"/>
          </w:tcPr>
          <w:p>
            <w:pPr>
              <w:jc w:val="center"/>
              <w:ind w:right="140"/>
              <w:spacing w:after="0"/>
              <w:rPr>
                <w:sz w:val="20"/>
                <w:szCs w:val="20"/>
                <w:color w:val="auto"/>
              </w:rPr>
            </w:pPr>
            <w:r>
              <w:rPr>
                <w:rFonts w:ascii="Arial" w:cs="Arial" w:eastAsia="Arial" w:hAnsi="Arial"/>
                <w:sz w:val="16"/>
                <w:szCs w:val="16"/>
                <w:color w:val="auto"/>
                <w:w w:val="90"/>
              </w:rPr>
              <w:t>101.PRE</w:t>
            </w:r>
          </w:p>
        </w:tc>
        <w:tc>
          <w:tcPr>
            <w:tcW w:w="20" w:type="dxa"/>
            <w:vAlign w:val="bottom"/>
          </w:tcPr>
          <w:p>
            <w:pPr>
              <w:spacing w:after="0"/>
              <w:rPr>
                <w:sz w:val="24"/>
                <w:szCs w:val="24"/>
                <w:color w:val="auto"/>
              </w:rPr>
            </w:pPr>
          </w:p>
        </w:tc>
        <w:tc>
          <w:tcPr>
            <w:tcW w:w="8000" w:type="dxa"/>
            <w:vAlign w:val="bottom"/>
            <w:gridSpan w:val="13"/>
          </w:tcPr>
          <w:p>
            <w:pPr>
              <w:spacing w:after="0"/>
              <w:rPr>
                <w:sz w:val="20"/>
                <w:szCs w:val="20"/>
                <w:color w:val="auto"/>
              </w:rPr>
            </w:pPr>
            <w:r>
              <w:rPr>
                <w:rFonts w:ascii="Arial" w:cs="Arial" w:eastAsia="Arial" w:hAnsi="Arial"/>
                <w:sz w:val="16"/>
                <w:szCs w:val="16"/>
                <w:color w:val="auto"/>
              </w:rPr>
              <w:t>Inline XBRL Taxonomy Extension Presentation Linkbase Document</w:t>
            </w:r>
          </w:p>
        </w:tc>
      </w:tr>
    </w:tbl>
    <w:p>
      <w:pPr>
        <w:spacing w:after="0" w:line="154" w:lineRule="exact"/>
        <w:rPr>
          <w:sz w:val="20"/>
          <w:szCs w:val="20"/>
          <w:color w:val="auto"/>
        </w:rPr>
      </w:pPr>
    </w:p>
    <w:p>
      <w:pPr>
        <w:ind w:left="960" w:right="379" w:hanging="668"/>
        <w:spacing w:after="0" w:line="251" w:lineRule="auto"/>
        <w:tabs>
          <w:tab w:leader="none" w:pos="960" w:val="left"/>
        </w:tabs>
        <w:numPr>
          <w:ilvl w:val="1"/>
          <w:numId w:val="42"/>
        </w:numPr>
        <w:rPr>
          <w:rFonts w:ascii="Arial" w:cs="Arial" w:eastAsia="Arial" w:hAnsi="Arial"/>
          <w:sz w:val="16"/>
          <w:szCs w:val="16"/>
          <w:color w:val="auto"/>
        </w:rPr>
      </w:pPr>
      <w:r>
        <w:rPr>
          <w:rFonts w:ascii="Arial" w:cs="Arial" w:eastAsia="Arial" w:hAnsi="Arial"/>
          <w:sz w:val="16"/>
          <w:szCs w:val="16"/>
          <w:color w:val="auto"/>
        </w:rPr>
        <w:t>Cover Page Interactive Data File (formatted as inline XBRL with applicable taxonomy extension information contained in Exhibits 101.)</w:t>
      </w:r>
    </w:p>
    <w:p>
      <w:pPr>
        <w:spacing w:after="0" w:line="145" w:lineRule="exact"/>
        <w:rPr>
          <w:rFonts w:ascii="Arial" w:cs="Arial" w:eastAsia="Arial" w:hAnsi="Arial"/>
          <w:sz w:val="16"/>
          <w:szCs w:val="16"/>
          <w:color w:val="auto"/>
        </w:rPr>
      </w:pPr>
    </w:p>
    <w:p>
      <w:pPr>
        <w:ind w:left="600" w:hanging="567"/>
        <w:spacing w:after="0"/>
        <w:tabs>
          <w:tab w:leader="none" w:pos="6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182" w:lineRule="exact"/>
        <w:rPr>
          <w:sz w:val="20"/>
          <w:szCs w:val="20"/>
          <w:color w:val="auto"/>
        </w:rPr>
      </w:pPr>
    </w:p>
    <w:p>
      <w:pPr>
        <w:ind w:left="4380" w:right="2019" w:hanging="4347"/>
        <w:spacing w:after="0" w:line="743" w:lineRule="auto"/>
        <w:tabs>
          <w:tab w:leader="none" w:pos="593" w:val="left"/>
        </w:tabs>
        <w:numPr>
          <w:ilvl w:val="0"/>
          <w:numId w:val="43"/>
        </w:numPr>
        <w:rPr>
          <w:rFonts w:ascii="Arial" w:cs="Arial" w:eastAsia="Arial" w:hAnsi="Arial"/>
          <w:sz w:val="16"/>
          <w:szCs w:val="16"/>
          <w:color w:val="auto"/>
        </w:rPr>
      </w:pPr>
      <w:r>
        <w:rPr>
          <w:rFonts w:ascii="Arial" w:cs="Arial" w:eastAsia="Arial" w:hAnsi="Arial"/>
          <w:sz w:val="16"/>
          <w:szCs w:val="16"/>
          <w:color w:val="auto"/>
        </w:rPr>
        <w:t>Certain portions of the Exhibit have been redacted pursuant to Item 601(b)(10)(iv) of Regulation S-K. 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48260</wp:posOffset>
            </wp:positionV>
            <wp:extent cx="5682615" cy="2222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5682615" cy="22225"/>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107" w:name="page108"/>
    <w:bookmarkEnd w:id="107"/>
    <w:p>
      <w:pPr>
        <w:ind w:left="40"/>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SIGNATURES</w:t>
      </w:r>
    </w:p>
    <w:p>
      <w:pPr>
        <w:spacing w:after="0" w:line="186" w:lineRule="exact"/>
        <w:rPr>
          <w:sz w:val="20"/>
          <w:szCs w:val="20"/>
          <w:color w:val="auto"/>
        </w:rPr>
      </w:pPr>
    </w:p>
    <w:p>
      <w:pPr>
        <w:ind w:left="40" w:right="299" w:firstLine="566"/>
        <w:spacing w:after="0" w:line="251"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69"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AXSOME THERAPEUTICS, INC.</w:t>
      </w:r>
    </w:p>
    <w:p>
      <w:pPr>
        <w:spacing w:after="0" w:line="170" w:lineRule="exact"/>
        <w:rPr>
          <w:sz w:val="20"/>
          <w:szCs w:val="20"/>
          <w:color w:val="auto"/>
        </w:rPr>
      </w:pPr>
    </w:p>
    <w:p>
      <w:pPr>
        <w:ind w:left="40"/>
        <w:spacing w:after="0"/>
        <w:tabs>
          <w:tab w:leader="none" w:pos="4540" w:val="left"/>
          <w:tab w:leader="none" w:pos="4980" w:val="left"/>
        </w:tabs>
        <w:rPr>
          <w:sz w:val="20"/>
          <w:szCs w:val="20"/>
          <w:color w:val="auto"/>
        </w:rPr>
      </w:pPr>
      <w:r>
        <w:rPr>
          <w:rFonts w:ascii="Arial" w:cs="Arial" w:eastAsia="Arial" w:hAnsi="Arial"/>
          <w:sz w:val="16"/>
          <w:szCs w:val="16"/>
          <w:color w:val="auto"/>
        </w:rPr>
        <w:t>Date: November 5, 2020</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3"/>
          <w:szCs w:val="13"/>
          <w:color w:val="auto"/>
        </w:rPr>
        <w:t>/s/ Herriot Tabuteau,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3178175</wp:posOffset>
            </wp:positionH>
            <wp:positionV relativeFrom="paragraph">
              <wp:posOffset>3175</wp:posOffset>
            </wp:positionV>
            <wp:extent cx="2515235"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2515235" cy="7620"/>
                    </a:xfrm>
                    <a:prstGeom prst="rect">
                      <a:avLst/>
                    </a:prstGeom>
                    <a:noFill/>
                  </pic:spPr>
                </pic:pic>
              </a:graphicData>
            </a:graphic>
          </wp:anchor>
        </w:drawing>
      </w:r>
    </w:p>
    <w:p>
      <w:pPr>
        <w:ind w:left="5000"/>
        <w:spacing w:after="0"/>
        <w:rPr>
          <w:sz w:val="20"/>
          <w:szCs w:val="20"/>
          <w:color w:val="auto"/>
        </w:rPr>
      </w:pPr>
      <w:r>
        <w:rPr>
          <w:rFonts w:ascii="Arial" w:cs="Arial" w:eastAsia="Arial" w:hAnsi="Arial"/>
          <w:sz w:val="16"/>
          <w:szCs w:val="16"/>
          <w:color w:val="auto"/>
        </w:rPr>
        <w:t>Herriot Tabuteau, M.D.</w:t>
      </w:r>
    </w:p>
    <w:p>
      <w:pPr>
        <w:ind w:left="5000"/>
        <w:spacing w:after="0" w:line="230" w:lineRule="auto"/>
        <w:rPr>
          <w:sz w:val="20"/>
          <w:szCs w:val="20"/>
          <w:color w:val="auto"/>
        </w:rPr>
      </w:pPr>
      <w:r>
        <w:rPr>
          <w:rFonts w:ascii="Arial" w:cs="Arial" w:eastAsia="Arial" w:hAnsi="Arial"/>
          <w:sz w:val="16"/>
          <w:szCs w:val="16"/>
          <w:color w:val="auto"/>
        </w:rPr>
        <w:t>President and Chief Executive Officer</w:t>
      </w:r>
    </w:p>
    <w:p>
      <w:pPr>
        <w:spacing w:after="0" w:line="1"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(Principal Executive Officer)</w:t>
      </w:r>
    </w:p>
    <w:p>
      <w:pPr>
        <w:spacing w:after="0" w:line="333" w:lineRule="exact"/>
        <w:rPr>
          <w:sz w:val="20"/>
          <w:szCs w:val="20"/>
          <w:color w:val="auto"/>
        </w:rPr>
      </w:pPr>
    </w:p>
    <w:p>
      <w:pPr>
        <w:ind w:left="40"/>
        <w:spacing w:after="0"/>
        <w:tabs>
          <w:tab w:leader="none" w:pos="4540" w:val="left"/>
          <w:tab w:leader="none" w:pos="4980" w:val="left"/>
        </w:tabs>
        <w:rPr>
          <w:sz w:val="20"/>
          <w:szCs w:val="20"/>
          <w:color w:val="auto"/>
        </w:rPr>
      </w:pPr>
      <w:r>
        <w:rPr>
          <w:rFonts w:ascii="Arial" w:cs="Arial" w:eastAsia="Arial" w:hAnsi="Arial"/>
          <w:sz w:val="16"/>
          <w:szCs w:val="16"/>
          <w:color w:val="auto"/>
        </w:rPr>
        <w:t>Date: November 5, 2020</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3"/>
          <w:szCs w:val="13"/>
          <w:color w:val="auto"/>
        </w:rPr>
        <w:t>/s/ Nick Pizzie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3178175</wp:posOffset>
            </wp:positionH>
            <wp:positionV relativeFrom="paragraph">
              <wp:posOffset>3175</wp:posOffset>
            </wp:positionV>
            <wp:extent cx="2515235"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2515235" cy="7620"/>
                    </a:xfrm>
                    <a:prstGeom prst="rect">
                      <a:avLst/>
                    </a:prstGeom>
                    <a:noFill/>
                  </pic:spPr>
                </pic:pic>
              </a:graphicData>
            </a:graphic>
          </wp:anchor>
        </w:drawing>
      </w:r>
    </w:p>
    <w:p>
      <w:pPr>
        <w:ind w:left="5000"/>
        <w:spacing w:after="0"/>
        <w:rPr>
          <w:sz w:val="20"/>
          <w:szCs w:val="20"/>
          <w:color w:val="auto"/>
        </w:rPr>
      </w:pPr>
      <w:r>
        <w:rPr>
          <w:rFonts w:ascii="Arial" w:cs="Arial" w:eastAsia="Arial" w:hAnsi="Arial"/>
          <w:sz w:val="16"/>
          <w:szCs w:val="16"/>
          <w:color w:val="auto"/>
        </w:rPr>
        <w:t>Nick Pizzie</w:t>
      </w:r>
    </w:p>
    <w:p>
      <w:pPr>
        <w:ind w:left="5000"/>
        <w:spacing w:after="0" w:line="230" w:lineRule="auto"/>
        <w:rPr>
          <w:sz w:val="20"/>
          <w:szCs w:val="20"/>
          <w:color w:val="auto"/>
        </w:rPr>
      </w:pPr>
      <w:r>
        <w:rPr>
          <w:rFonts w:ascii="Arial" w:cs="Arial" w:eastAsia="Arial" w:hAnsi="Arial"/>
          <w:sz w:val="16"/>
          <w:szCs w:val="16"/>
          <w:color w:val="auto"/>
        </w:rPr>
        <w:t>Chief Financial Officer</w:t>
      </w:r>
    </w:p>
    <w:p>
      <w:pPr>
        <w:spacing w:after="0" w:line="1"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302895</wp:posOffset>
            </wp:positionV>
            <wp:extent cx="5682615" cy="2222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5682615" cy="22225"/>
                    </a:xfrm>
                    <a:prstGeom prst="rect">
                      <a:avLst/>
                    </a:prstGeom>
                    <a:noFill/>
                  </pic:spPr>
                </pic:pic>
              </a:graphicData>
            </a:graphic>
          </wp:anchor>
        </w:drawing>
      </w:r>
    </w:p>
    <w:p>
      <w:pPr>
        <w:sectPr>
          <w:pgSz w:w="11900" w:h="16838" w:orient="portrait"/>
          <w:cols w:equalWidth="0" w:num="1">
            <w:col w:w="9019"/>
          </w:cols>
          <w:pgMar w:left="1440" w:top="469" w:right="1440" w:bottom="1440" w:gutter="0" w:footer="0" w:header="0"/>
        </w:sectPr>
      </w:pPr>
    </w:p>
    <w:bookmarkStart w:id="108" w:name="page109"/>
    <w:bookmarkEnd w:id="108"/>
    <w:p>
      <w:pPr>
        <w:jc w:val="right"/>
        <w:spacing w:after="0"/>
        <w:rPr>
          <w:sz w:val="20"/>
          <w:szCs w:val="20"/>
          <w:color w:val="auto"/>
        </w:rPr>
      </w:pPr>
      <w:r>
        <w:rPr>
          <w:rFonts w:ascii="Arial" w:cs="Arial" w:eastAsia="Arial" w:hAnsi="Arial"/>
          <w:sz w:val="19"/>
          <w:szCs w:val="19"/>
          <w:b w:val="1"/>
          <w:bCs w:val="1"/>
          <w:color w:val="auto"/>
        </w:rPr>
        <w:t>Exhibit 10.3</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9"/>
          <w:szCs w:val="19"/>
          <w:b w:val="1"/>
          <w:bCs w:val="1"/>
          <w:i w:val="1"/>
          <w:iCs w:val="1"/>
          <w:color w:val="auto"/>
        </w:rPr>
        <w:t>EXECUTION VERSION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LOAN AND SECURITY AGREEMENT</w:t>
      </w:r>
    </w:p>
    <w:p>
      <w:pPr>
        <w:spacing w:after="0" w:line="182" w:lineRule="exact"/>
        <w:rPr>
          <w:sz w:val="20"/>
          <w:szCs w:val="20"/>
          <w:color w:val="auto"/>
        </w:rPr>
      </w:pPr>
    </w:p>
    <w:p>
      <w:pPr>
        <w:jc w:val="both"/>
        <w:ind w:right="20" w:firstLine="566"/>
        <w:spacing w:after="0" w:line="274" w:lineRule="auto"/>
        <w:rPr>
          <w:sz w:val="20"/>
          <w:szCs w:val="20"/>
          <w:color w:val="auto"/>
        </w:rPr>
      </w:pPr>
      <w:r>
        <w:rPr>
          <w:rFonts w:ascii="Arial" w:cs="Arial" w:eastAsia="Arial" w:hAnsi="Arial"/>
          <w:sz w:val="17"/>
          <w:szCs w:val="17"/>
          <w:color w:val="auto"/>
        </w:rPr>
        <w:t>THIS LOAN AND SECURITY AGREEMENT is made and dated as of September 25, 2020 and is entered into by and among AXSOME THERAPEUTICS, INC., a Delaware corporation, and each of its Subsidiaries other than Excluded Subsidiaries (individually and collectively referred to as the “Borrower”), the several banks and other financial institutions or entities from time to time parties to this Agreement (collectively, referred to as the “Lenders”) and HERCULES CAPITAL, INC., a Maryland corporation, in its capacity as administrative agent and collateral agent for itself and the Lenders (in such capacity, the “Agent”).</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RECITALS</w:t>
      </w:r>
    </w:p>
    <w:p>
      <w:pPr>
        <w:spacing w:after="0" w:line="188" w:lineRule="exact"/>
        <w:rPr>
          <w:sz w:val="20"/>
          <w:szCs w:val="20"/>
          <w:color w:val="auto"/>
        </w:rPr>
      </w:pPr>
    </w:p>
    <w:p>
      <w:pPr>
        <w:ind w:right="20" w:firstLine="562"/>
        <w:spacing w:after="0" w:line="256" w:lineRule="auto"/>
        <w:tabs>
          <w:tab w:leader="none" w:pos="1206" w:val="left"/>
        </w:tabs>
        <w:numPr>
          <w:ilvl w:val="0"/>
          <w:numId w:val="44"/>
        </w:numPr>
        <w:rPr>
          <w:rFonts w:ascii="Arial" w:cs="Arial" w:eastAsia="Arial" w:hAnsi="Arial"/>
          <w:sz w:val="19"/>
          <w:szCs w:val="19"/>
          <w:color w:val="auto"/>
        </w:rPr>
      </w:pPr>
      <w:r>
        <w:rPr>
          <w:rFonts w:ascii="Arial" w:cs="Arial" w:eastAsia="Arial" w:hAnsi="Arial"/>
          <w:sz w:val="19"/>
          <w:szCs w:val="19"/>
          <w:color w:val="auto"/>
        </w:rPr>
        <w:t>Borrower has requested the Lenders make available to Borrower a loan in an aggregate principal amount of up to Two Hundred Twenty Five Million Dollars ($225,000,000) (the “Term Loan”); and</w:t>
      </w:r>
    </w:p>
    <w:p>
      <w:pPr>
        <w:spacing w:after="0" w:line="146" w:lineRule="exact"/>
        <w:rPr>
          <w:rFonts w:ascii="Arial" w:cs="Arial" w:eastAsia="Arial" w:hAnsi="Arial"/>
          <w:sz w:val="19"/>
          <w:szCs w:val="19"/>
          <w:color w:val="auto"/>
        </w:rPr>
      </w:pPr>
    </w:p>
    <w:p>
      <w:pPr>
        <w:ind w:left="1100" w:hanging="538"/>
        <w:spacing w:after="0"/>
        <w:tabs>
          <w:tab w:leader="none" w:pos="1100" w:val="left"/>
        </w:tabs>
        <w:numPr>
          <w:ilvl w:val="0"/>
          <w:numId w:val="44"/>
        </w:numPr>
        <w:rPr>
          <w:rFonts w:ascii="Arial" w:cs="Arial" w:eastAsia="Arial" w:hAnsi="Arial"/>
          <w:sz w:val="19"/>
          <w:szCs w:val="19"/>
          <w:color w:val="auto"/>
        </w:rPr>
      </w:pPr>
      <w:r>
        <w:rPr>
          <w:rFonts w:ascii="Arial" w:cs="Arial" w:eastAsia="Arial" w:hAnsi="Arial"/>
          <w:sz w:val="19"/>
          <w:szCs w:val="19"/>
          <w:color w:val="auto"/>
        </w:rPr>
        <w:t>The Lenders are willing to make the Term Loan on the terms and conditions set forth in this Agreement.</w:t>
      </w:r>
    </w:p>
    <w:p>
      <w:pPr>
        <w:spacing w:after="0" w:line="176" w:lineRule="exact"/>
        <w:rPr>
          <w:rFonts w:ascii="Arial" w:cs="Arial" w:eastAsia="Arial" w:hAnsi="Arial"/>
          <w:sz w:val="19"/>
          <w:szCs w:val="19"/>
          <w:color w:val="auto"/>
        </w:rPr>
      </w:pPr>
    </w:p>
    <w:p>
      <w:pPr>
        <w:ind w:left="4340"/>
        <w:spacing w:after="0"/>
        <w:rPr>
          <w:rFonts w:ascii="Arial" w:cs="Arial" w:eastAsia="Arial" w:hAnsi="Arial"/>
          <w:sz w:val="19"/>
          <w:szCs w:val="19"/>
          <w:color w:val="auto"/>
        </w:rPr>
      </w:pPr>
      <w:r>
        <w:rPr>
          <w:rFonts w:ascii="Arial" w:cs="Arial" w:eastAsia="Arial" w:hAnsi="Arial"/>
          <w:sz w:val="19"/>
          <w:szCs w:val="19"/>
          <w:b w:val="1"/>
          <w:bCs w:val="1"/>
          <w:color w:val="auto"/>
        </w:rPr>
        <w:t>AGREEMENT</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9"/>
          <w:szCs w:val="19"/>
          <w:color w:val="auto"/>
        </w:rPr>
        <w:t>NOW, THEREFORE, Borrower, Agent and the Lenders agree as follows: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 xml:space="preserve">SECTION 1. </w:t>
      </w:r>
      <w:r>
        <w:rPr>
          <w:rFonts w:ascii="Arial" w:cs="Arial" w:eastAsia="Arial" w:hAnsi="Arial"/>
          <w:sz w:val="19"/>
          <w:szCs w:val="19"/>
          <w:b w:val="1"/>
          <w:bCs w:val="1"/>
          <w:u w:val="single" w:color="auto"/>
          <w:color w:val="auto"/>
        </w:rPr>
        <w:t>DEFINITIONS AND RULES OF CONSTRUCTION</w:t>
      </w:r>
    </w:p>
    <w:p>
      <w:pPr>
        <w:spacing w:after="0" w:line="188" w:lineRule="exact"/>
        <w:rPr>
          <w:sz w:val="20"/>
          <w:szCs w:val="20"/>
          <w:color w:val="auto"/>
        </w:rPr>
      </w:pPr>
    </w:p>
    <w:p>
      <w:pPr>
        <w:ind w:left="1060"/>
        <w:spacing w:after="0"/>
        <w:tabs>
          <w:tab w:leader="none" w:pos="1740" w:val="left"/>
        </w:tabs>
        <w:rPr>
          <w:sz w:val="20"/>
          <w:szCs w:val="20"/>
          <w:color w:val="auto"/>
        </w:rPr>
      </w:pPr>
      <w:r>
        <w:rPr>
          <w:rFonts w:ascii="Arial" w:cs="Arial" w:eastAsia="Arial" w:hAnsi="Arial"/>
          <w:sz w:val="19"/>
          <w:szCs w:val="19"/>
          <w:color w:val="auto"/>
        </w:rPr>
        <w:t>1.1</w:t>
      </w:r>
      <w:r>
        <w:rPr>
          <w:sz w:val="20"/>
          <w:szCs w:val="20"/>
          <w:color w:val="auto"/>
        </w:rPr>
        <w:tab/>
      </w:r>
      <w:r>
        <w:rPr>
          <w:rFonts w:ascii="Arial" w:cs="Arial" w:eastAsia="Arial" w:hAnsi="Arial"/>
          <w:sz w:val="17"/>
          <w:szCs w:val="17"/>
          <w:color w:val="auto"/>
        </w:rPr>
        <w:t>Unless otherwise defined herein, the following capitalized terms shall have the following meanings:</w:t>
      </w:r>
    </w:p>
    <w:p>
      <w:pPr>
        <w:spacing w:after="0" w:line="182" w:lineRule="exact"/>
        <w:rPr>
          <w:sz w:val="20"/>
          <w:szCs w:val="20"/>
          <w:color w:val="auto"/>
        </w:rPr>
      </w:pPr>
    </w:p>
    <w:p>
      <w:pPr>
        <w:jc w:val="both"/>
        <w:ind w:right="20" w:firstLine="1132"/>
        <w:spacing w:after="0" w:line="287" w:lineRule="auto"/>
        <w:rPr>
          <w:sz w:val="20"/>
          <w:szCs w:val="20"/>
          <w:color w:val="auto"/>
        </w:rPr>
      </w:pPr>
      <w:r>
        <w:rPr>
          <w:rFonts w:ascii="Arial" w:cs="Arial" w:eastAsia="Arial" w:hAnsi="Arial"/>
          <w:sz w:val="17"/>
          <w:szCs w:val="17"/>
          <w:color w:val="auto"/>
        </w:rPr>
        <w:t>“Account Control Agreement(s)” means any agreement entered into by and among the Agent, Borrower and a third party bank or other institution (including a Securities Intermediary) in which Borrower maintains a Deposit Account or an account holding Investment Property and which perfects Agent’s first priority security interest in the subject account or accounts.</w:t>
      </w:r>
    </w:p>
    <w:p>
      <w:pPr>
        <w:spacing w:after="0" w:line="124" w:lineRule="exact"/>
        <w:rPr>
          <w:sz w:val="20"/>
          <w:szCs w:val="20"/>
          <w:color w:val="auto"/>
        </w:rPr>
      </w:pPr>
    </w:p>
    <w:p>
      <w:pPr>
        <w:jc w:val="both"/>
        <w:ind w:firstLine="1132"/>
        <w:spacing w:after="0" w:line="256" w:lineRule="auto"/>
        <w:rPr>
          <w:sz w:val="20"/>
          <w:szCs w:val="20"/>
          <w:color w:val="auto"/>
        </w:rPr>
      </w:pPr>
      <w:r>
        <w:rPr>
          <w:rFonts w:ascii="Arial" w:cs="Arial" w:eastAsia="Arial" w:hAnsi="Arial"/>
          <w:sz w:val="19"/>
          <w:szCs w:val="19"/>
          <w:color w:val="auto"/>
        </w:rPr>
        <w:t>“ACH Authorization” means the ACH Debit Authorization Agreement in substantially the form of Exhibit H, which account numbers shall be redacted for security purposes if and when filed publicly by the Borrower.</w:t>
      </w:r>
    </w:p>
    <w:p>
      <w:pPr>
        <w:spacing w:after="0" w:line="147" w:lineRule="exact"/>
        <w:rPr>
          <w:sz w:val="20"/>
          <w:szCs w:val="20"/>
          <w:color w:val="auto"/>
        </w:rPr>
      </w:pPr>
    </w:p>
    <w:p>
      <w:pPr>
        <w:jc w:val="both"/>
        <w:ind w:firstLine="1132"/>
        <w:spacing w:after="0" w:line="244" w:lineRule="auto"/>
        <w:rPr>
          <w:sz w:val="20"/>
          <w:szCs w:val="20"/>
          <w:color w:val="auto"/>
        </w:rPr>
      </w:pPr>
      <w:r>
        <w:rPr>
          <w:rFonts w:ascii="Arial" w:cs="Arial" w:eastAsia="Arial" w:hAnsi="Arial"/>
          <w:sz w:val="19"/>
          <w:szCs w:val="19"/>
          <w:color w:val="auto"/>
        </w:rPr>
        <w:t>“ACH Failure” means the failure of the Automated Clearing House (ACH) system to effect a transfer of funds requested by Lender to be used to satisfy all or part of Borrower’s obligations to pay principal and interest due hereunder, unless any such failure results from insufficient funds in Borrower’s account(s).</w:t>
      </w:r>
    </w:p>
    <w:p>
      <w:pPr>
        <w:spacing w:after="0" w:line="159" w:lineRule="exact"/>
        <w:rPr>
          <w:sz w:val="20"/>
          <w:szCs w:val="20"/>
          <w:color w:val="auto"/>
        </w:rPr>
      </w:pPr>
    </w:p>
    <w:p>
      <w:pPr>
        <w:jc w:val="both"/>
        <w:ind w:right="20" w:firstLine="1132"/>
        <w:spacing w:after="0" w:line="287" w:lineRule="auto"/>
        <w:rPr>
          <w:sz w:val="20"/>
          <w:szCs w:val="20"/>
          <w:color w:val="auto"/>
        </w:rPr>
      </w:pPr>
      <w:r>
        <w:rPr>
          <w:rFonts w:ascii="Arial" w:cs="Arial" w:eastAsia="Arial" w:hAnsi="Arial"/>
          <w:sz w:val="17"/>
          <w:szCs w:val="17"/>
          <w:color w:val="auto"/>
        </w:rPr>
        <w:t>“Acquisition” means any transaction or series of related transactions for the purpose of or resulting, directly or indirectly, in (a) the acquisition of all or substantially all of the assets of a Person, or any division, line of business or other business unit of another Person, (b) the acquisition of fifty percent (50%) or more of the Equity Interests of any Person, whether or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645160</wp:posOffset>
            </wp:positionV>
            <wp:extent cx="6311265" cy="2222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940"/>
          </w:cols>
          <w:pgMar w:left="980" w:top="303" w:right="979" w:bottom="1440" w:gutter="0" w:footer="0" w:header="0"/>
        </w:sectPr>
      </w:pPr>
    </w:p>
    <w:bookmarkStart w:id="109" w:name="page110"/>
    <w:bookmarkEnd w:id="109"/>
    <w:p>
      <w:pPr>
        <w:jc w:val="both"/>
        <w:spacing w:after="0" w:line="244" w:lineRule="auto"/>
        <w:rPr>
          <w:sz w:val="20"/>
          <w:szCs w:val="20"/>
          <w:color w:val="auto"/>
        </w:rPr>
      </w:pPr>
      <w:r>
        <w:rPr>
          <w:rFonts w:ascii="Arial" w:cs="Arial" w:eastAsia="Arial" w:hAnsi="Arial"/>
          <w:sz w:val="19"/>
          <w:szCs w:val="19"/>
          <w:color w:val="auto"/>
        </w:rPr>
        <w:t>involving a merger, consolidation or similar transaction with such other Person, or otherwise causing any Person to become a Subsidiary of Borrower, or (c) the acquisition of, or the right to use, develop or sell (in each case, including through licensing), any product that would constitute a Borrower Product upon acquisition.</w:t>
      </w:r>
    </w:p>
    <w:p>
      <w:pPr>
        <w:spacing w:after="0" w:line="159" w:lineRule="exact"/>
        <w:rPr>
          <w:sz w:val="20"/>
          <w:szCs w:val="20"/>
          <w:color w:val="auto"/>
        </w:rPr>
      </w:pPr>
    </w:p>
    <w:p>
      <w:pPr>
        <w:jc w:val="both"/>
        <w:ind w:right="20" w:firstLine="1132"/>
        <w:spacing w:after="0" w:line="258" w:lineRule="auto"/>
        <w:rPr>
          <w:sz w:val="20"/>
          <w:szCs w:val="20"/>
          <w:color w:val="auto"/>
        </w:rPr>
      </w:pPr>
      <w:r>
        <w:rPr>
          <w:rFonts w:ascii="Arial" w:cs="Arial" w:eastAsia="Arial" w:hAnsi="Arial"/>
          <w:sz w:val="18"/>
          <w:szCs w:val="18"/>
          <w:color w:val="auto"/>
        </w:rPr>
        <w:t>“Acquisition Deferred Payments” means, with respect to an Acquisition, any “earnouts,” holdbacks, performance based-milestones, royalties, purchase price adjustments, profit sharing arrangements, deferred purchase money amounts, indemnifications, non-competition agreements, incentive payments, and other similar payment obligations, and other contingent obligations and agreements consisting of the adjustment of purchase price or similar adjustments.</w:t>
      </w:r>
    </w:p>
    <w:p>
      <w:pPr>
        <w:spacing w:after="0" w:line="147"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“Advance(s)” means a Term Loan Advance.</w:t>
      </w:r>
    </w:p>
    <w:p>
      <w:pPr>
        <w:spacing w:after="0" w:line="182"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“Advance Date” means the funding date of any Advance.</w:t>
      </w:r>
    </w:p>
    <w:p>
      <w:pPr>
        <w:spacing w:after="0" w:line="182" w:lineRule="exact"/>
        <w:rPr>
          <w:sz w:val="20"/>
          <w:szCs w:val="20"/>
          <w:color w:val="auto"/>
        </w:rPr>
      </w:pPr>
    </w:p>
    <w:p>
      <w:pPr>
        <w:jc w:val="both"/>
        <w:ind w:firstLine="1132"/>
        <w:spacing w:after="0" w:line="284" w:lineRule="auto"/>
        <w:rPr>
          <w:sz w:val="20"/>
          <w:szCs w:val="20"/>
          <w:color w:val="auto"/>
        </w:rPr>
      </w:pPr>
      <w:r>
        <w:rPr>
          <w:rFonts w:ascii="Arial" w:cs="Arial" w:eastAsia="Arial" w:hAnsi="Arial"/>
          <w:sz w:val="18"/>
          <w:szCs w:val="18"/>
          <w:color w:val="auto"/>
        </w:rPr>
        <w:t>“Advance Request” means a request for an Advance submitted by Borrower to Agent in substantially the form of Exhibit A, which account numbers shall be redacted for security purposes if and when filed publicly by the Borrower.</w:t>
      </w:r>
    </w:p>
    <w:p>
      <w:pPr>
        <w:spacing w:after="0" w:line="123" w:lineRule="exact"/>
        <w:rPr>
          <w:sz w:val="20"/>
          <w:szCs w:val="20"/>
          <w:color w:val="auto"/>
        </w:rPr>
      </w:pPr>
    </w:p>
    <w:p>
      <w:pPr>
        <w:jc w:val="both"/>
        <w:ind w:right="20" w:firstLine="1132"/>
        <w:spacing w:after="0" w:line="237" w:lineRule="auto"/>
        <w:rPr>
          <w:sz w:val="20"/>
          <w:szCs w:val="20"/>
          <w:color w:val="auto"/>
        </w:rPr>
      </w:pPr>
      <w:r>
        <w:rPr>
          <w:rFonts w:ascii="Arial" w:cs="Arial" w:eastAsia="Arial" w:hAnsi="Arial"/>
          <w:sz w:val="19"/>
          <w:szCs w:val="19"/>
          <w:color w:val="auto"/>
        </w:rPr>
        <w:t>“Affiliate” means with respect to any Person (a) any Person that directly or indirectly controls, is controlled by, or is under common control with such Person, (b) any Person directly or indirectly owning, controlling or holding with power to vote ten percent (10%) or more of the outstanding voting securities of such Person, and (c) any Person ten percent (10%) or more of whose outstanding voting securities are directly or indirectly owned, controlled or held by such Person with power to vote such securities. As used in the definition of “Affiliate,” the term “control” means the possession, directly or indirectly, of the power to direct or cause the direction of the management and policies of a Person, whether through ownership of voting securities, by contract or otherwise.</w:t>
      </w:r>
    </w:p>
    <w:p>
      <w:pPr>
        <w:spacing w:after="0" w:line="164"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“Agreement” means this Loan and Security Agreement, as amended from time to time.</w:t>
      </w:r>
    </w:p>
    <w:p>
      <w:pPr>
        <w:spacing w:after="0" w:line="182" w:lineRule="exact"/>
        <w:rPr>
          <w:sz w:val="20"/>
          <w:szCs w:val="20"/>
          <w:color w:val="auto"/>
        </w:rPr>
      </w:pPr>
    </w:p>
    <w:p>
      <w:pPr>
        <w:jc w:val="both"/>
        <w:ind w:right="20" w:firstLine="1132"/>
        <w:spacing w:after="0" w:line="244" w:lineRule="auto"/>
        <w:rPr>
          <w:sz w:val="20"/>
          <w:szCs w:val="20"/>
          <w:color w:val="auto"/>
        </w:rPr>
      </w:pPr>
      <w:r>
        <w:rPr>
          <w:rFonts w:ascii="Arial" w:cs="Arial" w:eastAsia="Arial" w:hAnsi="Arial"/>
          <w:sz w:val="19"/>
          <w:szCs w:val="19"/>
          <w:color w:val="auto"/>
        </w:rPr>
        <w:t>“Amortization Date” means May 1, 2023; provided however, (x) if the First Interest Only Extension Conditions are satisfied, then November 1, 2023, (y) if the Second Interest Only Extension Conditions are satisfied, then May 1, 2024, and (z) if the Third Interest Only Extension Conditions are satisfied, then November 1, 2024.</w:t>
      </w:r>
    </w:p>
    <w:p>
      <w:pPr>
        <w:spacing w:after="0" w:line="159" w:lineRule="exact"/>
        <w:rPr>
          <w:sz w:val="20"/>
          <w:szCs w:val="20"/>
          <w:color w:val="auto"/>
        </w:rPr>
      </w:pPr>
    </w:p>
    <w:p>
      <w:pPr>
        <w:jc w:val="both"/>
        <w:ind w:right="20" w:firstLine="1132"/>
        <w:spacing w:after="0" w:line="241" w:lineRule="auto"/>
        <w:rPr>
          <w:sz w:val="20"/>
          <w:szCs w:val="20"/>
          <w:color w:val="auto"/>
        </w:rPr>
      </w:pPr>
      <w:r>
        <w:rPr>
          <w:rFonts w:ascii="Arial" w:cs="Arial" w:eastAsia="Arial" w:hAnsi="Arial"/>
          <w:sz w:val="19"/>
          <w:szCs w:val="19"/>
          <w:color w:val="auto"/>
        </w:rPr>
        <w:t>“Antecip License Agreement” means that certain License Agreement, dated as of April 17, 2012 by and between Borrower and Antecip Bioventures II LLC, as amended by the First Amendment to License Agreement dated as of August 21, 2015, as amended by the Antecip Direct Agreement and as may be further amended from time to time pursuant to terms of the Antecip Direct Agreement.</w:t>
      </w:r>
    </w:p>
    <w:p>
      <w:pPr>
        <w:spacing w:after="0" w:line="160" w:lineRule="exact"/>
        <w:rPr>
          <w:sz w:val="20"/>
          <w:szCs w:val="20"/>
          <w:color w:val="auto"/>
        </w:rPr>
      </w:pPr>
    </w:p>
    <w:p>
      <w:pPr>
        <w:jc w:val="both"/>
        <w:ind w:right="20" w:firstLine="1132"/>
        <w:spacing w:after="0" w:line="315" w:lineRule="auto"/>
        <w:rPr>
          <w:sz w:val="20"/>
          <w:szCs w:val="20"/>
          <w:color w:val="auto"/>
        </w:rPr>
      </w:pPr>
      <w:r>
        <w:rPr>
          <w:rFonts w:ascii="Arial" w:cs="Arial" w:eastAsia="Arial" w:hAnsi="Arial"/>
          <w:sz w:val="17"/>
          <w:szCs w:val="17"/>
          <w:color w:val="auto"/>
        </w:rPr>
        <w:t>“Antecip Direct Agreement” means that certain Direct Agreement dated as of the date hereof, by and among the Company, Antecip Bioventures II LLC and the Agent (as amended, supplemented or otherwise modified from time to time).</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307340</wp:posOffset>
            </wp:positionV>
            <wp:extent cx="6311265" cy="2222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940"/>
          </w:cols>
          <w:pgMar w:left="980" w:top="781" w:right="979" w:bottom="1440" w:gutter="0" w:footer="0" w:header="0"/>
        </w:sectPr>
      </w:pPr>
    </w:p>
    <w:bookmarkStart w:id="110" w:name="page111"/>
    <w:bookmarkEnd w:id="110"/>
    <w:p>
      <w:pPr>
        <w:jc w:val="both"/>
        <w:ind w:right="20" w:firstLine="1132"/>
        <w:spacing w:after="0" w:line="241" w:lineRule="auto"/>
        <w:rPr>
          <w:sz w:val="20"/>
          <w:szCs w:val="20"/>
          <w:color w:val="auto"/>
        </w:rPr>
      </w:pPr>
      <w:r>
        <w:rPr>
          <w:rFonts w:ascii="Arial" w:cs="Arial" w:eastAsia="Arial" w:hAnsi="Arial"/>
          <w:sz w:val="19"/>
          <w:szCs w:val="19"/>
          <w:color w:val="auto"/>
        </w:rPr>
        <w:t>“Anti-Corruption Laws” means all laws, rules, and regulations of any jurisdiction applicable to Borrower or any of its Affiliates from time to time concerning or relating to bribery or corruption, including without limitation the United States Foreign Corrupt Practices Act of 1977, as amended, the UK Bribery Act 2010 and other similar legislation in any other jurisdictions.</w:t>
      </w:r>
    </w:p>
    <w:p>
      <w:pPr>
        <w:spacing w:after="0" w:line="160" w:lineRule="exact"/>
        <w:rPr>
          <w:sz w:val="20"/>
          <w:szCs w:val="20"/>
          <w:color w:val="auto"/>
        </w:rPr>
      </w:pPr>
    </w:p>
    <w:p>
      <w:pPr>
        <w:jc w:val="both"/>
        <w:ind w:firstLine="1132"/>
        <w:spacing w:after="0" w:line="244" w:lineRule="auto"/>
        <w:rPr>
          <w:sz w:val="20"/>
          <w:szCs w:val="20"/>
          <w:color w:val="auto"/>
        </w:rPr>
      </w:pPr>
      <w:r>
        <w:rPr>
          <w:rFonts w:ascii="Arial" w:cs="Arial" w:eastAsia="Arial" w:hAnsi="Arial"/>
          <w:sz w:val="19"/>
          <w:szCs w:val="19"/>
          <w:color w:val="auto"/>
        </w:rPr>
        <w:t>“Anti-Terrorism Laws” means any laws, rules, regulations or orders relating to terrorism or money laundering, including without limitation Executive Order No. 13224 (effective September 24, 2001), the USA PATRIOT Act, the laws comprising or implementing the Bank Secrecy Act, and the laws administered by OFAC.</w:t>
      </w:r>
    </w:p>
    <w:p>
      <w:pPr>
        <w:spacing w:after="0" w:line="15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“Australian Subsidiary” means Axsome Therapeutics Australia Pty Ltd, a company organized under the laws of</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Australia.</w:t>
      </w:r>
    </w:p>
    <w:p>
      <w:pPr>
        <w:spacing w:after="0" w:line="166" w:lineRule="exact"/>
        <w:rPr>
          <w:sz w:val="20"/>
          <w:szCs w:val="20"/>
          <w:color w:val="auto"/>
        </w:rPr>
      </w:pPr>
    </w:p>
    <w:p>
      <w:pPr>
        <w:jc w:val="both"/>
        <w:ind w:right="20" w:firstLine="1132"/>
        <w:spacing w:after="0" w:line="256" w:lineRule="auto"/>
        <w:rPr>
          <w:sz w:val="20"/>
          <w:szCs w:val="20"/>
          <w:color w:val="auto"/>
        </w:rPr>
      </w:pPr>
      <w:r>
        <w:rPr>
          <w:rFonts w:ascii="Arial" w:cs="Arial" w:eastAsia="Arial" w:hAnsi="Arial"/>
          <w:sz w:val="19"/>
          <w:szCs w:val="19"/>
          <w:color w:val="auto"/>
        </w:rPr>
        <w:t>“AXS-05” means Borrower’s AXS-05 product candidate (bupropion and dextromethorphan) for the treatment of Major Depressive Disorder (MDD) and other indications.</w:t>
      </w:r>
    </w:p>
    <w:p>
      <w:pPr>
        <w:spacing w:after="0" w:line="147" w:lineRule="exact"/>
        <w:rPr>
          <w:sz w:val="20"/>
          <w:szCs w:val="20"/>
          <w:color w:val="auto"/>
        </w:rPr>
      </w:pPr>
    </w:p>
    <w:p>
      <w:pPr>
        <w:jc w:val="both"/>
        <w:ind w:firstLine="1132"/>
        <w:spacing w:after="0" w:line="244" w:lineRule="auto"/>
        <w:rPr>
          <w:sz w:val="20"/>
          <w:szCs w:val="20"/>
          <w:color w:val="auto"/>
        </w:rPr>
      </w:pPr>
      <w:r>
        <w:rPr>
          <w:rFonts w:ascii="Arial" w:cs="Arial" w:eastAsia="Arial" w:hAnsi="Arial"/>
          <w:sz w:val="19"/>
          <w:szCs w:val="19"/>
          <w:color w:val="auto"/>
        </w:rPr>
        <w:t>“AXS-05 Milestone” means Borrower shall have provided evidence reasonably satisfactory to Agent that the FDA has approved Borrower’s New Drug Application for AXS-05 for the treatment of MDD with a label claim that is generally consistent with that sought in Borrower’s New Drug Application filing.</w:t>
      </w:r>
    </w:p>
    <w:p>
      <w:pPr>
        <w:spacing w:after="0" w:line="159" w:lineRule="exact"/>
        <w:rPr>
          <w:sz w:val="20"/>
          <w:szCs w:val="20"/>
          <w:color w:val="auto"/>
        </w:rPr>
      </w:pPr>
    </w:p>
    <w:p>
      <w:pPr>
        <w:ind w:left="1180"/>
        <w:spacing w:after="0"/>
        <w:rPr>
          <w:sz w:val="20"/>
          <w:szCs w:val="20"/>
          <w:color w:val="auto"/>
        </w:rPr>
      </w:pPr>
      <w:r>
        <w:rPr>
          <w:rFonts w:ascii="Arial" w:cs="Arial" w:eastAsia="Arial" w:hAnsi="Arial"/>
          <w:sz w:val="19"/>
          <w:szCs w:val="19"/>
          <w:color w:val="auto"/>
        </w:rPr>
        <w:t>“AXS-05 Milestone Date” means the date on which the Borrower achieves the AXS-05 Milestone.</w:t>
      </w:r>
    </w:p>
    <w:p>
      <w:pPr>
        <w:spacing w:after="0" w:line="182" w:lineRule="exact"/>
        <w:rPr>
          <w:sz w:val="20"/>
          <w:szCs w:val="20"/>
          <w:color w:val="auto"/>
        </w:rPr>
      </w:pPr>
    </w:p>
    <w:p>
      <w:pPr>
        <w:jc w:val="both"/>
        <w:ind w:right="20" w:firstLine="1132"/>
        <w:spacing w:after="0" w:line="256" w:lineRule="auto"/>
        <w:rPr>
          <w:sz w:val="20"/>
          <w:szCs w:val="20"/>
          <w:color w:val="auto"/>
        </w:rPr>
      </w:pPr>
      <w:r>
        <w:rPr>
          <w:rFonts w:ascii="Arial" w:cs="Arial" w:eastAsia="Arial" w:hAnsi="Arial"/>
          <w:sz w:val="19"/>
          <w:szCs w:val="19"/>
          <w:color w:val="auto"/>
        </w:rPr>
        <w:t>“AXS-07” means Borrower’s AXS-07 product candidate (MoSEIC meloxicam and rizatriptan) for the acute treatment of migraine.</w:t>
      </w:r>
    </w:p>
    <w:p>
      <w:pPr>
        <w:spacing w:after="0" w:line="147" w:lineRule="exact"/>
        <w:rPr>
          <w:sz w:val="20"/>
          <w:szCs w:val="20"/>
          <w:color w:val="auto"/>
        </w:rPr>
      </w:pPr>
    </w:p>
    <w:p>
      <w:pPr>
        <w:jc w:val="both"/>
        <w:ind w:right="20" w:firstLine="1132"/>
        <w:spacing w:after="0" w:line="244" w:lineRule="auto"/>
        <w:rPr>
          <w:sz w:val="20"/>
          <w:szCs w:val="20"/>
          <w:color w:val="auto"/>
        </w:rPr>
      </w:pPr>
      <w:r>
        <w:rPr>
          <w:rFonts w:ascii="Arial" w:cs="Arial" w:eastAsia="Arial" w:hAnsi="Arial"/>
          <w:sz w:val="19"/>
          <w:szCs w:val="19"/>
          <w:color w:val="auto"/>
        </w:rPr>
        <w:t>“AXS-07 Milestone” means Borrower shall have provided evidence reasonably satisfactory to Agent that the FDA has approved Borrower’s New Drug Application for AXS-07 for the acute treatment of migraine with a label claim that is generally consistent with that sought in Borrower’s New Drug Application filing.</w:t>
      </w:r>
    </w:p>
    <w:p>
      <w:pPr>
        <w:spacing w:after="0" w:line="15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“AXS-07 Milestone Date” means the date on which the Borrower achieves the AXS-07 Milestone.</w:t>
      </w:r>
    </w:p>
    <w:p>
      <w:pPr>
        <w:spacing w:after="0" w:line="182"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“AXS-12” means Borrower’s AXS-12 product candidate (reboxetine) for the treatment of narcolepsy.</w:t>
      </w:r>
    </w:p>
    <w:p>
      <w:pPr>
        <w:spacing w:after="0" w:line="182" w:lineRule="exact"/>
        <w:rPr>
          <w:sz w:val="20"/>
          <w:szCs w:val="20"/>
          <w:color w:val="auto"/>
        </w:rPr>
      </w:pPr>
    </w:p>
    <w:p>
      <w:pPr>
        <w:jc w:val="both"/>
        <w:ind w:firstLine="1132"/>
        <w:spacing w:after="0" w:line="253" w:lineRule="auto"/>
        <w:rPr>
          <w:sz w:val="20"/>
          <w:szCs w:val="20"/>
          <w:color w:val="auto"/>
        </w:rPr>
      </w:pPr>
      <w:r>
        <w:rPr>
          <w:rFonts w:ascii="Arial" w:cs="Arial" w:eastAsia="Arial" w:hAnsi="Arial"/>
          <w:sz w:val="18"/>
          <w:szCs w:val="18"/>
          <w:color w:val="auto"/>
        </w:rPr>
        <w:t>“Blocked Person” means any Person: (a) listed in the annex to, or is otherwise subject to the provisions of, Executive Order No. 13224, (b) a Person owned or controlled by, or acting for or on behalf of, any Person that is listed in the annex to, or is otherwise subject to the provisions of, Executive Order No. 13224, (c) a Person with which any Lender is prohibited from dealing or otherwise engaging in any transaction by any Anti-Terrorism Law, (d) a Person that commits, threatens or conspires to commit or supports “terrorism” as defined in Executive Order No. 13224, or (e) a Person that is named a “specially designated national” or “blocked person” on the most current list published by OFAC or other similar list.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307340</wp:posOffset>
            </wp:positionV>
            <wp:extent cx="6311265" cy="2222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940"/>
          </w:cols>
          <w:pgMar w:left="980" w:top="781" w:right="979" w:bottom="1440" w:gutter="0" w:footer="0" w:header="0"/>
        </w:sectPr>
      </w:pPr>
    </w:p>
    <w:bookmarkStart w:id="111" w:name="page112"/>
    <w:bookmarkEnd w:id="111"/>
    <w:p>
      <w:pPr>
        <w:jc w:val="both"/>
        <w:ind w:right="20" w:firstLine="1132"/>
        <w:spacing w:after="0" w:line="241" w:lineRule="auto"/>
        <w:rPr>
          <w:sz w:val="20"/>
          <w:szCs w:val="20"/>
          <w:color w:val="auto"/>
        </w:rPr>
      </w:pPr>
      <w:r>
        <w:rPr>
          <w:rFonts w:ascii="Arial" w:cs="Arial" w:eastAsia="Arial" w:hAnsi="Arial"/>
          <w:sz w:val="19"/>
          <w:szCs w:val="19"/>
          <w:color w:val="auto"/>
        </w:rPr>
        <w:t>“Borrower Products” means all products currently being designed, manufactured or that are under preclinical or clinical investigation or development by Borrower or which Borrower intends to sell, license, or distribute in the future subject to applicable regulatory approvals including any products under development, collectively, together with all products that have been sold, licensed or distributed by Borrower since its incorporation.</w:t>
      </w:r>
    </w:p>
    <w:p>
      <w:pPr>
        <w:spacing w:after="0" w:line="160" w:lineRule="exact"/>
        <w:rPr>
          <w:sz w:val="20"/>
          <w:szCs w:val="20"/>
          <w:color w:val="auto"/>
        </w:rPr>
      </w:pPr>
    </w:p>
    <w:p>
      <w:pPr>
        <w:jc w:val="both"/>
        <w:ind w:firstLine="1132"/>
        <w:spacing w:after="0" w:line="287" w:lineRule="auto"/>
        <w:rPr>
          <w:sz w:val="20"/>
          <w:szCs w:val="20"/>
          <w:color w:val="auto"/>
        </w:rPr>
      </w:pPr>
      <w:r>
        <w:rPr>
          <w:rFonts w:ascii="Arial" w:cs="Arial" w:eastAsia="Arial" w:hAnsi="Arial"/>
          <w:sz w:val="17"/>
          <w:szCs w:val="17"/>
          <w:color w:val="auto"/>
        </w:rPr>
        <w:t>“Borrower’s Books” means Borrower’s or any of its Subsidiaries’ books and records including ledgers, federal, state, local and foreign tax returns, records regarding Borrower’s or its Subsidiaries’ assets or liabilities, the Collateral, business operations or financial condition, and all computer programs or storage or any equipment containing such information.</w:t>
      </w:r>
    </w:p>
    <w:p>
      <w:pPr>
        <w:spacing w:after="0" w:line="124" w:lineRule="exact"/>
        <w:rPr>
          <w:sz w:val="20"/>
          <w:szCs w:val="20"/>
          <w:color w:val="auto"/>
        </w:rPr>
      </w:pPr>
    </w:p>
    <w:p>
      <w:pPr>
        <w:jc w:val="both"/>
        <w:ind w:right="20" w:firstLine="1132"/>
        <w:spacing w:after="0" w:line="256" w:lineRule="auto"/>
        <w:rPr>
          <w:sz w:val="20"/>
          <w:szCs w:val="20"/>
          <w:color w:val="auto"/>
        </w:rPr>
      </w:pPr>
      <w:r>
        <w:rPr>
          <w:rFonts w:ascii="Arial" w:cs="Arial" w:eastAsia="Arial" w:hAnsi="Arial"/>
          <w:sz w:val="19"/>
          <w:szCs w:val="19"/>
          <w:color w:val="auto"/>
        </w:rPr>
        <w:t>“Business Day” means any day other than Saturday, Sunday and any other day on which banking institutions in the State of California are closed for business.</w:t>
      </w:r>
    </w:p>
    <w:p>
      <w:pPr>
        <w:spacing w:after="0" w:line="147"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“Cash” means all cash, cash equivalents and liquid funds.</w:t>
      </w:r>
    </w:p>
    <w:p>
      <w:pPr>
        <w:spacing w:after="0" w:line="182" w:lineRule="exact"/>
        <w:rPr>
          <w:sz w:val="20"/>
          <w:szCs w:val="20"/>
          <w:color w:val="auto"/>
        </w:rPr>
      </w:pPr>
    </w:p>
    <w:p>
      <w:pPr>
        <w:jc w:val="both"/>
        <w:ind w:firstLine="1132"/>
        <w:spacing w:after="0" w:line="236" w:lineRule="auto"/>
        <w:rPr>
          <w:sz w:val="20"/>
          <w:szCs w:val="20"/>
          <w:color w:val="auto"/>
        </w:rPr>
      </w:pPr>
      <w:r>
        <w:rPr>
          <w:rFonts w:ascii="Arial" w:cs="Arial" w:eastAsia="Arial" w:hAnsi="Arial"/>
          <w:sz w:val="19"/>
          <w:szCs w:val="19"/>
          <w:color w:val="auto"/>
        </w:rPr>
        <w:t>“Change in Control” means any (x) reorganization, recapitalization, consolidation or merger (or similar transaction or series of related transactions) of Borrower, sale or exchange of outstanding shares (or similar transaction or series of related transactions) of Borrower in which the holders of Borrower’s outstanding shares immediately before consummation of such transaction or series of related transactions do not, immediately after consummation of such transaction or series of related transactions, retain shares representing more than fifty percent (50%) of the voting power of the surviving entity of such transaction or series of related transactions (or the parent of such surviving entity if such surviving entity is wholly owned by such parent), in each case without regard to whether Borrower is the surviving entity or (y) “change of control”, “fundamental change”, “make-whole fundamental change” or any comparable term under and as defined in any indenture governing any Permitted Convertible Debt has occurred.</w:t>
      </w:r>
    </w:p>
    <w:p>
      <w:pPr>
        <w:spacing w:after="0" w:line="165"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“Closing Date” means the date of this Agreement.</w:t>
      </w:r>
    </w:p>
    <w:p>
      <w:pPr>
        <w:spacing w:after="0" w:line="182"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“Code” means the Internal Revenue Code of 1986, as amended.</w:t>
      </w:r>
    </w:p>
    <w:p>
      <w:pPr>
        <w:spacing w:after="0" w:line="182"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“Common Stock” means the Common Stock, $0.0001 par value per share, of the Borrower.</w:t>
      </w:r>
    </w:p>
    <w:p>
      <w:pPr>
        <w:spacing w:after="0" w:line="182" w:lineRule="exact"/>
        <w:rPr>
          <w:sz w:val="20"/>
          <w:szCs w:val="20"/>
          <w:color w:val="auto"/>
        </w:rPr>
      </w:pPr>
    </w:p>
    <w:p>
      <w:pPr>
        <w:jc w:val="both"/>
        <w:ind w:firstLine="1132"/>
        <w:spacing w:after="0" w:line="250" w:lineRule="auto"/>
        <w:rPr>
          <w:sz w:val="20"/>
          <w:szCs w:val="20"/>
          <w:color w:val="auto"/>
        </w:rPr>
      </w:pPr>
      <w:r>
        <w:rPr>
          <w:rFonts w:ascii="Arial" w:cs="Arial" w:eastAsia="Arial" w:hAnsi="Arial"/>
          <w:sz w:val="18"/>
          <w:szCs w:val="18"/>
          <w:color w:val="auto"/>
        </w:rPr>
        <w:t>“Company IP” means any and all of the following, as they exist in and throughout the United States: (a) Current Company IP; (b) improvements, continuations, continuations-in-part, divisions, provisionals or any substitute applications, any patent issued with respect to any of the Current Company IP, any patent right claiming the composition of matter of, or the method of making or using, the Borrower Products in the United States, any reissue, reexamination, renewal or patent term extension or adjustment (including any supplementary protection certificate) of any such patent, and any confirmation patent or registration patent or patent of addition based on any such patent; (c) trade secrets or trade secret rights, including any rights to unpatented inventions, know-how, show-how, operating manuals, confidential or proprietary information, research in progress, algorithms, data, databases, data collections, designs, processes, procedures, methods, protocols, materials, formulae, drawings, schematics, blueprints, flow charts, models, strategies, prototypes, techniques, and the results of experimentation and testing, including samples, in each</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307340</wp:posOffset>
            </wp:positionV>
            <wp:extent cx="6311265" cy="2222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940"/>
          </w:cols>
          <w:pgMar w:left="980" w:top="781" w:right="979" w:bottom="1440" w:gutter="0" w:footer="0" w:header="0"/>
        </w:sectPr>
      </w:pPr>
    </w:p>
    <w:bookmarkStart w:id="112" w:name="page113"/>
    <w:bookmarkEnd w:id="112"/>
    <w:p>
      <w:pPr>
        <w:jc w:val="both"/>
        <w:ind w:right="20"/>
        <w:spacing w:after="0" w:line="255" w:lineRule="auto"/>
        <w:rPr>
          <w:sz w:val="20"/>
          <w:szCs w:val="20"/>
          <w:color w:val="auto"/>
        </w:rPr>
      </w:pPr>
      <w:r>
        <w:rPr>
          <w:rFonts w:ascii="Arial" w:cs="Arial" w:eastAsia="Arial" w:hAnsi="Arial"/>
          <w:sz w:val="18"/>
          <w:szCs w:val="18"/>
          <w:color w:val="auto"/>
        </w:rPr>
        <w:t>case, as specifically related to any research, development, manufacture, production, use, commercialization, marketing, importing, storage, transport, offer for sale, distribution or sale of the Borrower Products; (d) any and all IP Ancillary Rights specifically relating to any of the foregoing; and (e) regulatory filings, submissions and approvals related to any research, development, manufacture, production, use, commercialization, marketing, importing, storage, transport, offer for sale, distribution or sale of the Borrower Products and all data provided in any of the foregoing.</w:t>
      </w:r>
    </w:p>
    <w:p>
      <w:pPr>
        <w:spacing w:after="0" w:line="150" w:lineRule="exact"/>
        <w:rPr>
          <w:sz w:val="20"/>
          <w:szCs w:val="20"/>
          <w:color w:val="auto"/>
        </w:rPr>
      </w:pPr>
    </w:p>
    <w:p>
      <w:pPr>
        <w:jc w:val="both"/>
        <w:ind w:firstLine="1132"/>
        <w:spacing w:after="0" w:line="264" w:lineRule="auto"/>
        <w:rPr>
          <w:sz w:val="20"/>
          <w:szCs w:val="20"/>
          <w:color w:val="auto"/>
        </w:rPr>
      </w:pPr>
      <w:r>
        <w:rPr>
          <w:rFonts w:ascii="Arial" w:cs="Arial" w:eastAsia="Arial" w:hAnsi="Arial"/>
          <w:sz w:val="17"/>
          <w:szCs w:val="17"/>
          <w:color w:val="auto"/>
        </w:rPr>
        <w:t xml:space="preserve">“Contingent Obligation” means, as applied to any Person, any direct or indirect liability, contingent or otherwise, of that Person with respect to (i) any Indebtedness, lease, dividend, letter of credit or other obligation of another, including any such obligation directly or indirectly guaranteed, endorsed, co-made or discounted or sold with recourse by that Person, or in respect of which that Person is otherwise directly or indirectly liable; (ii) any obligations with respect to undrawn letters of credit, corporate credit cards or merchant services issued for the account of that Person; and (iii) all obligations arising under any interest rate, currency or commodity swap agreement, interest rate cap agreement, interest rate collar agreement, or other agreement or arrangement designated to protect a Person against fluctuation in interest rates, currency exchange rates or commodity prices; provided, however, that the term “Contingent Obligation” shall not include endorsements for collection or deposit in the ordinary course of business or guaranties of operating leases that do not constitute Indebtedness. The amount of any Contingent Obligation shall be deemed to be an amount equal to the stated or determined amount of the primary obligation in respect of which such Contingent Obligation is made or, if not stated or determinable, the maximum reasonably anticipated liability in respect thereof as determined by such Person in good faith;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amount shall not in any event exceed the maximum amount of the obligations under the guarantee or other support arrangement. For the avoidance of doubt, no Permitted Bond Hedge Transaction or Permitted Warrant Transaction will be considered a Contingent Obligation of Borrower.</w:t>
      </w:r>
    </w:p>
    <w:p>
      <w:pPr>
        <w:spacing w:after="0" w:line="149" w:lineRule="exact"/>
        <w:rPr>
          <w:sz w:val="20"/>
          <w:szCs w:val="20"/>
          <w:color w:val="auto"/>
        </w:rPr>
      </w:pPr>
    </w:p>
    <w:p>
      <w:pPr>
        <w:jc w:val="both"/>
        <w:ind w:right="20" w:firstLine="1132"/>
        <w:spacing w:after="0" w:line="315" w:lineRule="auto"/>
        <w:rPr>
          <w:sz w:val="20"/>
          <w:szCs w:val="20"/>
          <w:color w:val="auto"/>
        </w:rPr>
      </w:pPr>
      <w:r>
        <w:rPr>
          <w:rFonts w:ascii="Arial" w:cs="Arial" w:eastAsia="Arial" w:hAnsi="Arial"/>
          <w:sz w:val="17"/>
          <w:szCs w:val="17"/>
          <w:color w:val="auto"/>
        </w:rPr>
        <w:t>“Copyright License” means any written agreement granting any right to use any Copyright or Copyright registration, now owned or hereafter acquired by Borrower or in which Borrower now holds or hereafter acquires any interest.</w:t>
      </w:r>
    </w:p>
    <w:p>
      <w:pPr>
        <w:spacing w:after="0" w:line="100" w:lineRule="exact"/>
        <w:rPr>
          <w:sz w:val="20"/>
          <w:szCs w:val="20"/>
          <w:color w:val="auto"/>
        </w:rPr>
      </w:pPr>
    </w:p>
    <w:p>
      <w:pPr>
        <w:jc w:val="both"/>
        <w:ind w:right="20" w:firstLine="1132"/>
        <w:spacing w:after="0" w:line="256" w:lineRule="auto"/>
        <w:rPr>
          <w:sz w:val="20"/>
          <w:szCs w:val="20"/>
          <w:color w:val="auto"/>
        </w:rPr>
      </w:pPr>
      <w:r>
        <w:rPr>
          <w:rFonts w:ascii="Arial" w:cs="Arial" w:eastAsia="Arial" w:hAnsi="Arial"/>
          <w:sz w:val="19"/>
          <w:szCs w:val="19"/>
          <w:color w:val="auto"/>
        </w:rPr>
        <w:t>“Copyrights” means all copyrights, whether registered or unregistered, held pursuant to the laws of the United States of America, any State thereof, or of any other country.</w:t>
      </w:r>
    </w:p>
    <w:p>
      <w:pPr>
        <w:spacing w:after="0" w:line="147" w:lineRule="exact"/>
        <w:rPr>
          <w:sz w:val="20"/>
          <w:szCs w:val="20"/>
          <w:color w:val="auto"/>
        </w:rPr>
      </w:pPr>
    </w:p>
    <w:p>
      <w:pPr>
        <w:jc w:val="both"/>
        <w:ind w:right="20" w:firstLine="1132"/>
        <w:spacing w:after="0" w:line="256" w:lineRule="auto"/>
        <w:rPr>
          <w:sz w:val="20"/>
          <w:szCs w:val="20"/>
          <w:color w:val="auto"/>
        </w:rPr>
      </w:pPr>
      <w:r>
        <w:rPr>
          <w:rFonts w:ascii="Arial" w:cs="Arial" w:eastAsia="Arial" w:hAnsi="Arial"/>
          <w:sz w:val="19"/>
          <w:szCs w:val="19"/>
          <w:color w:val="auto"/>
        </w:rPr>
        <w:t>“Cross-Default Reference Obligation” has the meaning assigned to such term in the definition of “Permitted Convertible Debt.”</w:t>
      </w:r>
    </w:p>
    <w:p>
      <w:pPr>
        <w:spacing w:after="0" w:line="147" w:lineRule="exact"/>
        <w:rPr>
          <w:sz w:val="20"/>
          <w:szCs w:val="20"/>
          <w:color w:val="auto"/>
        </w:rPr>
      </w:pPr>
    </w:p>
    <w:p>
      <w:pPr>
        <w:jc w:val="both"/>
        <w:ind w:firstLine="1132"/>
        <w:spacing w:after="0" w:line="256" w:lineRule="auto"/>
        <w:rPr>
          <w:sz w:val="20"/>
          <w:szCs w:val="20"/>
          <w:color w:val="auto"/>
        </w:rPr>
      </w:pPr>
      <w:r>
        <w:rPr>
          <w:rFonts w:ascii="Arial" w:cs="Arial" w:eastAsia="Arial" w:hAnsi="Arial"/>
          <w:sz w:val="19"/>
          <w:szCs w:val="19"/>
          <w:color w:val="auto"/>
        </w:rPr>
        <w:t>“Deposit Accounts” means any “deposit accounts,” as such term is defined in the UCC, and includes any checking account, savings account, or certificate of deposit.</w:t>
      </w:r>
    </w:p>
    <w:p>
      <w:pPr>
        <w:spacing w:after="0" w:line="147" w:lineRule="exact"/>
        <w:rPr>
          <w:sz w:val="20"/>
          <w:szCs w:val="20"/>
          <w:color w:val="auto"/>
        </w:rPr>
      </w:pPr>
    </w:p>
    <w:p>
      <w:pPr>
        <w:jc w:val="both"/>
        <w:ind w:firstLine="1132"/>
        <w:spacing w:after="0" w:line="256" w:lineRule="auto"/>
        <w:rPr>
          <w:sz w:val="20"/>
          <w:szCs w:val="20"/>
          <w:color w:val="auto"/>
        </w:rPr>
      </w:pPr>
      <w:r>
        <w:rPr>
          <w:rFonts w:ascii="Arial" w:cs="Arial" w:eastAsia="Arial" w:hAnsi="Arial"/>
          <w:sz w:val="19"/>
          <w:szCs w:val="19"/>
          <w:color w:val="auto"/>
        </w:rPr>
        <w:t>“Domestic Subsidiary” means any Subsidiary organized under the laws of the United States of America, any State thereof, the District of Columbia, or any other jurisdiction within the United States of America.</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307340</wp:posOffset>
            </wp:positionV>
            <wp:extent cx="6311265" cy="2222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940"/>
          </w:cols>
          <w:pgMar w:left="980" w:top="781" w:right="979" w:bottom="1440" w:gutter="0" w:footer="0" w:header="0"/>
        </w:sectPr>
      </w:pPr>
    </w:p>
    <w:bookmarkStart w:id="113" w:name="page114"/>
    <w:bookmarkEnd w:id="113"/>
    <w:p>
      <w:pPr>
        <w:jc w:val="both"/>
        <w:ind w:right="20" w:firstLine="1132"/>
        <w:spacing w:after="0" w:line="256" w:lineRule="auto"/>
        <w:rPr>
          <w:sz w:val="20"/>
          <w:szCs w:val="20"/>
          <w:color w:val="auto"/>
        </w:rPr>
      </w:pPr>
      <w:r>
        <w:rPr>
          <w:rFonts w:ascii="Arial" w:cs="Arial" w:eastAsia="Arial" w:hAnsi="Arial"/>
          <w:sz w:val="19"/>
          <w:szCs w:val="19"/>
          <w:color w:val="auto"/>
        </w:rPr>
        <w:t>“Due Diligence Fee” means $75,000, which fee has been paid to the Lenders prior to the Closing Date, and shall be deemed fully earned on such date regardless of the early termination of this Agreement.</w:t>
      </w:r>
    </w:p>
    <w:p>
      <w:pPr>
        <w:spacing w:after="0" w:line="147" w:lineRule="exact"/>
        <w:rPr>
          <w:sz w:val="20"/>
          <w:szCs w:val="20"/>
          <w:color w:val="auto"/>
        </w:rPr>
      </w:pPr>
    </w:p>
    <w:p>
      <w:pPr>
        <w:jc w:val="both"/>
        <w:ind w:right="20" w:firstLine="1132"/>
        <w:spacing w:after="0" w:line="256" w:lineRule="auto"/>
        <w:rPr>
          <w:sz w:val="20"/>
          <w:szCs w:val="20"/>
          <w:color w:val="auto"/>
        </w:rPr>
      </w:pPr>
      <w:r>
        <w:rPr>
          <w:rFonts w:ascii="Arial" w:cs="Arial" w:eastAsia="Arial" w:hAnsi="Arial"/>
          <w:sz w:val="19"/>
          <w:szCs w:val="19"/>
          <w:color w:val="auto"/>
        </w:rPr>
        <w:t>“Equity Interests” means, with respect to any Person, the capital stock, partnership or limited liability company interest, or other equity securities or equity ownership interests of such Person.</w:t>
      </w:r>
    </w:p>
    <w:p>
      <w:pPr>
        <w:spacing w:after="0" w:line="147" w:lineRule="exact"/>
        <w:rPr>
          <w:sz w:val="20"/>
          <w:szCs w:val="20"/>
          <w:color w:val="auto"/>
        </w:rPr>
      </w:pPr>
    </w:p>
    <w:p>
      <w:pPr>
        <w:jc w:val="both"/>
        <w:ind w:right="20" w:firstLine="1132"/>
        <w:spacing w:after="0" w:line="256" w:lineRule="auto"/>
        <w:rPr>
          <w:sz w:val="20"/>
          <w:szCs w:val="20"/>
          <w:color w:val="auto"/>
        </w:rPr>
      </w:pPr>
      <w:r>
        <w:rPr>
          <w:rFonts w:ascii="Arial" w:cs="Arial" w:eastAsia="Arial" w:hAnsi="Arial"/>
          <w:sz w:val="19"/>
          <w:szCs w:val="19"/>
          <w:color w:val="auto"/>
        </w:rPr>
        <w:t>“ERISA” means the Employee Retirement Income Security Act of 1974, as amended, and the regulations promulgated thereunder.</w:t>
      </w:r>
    </w:p>
    <w:p>
      <w:pPr>
        <w:spacing w:after="0" w:line="147" w:lineRule="exact"/>
        <w:rPr>
          <w:sz w:val="20"/>
          <w:szCs w:val="20"/>
          <w:color w:val="auto"/>
        </w:rPr>
      </w:pPr>
    </w:p>
    <w:p>
      <w:pPr>
        <w:jc w:val="both"/>
        <w:ind w:firstLine="1132"/>
        <w:spacing w:after="0" w:line="274" w:lineRule="auto"/>
        <w:rPr>
          <w:sz w:val="20"/>
          <w:szCs w:val="20"/>
          <w:color w:val="auto"/>
        </w:rPr>
      </w:pPr>
      <w:r>
        <w:rPr>
          <w:rFonts w:ascii="Arial" w:cs="Arial" w:eastAsia="Arial" w:hAnsi="Arial"/>
          <w:sz w:val="17"/>
          <w:szCs w:val="17"/>
          <w:color w:val="auto"/>
        </w:rPr>
        <w:t>“Excluded Account” means (i) accounts used solely to fund payroll or employee benefits in an aggregate amount not to exceed the then-next two payroll cycles, (ii) any Account (including, for the avoidance of doubt, any cash, cash equivalents, or other property contained therein) to the extent, and for so long as, such Account is pledged and used exclusively to secure performance of obligations arising and permitted under clauses (vi), (xiv) and (xv) of the definition of “Permitted Liens” and (iii) other Accounts that have a balance not to exceed One Hundred Thousand Dollars ($100,000.00) in the aggregate at any time.</w:t>
      </w:r>
    </w:p>
    <w:p>
      <w:pPr>
        <w:spacing w:after="0" w:line="134" w:lineRule="exact"/>
        <w:rPr>
          <w:sz w:val="20"/>
          <w:szCs w:val="20"/>
          <w:color w:val="auto"/>
        </w:rPr>
      </w:pPr>
    </w:p>
    <w:p>
      <w:pPr>
        <w:jc w:val="both"/>
        <w:ind w:firstLine="1132"/>
        <w:spacing w:after="0" w:line="241" w:lineRule="auto"/>
        <w:rPr>
          <w:sz w:val="20"/>
          <w:szCs w:val="20"/>
          <w:color w:val="auto"/>
        </w:rPr>
      </w:pPr>
      <w:r>
        <w:rPr>
          <w:rFonts w:ascii="Arial" w:cs="Arial" w:eastAsia="Arial" w:hAnsi="Arial"/>
          <w:sz w:val="19"/>
          <w:szCs w:val="19"/>
          <w:color w:val="auto"/>
        </w:rPr>
        <w:t>“Excluded Subsidiary” means (a) the Irish Subsidiary, (b) the Australian Subsidiary and (c) each Foreign Subsidiary of Borrower designated by Borrower as an “Excluded Subsidiary”; provided that, in each of the foregoing cases, the Excluded Subsidiary Condition is satisfied with respect to such Subsidiary at all times, and in each case as long as no Excluded Subsidiary owns any Intellectual Property.</w:t>
      </w:r>
    </w:p>
    <w:p>
      <w:pPr>
        <w:spacing w:after="0" w:line="160" w:lineRule="exact"/>
        <w:rPr>
          <w:sz w:val="20"/>
          <w:szCs w:val="20"/>
          <w:color w:val="auto"/>
        </w:rPr>
      </w:pPr>
    </w:p>
    <w:p>
      <w:pPr>
        <w:jc w:val="both"/>
        <w:ind w:firstLine="1132"/>
        <w:spacing w:after="0" w:line="241" w:lineRule="auto"/>
        <w:rPr>
          <w:sz w:val="20"/>
          <w:szCs w:val="20"/>
          <w:color w:val="auto"/>
        </w:rPr>
      </w:pPr>
      <w:r>
        <w:rPr>
          <w:rFonts w:ascii="Arial" w:cs="Arial" w:eastAsia="Arial" w:hAnsi="Arial"/>
          <w:sz w:val="19"/>
          <w:szCs w:val="19"/>
          <w:color w:val="auto"/>
        </w:rPr>
        <w:t>“Excluded Subsidiary Condition” means (a) the aggregate revenues (under GAAP) of all Excluded Subsidiaries does not exceed five percent (5%) of the consolidated revenues (under GAAP) of Borrower and its Subsidiaries; and (b) value of the total assets of all Excluded Subsidiaries does not exceed five percent (5%) of the consolidated total assets of Borrower and its Subsidiaries.</w:t>
      </w:r>
    </w:p>
    <w:p>
      <w:pPr>
        <w:spacing w:after="0" w:line="160"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“FDA” means the U.S. Food and Drug Administration or any successor thereto.</w:t>
      </w:r>
    </w:p>
    <w:p>
      <w:pPr>
        <w:spacing w:after="0" w:line="182" w:lineRule="exact"/>
        <w:rPr>
          <w:sz w:val="20"/>
          <w:szCs w:val="20"/>
          <w:color w:val="auto"/>
        </w:rPr>
      </w:pPr>
    </w:p>
    <w:p>
      <w:pPr>
        <w:jc w:val="both"/>
        <w:ind w:right="20" w:firstLine="1132"/>
        <w:spacing w:after="0" w:line="258" w:lineRule="auto"/>
        <w:rPr>
          <w:sz w:val="20"/>
          <w:szCs w:val="20"/>
          <w:color w:val="auto"/>
        </w:rPr>
      </w:pPr>
      <w:r>
        <w:rPr>
          <w:rFonts w:ascii="Arial" w:cs="Arial" w:eastAsia="Arial" w:hAnsi="Arial"/>
          <w:sz w:val="18"/>
          <w:szCs w:val="18"/>
          <w:color w:val="auto"/>
        </w:rPr>
        <w:t>“FDA Good Manufacturing Practices” means the applicable requirements and standards set forth in the Food, Drug, and Cosmetic Act (“FDCA”) and its implementing regulations (for example, for pharmaceuticals being used in Phase 2 or 3 studies, and commercial pharmaceuticals, 21 C.F.R. Parts 210 and 211) and relevant FDA guidance documents (for example, for pharmaceuticals in Phase 1, FDA guidance entitled “CGMP for Phase 1 Investigational Drugs”.</w:t>
      </w:r>
    </w:p>
    <w:p>
      <w:pPr>
        <w:spacing w:after="0" w:line="147" w:lineRule="exact"/>
        <w:rPr>
          <w:sz w:val="20"/>
          <w:szCs w:val="20"/>
          <w:color w:val="auto"/>
        </w:rPr>
      </w:pPr>
    </w:p>
    <w:p>
      <w:pPr>
        <w:jc w:val="both"/>
        <w:ind w:right="20" w:firstLine="1132"/>
        <w:spacing w:after="0" w:line="284" w:lineRule="auto"/>
        <w:rPr>
          <w:sz w:val="20"/>
          <w:szCs w:val="20"/>
          <w:color w:val="auto"/>
        </w:rPr>
      </w:pPr>
      <w:r>
        <w:rPr>
          <w:rFonts w:ascii="Arial" w:cs="Arial" w:eastAsia="Arial" w:hAnsi="Arial"/>
          <w:sz w:val="18"/>
          <w:szCs w:val="18"/>
          <w:color w:val="auto"/>
        </w:rPr>
        <w:t>“FDA Laws” means all applicable statutes, rules, regulations, standards, guidelines, policies and orders and Requirements of Law administered, implemented, enforced or issued by FDA or any comparable governmental authority.</w:t>
      </w:r>
    </w:p>
    <w:p>
      <w:pPr>
        <w:spacing w:after="0" w:line="123" w:lineRule="exact"/>
        <w:rPr>
          <w:sz w:val="20"/>
          <w:szCs w:val="20"/>
          <w:color w:val="auto"/>
        </w:rPr>
      </w:pPr>
    </w:p>
    <w:p>
      <w:pPr>
        <w:jc w:val="both"/>
        <w:ind w:right="20" w:firstLine="1132"/>
        <w:spacing w:after="0" w:line="244" w:lineRule="auto"/>
        <w:rPr>
          <w:sz w:val="20"/>
          <w:szCs w:val="20"/>
          <w:color w:val="auto"/>
        </w:rPr>
      </w:pPr>
      <w:r>
        <w:rPr>
          <w:rFonts w:ascii="Arial" w:cs="Arial" w:eastAsia="Arial" w:hAnsi="Arial"/>
          <w:sz w:val="19"/>
          <w:szCs w:val="19"/>
          <w:color w:val="auto"/>
        </w:rPr>
        <w:t>“Federal Health Care Program Laws” means collectively, federal Medicare or federal or state Medicaid statutes, Sections 1128, 1128A, 1128B, 1128C or 1877 of the Social Security Act (42 U.S.C. §§ 1320a-7, 1320a-7a, 1320a-7b, 1320a-7c, 1320a-7h and 1395nn), the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307340</wp:posOffset>
            </wp:positionV>
            <wp:extent cx="6311265" cy="2222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940"/>
          </w:cols>
          <w:pgMar w:left="980" w:top="781" w:right="979" w:bottom="1440" w:gutter="0" w:footer="0" w:header="0"/>
        </w:sectPr>
      </w:pPr>
    </w:p>
    <w:bookmarkStart w:id="114" w:name="page115"/>
    <w:bookmarkEnd w:id="114"/>
    <w:p>
      <w:pPr>
        <w:jc w:val="both"/>
        <w:spacing w:after="0" w:line="266" w:lineRule="auto"/>
        <w:rPr>
          <w:sz w:val="20"/>
          <w:szCs w:val="20"/>
          <w:color w:val="auto"/>
        </w:rPr>
      </w:pPr>
      <w:r>
        <w:rPr>
          <w:rFonts w:ascii="Arial" w:cs="Arial" w:eastAsia="Arial" w:hAnsi="Arial"/>
          <w:sz w:val="17"/>
          <w:szCs w:val="17"/>
          <w:color w:val="auto"/>
        </w:rPr>
        <w:t>federal TRICARE statute (10 U.S.C. § 1071 et seq.), the civil False Claims Act of 1863 (31 U.S.C. § 3729 et seq.), criminal false claims statutes (e.g., 18 U.S.C. §§ 287 and 1001), the Program Fraud Civil Remedies Act of 1986 (31 U.S.C. § 3801 et seq.), HIPAA, or related regulations or other Requirements of Law that directly or indirectly govern the health care industry, programs of governmental authorities related to healthcare, health care professionals or other health care participants, or relationships among health care providers, suppliers, distributors, manufacturers and patients, and the pricing, sale and reimbursement of health care items or services including the collection and reporting requirements, and the processing of any applicable rebate, chargeback or adjustment, under applicable rules and regulations relating to the Medicaid Drug Rebate Program (42 U.S.C. § 1396r-8) and any state supplemental rebate program, Medicare average sales price reporting (42 U.S.C. § 1395w-3a), the Public Health Service Act (42 U.S.C. § 256b), the VA Federal Supply Schedule (38 U.S.C. § 8126) or under any state pharmaceutical assistance program or U.S. Department of Veterans Affairs agreement, and any successor government programs.</w:t>
      </w:r>
    </w:p>
    <w:p>
      <w:pPr>
        <w:spacing w:after="0" w:line="144" w:lineRule="exact"/>
        <w:rPr>
          <w:sz w:val="20"/>
          <w:szCs w:val="20"/>
          <w:color w:val="auto"/>
        </w:rPr>
      </w:pPr>
    </w:p>
    <w:p>
      <w:pPr>
        <w:jc w:val="both"/>
        <w:ind w:right="20" w:firstLine="1132"/>
        <w:spacing w:after="0" w:line="244" w:lineRule="auto"/>
        <w:rPr>
          <w:sz w:val="20"/>
          <w:szCs w:val="20"/>
          <w:color w:val="auto"/>
        </w:rPr>
      </w:pPr>
      <w:r>
        <w:rPr>
          <w:rFonts w:ascii="Arial" w:cs="Arial" w:eastAsia="Arial" w:hAnsi="Arial"/>
          <w:sz w:val="19"/>
          <w:szCs w:val="19"/>
          <w:color w:val="auto"/>
        </w:rPr>
        <w:t>“First Interest Only Extension Conditions” shall mean satisfaction of each of the following events: (a) no default or Event of Default shall have occurred and be continuing; and (b) either the AXS-05 Milestone or the AXS-07 Milestone have been achieved on or prior to April 30, 2023.</w:t>
      </w:r>
    </w:p>
    <w:p>
      <w:pPr>
        <w:spacing w:after="0" w:line="159" w:lineRule="exact"/>
        <w:rPr>
          <w:sz w:val="20"/>
          <w:szCs w:val="20"/>
          <w:color w:val="auto"/>
        </w:rPr>
      </w:pPr>
    </w:p>
    <w:p>
      <w:pPr>
        <w:jc w:val="both"/>
        <w:ind w:firstLine="1132"/>
        <w:spacing w:after="0" w:line="244" w:lineRule="auto"/>
        <w:rPr>
          <w:sz w:val="20"/>
          <w:szCs w:val="20"/>
          <w:color w:val="auto"/>
        </w:rPr>
      </w:pPr>
      <w:r>
        <w:rPr>
          <w:rFonts w:ascii="Arial" w:cs="Arial" w:eastAsia="Arial" w:hAnsi="Arial"/>
          <w:sz w:val="19"/>
          <w:szCs w:val="19"/>
          <w:color w:val="auto"/>
        </w:rPr>
        <w:t>“Forecast” means the projections for Borrower as delivered and accepted by Agent on September 9, 2020; provided that Borrower may from time to time update the Forecast with a forecast approved by the board of directors of the Borrower, subject to the consent of Agent in its reasonable discretion.</w:t>
      </w:r>
    </w:p>
    <w:p>
      <w:pPr>
        <w:spacing w:after="0" w:line="159"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“Foreign Subsidiary” means any Subsidiary other than a Domestic Subsidiary.</w:t>
      </w:r>
    </w:p>
    <w:p>
      <w:pPr>
        <w:spacing w:after="0" w:line="182"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“GAAP” means generally accepted accounting principles in the United States of America, as in effect from time to</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time.</w:t>
      </w:r>
    </w:p>
    <w:p>
      <w:pPr>
        <w:spacing w:after="0" w:line="166" w:lineRule="exact"/>
        <w:rPr>
          <w:sz w:val="20"/>
          <w:szCs w:val="20"/>
          <w:color w:val="auto"/>
        </w:rPr>
      </w:pPr>
    </w:p>
    <w:p>
      <w:pPr>
        <w:jc w:val="both"/>
        <w:ind w:firstLine="1132"/>
        <w:spacing w:after="0" w:line="241" w:lineRule="auto"/>
        <w:rPr>
          <w:sz w:val="20"/>
          <w:szCs w:val="20"/>
          <w:color w:val="auto"/>
        </w:rPr>
      </w:pPr>
      <w:r>
        <w:rPr>
          <w:rFonts w:ascii="Arial" w:cs="Arial" w:eastAsia="Arial" w:hAnsi="Arial"/>
          <w:sz w:val="19"/>
          <w:szCs w:val="19"/>
          <w:color w:val="auto"/>
        </w:rPr>
        <w:t>“Hedge Agreement” means any interest rate, currency or commodity swap agreement, interest rate cap agreement, interest rate collar agreement, fuel or mineral or other commodity hedge or exchange agreement or any other agreement or arrangement entered into for non-speculative purposes designated to protect a Person against fluctuation in interest rates, currency exchange rates, commodity or mineral prices.</w:t>
      </w:r>
    </w:p>
    <w:p>
      <w:pPr>
        <w:spacing w:after="0" w:line="160" w:lineRule="exact"/>
        <w:rPr>
          <w:sz w:val="20"/>
          <w:szCs w:val="20"/>
          <w:color w:val="auto"/>
        </w:rPr>
      </w:pPr>
    </w:p>
    <w:p>
      <w:pPr>
        <w:jc w:val="both"/>
        <w:ind w:right="20" w:firstLine="1132"/>
        <w:spacing w:after="0" w:line="267" w:lineRule="auto"/>
        <w:rPr>
          <w:sz w:val="20"/>
          <w:szCs w:val="20"/>
          <w:color w:val="auto"/>
        </w:rPr>
      </w:pPr>
      <w:r>
        <w:rPr>
          <w:rFonts w:ascii="Arial" w:cs="Arial" w:eastAsia="Arial" w:hAnsi="Arial"/>
          <w:sz w:val="17"/>
          <w:szCs w:val="17"/>
          <w:color w:val="auto"/>
        </w:rPr>
        <w:t>“Indebtedness” means (a) all indebtedness for borrowed money or the deferred purchase price of property or services (excluding trade credit entered into in the ordinary course of business not past due for more than one hundred eighty (180) days), including reimbursement and other obligations with respect to surety bonds and letters of credit, (b) all obligations evidenced by notes, bonds, debentures or similar instruments, (c) all capital lease obligations, (d) equity securities of any Person subject to repurchase or redemption other than at the sole option of such Person, (e) non-contingent “earnouts”, purchase price adjustments, profit sharing arrangements, deferred purchase money amounts and similar payment obligations arising out of purchase and sale contracts but only as and to the extent of the amount required to be reflected as a liability on the balance sheet of such Person in accordance with GAAP, (f) non-contingent obligations to reimburse any bank or Person in respect of amounts paid under a letter of credit, banker’s acceptance or similar instrument, and (h) all Contingent Obligations. For the avoidance of doubt</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307340</wp:posOffset>
            </wp:positionV>
            <wp:extent cx="6311265" cy="2222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940"/>
          </w:cols>
          <w:pgMar w:left="980" w:top="781" w:right="979" w:bottom="1440" w:gutter="0" w:footer="0" w:header="0"/>
        </w:sectPr>
      </w:pPr>
    </w:p>
    <w:bookmarkStart w:id="115" w:name="page116"/>
    <w:bookmarkEnd w:id="115"/>
    <w:p>
      <w:pPr>
        <w:jc w:val="right"/>
        <w:ind w:right="660"/>
        <w:spacing w:after="0"/>
        <w:rPr>
          <w:sz w:val="20"/>
          <w:szCs w:val="20"/>
          <w:color w:val="auto"/>
        </w:rPr>
      </w:pPr>
      <w:r>
        <w:rPr>
          <w:rFonts w:ascii="Arial" w:cs="Arial" w:eastAsia="Arial" w:hAnsi="Arial"/>
          <w:sz w:val="16"/>
          <w:szCs w:val="16"/>
          <w:color w:val="auto"/>
        </w:rPr>
        <w:t>no Permitted Bond Hedge Transaction or Permitted Warrant Transaction shall be considered Indebtedness of the Borrower.</w:t>
      </w:r>
    </w:p>
    <w:p>
      <w:pPr>
        <w:spacing w:after="0" w:line="217" w:lineRule="exact"/>
        <w:rPr>
          <w:sz w:val="20"/>
          <w:szCs w:val="20"/>
          <w:color w:val="auto"/>
        </w:rPr>
      </w:pPr>
    </w:p>
    <w:p>
      <w:pPr>
        <w:jc w:val="right"/>
        <w:ind w:right="600"/>
        <w:spacing w:after="0"/>
        <w:rPr>
          <w:sz w:val="20"/>
          <w:szCs w:val="20"/>
          <w:color w:val="auto"/>
        </w:rPr>
      </w:pPr>
      <w:r>
        <w:rPr>
          <w:rFonts w:ascii="Arial" w:cs="Arial" w:eastAsia="Arial" w:hAnsi="Arial"/>
          <w:sz w:val="19"/>
          <w:szCs w:val="19"/>
          <w:color w:val="auto"/>
        </w:rPr>
        <w:t>“Initial Facility Charge” means $737,500, which is payable to the Lenders in accordance with Section 4.1(f).</w:t>
      </w:r>
    </w:p>
    <w:p>
      <w:pPr>
        <w:spacing w:after="0" w:line="182" w:lineRule="exact"/>
        <w:rPr>
          <w:sz w:val="20"/>
          <w:szCs w:val="20"/>
          <w:color w:val="auto"/>
        </w:rPr>
      </w:pPr>
    </w:p>
    <w:p>
      <w:pPr>
        <w:jc w:val="both"/>
        <w:ind w:firstLine="1132"/>
        <w:spacing w:after="0" w:line="256" w:lineRule="auto"/>
        <w:rPr>
          <w:sz w:val="20"/>
          <w:szCs w:val="20"/>
          <w:color w:val="auto"/>
        </w:rPr>
      </w:pPr>
      <w:r>
        <w:rPr>
          <w:rFonts w:ascii="Arial" w:cs="Arial" w:eastAsia="Arial" w:hAnsi="Arial"/>
          <w:sz w:val="19"/>
          <w:szCs w:val="19"/>
          <w:color w:val="auto"/>
        </w:rPr>
        <w:t>“Initial Minimum Cash Test Date” means the date on which the outstanding principal amount of the Term Loan Advances is first equal to or greater than Fifty-Five Million Dollars ($55,000,000).</w:t>
      </w:r>
    </w:p>
    <w:p>
      <w:pPr>
        <w:spacing w:after="0" w:line="147" w:lineRule="exact"/>
        <w:rPr>
          <w:sz w:val="20"/>
          <w:szCs w:val="20"/>
          <w:color w:val="auto"/>
        </w:rPr>
      </w:pPr>
    </w:p>
    <w:p>
      <w:pPr>
        <w:jc w:val="both"/>
        <w:ind w:firstLine="1132"/>
        <w:spacing w:after="0" w:line="241" w:lineRule="auto"/>
        <w:rPr>
          <w:sz w:val="20"/>
          <w:szCs w:val="20"/>
          <w:color w:val="auto"/>
        </w:rPr>
      </w:pPr>
      <w:r>
        <w:rPr>
          <w:rFonts w:ascii="Arial" w:cs="Arial" w:eastAsia="Arial" w:hAnsi="Arial"/>
          <w:sz w:val="19"/>
          <w:szCs w:val="19"/>
          <w:color w:val="auto"/>
        </w:rPr>
        <w:t>“Initial Performance Covenant Test Date” means the later of (i) the last calendar month of the calendar quarter that is twelve months following the earlier of (x) the AXS-05 Milestone Date and (y) the AXS-07 Milestone Date, or (ii) the date on which the outstanding principal amount of the Term Loan Advances is equal to or greater than Sixty Five Million Dollars ($65,000,000).</w:t>
      </w:r>
    </w:p>
    <w:p>
      <w:pPr>
        <w:spacing w:after="0" w:line="160" w:lineRule="exact"/>
        <w:rPr>
          <w:sz w:val="20"/>
          <w:szCs w:val="20"/>
          <w:color w:val="auto"/>
        </w:rPr>
      </w:pPr>
    </w:p>
    <w:p>
      <w:pPr>
        <w:jc w:val="both"/>
        <w:ind w:right="20" w:firstLine="1132"/>
        <w:spacing w:after="0" w:line="265" w:lineRule="auto"/>
        <w:rPr>
          <w:sz w:val="20"/>
          <w:szCs w:val="20"/>
          <w:color w:val="auto"/>
        </w:rPr>
      </w:pPr>
      <w:r>
        <w:rPr>
          <w:rFonts w:ascii="Arial" w:cs="Arial" w:eastAsia="Arial" w:hAnsi="Arial"/>
          <w:sz w:val="18"/>
          <w:szCs w:val="18"/>
          <w:color w:val="auto"/>
        </w:rPr>
        <w:t>“Insolvency Proceeding” means any proceeding by or against any Person under the United States Bankruptcy Code, or any other bankruptcy or insolvency law, including assignments for the benefit of creditors, compositions, extensions generally with its creditors, or proceedings seeking reorganization, arrangement, or other similar relief.</w:t>
      </w:r>
    </w:p>
    <w:p>
      <w:pPr>
        <w:spacing w:after="0" w:line="140" w:lineRule="exact"/>
        <w:rPr>
          <w:sz w:val="20"/>
          <w:szCs w:val="20"/>
          <w:color w:val="auto"/>
        </w:rPr>
      </w:pPr>
    </w:p>
    <w:p>
      <w:pPr>
        <w:jc w:val="both"/>
        <w:ind w:firstLine="1132"/>
        <w:spacing w:after="0" w:line="241" w:lineRule="auto"/>
        <w:rPr>
          <w:sz w:val="20"/>
          <w:szCs w:val="20"/>
          <w:color w:val="auto"/>
        </w:rPr>
      </w:pPr>
      <w:r>
        <w:rPr>
          <w:rFonts w:ascii="Arial" w:cs="Arial" w:eastAsia="Arial" w:hAnsi="Arial"/>
          <w:sz w:val="19"/>
          <w:szCs w:val="19"/>
          <w:color w:val="auto"/>
        </w:rPr>
        <w:t>“Intellectual Property” means all of Borrower’s Copyrights; Trademarks; Patents; Licenses; trade secrets and inventions; mask works; Borrower’s applications therefor and reissues, extensions, or renewals thereof; and Borrower’s goodwill associated with any of the foregoing, together with Borrower’s rights to sue for past, present and future infringement of Intellectual Property and the goodwill associated therewith.</w:t>
      </w:r>
    </w:p>
    <w:p>
      <w:pPr>
        <w:spacing w:after="0" w:line="160" w:lineRule="exact"/>
        <w:rPr>
          <w:sz w:val="20"/>
          <w:szCs w:val="20"/>
          <w:color w:val="auto"/>
        </w:rPr>
      </w:pPr>
    </w:p>
    <w:p>
      <w:pPr>
        <w:jc w:val="both"/>
        <w:ind w:right="20" w:firstLine="1132"/>
        <w:spacing w:after="0" w:line="244" w:lineRule="auto"/>
        <w:rPr>
          <w:sz w:val="20"/>
          <w:szCs w:val="20"/>
          <w:color w:val="auto"/>
        </w:rPr>
      </w:pPr>
      <w:r>
        <w:rPr>
          <w:rFonts w:ascii="Arial" w:cs="Arial" w:eastAsia="Arial" w:hAnsi="Arial"/>
          <w:sz w:val="19"/>
          <w:szCs w:val="19"/>
          <w:color w:val="auto"/>
        </w:rPr>
        <w:t>“Intellectual Property Security Agreement” means the Intellectual Property Security Agreement dated as of the Closing Date between the Borrower and Agent, as the same may from time to time be amended, restated, modified or otherwise supplemented.</w:t>
      </w:r>
    </w:p>
    <w:p>
      <w:pPr>
        <w:spacing w:after="0" w:line="159" w:lineRule="exact"/>
        <w:rPr>
          <w:sz w:val="20"/>
          <w:szCs w:val="20"/>
          <w:color w:val="auto"/>
        </w:rPr>
      </w:pPr>
    </w:p>
    <w:p>
      <w:pPr>
        <w:jc w:val="both"/>
        <w:ind w:right="20" w:firstLine="1132"/>
        <w:spacing w:after="0" w:line="315" w:lineRule="auto"/>
        <w:rPr>
          <w:sz w:val="20"/>
          <w:szCs w:val="20"/>
          <w:color w:val="auto"/>
        </w:rPr>
      </w:pPr>
      <w:r>
        <w:rPr>
          <w:rFonts w:ascii="Arial" w:cs="Arial" w:eastAsia="Arial" w:hAnsi="Arial"/>
          <w:sz w:val="17"/>
          <w:szCs w:val="17"/>
          <w:color w:val="auto"/>
        </w:rPr>
        <w:t>“Investment” means (a) any beneficial ownership (including stock, partnership, limited liability company interests, or other securities) of or in any Person, (b) any loan, advance or capital contribution to any Person or (c) any Acquisition.</w:t>
      </w:r>
    </w:p>
    <w:p>
      <w:pPr>
        <w:spacing w:after="0" w:line="100" w:lineRule="exact"/>
        <w:rPr>
          <w:sz w:val="20"/>
          <w:szCs w:val="20"/>
          <w:color w:val="auto"/>
        </w:rPr>
      </w:pPr>
    </w:p>
    <w:p>
      <w:pPr>
        <w:jc w:val="both"/>
        <w:ind w:firstLine="1132"/>
        <w:spacing w:after="0" w:line="253" w:lineRule="auto"/>
        <w:rPr>
          <w:sz w:val="20"/>
          <w:szCs w:val="20"/>
          <w:color w:val="auto"/>
        </w:rPr>
      </w:pPr>
      <w:r>
        <w:rPr>
          <w:rFonts w:ascii="Arial" w:cs="Arial" w:eastAsia="Arial" w:hAnsi="Arial"/>
          <w:sz w:val="18"/>
          <w:szCs w:val="18"/>
          <w:color w:val="auto"/>
        </w:rPr>
        <w:t>“IP Ancillary Rights” means, with respect to any Copyright, Trademark, Patent, software, trade secrets or trade secret rights, including any rights to unpatented inventions, know-how, show-how and operating manuals, all income, royalties, proceeds and liabilities at any time due or payable or asserted under or with respect to any of the foregoing or otherwise with respect thereto, including all rights to sue or recover at law or in equity for any past, present or future infringement, misappropriation, dilution, violation or other impairment thereof, and, in each case, all rights to obtain any other intellectual property right ancillary to any Copyright, Trademark, Patent, software, trade secrets or trade secret rights.</w:t>
      </w:r>
    </w:p>
    <w:p>
      <w:pPr>
        <w:spacing w:after="0" w:line="153" w:lineRule="exact"/>
        <w:rPr>
          <w:sz w:val="20"/>
          <w:szCs w:val="20"/>
          <w:color w:val="auto"/>
        </w:rPr>
      </w:pPr>
    </w:p>
    <w:p>
      <w:pPr>
        <w:jc w:val="center"/>
        <w:ind w:right="120"/>
        <w:spacing w:after="0"/>
        <w:rPr>
          <w:sz w:val="20"/>
          <w:szCs w:val="20"/>
          <w:color w:val="auto"/>
        </w:rPr>
      </w:pPr>
      <w:r>
        <w:rPr>
          <w:rFonts w:ascii="Arial" w:cs="Arial" w:eastAsia="Arial" w:hAnsi="Arial"/>
          <w:sz w:val="19"/>
          <w:szCs w:val="19"/>
          <w:color w:val="auto"/>
        </w:rPr>
        <w:t>“Irish Subsidiary” is Axsome Therapeutics Limited, a company organized under the laws of Ireland.</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307340</wp:posOffset>
            </wp:positionV>
            <wp:extent cx="6311265" cy="2222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940"/>
          </w:cols>
          <w:pgMar w:left="980" w:top="781" w:right="979" w:bottom="1440" w:gutter="0" w:footer="0" w:header="0"/>
        </w:sectPr>
      </w:pPr>
    </w:p>
    <w:bookmarkStart w:id="116" w:name="page117"/>
    <w:bookmarkEnd w:id="116"/>
    <w:p>
      <w:pPr>
        <w:ind w:left="1120"/>
        <w:spacing w:after="0"/>
        <w:rPr>
          <w:sz w:val="20"/>
          <w:szCs w:val="20"/>
          <w:color w:val="auto"/>
        </w:rPr>
      </w:pPr>
      <w:r>
        <w:rPr>
          <w:rFonts w:ascii="Arial" w:cs="Arial" w:eastAsia="Arial" w:hAnsi="Arial"/>
          <w:sz w:val="19"/>
          <w:szCs w:val="19"/>
          <w:color w:val="auto"/>
        </w:rPr>
        <w:t>“IRS” means the United States Internal Revenue Service.</w:t>
      </w:r>
    </w:p>
    <w:p>
      <w:pPr>
        <w:spacing w:after="0" w:line="182" w:lineRule="exact"/>
        <w:rPr>
          <w:sz w:val="20"/>
          <w:szCs w:val="20"/>
          <w:color w:val="auto"/>
        </w:rPr>
      </w:pPr>
    </w:p>
    <w:p>
      <w:pPr>
        <w:jc w:val="both"/>
        <w:ind w:firstLine="1132"/>
        <w:spacing w:after="0" w:line="256" w:lineRule="auto"/>
        <w:rPr>
          <w:sz w:val="20"/>
          <w:szCs w:val="20"/>
          <w:color w:val="auto"/>
        </w:rPr>
      </w:pPr>
      <w:r>
        <w:rPr>
          <w:rFonts w:ascii="Arial" w:cs="Arial" w:eastAsia="Arial" w:hAnsi="Arial"/>
          <w:sz w:val="19"/>
          <w:szCs w:val="19"/>
          <w:color w:val="auto"/>
        </w:rPr>
        <w:t>“Joinder Agreements” means for each Subsidiary (other than an Excluded Subsidiary), a completed and executed Joinder Agreement in substantially the form attached hereto as Exhibit F.</w:t>
      </w:r>
    </w:p>
    <w:p>
      <w:pPr>
        <w:spacing w:after="0" w:line="147"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“License” means any Copyright License, Patent License, Trademark License or other license of rights or interests.</w:t>
      </w:r>
    </w:p>
    <w:p>
      <w:pPr>
        <w:spacing w:after="0" w:line="205" w:lineRule="exact"/>
        <w:rPr>
          <w:sz w:val="20"/>
          <w:szCs w:val="20"/>
          <w:color w:val="auto"/>
        </w:rPr>
      </w:pPr>
    </w:p>
    <w:p>
      <w:pPr>
        <w:jc w:val="both"/>
        <w:ind w:right="20" w:firstLine="1132"/>
        <w:spacing w:after="0" w:line="287" w:lineRule="auto"/>
        <w:rPr>
          <w:sz w:val="20"/>
          <w:szCs w:val="20"/>
          <w:color w:val="auto"/>
        </w:rPr>
      </w:pPr>
      <w:r>
        <w:rPr>
          <w:rFonts w:ascii="Arial" w:cs="Arial" w:eastAsia="Arial" w:hAnsi="Arial"/>
          <w:sz w:val="17"/>
          <w:szCs w:val="17"/>
          <w:color w:val="auto"/>
        </w:rPr>
        <w:t>“Lien” means any mortgage, deed of trust, pledge, hypothecation, assignment for security, security interest, encumbrance, levy, lien or charge of any kind, whether voluntarily incurred or arising by operation of law or otherwise, against any property, any conditional sale or other title retention agreement, and any lease in the nature of a security interest.</w:t>
      </w:r>
    </w:p>
    <w:p>
      <w:pPr>
        <w:spacing w:after="0" w:line="124"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“Loan” means the Advances made under this Agreement.</w:t>
      </w:r>
    </w:p>
    <w:p>
      <w:pPr>
        <w:spacing w:after="0" w:line="182" w:lineRule="exact"/>
        <w:rPr>
          <w:sz w:val="20"/>
          <w:szCs w:val="20"/>
          <w:color w:val="auto"/>
        </w:rPr>
      </w:pPr>
    </w:p>
    <w:p>
      <w:pPr>
        <w:jc w:val="both"/>
        <w:ind w:firstLine="1132"/>
        <w:spacing w:after="0" w:line="239" w:lineRule="auto"/>
        <w:rPr>
          <w:sz w:val="20"/>
          <w:szCs w:val="20"/>
          <w:color w:val="auto"/>
        </w:rPr>
      </w:pPr>
      <w:r>
        <w:rPr>
          <w:rFonts w:ascii="Arial" w:cs="Arial" w:eastAsia="Arial" w:hAnsi="Arial"/>
          <w:sz w:val="19"/>
          <w:szCs w:val="19"/>
          <w:color w:val="auto"/>
        </w:rPr>
        <w:t>“Loan Documents” means this Agreement, the promissory notes (if any), the ACH Authorization, the Account Control Agreements, the Joinder Agreements, all UCC Financing Statements, the Warrant, the Pledge Agreement, the Intellectual Property Security Agreement, the Antecip Direct Agreement, and any other documents executed in connection with the Secured Obligations or the transactions contemplated hereby, as the same may from time to time be amended, modified, supplemented or restated.</w:t>
      </w:r>
    </w:p>
    <w:p>
      <w:pPr>
        <w:spacing w:after="0" w:line="162" w:lineRule="exact"/>
        <w:rPr>
          <w:sz w:val="20"/>
          <w:szCs w:val="20"/>
          <w:color w:val="auto"/>
        </w:rPr>
      </w:pPr>
    </w:p>
    <w:p>
      <w:pPr>
        <w:jc w:val="both"/>
        <w:ind w:firstLine="1132"/>
        <w:spacing w:after="0" w:line="239" w:lineRule="auto"/>
        <w:rPr>
          <w:sz w:val="20"/>
          <w:szCs w:val="20"/>
          <w:color w:val="auto"/>
        </w:rPr>
      </w:pPr>
      <w:r>
        <w:rPr>
          <w:rFonts w:ascii="Arial" w:cs="Arial" w:eastAsia="Arial" w:hAnsi="Arial"/>
          <w:sz w:val="19"/>
          <w:szCs w:val="19"/>
          <w:color w:val="auto"/>
        </w:rPr>
        <w:t>“Market Capitalization” means, as of any date of determination, the product of (a) the number of outstanding shares of Common Stock publicly disclosed in the most recent filing of Borrower with the United States Securities Exchange Commission as outstanding as of such date of determination and (b) the closing price of Borrower’s Common Stock (as quoted on Bloomberg L.P.’s page or any successor page thereto of Bloomberg L.P. or if such page is not available, any other commercially available source).</w:t>
      </w:r>
    </w:p>
    <w:p>
      <w:pPr>
        <w:spacing w:after="0" w:line="162" w:lineRule="exact"/>
        <w:rPr>
          <w:sz w:val="20"/>
          <w:szCs w:val="20"/>
          <w:color w:val="auto"/>
        </w:rPr>
      </w:pPr>
    </w:p>
    <w:p>
      <w:pPr>
        <w:jc w:val="both"/>
        <w:ind w:right="20" w:firstLine="1132"/>
        <w:spacing w:after="0" w:line="239" w:lineRule="auto"/>
        <w:rPr>
          <w:sz w:val="20"/>
          <w:szCs w:val="20"/>
          <w:color w:val="auto"/>
        </w:rPr>
      </w:pPr>
      <w:r>
        <w:rPr>
          <w:rFonts w:ascii="Arial" w:cs="Arial" w:eastAsia="Arial" w:hAnsi="Arial"/>
          <w:sz w:val="19"/>
          <w:szCs w:val="19"/>
          <w:color w:val="auto"/>
        </w:rPr>
        <w:t>“Material Adverse Effect” means a material adverse effect upon: (i) the business, operations, properties, assets or financial condition of Borrower and its Subsidiaries taken as a whole; or (ii) the ability of Borrower to perform or pay the Secured Obligations in accordance with the terms of the Loan Documents, or the ability of Agent or the Lenders to enforce any of its rights or remedies with respect to the Secured Obligations; or (iii) the Collateral or Agent’s Liens on the Collateral or the priority of such Liens.</w:t>
      </w:r>
    </w:p>
    <w:p>
      <w:pPr>
        <w:spacing w:after="0" w:line="162" w:lineRule="exact"/>
        <w:rPr>
          <w:sz w:val="20"/>
          <w:szCs w:val="20"/>
          <w:color w:val="auto"/>
        </w:rPr>
      </w:pPr>
    </w:p>
    <w:p>
      <w:pPr>
        <w:jc w:val="both"/>
        <w:ind w:firstLine="1132"/>
        <w:spacing w:after="0" w:line="278" w:lineRule="auto"/>
        <w:rPr>
          <w:sz w:val="20"/>
          <w:szCs w:val="20"/>
          <w:color w:val="auto"/>
        </w:rPr>
      </w:pPr>
      <w:r>
        <w:rPr>
          <w:rFonts w:ascii="Arial" w:cs="Arial" w:eastAsia="Arial" w:hAnsi="Arial"/>
          <w:sz w:val="17"/>
          <w:szCs w:val="17"/>
          <w:color w:val="auto"/>
        </w:rPr>
        <w:t>“Material Agreement” means (a) the Antecip License Agreement, (b) that certain license agreement dated as of January 10, 2020 by and between Borrower and Pfizer, Inc. and (c) any other license, agreement or other contractual arrangement whereby Borrower or any of its Subsidiaries is required to transfer, either in-kind or in cash, prior to the Term Loan Maturity Date, assets or property valued (book or market) at more than Ten Million Dollars ($10,000,000.00) in the aggregate.</w:t>
      </w:r>
    </w:p>
    <w:p>
      <w:pPr>
        <w:spacing w:after="0" w:line="132" w:lineRule="exact"/>
        <w:rPr>
          <w:sz w:val="20"/>
          <w:szCs w:val="20"/>
          <w:color w:val="auto"/>
        </w:rPr>
      </w:pPr>
    </w:p>
    <w:p>
      <w:pPr>
        <w:jc w:val="both"/>
        <w:ind w:right="20" w:firstLine="1132"/>
        <w:spacing w:after="0" w:line="244" w:lineRule="auto"/>
        <w:rPr>
          <w:sz w:val="20"/>
          <w:szCs w:val="20"/>
          <w:color w:val="auto"/>
        </w:rPr>
      </w:pPr>
      <w:r>
        <w:rPr>
          <w:rFonts w:ascii="Arial" w:cs="Arial" w:eastAsia="Arial" w:hAnsi="Arial"/>
          <w:sz w:val="19"/>
          <w:szCs w:val="19"/>
          <w:color w:val="auto"/>
        </w:rPr>
        <w:t>“Material Regulatory Liabilities” means (a)(i) any liabilities arising from the violation of Public Health Laws, Federal Health Care Program Laws, and other applicable comparable Requirements of Law, or from any non-routing terms, conditions of or requirements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307340</wp:posOffset>
            </wp:positionV>
            <wp:extent cx="6311265" cy="2222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940"/>
          </w:cols>
          <w:pgMar w:left="980" w:top="781" w:right="979" w:bottom="1440" w:gutter="0" w:footer="0" w:header="0"/>
        </w:sectPr>
      </w:pPr>
    </w:p>
    <w:bookmarkStart w:id="117" w:name="page118"/>
    <w:bookmarkEnd w:id="117"/>
    <w:p>
      <w:pPr>
        <w:jc w:val="both"/>
        <w:ind w:right="20"/>
        <w:spacing w:after="0" w:line="238" w:lineRule="auto"/>
        <w:rPr>
          <w:sz w:val="20"/>
          <w:szCs w:val="20"/>
          <w:color w:val="auto"/>
        </w:rPr>
      </w:pPr>
      <w:r>
        <w:rPr>
          <w:rFonts w:ascii="Arial" w:cs="Arial" w:eastAsia="Arial" w:hAnsi="Arial"/>
          <w:sz w:val="19"/>
          <w:szCs w:val="19"/>
          <w:color w:val="auto"/>
        </w:rPr>
        <w:t>imposed relative to any Registrations (including costs of actions required under applicable Requirements of Law, including FDA Laws and Federal Health Care Program Laws, or necessary to remedy any violation of any terms or conditions applicable to any Registrations), including, but not limited to, withdrawal of approval, recall, revocation, suspension, import detention and seizure of any Borrower Product, and (ii) any loss of recurring annual revenues as a result of any loss, suspension or limitation of any Registrations, which, in the case of the foregoing clauses (i) and (ii), exceed $2,000,000 individually or in the aggregate, or (b) any Material Adverse Effect.</w:t>
      </w:r>
    </w:p>
    <w:p>
      <w:pPr>
        <w:spacing w:after="0" w:line="162"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“Maximum Term Loan Amount” means Two Hundred Twenty-Five Million Dollars ($225,000,000).</w:t>
      </w:r>
    </w:p>
    <w:p>
      <w:pPr>
        <w:spacing w:after="0" w:line="182" w:lineRule="exact"/>
        <w:rPr>
          <w:sz w:val="20"/>
          <w:szCs w:val="20"/>
          <w:color w:val="auto"/>
        </w:rPr>
      </w:pPr>
    </w:p>
    <w:p>
      <w:pPr>
        <w:jc w:val="both"/>
        <w:ind w:right="20" w:firstLine="1132"/>
        <w:spacing w:after="0" w:line="256" w:lineRule="auto"/>
        <w:rPr>
          <w:sz w:val="20"/>
          <w:szCs w:val="20"/>
          <w:color w:val="auto"/>
        </w:rPr>
      </w:pPr>
      <w:r>
        <w:rPr>
          <w:rFonts w:ascii="Arial" w:cs="Arial" w:eastAsia="Arial" w:hAnsi="Arial"/>
          <w:sz w:val="19"/>
          <w:szCs w:val="19"/>
          <w:color w:val="auto"/>
        </w:rPr>
        <w:t>“Net Product Revenue Ratio” means, as of any date of determination, the ratio of (a) the outstanding amount of the Term Loan Advances to (b) T3M Net Product Revenue.</w:t>
      </w:r>
    </w:p>
    <w:p>
      <w:pPr>
        <w:spacing w:after="0" w:line="147" w:lineRule="exact"/>
        <w:rPr>
          <w:sz w:val="20"/>
          <w:szCs w:val="20"/>
          <w:color w:val="auto"/>
        </w:rPr>
      </w:pPr>
    </w:p>
    <w:p>
      <w:pPr>
        <w:jc w:val="both"/>
        <w:ind w:firstLine="1132"/>
        <w:spacing w:after="0" w:line="256" w:lineRule="auto"/>
        <w:rPr>
          <w:sz w:val="20"/>
          <w:szCs w:val="20"/>
          <w:color w:val="auto"/>
        </w:rPr>
      </w:pPr>
      <w:r>
        <w:rPr>
          <w:rFonts w:ascii="Arial" w:cs="Arial" w:eastAsia="Arial" w:hAnsi="Arial"/>
          <w:sz w:val="19"/>
          <w:szCs w:val="19"/>
          <w:color w:val="auto"/>
        </w:rPr>
        <w:t>“New Drug Application” means a new drug application in the United States for authorization to market a product, as defined in the applicable laws and regulations and submitted to the FDA.</w:t>
      </w:r>
    </w:p>
    <w:p>
      <w:pPr>
        <w:spacing w:after="0" w:line="147" w:lineRule="exact"/>
        <w:rPr>
          <w:sz w:val="20"/>
          <w:szCs w:val="20"/>
          <w:color w:val="auto"/>
        </w:rPr>
      </w:pPr>
    </w:p>
    <w:p>
      <w:pPr>
        <w:jc w:val="both"/>
        <w:ind w:right="20" w:firstLine="1132"/>
        <w:spacing w:after="0" w:line="256" w:lineRule="auto"/>
        <w:rPr>
          <w:sz w:val="20"/>
          <w:szCs w:val="20"/>
          <w:color w:val="auto"/>
        </w:rPr>
      </w:pPr>
      <w:r>
        <w:rPr>
          <w:rFonts w:ascii="Arial" w:cs="Arial" w:eastAsia="Arial" w:hAnsi="Arial"/>
          <w:sz w:val="19"/>
          <w:szCs w:val="19"/>
          <w:color w:val="auto"/>
        </w:rPr>
        <w:t>“Non-Disclosure Agreement” means that certain Non-Disclosure Agreement by and between Borrower and Agent, dated as of August 11, 2020.</w:t>
      </w:r>
    </w:p>
    <w:p>
      <w:pPr>
        <w:spacing w:after="0" w:line="147"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“OFAC” is the U.S. Department of Treasury Office of Foreign Assets Control.</w:t>
      </w:r>
    </w:p>
    <w:p>
      <w:pPr>
        <w:spacing w:after="0" w:line="182" w:lineRule="exact"/>
        <w:rPr>
          <w:sz w:val="20"/>
          <w:szCs w:val="20"/>
          <w:color w:val="auto"/>
        </w:rPr>
      </w:pPr>
    </w:p>
    <w:p>
      <w:pPr>
        <w:jc w:val="both"/>
        <w:ind w:firstLine="1132"/>
        <w:spacing w:after="0" w:line="287" w:lineRule="auto"/>
        <w:rPr>
          <w:sz w:val="20"/>
          <w:szCs w:val="20"/>
          <w:color w:val="auto"/>
        </w:rPr>
      </w:pPr>
      <w:r>
        <w:rPr>
          <w:rFonts w:ascii="Arial" w:cs="Arial" w:eastAsia="Arial" w:hAnsi="Arial"/>
          <w:sz w:val="17"/>
          <w:szCs w:val="17"/>
          <w:color w:val="auto"/>
        </w:rPr>
        <w:t>“OFAC Lists” are, collectively, the Specially Designated Nationals and Blocked Persons List maintained by OFAC pursuant to Executive Order No. 13224, 66 Fed. Reg. 49079 (Sept. 25, 2001) and/or any other list of terrorists or other restricted Persons maintained pursuant to any of the rules and regulations of OFAC or pursuant to any other applicable Executive Orders.</w:t>
      </w:r>
    </w:p>
    <w:p>
      <w:pPr>
        <w:spacing w:after="0" w:line="124" w:lineRule="exact"/>
        <w:rPr>
          <w:sz w:val="20"/>
          <w:szCs w:val="20"/>
          <w:color w:val="auto"/>
        </w:rPr>
      </w:pPr>
    </w:p>
    <w:p>
      <w:pPr>
        <w:jc w:val="both"/>
        <w:ind w:right="20" w:firstLine="1132"/>
        <w:spacing w:after="0" w:line="315" w:lineRule="auto"/>
        <w:rPr>
          <w:sz w:val="20"/>
          <w:szCs w:val="20"/>
          <w:color w:val="auto"/>
        </w:rPr>
      </w:pPr>
      <w:r>
        <w:rPr>
          <w:rFonts w:ascii="Arial" w:cs="Arial" w:eastAsia="Arial" w:hAnsi="Arial"/>
          <w:sz w:val="17"/>
          <w:szCs w:val="17"/>
          <w:color w:val="auto"/>
        </w:rPr>
        <w:t>“Patent License” means any written agreement granting any right with respect to any invention on which a Patent is in existence or a Patent application is pending, in which agreement Borrower now holds or hereafter acquires any interest.</w:t>
      </w:r>
    </w:p>
    <w:p>
      <w:pPr>
        <w:spacing w:after="0" w:line="100" w:lineRule="exact"/>
        <w:rPr>
          <w:sz w:val="20"/>
          <w:szCs w:val="20"/>
          <w:color w:val="auto"/>
        </w:rPr>
      </w:pPr>
    </w:p>
    <w:p>
      <w:pPr>
        <w:jc w:val="both"/>
        <w:ind w:right="20" w:firstLine="1132"/>
        <w:spacing w:after="0" w:line="244" w:lineRule="auto"/>
        <w:rPr>
          <w:sz w:val="20"/>
          <w:szCs w:val="20"/>
          <w:color w:val="auto"/>
        </w:rPr>
      </w:pPr>
      <w:r>
        <w:rPr>
          <w:rFonts w:ascii="Arial" w:cs="Arial" w:eastAsia="Arial" w:hAnsi="Arial"/>
          <w:sz w:val="19"/>
          <w:szCs w:val="19"/>
          <w:color w:val="auto"/>
        </w:rPr>
        <w:t>“Patents” means all letters patent of, or rights corresponding thereto, in the United States of America or in any other country, all registrations and recordings thereof, and all applications for letters patent of, or rights corresponding thereto, in the United States of America or any other country.</w:t>
      </w:r>
    </w:p>
    <w:p>
      <w:pPr>
        <w:spacing w:after="0" w:line="159" w:lineRule="exact"/>
        <w:rPr>
          <w:sz w:val="20"/>
          <w:szCs w:val="20"/>
          <w:color w:val="auto"/>
        </w:rPr>
      </w:pPr>
    </w:p>
    <w:p>
      <w:pPr>
        <w:jc w:val="both"/>
        <w:ind w:right="20" w:firstLine="1132"/>
        <w:spacing w:after="0" w:line="241" w:lineRule="auto"/>
        <w:rPr>
          <w:sz w:val="20"/>
          <w:szCs w:val="20"/>
          <w:color w:val="auto"/>
        </w:rPr>
      </w:pPr>
      <w:r>
        <w:rPr>
          <w:rFonts w:ascii="Arial" w:cs="Arial" w:eastAsia="Arial" w:hAnsi="Arial"/>
          <w:sz w:val="19"/>
          <w:szCs w:val="19"/>
          <w:color w:val="auto"/>
        </w:rPr>
        <w:t xml:space="preserve">“Performance Covenant A” means satisfaction of each of the following at all times: (i) Borrower’s Market Capitalization exceeds Two Billion Dollars ($2,000,000,000) and (ii) Borrower maintains Qualified Cash in an amount not less than sixty five percent (65%) of the sum of the outstanding principal amount of the Term Loan Advances </w:t>
      </w:r>
      <w:r>
        <w:rPr>
          <w:rFonts w:ascii="Arial" w:cs="Arial" w:eastAsia="Arial" w:hAnsi="Arial"/>
          <w:sz w:val="19"/>
          <w:szCs w:val="19"/>
          <w:i w:val="1"/>
          <w:iCs w:val="1"/>
          <w:color w:val="auto"/>
        </w:rPr>
        <w:t>plus</w:t>
      </w:r>
      <w:r>
        <w:rPr>
          <w:rFonts w:ascii="Arial" w:cs="Arial" w:eastAsia="Arial" w:hAnsi="Arial"/>
          <w:sz w:val="19"/>
          <w:szCs w:val="19"/>
          <w:color w:val="auto"/>
        </w:rPr>
        <w:t xml:space="preserve"> the Qualified Cash A/P Amount.</w:t>
      </w:r>
    </w:p>
    <w:p>
      <w:pPr>
        <w:spacing w:after="0" w:line="160" w:lineRule="exact"/>
        <w:rPr>
          <w:sz w:val="20"/>
          <w:szCs w:val="20"/>
          <w:color w:val="auto"/>
        </w:rPr>
      </w:pPr>
    </w:p>
    <w:p>
      <w:pPr>
        <w:jc w:val="both"/>
        <w:ind w:firstLine="1132"/>
        <w:spacing w:after="0" w:line="244" w:lineRule="auto"/>
        <w:rPr>
          <w:sz w:val="20"/>
          <w:szCs w:val="20"/>
          <w:color w:val="auto"/>
        </w:rPr>
      </w:pPr>
      <w:r>
        <w:rPr>
          <w:rFonts w:ascii="Arial" w:cs="Arial" w:eastAsia="Arial" w:hAnsi="Arial"/>
          <w:sz w:val="19"/>
          <w:szCs w:val="19"/>
          <w:color w:val="auto"/>
        </w:rPr>
        <w:t xml:space="preserve">“Performance Covenant B” means Borrower at all times maintains Qualified Cash in an amount not less than one hundred percent (100%) of the sum of the outstanding principal amount of the Term Loan Advances </w:t>
      </w:r>
      <w:r>
        <w:rPr>
          <w:rFonts w:ascii="Arial" w:cs="Arial" w:eastAsia="Arial" w:hAnsi="Arial"/>
          <w:sz w:val="19"/>
          <w:szCs w:val="19"/>
          <w:i w:val="1"/>
          <w:iCs w:val="1"/>
          <w:color w:val="auto"/>
        </w:rPr>
        <w:t>plus</w:t>
      </w:r>
      <w:r>
        <w:rPr>
          <w:rFonts w:ascii="Arial" w:cs="Arial" w:eastAsia="Arial" w:hAnsi="Arial"/>
          <w:sz w:val="19"/>
          <w:szCs w:val="19"/>
          <w:color w:val="auto"/>
        </w:rPr>
        <w:t xml:space="preserve"> the Qualified Cash A/P Amount.</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307340</wp:posOffset>
            </wp:positionV>
            <wp:extent cx="6311265" cy="2222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940"/>
          </w:cols>
          <w:pgMar w:left="980" w:top="781" w:right="979" w:bottom="1440" w:gutter="0" w:footer="0" w:header="0"/>
        </w:sectPr>
      </w:pPr>
    </w:p>
    <w:bookmarkStart w:id="118" w:name="page119"/>
    <w:bookmarkEnd w:id="118"/>
    <w:p>
      <w:pPr>
        <w:ind w:right="20" w:firstLine="1132"/>
        <w:spacing w:after="0" w:line="256" w:lineRule="auto"/>
        <w:rPr>
          <w:sz w:val="20"/>
          <w:szCs w:val="20"/>
          <w:color w:val="auto"/>
        </w:rPr>
      </w:pPr>
      <w:r>
        <w:rPr>
          <w:rFonts w:ascii="Arial" w:cs="Arial" w:eastAsia="Arial" w:hAnsi="Arial"/>
          <w:sz w:val="19"/>
          <w:szCs w:val="19"/>
          <w:color w:val="auto"/>
        </w:rPr>
        <w:t>“Performance Covenant C” means Borrower achieves T6M Net Product Revenue of at least 60% of the T6M Net Product Revenue included in the Forecast, determined on a quarterly basis.</w:t>
      </w:r>
    </w:p>
    <w:p>
      <w:pPr>
        <w:spacing w:after="0" w:line="147" w:lineRule="exact"/>
        <w:rPr>
          <w:sz w:val="20"/>
          <w:szCs w:val="20"/>
          <w:color w:val="auto"/>
        </w:rPr>
      </w:pPr>
    </w:p>
    <w:p>
      <w:pPr>
        <w:ind w:right="20" w:firstLine="1132"/>
        <w:spacing w:after="0" w:line="256" w:lineRule="auto"/>
        <w:rPr>
          <w:sz w:val="20"/>
          <w:szCs w:val="20"/>
          <w:color w:val="auto"/>
        </w:rPr>
      </w:pPr>
      <w:r>
        <w:rPr>
          <w:rFonts w:ascii="Arial" w:cs="Arial" w:eastAsia="Arial" w:hAnsi="Arial"/>
          <w:sz w:val="19"/>
          <w:szCs w:val="19"/>
          <w:color w:val="auto"/>
        </w:rPr>
        <w:t>“Permitted Acquisition” means any Acquisition (including by way of merger), in each case located entirely within the United States of America, which is conducted in accordance with the following requirements:</w:t>
      </w:r>
    </w:p>
    <w:p>
      <w:pPr>
        <w:spacing w:after="0" w:line="147" w:lineRule="exact"/>
        <w:rPr>
          <w:sz w:val="20"/>
          <w:szCs w:val="20"/>
          <w:color w:val="auto"/>
        </w:rPr>
      </w:pPr>
    </w:p>
    <w:p>
      <w:pPr>
        <w:ind w:left="560" w:right="20" w:firstLine="851"/>
        <w:spacing w:after="0" w:line="256" w:lineRule="auto"/>
        <w:tabs>
          <w:tab w:leader="none" w:pos="1994" w:val="left"/>
        </w:tabs>
        <w:numPr>
          <w:ilvl w:val="0"/>
          <w:numId w:val="45"/>
        </w:numPr>
        <w:rPr>
          <w:rFonts w:ascii="Arial" w:cs="Arial" w:eastAsia="Arial" w:hAnsi="Arial"/>
          <w:sz w:val="19"/>
          <w:szCs w:val="19"/>
          <w:color w:val="auto"/>
        </w:rPr>
      </w:pPr>
      <w:r>
        <w:rPr>
          <w:rFonts w:ascii="Arial" w:cs="Arial" w:eastAsia="Arial" w:hAnsi="Arial"/>
          <w:sz w:val="19"/>
          <w:szCs w:val="19"/>
          <w:color w:val="auto"/>
        </w:rPr>
        <w:t>of assets, Equity Interests, businesses, Persons or products engaged in a line of business incidental or related to that of the Borrower or its Subsidiaries or reasonable extensions thereof;</w:t>
      </w:r>
    </w:p>
    <w:p>
      <w:pPr>
        <w:spacing w:after="0" w:line="146" w:lineRule="exact"/>
        <w:rPr>
          <w:rFonts w:ascii="Arial" w:cs="Arial" w:eastAsia="Arial" w:hAnsi="Arial"/>
          <w:sz w:val="19"/>
          <w:szCs w:val="19"/>
          <w:color w:val="auto"/>
        </w:rPr>
      </w:pPr>
    </w:p>
    <w:p>
      <w:pPr>
        <w:jc w:val="both"/>
        <w:ind w:left="560" w:firstLine="851"/>
        <w:spacing w:after="0" w:line="239" w:lineRule="auto"/>
        <w:tabs>
          <w:tab w:leader="none" w:pos="2032" w:val="left"/>
        </w:tabs>
        <w:numPr>
          <w:ilvl w:val="0"/>
          <w:numId w:val="45"/>
        </w:numPr>
        <w:rPr>
          <w:rFonts w:ascii="Arial" w:cs="Arial" w:eastAsia="Arial" w:hAnsi="Arial"/>
          <w:sz w:val="19"/>
          <w:szCs w:val="19"/>
          <w:color w:val="auto"/>
        </w:rPr>
      </w:pPr>
      <w:r>
        <w:rPr>
          <w:rFonts w:ascii="Arial" w:cs="Arial" w:eastAsia="Arial" w:hAnsi="Arial"/>
          <w:sz w:val="19"/>
          <w:szCs w:val="19"/>
          <w:color w:val="auto"/>
        </w:rPr>
        <w:t>unless otherwise agreed by Agent in its sole discretion, if such Acquisition is structured as a stock acquisition, then the Person so acquired shall either (i) become a wholly-owned (other than issuance of shares necessary under local law for the qualification of directors) Subsidiary of Borrower or of a Subsidiary and the Borrower shall comply, or cause such Subsidiary to comply, with 7.13 hereof, as applicable, or (ii) such Person shall be merged with and into Borrower (with the Borrower being the surviving entity);</w:t>
      </w:r>
    </w:p>
    <w:p>
      <w:pPr>
        <w:spacing w:after="0" w:line="161" w:lineRule="exact"/>
        <w:rPr>
          <w:rFonts w:ascii="Arial" w:cs="Arial" w:eastAsia="Arial" w:hAnsi="Arial"/>
          <w:sz w:val="19"/>
          <w:szCs w:val="19"/>
          <w:color w:val="auto"/>
        </w:rPr>
      </w:pPr>
    </w:p>
    <w:p>
      <w:pPr>
        <w:ind w:left="560" w:right="20" w:firstLine="851"/>
        <w:spacing w:after="0" w:line="256" w:lineRule="auto"/>
        <w:tabs>
          <w:tab w:leader="none" w:pos="1918" w:val="left"/>
        </w:tabs>
        <w:numPr>
          <w:ilvl w:val="0"/>
          <w:numId w:val="45"/>
        </w:numPr>
        <w:rPr>
          <w:rFonts w:ascii="Arial" w:cs="Arial" w:eastAsia="Arial" w:hAnsi="Arial"/>
          <w:sz w:val="19"/>
          <w:szCs w:val="19"/>
          <w:color w:val="auto"/>
        </w:rPr>
      </w:pPr>
      <w:r>
        <w:rPr>
          <w:rFonts w:ascii="Arial" w:cs="Arial" w:eastAsia="Arial" w:hAnsi="Arial"/>
          <w:sz w:val="19"/>
          <w:szCs w:val="19"/>
          <w:color w:val="auto"/>
        </w:rPr>
        <w:t>if such Acquisition is structured as the acquisition or in-licensing of assets, such assets shall be acquired by a Borrower, and shall be free and clear of Liens other than Permitted Liens;</w:t>
      </w:r>
    </w:p>
    <w:p>
      <w:pPr>
        <w:spacing w:after="0" w:line="146" w:lineRule="exact"/>
        <w:rPr>
          <w:rFonts w:ascii="Arial" w:cs="Arial" w:eastAsia="Arial" w:hAnsi="Arial"/>
          <w:sz w:val="19"/>
          <w:szCs w:val="19"/>
          <w:color w:val="auto"/>
        </w:rPr>
      </w:pPr>
    </w:p>
    <w:p>
      <w:pPr>
        <w:jc w:val="both"/>
        <w:ind w:left="560" w:firstLine="851"/>
        <w:spacing w:after="0" w:line="252" w:lineRule="auto"/>
        <w:tabs>
          <w:tab w:leader="none" w:pos="1941"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Borrower shall have delivered to the Lenders not less than ten (10) days (or such shorter period as Agent may agree in its sole discretion) nor more than forty five (45) days prior to the date of such Acquisition, notice of such Acquisition together with pro forma projected financial information, copies of all material documents relating to such acquisition reasonably requested by Agent, and historical financial statements for such acquired entity (to the extent available), division or line of business, in each case in form reasonably satisfactory to the Lenders and demonstrating compliance with the covenants set forth in Section 7.20 hereof on a pro forma basis as if the Acquisition occurred on the first day of the most recent measurement period;</w:t>
      </w:r>
    </w:p>
    <w:p>
      <w:pPr>
        <w:spacing w:after="0" w:line="152" w:lineRule="exact"/>
        <w:rPr>
          <w:rFonts w:ascii="Arial" w:cs="Arial" w:eastAsia="Arial" w:hAnsi="Arial"/>
          <w:sz w:val="18"/>
          <w:szCs w:val="18"/>
          <w:color w:val="auto"/>
        </w:rPr>
      </w:pPr>
    </w:p>
    <w:p>
      <w:pPr>
        <w:ind w:left="560" w:firstLine="851"/>
        <w:spacing w:after="0" w:line="256" w:lineRule="auto"/>
        <w:tabs>
          <w:tab w:leader="none" w:pos="1941" w:val="left"/>
        </w:tabs>
        <w:numPr>
          <w:ilvl w:val="0"/>
          <w:numId w:val="45"/>
        </w:numPr>
        <w:rPr>
          <w:rFonts w:ascii="Arial" w:cs="Arial" w:eastAsia="Arial" w:hAnsi="Arial"/>
          <w:sz w:val="19"/>
          <w:szCs w:val="19"/>
          <w:color w:val="auto"/>
        </w:rPr>
      </w:pPr>
      <w:r>
        <w:rPr>
          <w:rFonts w:ascii="Arial" w:cs="Arial" w:eastAsia="Arial" w:hAnsi="Arial"/>
          <w:sz w:val="19"/>
          <w:szCs w:val="19"/>
          <w:color w:val="auto"/>
        </w:rPr>
        <w:t>both immediately before and after such Acquisition no Default or Event of Default shall have occurred and be continuing; and</w:t>
      </w:r>
    </w:p>
    <w:p>
      <w:pPr>
        <w:spacing w:after="0" w:line="146" w:lineRule="exact"/>
        <w:rPr>
          <w:rFonts w:ascii="Arial" w:cs="Arial" w:eastAsia="Arial" w:hAnsi="Arial"/>
          <w:sz w:val="19"/>
          <w:szCs w:val="19"/>
          <w:color w:val="auto"/>
        </w:rPr>
      </w:pPr>
    </w:p>
    <w:p>
      <w:pPr>
        <w:jc w:val="both"/>
        <w:ind w:left="560" w:firstLine="851"/>
        <w:spacing w:after="0" w:line="268" w:lineRule="auto"/>
        <w:tabs>
          <w:tab w:leader="none" w:pos="2011" w:val="left"/>
        </w:tabs>
        <w:numPr>
          <w:ilvl w:val="0"/>
          <w:numId w:val="45"/>
        </w:numPr>
        <w:rPr>
          <w:rFonts w:ascii="Arial" w:cs="Arial" w:eastAsia="Arial" w:hAnsi="Arial"/>
          <w:sz w:val="17"/>
          <w:szCs w:val="17"/>
          <w:color w:val="auto"/>
        </w:rPr>
      </w:pPr>
      <w:r>
        <w:rPr>
          <w:rFonts w:ascii="Arial" w:cs="Arial" w:eastAsia="Arial" w:hAnsi="Arial"/>
          <w:sz w:val="17"/>
          <w:szCs w:val="17"/>
          <w:color w:val="auto"/>
        </w:rPr>
        <w:t xml:space="preserve">the sum of the purchase price of such proposed new Permitted Acquisition (together with all prior Permitted Acquisitions consummated during the term of this Agreement), computed on the basis of total acquisition consideration paid or incurred, or to be paid or incurred, by Borrower with respect thereto (but excluding for such purpose: any unpaid Acquisition Deferred Payments, in each case except to the extent required to be reflected as liabilities on the balance sheet of Borrower), including the amount of Permitted Indebtedness assumed or to which such assets, businesses or business or ownership interest or shares, or any Person so acquired, is subject, shall not be greater than Twenty Five Million Dollars $25,000,000 </w:t>
      </w:r>
      <w:r>
        <w:rPr>
          <w:rFonts w:ascii="Arial" w:cs="Arial" w:eastAsia="Arial" w:hAnsi="Arial"/>
          <w:sz w:val="17"/>
          <w:szCs w:val="17"/>
          <w:i w:val="1"/>
          <w:iCs w:val="1"/>
          <w:color w:val="auto"/>
        </w:rPr>
        <w:t>plus</w:t>
      </w:r>
      <w:r>
        <w:rPr>
          <w:rFonts w:ascii="Arial" w:cs="Arial" w:eastAsia="Arial" w:hAnsi="Arial"/>
          <w:sz w:val="17"/>
          <w:szCs w:val="17"/>
          <w:color w:val="auto"/>
        </w:rPr>
        <w:t xml:space="preserve"> the aggregate amount of Tranche 5 Advances approved by Lenders’ investment committee for Acquisitions </w:t>
      </w:r>
      <w:r>
        <w:rPr>
          <w:rFonts w:ascii="Arial" w:cs="Arial" w:eastAsia="Arial" w:hAnsi="Arial"/>
          <w:sz w:val="17"/>
          <w:szCs w:val="17"/>
          <w:i w:val="1"/>
          <w:iCs w:val="1"/>
          <w:color w:val="auto"/>
        </w:rPr>
        <w:t>minus</w:t>
      </w:r>
      <w:r>
        <w:rPr>
          <w:rFonts w:ascii="Arial" w:cs="Arial" w:eastAsia="Arial" w:hAnsi="Arial"/>
          <w:sz w:val="17"/>
          <w:szCs w:val="17"/>
          <w:color w:val="auto"/>
        </w:rPr>
        <w:t xml:space="preserve"> the aggregate amount of all Acquisition Deferred Payments that have been paid.</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307340</wp:posOffset>
            </wp:positionV>
            <wp:extent cx="6311265" cy="2222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940"/>
          </w:cols>
          <w:pgMar w:left="980" w:top="781" w:right="979" w:bottom="1440" w:gutter="0" w:footer="0" w:header="0"/>
        </w:sectPr>
      </w:pPr>
    </w:p>
    <w:bookmarkStart w:id="119" w:name="page120"/>
    <w:bookmarkEnd w:id="119"/>
    <w:p>
      <w:pPr>
        <w:jc w:val="both"/>
        <w:ind w:firstLine="1132"/>
        <w:spacing w:after="0" w:line="268" w:lineRule="auto"/>
        <w:rPr>
          <w:sz w:val="20"/>
          <w:szCs w:val="20"/>
          <w:color w:val="auto"/>
        </w:rPr>
      </w:pPr>
      <w:r>
        <w:rPr>
          <w:rFonts w:ascii="Arial" w:cs="Arial" w:eastAsia="Arial" w:hAnsi="Arial"/>
          <w:sz w:val="17"/>
          <w:szCs w:val="17"/>
          <w:color w:val="auto"/>
        </w:rPr>
        <w:t xml:space="preserve">“Permitted Bond Hedge Transaction” means any call or capped call option (or substantively equivalent derivative transaction) relating to the Common Stock (or other securities or property following a merger event or other change of the Common Stock) purchased by Borrower in connection with the issuance of any Permitted Convertible Debt and as may be amended in accordance with its terms;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net purchase price of any such call option transaction, less the amount received by Borrower in respect of any Permitted Warrant Transaction in connection with such issuance of Permitted Convertible Debt, shall not exceed 25% of the gross proceeds to Borrower from such issuance of Permitted Convertible Debt;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the terms, conditions and covenants of each such call option transaction are customary for agreements of such type, as determined in good faith by the board of directors of the Borrower or a committee thereof.</w:t>
      </w:r>
    </w:p>
    <w:p>
      <w:pPr>
        <w:spacing w:after="0" w:line="140" w:lineRule="exact"/>
        <w:rPr>
          <w:sz w:val="20"/>
          <w:szCs w:val="20"/>
          <w:color w:val="auto"/>
        </w:rPr>
      </w:pPr>
    </w:p>
    <w:p>
      <w:pPr>
        <w:jc w:val="both"/>
        <w:ind w:firstLine="1132"/>
        <w:spacing w:after="0" w:line="263" w:lineRule="auto"/>
        <w:rPr>
          <w:sz w:val="20"/>
          <w:szCs w:val="20"/>
          <w:color w:val="auto"/>
        </w:rPr>
      </w:pPr>
      <w:r>
        <w:rPr>
          <w:rFonts w:ascii="Arial" w:cs="Arial" w:eastAsia="Arial" w:hAnsi="Arial"/>
          <w:sz w:val="17"/>
          <w:szCs w:val="17"/>
          <w:color w:val="auto"/>
        </w:rPr>
        <w:t xml:space="preserve">“Permitted Convertible Debt” means Indebtedness of the Borrower that is convertible into a fixed number (subject to customary anti-dilution adjustments, “make-whole” increases and other customary changes thereto) of shares of Common Stock (or other securities or property following a merger event or other change of the Common Stock), cash or any combination thereof (with the amount of such cash or such combination determined by reference to the market price of such Common Stock or such other securities);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Indebtedness shall (a) not require any scheduled amortization or otherwise require payment of principal prior to, or have a scheduled maturity date, earlier than, one hundred eighty (180) days after the Term Loan Maturity Date, (b) be unsecured, (c) not be guaranteed by any Subsidiary of Borrower, (d) contain usual and customary subordination terms for underwritten offerings of senior subordinated convertible notes as determined in good faith by the board of directors of the Borrower or a committee thereof, (e) shall specifically designate this Agreement and all Secured Obligations as “designated senior indebtedness” or similar term so that the subordination terms referred to in clause (d) of this definition specifically refer to such notes as being subordinated to the Secured Obligations pursuant to such subordination terms and (f) be on terms and conditions customary for Indebtedness of such type, as determined in good faith by the board of directors of the Borrower or a committee thereof; </w:t>
      </w:r>
      <w:r>
        <w:rPr>
          <w:rFonts w:ascii="Arial" w:cs="Arial" w:eastAsia="Arial" w:hAnsi="Arial"/>
          <w:sz w:val="17"/>
          <w:szCs w:val="17"/>
          <w:i w:val="1"/>
          <w:iCs w:val="1"/>
          <w:color w:val="auto"/>
        </w:rPr>
        <w:t>provided further</w:t>
      </w:r>
      <w:r>
        <w:rPr>
          <w:rFonts w:ascii="Arial" w:cs="Arial" w:eastAsia="Arial" w:hAnsi="Arial"/>
          <w:sz w:val="17"/>
          <w:szCs w:val="17"/>
          <w:color w:val="auto"/>
        </w:rPr>
        <w:t>, that any cross-default or cross-acceleration event of default (each howsoever defined) provision contained therein that relates to indebtedness or other payment obligations of Borrower (or any of its Subsidiaries) (such indebtedness or other payment obligations, a “</w:t>
      </w:r>
      <w:r>
        <w:rPr>
          <w:rFonts w:ascii="Arial" w:cs="Arial" w:eastAsia="Arial" w:hAnsi="Arial"/>
          <w:sz w:val="17"/>
          <w:szCs w:val="17"/>
          <w:u w:val="single" w:color="auto"/>
          <w:color w:val="auto"/>
        </w:rPr>
        <w:t>Cross-Default Reference Obligation</w:t>
      </w:r>
      <w:r>
        <w:rPr>
          <w:rFonts w:ascii="Arial" w:cs="Arial" w:eastAsia="Arial" w:hAnsi="Arial"/>
          <w:sz w:val="17"/>
          <w:szCs w:val="17"/>
          <w:color w:val="auto"/>
        </w:rPr>
        <w:t>”) contains a cure period of at least thirty (30) calendar days (after written notice to the issuer of such Indebtedness by the trustee or to such issuer and such trustee by holders of at least 25% in aggregate principal amount of such Indebtedness then outstanding) before a default, event of default, acceleration or other event or condition under such Cross-Default Reference Obligation results in an event of default under such cross-default or cross-acceleration provision.</w:t>
      </w:r>
    </w:p>
    <w:p>
      <w:pPr>
        <w:spacing w:after="0" w:line="151"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“Permitted Indebtedness” means:</w:t>
      </w:r>
    </w:p>
    <w:p>
      <w:pPr>
        <w:spacing w:after="0" w:line="182" w:lineRule="exact"/>
        <w:rPr>
          <w:sz w:val="20"/>
          <w:szCs w:val="20"/>
          <w:color w:val="auto"/>
        </w:rPr>
      </w:pPr>
    </w:p>
    <w:p>
      <w:pPr>
        <w:ind w:left="1980" w:hanging="569"/>
        <w:spacing w:after="0"/>
        <w:tabs>
          <w:tab w:leader="none" w:pos="19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Indebtedness of Borrower in favor of the Lenders or Agent arising under this Agreement or any other</w:t>
      </w:r>
    </w:p>
    <w:p>
      <w:pPr>
        <w:spacing w:after="0" w:line="32" w:lineRule="exact"/>
        <w:rPr>
          <w:rFonts w:ascii="Arial" w:cs="Arial" w:eastAsia="Arial" w:hAnsi="Arial"/>
          <w:sz w:val="17"/>
          <w:szCs w:val="17"/>
          <w:color w:val="auto"/>
        </w:rPr>
      </w:pPr>
    </w:p>
    <w:p>
      <w:pPr>
        <w:ind w:left="560"/>
        <w:spacing w:after="0"/>
        <w:rPr>
          <w:rFonts w:ascii="Arial" w:cs="Arial" w:eastAsia="Arial" w:hAnsi="Arial"/>
          <w:sz w:val="17"/>
          <w:szCs w:val="17"/>
          <w:color w:val="auto"/>
        </w:rPr>
      </w:pPr>
      <w:r>
        <w:rPr>
          <w:rFonts w:ascii="Arial" w:cs="Arial" w:eastAsia="Arial" w:hAnsi="Arial"/>
          <w:sz w:val="19"/>
          <w:szCs w:val="19"/>
          <w:color w:val="auto"/>
        </w:rPr>
        <w:t>Loan Document;</w:t>
      </w:r>
    </w:p>
    <w:p>
      <w:pPr>
        <w:spacing w:after="0" w:line="166" w:lineRule="exact"/>
        <w:rPr>
          <w:rFonts w:ascii="Arial" w:cs="Arial" w:eastAsia="Arial" w:hAnsi="Arial"/>
          <w:sz w:val="17"/>
          <w:szCs w:val="17"/>
          <w:color w:val="auto"/>
        </w:rPr>
      </w:pPr>
    </w:p>
    <w:p>
      <w:pPr>
        <w:ind w:left="1880" w:hanging="469"/>
        <w:spacing w:after="0"/>
        <w:tabs>
          <w:tab w:leader="none" w:pos="1880" w:val="left"/>
        </w:tabs>
        <w:numPr>
          <w:ilvl w:val="0"/>
          <w:numId w:val="46"/>
        </w:numPr>
        <w:rPr>
          <w:rFonts w:ascii="Arial" w:cs="Arial" w:eastAsia="Arial" w:hAnsi="Arial"/>
          <w:sz w:val="19"/>
          <w:szCs w:val="19"/>
          <w:color w:val="auto"/>
        </w:rPr>
      </w:pPr>
      <w:r>
        <w:rPr>
          <w:rFonts w:ascii="Arial" w:cs="Arial" w:eastAsia="Arial" w:hAnsi="Arial"/>
          <w:sz w:val="19"/>
          <w:szCs w:val="19"/>
          <w:color w:val="auto"/>
        </w:rPr>
        <w:t>Indebtedness existing on the Closing Date which is disclosed in Schedule 1A;</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307340</wp:posOffset>
            </wp:positionV>
            <wp:extent cx="6311265" cy="2222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940"/>
          </w:cols>
          <w:pgMar w:left="980" w:top="781" w:right="979" w:bottom="1440" w:gutter="0" w:footer="0" w:header="0"/>
        </w:sectPr>
      </w:pPr>
    </w:p>
    <w:bookmarkStart w:id="120" w:name="page121"/>
    <w:bookmarkEnd w:id="120"/>
    <w:p>
      <w:pPr>
        <w:jc w:val="both"/>
        <w:ind w:left="100" w:right="20" w:firstLine="851"/>
        <w:spacing w:after="0" w:line="244" w:lineRule="auto"/>
        <w:tabs>
          <w:tab w:leader="none" w:pos="1446" w:val="left"/>
        </w:tabs>
        <w:numPr>
          <w:ilvl w:val="0"/>
          <w:numId w:val="47"/>
        </w:numPr>
        <w:rPr>
          <w:rFonts w:ascii="Arial" w:cs="Arial" w:eastAsia="Arial" w:hAnsi="Arial"/>
          <w:sz w:val="19"/>
          <w:szCs w:val="19"/>
          <w:color w:val="auto"/>
        </w:rPr>
      </w:pPr>
      <w:r>
        <w:rPr>
          <w:rFonts w:ascii="Arial" w:cs="Arial" w:eastAsia="Arial" w:hAnsi="Arial"/>
          <w:sz w:val="19"/>
          <w:szCs w:val="19"/>
          <w:color w:val="auto"/>
        </w:rPr>
        <w:t>Indebtedness of up to $500,000 outstanding at any time secured by a Lien described in clause (vii) of the defined term “Permitted Liens,” provided such Indebtedness does not exceed the cost of the Equipment and related software financed with such Indebtedness;</w:t>
      </w:r>
    </w:p>
    <w:p>
      <w:pPr>
        <w:spacing w:after="0" w:line="158" w:lineRule="exact"/>
        <w:rPr>
          <w:rFonts w:ascii="Arial" w:cs="Arial" w:eastAsia="Arial" w:hAnsi="Arial"/>
          <w:sz w:val="19"/>
          <w:szCs w:val="19"/>
          <w:color w:val="auto"/>
        </w:rPr>
      </w:pPr>
    </w:p>
    <w:p>
      <w:pPr>
        <w:ind w:left="100" w:right="20" w:firstLine="851"/>
        <w:spacing w:after="0" w:line="256" w:lineRule="auto"/>
        <w:tabs>
          <w:tab w:leader="none" w:pos="1422" w:val="left"/>
        </w:tabs>
        <w:numPr>
          <w:ilvl w:val="0"/>
          <w:numId w:val="47"/>
        </w:numPr>
        <w:rPr>
          <w:rFonts w:ascii="Arial" w:cs="Arial" w:eastAsia="Arial" w:hAnsi="Arial"/>
          <w:sz w:val="19"/>
          <w:szCs w:val="19"/>
          <w:color w:val="auto"/>
        </w:rPr>
      </w:pPr>
      <w:r>
        <w:rPr>
          <w:rFonts w:ascii="Arial" w:cs="Arial" w:eastAsia="Arial" w:hAnsi="Arial"/>
          <w:sz w:val="19"/>
          <w:szCs w:val="19"/>
          <w:color w:val="auto"/>
        </w:rPr>
        <w:t>Indebtedness to trade creditors incurred in the ordinary course of business (other than any trade credit that is past due for more than one hundred eighty (180) days);</w:t>
      </w:r>
    </w:p>
    <w:p>
      <w:pPr>
        <w:spacing w:after="0" w:line="146" w:lineRule="exact"/>
        <w:rPr>
          <w:rFonts w:ascii="Arial" w:cs="Arial" w:eastAsia="Arial" w:hAnsi="Arial"/>
          <w:sz w:val="19"/>
          <w:szCs w:val="19"/>
          <w:color w:val="auto"/>
        </w:rPr>
      </w:pPr>
    </w:p>
    <w:p>
      <w:pPr>
        <w:ind w:left="1400" w:hanging="449"/>
        <w:spacing w:after="0"/>
        <w:tabs>
          <w:tab w:leader="none" w:pos="1400" w:val="left"/>
        </w:tabs>
        <w:numPr>
          <w:ilvl w:val="0"/>
          <w:numId w:val="47"/>
        </w:numPr>
        <w:rPr>
          <w:rFonts w:ascii="Arial" w:cs="Arial" w:eastAsia="Arial" w:hAnsi="Arial"/>
          <w:sz w:val="19"/>
          <w:szCs w:val="19"/>
          <w:color w:val="auto"/>
        </w:rPr>
      </w:pPr>
      <w:r>
        <w:rPr>
          <w:rFonts w:ascii="Arial" w:cs="Arial" w:eastAsia="Arial" w:hAnsi="Arial"/>
          <w:sz w:val="19"/>
          <w:szCs w:val="19"/>
          <w:color w:val="auto"/>
        </w:rPr>
        <w:t>Indebtedness that also constitutes a Permitted Investment;</w:t>
      </w:r>
    </w:p>
    <w:p>
      <w:pPr>
        <w:spacing w:after="0" w:line="182" w:lineRule="exact"/>
        <w:rPr>
          <w:rFonts w:ascii="Arial" w:cs="Arial" w:eastAsia="Arial" w:hAnsi="Arial"/>
          <w:sz w:val="19"/>
          <w:szCs w:val="19"/>
          <w:color w:val="auto"/>
        </w:rPr>
      </w:pPr>
    </w:p>
    <w:p>
      <w:pPr>
        <w:ind w:left="1420" w:hanging="469"/>
        <w:spacing w:after="0"/>
        <w:tabs>
          <w:tab w:leader="none" w:pos="1420" w:val="left"/>
        </w:tabs>
        <w:numPr>
          <w:ilvl w:val="0"/>
          <w:numId w:val="47"/>
        </w:numPr>
        <w:rPr>
          <w:rFonts w:ascii="Arial" w:cs="Arial" w:eastAsia="Arial" w:hAnsi="Arial"/>
          <w:sz w:val="19"/>
          <w:szCs w:val="19"/>
          <w:color w:val="auto"/>
        </w:rPr>
      </w:pPr>
      <w:r>
        <w:rPr>
          <w:rFonts w:ascii="Arial" w:cs="Arial" w:eastAsia="Arial" w:hAnsi="Arial"/>
          <w:sz w:val="19"/>
          <w:szCs w:val="19"/>
          <w:color w:val="auto"/>
        </w:rPr>
        <w:t>Subordinated Indebtedness;</w:t>
      </w:r>
    </w:p>
    <w:p>
      <w:pPr>
        <w:spacing w:after="0" w:line="182" w:lineRule="exact"/>
        <w:rPr>
          <w:rFonts w:ascii="Arial" w:cs="Arial" w:eastAsia="Arial" w:hAnsi="Arial"/>
          <w:sz w:val="19"/>
          <w:szCs w:val="19"/>
          <w:color w:val="auto"/>
        </w:rPr>
      </w:pPr>
    </w:p>
    <w:p>
      <w:pPr>
        <w:jc w:val="both"/>
        <w:ind w:left="100" w:right="20" w:firstLine="851"/>
        <w:spacing w:after="0" w:line="238" w:lineRule="auto"/>
        <w:tabs>
          <w:tab w:leader="none" w:pos="1467" w:val="left"/>
        </w:tabs>
        <w:numPr>
          <w:ilvl w:val="0"/>
          <w:numId w:val="47"/>
        </w:numPr>
        <w:rPr>
          <w:rFonts w:ascii="Arial" w:cs="Arial" w:eastAsia="Arial" w:hAnsi="Arial"/>
          <w:sz w:val="19"/>
          <w:szCs w:val="19"/>
          <w:color w:val="auto"/>
        </w:rPr>
      </w:pPr>
      <w:r>
        <w:rPr>
          <w:rFonts w:ascii="Arial" w:cs="Arial" w:eastAsia="Arial" w:hAnsi="Arial"/>
          <w:sz w:val="19"/>
          <w:szCs w:val="19"/>
          <w:color w:val="auto"/>
        </w:rPr>
        <w:t>Indebtedness, including reimbursement obligations, in connection with (A) letters of credit, (B) foreign exchange services, ACH Services, and, cash management services (including credit cards, debit cards and similar instruments) and (C) Hedge Agreements (entered into in order to manage existing or anticipated interest rate, exchange rate or commodity price risks and not for speculative purposes), in each case that may or be unsecured or secured by Cash and issued on behalf of the Borrower or a Subsidiary thereof in an aggregate amount not to exceed $3,000,000 at any time outstanding,</w:t>
      </w:r>
    </w:p>
    <w:p>
      <w:pPr>
        <w:spacing w:after="0" w:line="161" w:lineRule="exact"/>
        <w:rPr>
          <w:rFonts w:ascii="Arial" w:cs="Arial" w:eastAsia="Arial" w:hAnsi="Arial"/>
          <w:sz w:val="19"/>
          <w:szCs w:val="19"/>
          <w:color w:val="auto"/>
        </w:rPr>
      </w:pPr>
    </w:p>
    <w:p>
      <w:pPr>
        <w:ind w:left="1420" w:hanging="469"/>
        <w:spacing w:after="0"/>
        <w:tabs>
          <w:tab w:leader="none" w:pos="1420" w:val="left"/>
        </w:tabs>
        <w:numPr>
          <w:ilvl w:val="0"/>
          <w:numId w:val="47"/>
        </w:numPr>
        <w:rPr>
          <w:rFonts w:ascii="Arial" w:cs="Arial" w:eastAsia="Arial" w:hAnsi="Arial"/>
          <w:sz w:val="19"/>
          <w:szCs w:val="19"/>
          <w:color w:val="auto"/>
        </w:rPr>
      </w:pPr>
      <w:r>
        <w:rPr>
          <w:rFonts w:ascii="Arial" w:cs="Arial" w:eastAsia="Arial" w:hAnsi="Arial"/>
          <w:sz w:val="19"/>
          <w:szCs w:val="19"/>
          <w:color w:val="auto"/>
        </w:rPr>
        <w:t>other unsecured Indebtedness in an amount not to exceed $250,000 at any time outstanding,</w:t>
      </w:r>
    </w:p>
    <w:p>
      <w:pPr>
        <w:spacing w:after="0" w:line="182" w:lineRule="exact"/>
        <w:rPr>
          <w:rFonts w:ascii="Arial" w:cs="Arial" w:eastAsia="Arial" w:hAnsi="Arial"/>
          <w:sz w:val="19"/>
          <w:szCs w:val="19"/>
          <w:color w:val="auto"/>
        </w:rPr>
      </w:pPr>
    </w:p>
    <w:p>
      <w:pPr>
        <w:jc w:val="both"/>
        <w:ind w:left="100" w:firstLine="851"/>
        <w:spacing w:after="0" w:line="244" w:lineRule="auto"/>
        <w:tabs>
          <w:tab w:leader="none" w:pos="1417" w:val="left"/>
        </w:tabs>
        <w:numPr>
          <w:ilvl w:val="0"/>
          <w:numId w:val="47"/>
        </w:numPr>
        <w:rPr>
          <w:rFonts w:ascii="Arial" w:cs="Arial" w:eastAsia="Arial" w:hAnsi="Arial"/>
          <w:sz w:val="19"/>
          <w:szCs w:val="19"/>
          <w:color w:val="auto"/>
        </w:rPr>
      </w:pPr>
      <w:r>
        <w:rPr>
          <w:rFonts w:ascii="Arial" w:cs="Arial" w:eastAsia="Arial" w:hAnsi="Arial"/>
          <w:sz w:val="19"/>
          <w:szCs w:val="19"/>
          <w:color w:val="auto"/>
        </w:rPr>
        <w:t>intercompany Indebtedness as long as either (A) each of the Subsidiary obligor and the Subsidiary obligee under such Indebtedness is a Subsidiary that has executed a Joinder Agreement, or (B) it is Indebtedness of an Excluded Subsidiary permitted under clause (x) of the definition of Permitted Investments;</w:t>
      </w:r>
    </w:p>
    <w:p>
      <w:pPr>
        <w:spacing w:after="0" w:line="158" w:lineRule="exact"/>
        <w:rPr>
          <w:rFonts w:ascii="Arial" w:cs="Arial" w:eastAsia="Arial" w:hAnsi="Arial"/>
          <w:sz w:val="19"/>
          <w:szCs w:val="19"/>
          <w:color w:val="auto"/>
        </w:rPr>
      </w:pPr>
    </w:p>
    <w:p>
      <w:pPr>
        <w:ind w:left="100" w:right="20" w:firstLine="851"/>
        <w:spacing w:after="0" w:line="256" w:lineRule="auto"/>
        <w:tabs>
          <w:tab w:leader="none" w:pos="1550" w:val="left"/>
        </w:tabs>
        <w:numPr>
          <w:ilvl w:val="0"/>
          <w:numId w:val="47"/>
        </w:numPr>
        <w:rPr>
          <w:rFonts w:ascii="Arial" w:cs="Arial" w:eastAsia="Arial" w:hAnsi="Arial"/>
          <w:sz w:val="19"/>
          <w:szCs w:val="19"/>
          <w:color w:val="auto"/>
        </w:rPr>
      </w:pPr>
      <w:r>
        <w:rPr>
          <w:rFonts w:ascii="Arial" w:cs="Arial" w:eastAsia="Arial" w:hAnsi="Arial"/>
          <w:sz w:val="19"/>
          <w:szCs w:val="19"/>
          <w:color w:val="auto"/>
        </w:rPr>
        <w:t>Permitted Convertible Debt not to exceed Five Hundred Million Dollars ($500,000,000) in principal amount at any one time outstanding;</w:t>
      </w:r>
    </w:p>
    <w:p>
      <w:pPr>
        <w:spacing w:after="0" w:line="146" w:lineRule="exact"/>
        <w:rPr>
          <w:rFonts w:ascii="Arial" w:cs="Arial" w:eastAsia="Arial" w:hAnsi="Arial"/>
          <w:sz w:val="19"/>
          <w:szCs w:val="19"/>
          <w:color w:val="auto"/>
        </w:rPr>
      </w:pPr>
    </w:p>
    <w:p>
      <w:pPr>
        <w:jc w:val="both"/>
        <w:ind w:left="100" w:right="20" w:firstLine="851"/>
        <w:spacing w:after="0" w:line="237" w:lineRule="auto"/>
        <w:tabs>
          <w:tab w:leader="none" w:pos="1525" w:val="left"/>
        </w:tabs>
        <w:numPr>
          <w:ilvl w:val="0"/>
          <w:numId w:val="47"/>
        </w:numPr>
        <w:rPr>
          <w:rFonts w:ascii="Arial" w:cs="Arial" w:eastAsia="Arial" w:hAnsi="Arial"/>
          <w:sz w:val="19"/>
          <w:szCs w:val="19"/>
          <w:color w:val="auto"/>
        </w:rPr>
      </w:pPr>
      <w:r>
        <w:rPr>
          <w:rFonts w:ascii="Arial" w:cs="Arial" w:eastAsia="Arial" w:hAnsi="Arial"/>
          <w:sz w:val="19"/>
          <w:szCs w:val="19"/>
          <w:color w:val="auto"/>
        </w:rPr>
        <w:t>Indebtedness with respect to a Permitted Royalty Transaction that (a) is subordinated to the Secured Obligations pursuant to a subordination or intercreditor agreement on terms and conditions reasonably satisfactory to Agent, (b) does not have a scheduled maturity date earlier than one hundred eighty (180) days after the Term Loan Maturity Date, (c) is in an aggregate amount not to exceed $250,000,000, and (d) shall specifically designate this Agreement and all Secured Obligations as “designated senior indebtedness” or similar term so that the subordination terms referred to in clause (a) of this clause specifically refer to such notes as being subordinated to the Secured Obligations pursuant to such subordination terms;</w:t>
      </w:r>
    </w:p>
    <w:p>
      <w:pPr>
        <w:spacing w:after="0" w:line="163" w:lineRule="exact"/>
        <w:rPr>
          <w:rFonts w:ascii="Arial" w:cs="Arial" w:eastAsia="Arial" w:hAnsi="Arial"/>
          <w:sz w:val="19"/>
          <w:szCs w:val="19"/>
          <w:color w:val="auto"/>
        </w:rPr>
      </w:pPr>
    </w:p>
    <w:p>
      <w:pPr>
        <w:ind w:left="1460" w:hanging="509"/>
        <w:spacing w:after="0"/>
        <w:tabs>
          <w:tab w:leader="none" w:pos="14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Indebtedness incurred as a result of endorsing negotiable instruments received in the ordinary course of</w:t>
      </w:r>
    </w:p>
    <w:p>
      <w:pPr>
        <w:spacing w:after="0" w:line="32"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9"/>
          <w:szCs w:val="19"/>
          <w:color w:val="auto"/>
        </w:rPr>
        <w:t>business;</w:t>
      </w:r>
    </w:p>
    <w:p>
      <w:pPr>
        <w:spacing w:after="0" w:line="166" w:lineRule="exact"/>
        <w:rPr>
          <w:rFonts w:ascii="Arial" w:cs="Arial" w:eastAsia="Arial" w:hAnsi="Arial"/>
          <w:sz w:val="17"/>
          <w:szCs w:val="17"/>
          <w:color w:val="auto"/>
        </w:rPr>
      </w:pPr>
    </w:p>
    <w:p>
      <w:pPr>
        <w:ind w:left="100" w:right="20" w:firstLine="851"/>
        <w:spacing w:after="0" w:line="256" w:lineRule="auto"/>
        <w:tabs>
          <w:tab w:leader="none" w:pos="1441" w:val="left"/>
        </w:tabs>
        <w:numPr>
          <w:ilvl w:val="0"/>
          <w:numId w:val="47"/>
        </w:numPr>
        <w:rPr>
          <w:rFonts w:ascii="Arial" w:cs="Arial" w:eastAsia="Arial" w:hAnsi="Arial"/>
          <w:sz w:val="19"/>
          <w:szCs w:val="19"/>
          <w:color w:val="auto"/>
        </w:rPr>
      </w:pPr>
      <w:r>
        <w:rPr>
          <w:rFonts w:ascii="Arial" w:cs="Arial" w:eastAsia="Arial" w:hAnsi="Arial"/>
          <w:sz w:val="19"/>
          <w:szCs w:val="19"/>
          <w:color w:val="auto"/>
        </w:rPr>
        <w:t>Indebtedness in respect of surety bonds and other indemnities and similar obligations up to an aggregate amount of Five Hundred Thousand Dollars ($500,000) at any one time outstanding;</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480"/>
        <w:spacing w:after="0"/>
        <w:rPr>
          <w:sz w:val="20"/>
          <w:szCs w:val="20"/>
          <w:color w:val="auto"/>
        </w:rPr>
      </w:pPr>
      <w:r>
        <w:rPr>
          <w:rFonts w:ascii="Arial" w:cs="Arial" w:eastAsia="Arial" w:hAnsi="Arial"/>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307340</wp:posOffset>
            </wp:positionV>
            <wp:extent cx="6311265" cy="2222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480"/>
          </w:cols>
          <w:pgMar w:left="1440" w:top="781" w:right="979" w:bottom="1440" w:gutter="0" w:footer="0" w:header="0"/>
        </w:sectPr>
      </w:pPr>
    </w:p>
    <w:bookmarkStart w:id="121" w:name="page122"/>
    <w:bookmarkEnd w:id="121"/>
    <w:p>
      <w:pPr>
        <w:ind w:left="100" w:firstLine="851"/>
        <w:spacing w:after="0" w:line="256" w:lineRule="auto"/>
        <w:tabs>
          <w:tab w:leader="none" w:pos="1429" w:val="left"/>
        </w:tabs>
        <w:numPr>
          <w:ilvl w:val="0"/>
          <w:numId w:val="48"/>
        </w:numPr>
        <w:rPr>
          <w:rFonts w:ascii="Arial" w:cs="Arial" w:eastAsia="Arial" w:hAnsi="Arial"/>
          <w:sz w:val="19"/>
          <w:szCs w:val="19"/>
          <w:color w:val="auto"/>
        </w:rPr>
      </w:pPr>
      <w:r>
        <w:rPr>
          <w:rFonts w:ascii="Arial" w:cs="Arial" w:eastAsia="Arial" w:hAnsi="Arial"/>
          <w:sz w:val="19"/>
          <w:szCs w:val="19"/>
          <w:color w:val="auto"/>
        </w:rPr>
        <w:t>Indebtedness arising with respect to Borrower’s real property lease and operating lease obligations in the ordinary course of Borrower’s business; and</w:t>
      </w:r>
    </w:p>
    <w:p>
      <w:pPr>
        <w:spacing w:after="0" w:line="146" w:lineRule="exact"/>
        <w:rPr>
          <w:rFonts w:ascii="Arial" w:cs="Arial" w:eastAsia="Arial" w:hAnsi="Arial"/>
          <w:sz w:val="19"/>
          <w:szCs w:val="19"/>
          <w:color w:val="auto"/>
        </w:rPr>
      </w:pPr>
    </w:p>
    <w:p>
      <w:pPr>
        <w:ind w:left="1580" w:hanging="629"/>
        <w:spacing w:after="0"/>
        <w:tabs>
          <w:tab w:leader="none" w:pos="15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Indebtedness in respect of Acquisition Deferred Payments incurred in connection with Permitted</w:t>
      </w:r>
    </w:p>
    <w:p>
      <w:pPr>
        <w:spacing w:after="0" w:line="21"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9"/>
          <w:szCs w:val="19"/>
          <w:color w:val="auto"/>
        </w:rPr>
        <w:t>Acquisitions;</w:t>
      </w:r>
    </w:p>
    <w:p>
      <w:pPr>
        <w:spacing w:after="0" w:line="166" w:lineRule="exact"/>
        <w:rPr>
          <w:rFonts w:ascii="Arial" w:cs="Arial" w:eastAsia="Arial" w:hAnsi="Arial"/>
          <w:sz w:val="18"/>
          <w:szCs w:val="18"/>
          <w:color w:val="auto"/>
        </w:rPr>
      </w:pPr>
    </w:p>
    <w:p>
      <w:pPr>
        <w:jc w:val="both"/>
        <w:ind w:left="100" w:right="20" w:firstLine="851"/>
        <w:spacing w:after="0" w:line="244" w:lineRule="auto"/>
        <w:tabs>
          <w:tab w:leader="none" w:pos="1430" w:val="left"/>
        </w:tabs>
        <w:numPr>
          <w:ilvl w:val="0"/>
          <w:numId w:val="48"/>
        </w:numPr>
        <w:rPr>
          <w:rFonts w:ascii="Arial" w:cs="Arial" w:eastAsia="Arial" w:hAnsi="Arial"/>
          <w:sz w:val="19"/>
          <w:szCs w:val="19"/>
          <w:color w:val="auto"/>
        </w:rPr>
      </w:pPr>
      <w:r>
        <w:rPr>
          <w:rFonts w:ascii="Arial" w:cs="Arial" w:eastAsia="Arial" w:hAnsi="Arial"/>
          <w:sz w:val="19"/>
          <w:szCs w:val="19"/>
          <w:color w:val="auto"/>
        </w:rPr>
        <w:t>extensions, refinancings, renewals, modifications, amendments or restatements of any items of Permitted Indebtedness; provided that the principal amount is not increased or the terms modified to impose materially more burdensome terms upon Borrower or its Subsidiary, as the case may be.</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“Permitted Investment” means:</w:t>
      </w:r>
    </w:p>
    <w:p>
      <w:pPr>
        <w:spacing w:after="0" w:line="182" w:lineRule="exact"/>
        <w:rPr>
          <w:sz w:val="20"/>
          <w:szCs w:val="20"/>
          <w:color w:val="auto"/>
        </w:rPr>
      </w:pPr>
    </w:p>
    <w:p>
      <w:pPr>
        <w:ind w:left="1420" w:hanging="469"/>
        <w:spacing w:after="0"/>
        <w:tabs>
          <w:tab w:leader="none" w:pos="1420" w:val="left"/>
        </w:tabs>
        <w:numPr>
          <w:ilvl w:val="1"/>
          <w:numId w:val="49"/>
        </w:numPr>
        <w:rPr>
          <w:rFonts w:ascii="Arial" w:cs="Arial" w:eastAsia="Arial" w:hAnsi="Arial"/>
          <w:sz w:val="19"/>
          <w:szCs w:val="19"/>
          <w:color w:val="auto"/>
        </w:rPr>
      </w:pPr>
      <w:r>
        <w:rPr>
          <w:rFonts w:ascii="Arial" w:cs="Arial" w:eastAsia="Arial" w:hAnsi="Arial"/>
          <w:sz w:val="19"/>
          <w:szCs w:val="19"/>
          <w:color w:val="auto"/>
        </w:rPr>
        <w:t>Investments existing on the Closing Date which are disclosed in Schedule 1B;</w:t>
      </w:r>
    </w:p>
    <w:p>
      <w:pPr>
        <w:spacing w:after="0" w:line="182" w:lineRule="exact"/>
        <w:rPr>
          <w:rFonts w:ascii="Arial" w:cs="Arial" w:eastAsia="Arial" w:hAnsi="Arial"/>
          <w:sz w:val="19"/>
          <w:szCs w:val="19"/>
          <w:color w:val="auto"/>
        </w:rPr>
      </w:pPr>
    </w:p>
    <w:p>
      <w:pPr>
        <w:jc w:val="both"/>
        <w:ind w:left="100" w:right="20" w:firstLine="851"/>
        <w:spacing w:after="0" w:line="263" w:lineRule="auto"/>
        <w:tabs>
          <w:tab w:leader="none" w:pos="1437" w:val="left"/>
        </w:tabs>
        <w:numPr>
          <w:ilvl w:val="1"/>
          <w:numId w:val="49"/>
        </w:numPr>
        <w:rPr>
          <w:rFonts w:ascii="Arial" w:cs="Arial" w:eastAsia="Arial" w:hAnsi="Arial"/>
          <w:sz w:val="17"/>
          <w:szCs w:val="17"/>
          <w:color w:val="auto"/>
        </w:rPr>
      </w:pPr>
      <w:r>
        <w:rPr>
          <w:rFonts w:ascii="Arial" w:cs="Arial" w:eastAsia="Arial" w:hAnsi="Arial"/>
          <w:sz w:val="17"/>
          <w:szCs w:val="17"/>
          <w:color w:val="auto"/>
        </w:rPr>
        <w:t>(a) marketable direct obligations issued or unconditionally guaranteed by the United States of America or any agency or any State thereof maturing within one year from the date of acquisition thereof currently having a rating of at least A-2 or P-2 from either Standard &amp; Poor’s Corporation or Moody’s Investors Services, (b) commercial paper maturing no more than one year from the date of creation thereof and currently having a rating of at least A-2 or P-2 from either Standard &amp; Poor’s Corporation or Moody’s Investors Service, (c) certificates of deposit issued by any bank with assets of at least $500,000,000 maturing no more than one year from the date of investment therein, (d) money market accounts, and</w:t>
      </w:r>
    </w:p>
    <w:p>
      <w:pPr>
        <w:spacing w:after="0" w:line="4" w:lineRule="exact"/>
        <w:rPr>
          <w:rFonts w:ascii="Arial" w:cs="Arial" w:eastAsia="Arial" w:hAnsi="Arial"/>
          <w:sz w:val="17"/>
          <w:szCs w:val="17"/>
          <w:color w:val="auto"/>
        </w:rPr>
      </w:pPr>
    </w:p>
    <w:p>
      <w:pPr>
        <w:jc w:val="both"/>
        <w:ind w:left="100" w:right="20" w:firstLine="2"/>
        <w:spacing w:after="0" w:line="237" w:lineRule="auto"/>
        <w:tabs>
          <w:tab w:leader="none" w:pos="374" w:val="left"/>
        </w:tabs>
        <w:numPr>
          <w:ilvl w:val="0"/>
          <w:numId w:val="50"/>
        </w:numPr>
        <w:rPr>
          <w:rFonts w:ascii="Arial" w:cs="Arial" w:eastAsia="Arial" w:hAnsi="Arial"/>
          <w:sz w:val="19"/>
          <w:szCs w:val="19"/>
          <w:color w:val="auto"/>
        </w:rPr>
      </w:pPr>
      <w:r>
        <w:rPr>
          <w:rFonts w:ascii="Arial" w:cs="Arial" w:eastAsia="Arial" w:hAnsi="Arial"/>
          <w:sz w:val="19"/>
          <w:szCs w:val="19"/>
          <w:color w:val="auto"/>
        </w:rPr>
        <w:t>Investments permitted by Borrower’s Investment Policy and Guidelines dated as of August 2016 and provided to the Agent and Lenders, as amended from time to time; provided that any material amendments thereto have been approved by Agent and the Lenders in their reasonable discretion;</w:t>
      </w:r>
    </w:p>
    <w:p>
      <w:pPr>
        <w:spacing w:after="0" w:line="162" w:lineRule="exact"/>
        <w:rPr>
          <w:rFonts w:ascii="Arial" w:cs="Arial" w:eastAsia="Arial" w:hAnsi="Arial"/>
          <w:sz w:val="19"/>
          <w:szCs w:val="19"/>
          <w:color w:val="auto"/>
        </w:rPr>
      </w:pPr>
    </w:p>
    <w:p>
      <w:pPr>
        <w:jc w:val="both"/>
        <w:ind w:left="100" w:firstLine="851"/>
        <w:spacing w:after="0" w:line="274" w:lineRule="auto"/>
        <w:tabs>
          <w:tab w:leader="none" w:pos="1498" w:val="left"/>
        </w:tabs>
        <w:numPr>
          <w:ilvl w:val="1"/>
          <w:numId w:val="50"/>
        </w:numPr>
        <w:rPr>
          <w:rFonts w:ascii="Arial" w:cs="Arial" w:eastAsia="Arial" w:hAnsi="Arial"/>
          <w:sz w:val="17"/>
          <w:szCs w:val="17"/>
          <w:color w:val="auto"/>
        </w:rPr>
      </w:pPr>
      <w:r>
        <w:rPr>
          <w:rFonts w:ascii="Arial" w:cs="Arial" w:eastAsia="Arial" w:hAnsi="Arial"/>
          <w:sz w:val="17"/>
          <w:szCs w:val="17"/>
          <w:color w:val="auto"/>
        </w:rPr>
        <w:t>repurchases of Equity Interests from current or former employees, officers, directors, or consultants of Borrower under the terms of applicable repurchase agreements at the original issuance price of such securities (1) in an aggregate amount not to exceed $250,000 in any fiscal year; provided that no Event of Default has occurred, is continuing or would exist after giving effect to the repurchases or (2) in any amount where the consideration for the repurchase is the cancellation of indebtedness owed by such former employees, officers, directors or consultants to Borrower;</w:t>
      </w:r>
    </w:p>
    <w:p>
      <w:pPr>
        <w:spacing w:after="0" w:line="133" w:lineRule="exact"/>
        <w:rPr>
          <w:rFonts w:ascii="Arial" w:cs="Arial" w:eastAsia="Arial" w:hAnsi="Arial"/>
          <w:sz w:val="17"/>
          <w:szCs w:val="17"/>
          <w:color w:val="auto"/>
        </w:rPr>
      </w:pPr>
    </w:p>
    <w:p>
      <w:pPr>
        <w:ind w:left="1420" w:hanging="469"/>
        <w:spacing w:after="0"/>
        <w:tabs>
          <w:tab w:leader="none" w:pos="1420" w:val="left"/>
        </w:tabs>
        <w:numPr>
          <w:ilvl w:val="1"/>
          <w:numId w:val="50"/>
        </w:numPr>
        <w:rPr>
          <w:rFonts w:ascii="Arial" w:cs="Arial" w:eastAsia="Arial" w:hAnsi="Arial"/>
          <w:sz w:val="19"/>
          <w:szCs w:val="19"/>
          <w:color w:val="auto"/>
        </w:rPr>
      </w:pPr>
      <w:r>
        <w:rPr>
          <w:rFonts w:ascii="Arial" w:cs="Arial" w:eastAsia="Arial" w:hAnsi="Arial"/>
          <w:sz w:val="19"/>
          <w:szCs w:val="19"/>
          <w:color w:val="auto"/>
        </w:rPr>
        <w:t>Investments accepted in connection with Permitted Transfers;</w:t>
      </w:r>
    </w:p>
    <w:p>
      <w:pPr>
        <w:spacing w:after="0" w:line="182" w:lineRule="exact"/>
        <w:rPr>
          <w:rFonts w:ascii="Arial" w:cs="Arial" w:eastAsia="Arial" w:hAnsi="Arial"/>
          <w:sz w:val="19"/>
          <w:szCs w:val="19"/>
          <w:color w:val="auto"/>
        </w:rPr>
      </w:pPr>
    </w:p>
    <w:p>
      <w:pPr>
        <w:jc w:val="both"/>
        <w:ind w:left="100" w:right="20" w:firstLine="851"/>
        <w:spacing w:after="0" w:line="244" w:lineRule="auto"/>
        <w:tabs>
          <w:tab w:leader="none" w:pos="1487" w:val="left"/>
        </w:tabs>
        <w:numPr>
          <w:ilvl w:val="1"/>
          <w:numId w:val="50"/>
        </w:numPr>
        <w:rPr>
          <w:rFonts w:ascii="Arial" w:cs="Arial" w:eastAsia="Arial" w:hAnsi="Arial"/>
          <w:sz w:val="19"/>
          <w:szCs w:val="19"/>
          <w:color w:val="auto"/>
        </w:rPr>
      </w:pPr>
      <w:r>
        <w:rPr>
          <w:rFonts w:ascii="Arial" w:cs="Arial" w:eastAsia="Arial" w:hAnsi="Arial"/>
          <w:sz w:val="19"/>
          <w:szCs w:val="19"/>
          <w:color w:val="auto"/>
        </w:rPr>
        <w:t>Investments (including debt obligations) received in connection with the bankruptcy or reorganization of customers or suppliers and in settlement of delinquent obligations of, and other disputes with, customers or suppliers arising in the ordinary course of Borrower’s business;</w:t>
      </w:r>
    </w:p>
    <w:p>
      <w:pPr>
        <w:spacing w:after="0" w:line="158" w:lineRule="exact"/>
        <w:rPr>
          <w:rFonts w:ascii="Arial" w:cs="Arial" w:eastAsia="Arial" w:hAnsi="Arial"/>
          <w:sz w:val="19"/>
          <w:szCs w:val="19"/>
          <w:color w:val="auto"/>
        </w:rPr>
      </w:pPr>
    </w:p>
    <w:p>
      <w:pPr>
        <w:ind w:left="100" w:right="20" w:firstLine="851"/>
        <w:spacing w:after="0" w:line="256" w:lineRule="auto"/>
        <w:tabs>
          <w:tab w:leader="none" w:pos="1593" w:val="left"/>
        </w:tabs>
        <w:numPr>
          <w:ilvl w:val="1"/>
          <w:numId w:val="50"/>
        </w:numPr>
        <w:rPr>
          <w:rFonts w:ascii="Arial" w:cs="Arial" w:eastAsia="Arial" w:hAnsi="Arial"/>
          <w:sz w:val="19"/>
          <w:szCs w:val="19"/>
          <w:color w:val="auto"/>
        </w:rPr>
      </w:pPr>
      <w:r>
        <w:rPr>
          <w:rFonts w:ascii="Arial" w:cs="Arial" w:eastAsia="Arial" w:hAnsi="Arial"/>
          <w:sz w:val="19"/>
          <w:szCs w:val="19"/>
          <w:color w:val="auto"/>
        </w:rPr>
        <w:t>Investments consisting of notes receivable of, or prepaid royalties and other credit extensions, to customers and suppliers who are not Affiliates, in the ordinary</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480"/>
        <w:spacing w:after="0"/>
        <w:rPr>
          <w:sz w:val="20"/>
          <w:szCs w:val="20"/>
          <w:color w:val="auto"/>
        </w:rPr>
      </w:pPr>
      <w:r>
        <w:rPr>
          <w:rFonts w:ascii="Arial" w:cs="Arial" w:eastAsia="Arial" w:hAnsi="Arial"/>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307340</wp:posOffset>
            </wp:positionV>
            <wp:extent cx="6311265" cy="2222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480"/>
          </w:cols>
          <w:pgMar w:left="1440" w:top="781" w:right="979" w:bottom="1440" w:gutter="0" w:footer="0" w:header="0"/>
        </w:sectPr>
      </w:pPr>
    </w:p>
    <w:bookmarkStart w:id="122" w:name="page123"/>
    <w:bookmarkEnd w:id="122"/>
    <w:p>
      <w:pPr>
        <w:ind w:left="100"/>
        <w:spacing w:after="0"/>
        <w:rPr>
          <w:sz w:val="20"/>
          <w:szCs w:val="20"/>
          <w:color w:val="auto"/>
        </w:rPr>
      </w:pPr>
      <w:r>
        <w:rPr>
          <w:rFonts w:ascii="Arial" w:cs="Arial" w:eastAsia="Arial" w:hAnsi="Arial"/>
          <w:sz w:val="18"/>
          <w:szCs w:val="18"/>
          <w:color w:val="auto"/>
        </w:rPr>
        <w:t>course of business; provided that this subparagraph (vi) shall not apply to Investments of Borrower in any Subsidiary;</w:t>
      </w:r>
    </w:p>
    <w:p>
      <w:pPr>
        <w:spacing w:after="0" w:line="194" w:lineRule="exact"/>
        <w:rPr>
          <w:sz w:val="20"/>
          <w:szCs w:val="20"/>
          <w:color w:val="auto"/>
        </w:rPr>
      </w:pPr>
    </w:p>
    <w:p>
      <w:pPr>
        <w:jc w:val="both"/>
        <w:ind w:left="100" w:right="20" w:firstLine="851"/>
        <w:spacing w:after="0" w:line="265" w:lineRule="auto"/>
        <w:tabs>
          <w:tab w:leader="none" w:pos="1425"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Investments consisting of loans not involving the net transfer on a substantially contemporaneous basis of cash proceeds to employees, officers or directors relating to the purchase of capital stock of Borrower pursuant to employee stock purchase plans or other similar agreements approved by Borrower’s board of directors;</w:t>
      </w:r>
    </w:p>
    <w:p>
      <w:pPr>
        <w:spacing w:after="0" w:line="139" w:lineRule="exact"/>
        <w:rPr>
          <w:rFonts w:ascii="Arial" w:cs="Arial" w:eastAsia="Arial" w:hAnsi="Arial"/>
          <w:sz w:val="18"/>
          <w:szCs w:val="18"/>
          <w:color w:val="auto"/>
        </w:rPr>
      </w:pPr>
    </w:p>
    <w:p>
      <w:pPr>
        <w:ind w:left="1500" w:hanging="549"/>
        <w:spacing w:after="0"/>
        <w:tabs>
          <w:tab w:leader="none" w:pos="1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Investments consisting of travel advances and employee relocation loans in the ordinary course of</w:t>
      </w:r>
    </w:p>
    <w:p>
      <w:pPr>
        <w:spacing w:after="0" w:line="21"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9"/>
          <w:szCs w:val="19"/>
          <w:color w:val="auto"/>
        </w:rPr>
        <w:t>business;</w:t>
      </w:r>
    </w:p>
    <w:p>
      <w:pPr>
        <w:spacing w:after="0" w:line="166" w:lineRule="exact"/>
        <w:rPr>
          <w:rFonts w:ascii="Arial" w:cs="Arial" w:eastAsia="Arial" w:hAnsi="Arial"/>
          <w:sz w:val="18"/>
          <w:szCs w:val="18"/>
          <w:color w:val="auto"/>
        </w:rPr>
      </w:pPr>
    </w:p>
    <w:p>
      <w:pPr>
        <w:jc w:val="both"/>
        <w:ind w:left="100" w:firstLine="851"/>
        <w:spacing w:after="0" w:line="241" w:lineRule="auto"/>
        <w:tabs>
          <w:tab w:leader="none" w:pos="1487" w:val="left"/>
        </w:tabs>
        <w:numPr>
          <w:ilvl w:val="0"/>
          <w:numId w:val="51"/>
        </w:numPr>
        <w:rPr>
          <w:rFonts w:ascii="Arial" w:cs="Arial" w:eastAsia="Arial" w:hAnsi="Arial"/>
          <w:sz w:val="19"/>
          <w:szCs w:val="19"/>
          <w:color w:val="auto"/>
        </w:rPr>
      </w:pPr>
      <w:r>
        <w:rPr>
          <w:rFonts w:ascii="Arial" w:cs="Arial" w:eastAsia="Arial" w:hAnsi="Arial"/>
          <w:sz w:val="19"/>
          <w:szCs w:val="19"/>
          <w:color w:val="auto"/>
        </w:rPr>
        <w:t>Investments in Subsidiaries (including creation of a Subsidiary in anticipation of a proposed Permitted Acquisition); provided that, unless such Subsidiary is an Excluded Subsidiary (after giving pro forma effect to such Investment), each such Subsidiary enters into a Joinder Agreement promptly after its formation by Borrower and execute such other related documents as shall be reasonably requested by Agent;</w:t>
      </w:r>
    </w:p>
    <w:p>
      <w:pPr>
        <w:spacing w:after="0" w:line="159" w:lineRule="exact"/>
        <w:rPr>
          <w:rFonts w:ascii="Arial" w:cs="Arial" w:eastAsia="Arial" w:hAnsi="Arial"/>
          <w:sz w:val="19"/>
          <w:szCs w:val="19"/>
          <w:color w:val="auto"/>
        </w:rPr>
      </w:pPr>
    </w:p>
    <w:p>
      <w:pPr>
        <w:jc w:val="both"/>
        <w:ind w:left="100" w:right="20" w:firstLine="851"/>
        <w:spacing w:after="0" w:line="265" w:lineRule="auto"/>
        <w:tabs>
          <w:tab w:leader="none" w:pos="1668"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Investments in Excluded Subsidiaries to cover ordinary course of business operating and entity maintenance and regulatory (and, if applicable, wind-down and liquidation) costs and expenses in an aggregate amount not to exceed $500,000 in any fiscal year, and other amounts approved in advance in writing by Agent;</w:t>
      </w:r>
    </w:p>
    <w:p>
      <w:pPr>
        <w:spacing w:after="0" w:line="139" w:lineRule="exact"/>
        <w:rPr>
          <w:rFonts w:ascii="Arial" w:cs="Arial" w:eastAsia="Arial" w:hAnsi="Arial"/>
          <w:sz w:val="18"/>
          <w:szCs w:val="18"/>
          <w:color w:val="auto"/>
        </w:rPr>
      </w:pPr>
    </w:p>
    <w:p>
      <w:pPr>
        <w:jc w:val="both"/>
        <w:ind w:left="100" w:firstLine="851"/>
        <w:spacing w:after="0" w:line="244" w:lineRule="auto"/>
        <w:tabs>
          <w:tab w:leader="none" w:pos="1551" w:val="left"/>
        </w:tabs>
        <w:numPr>
          <w:ilvl w:val="0"/>
          <w:numId w:val="51"/>
        </w:numPr>
        <w:rPr>
          <w:rFonts w:ascii="Arial" w:cs="Arial" w:eastAsia="Arial" w:hAnsi="Arial"/>
          <w:sz w:val="19"/>
          <w:szCs w:val="19"/>
          <w:color w:val="auto"/>
        </w:rPr>
      </w:pPr>
      <w:r>
        <w:rPr>
          <w:rFonts w:ascii="Arial" w:cs="Arial" w:eastAsia="Arial" w:hAnsi="Arial"/>
          <w:sz w:val="19"/>
          <w:szCs w:val="19"/>
          <w:color w:val="auto"/>
        </w:rPr>
        <w:t>joint ventures or strategic alliances in the ordinary course of Borrower’s business consisting of the nonexclusive licensing of technology, the development of technology or the providing of technical support; provided that any cash Investments by Borrower do not exceed $250,000 in the aggregate in any fiscal year;</w:t>
      </w:r>
    </w:p>
    <w:p>
      <w:pPr>
        <w:spacing w:after="0" w:line="158" w:lineRule="exact"/>
        <w:rPr>
          <w:rFonts w:ascii="Arial" w:cs="Arial" w:eastAsia="Arial" w:hAnsi="Arial"/>
          <w:sz w:val="19"/>
          <w:szCs w:val="19"/>
          <w:color w:val="auto"/>
        </w:rPr>
      </w:pPr>
    </w:p>
    <w:p>
      <w:pPr>
        <w:ind w:left="1420" w:hanging="469"/>
        <w:spacing w:after="0"/>
        <w:tabs>
          <w:tab w:leader="none" w:pos="1420" w:val="left"/>
        </w:tabs>
        <w:numPr>
          <w:ilvl w:val="0"/>
          <w:numId w:val="51"/>
        </w:numPr>
        <w:rPr>
          <w:rFonts w:ascii="Arial" w:cs="Arial" w:eastAsia="Arial" w:hAnsi="Arial"/>
          <w:sz w:val="19"/>
          <w:szCs w:val="19"/>
          <w:color w:val="auto"/>
        </w:rPr>
      </w:pPr>
      <w:r>
        <w:rPr>
          <w:rFonts w:ascii="Arial" w:cs="Arial" w:eastAsia="Arial" w:hAnsi="Arial"/>
          <w:sz w:val="19"/>
          <w:szCs w:val="19"/>
          <w:color w:val="auto"/>
        </w:rPr>
        <w:t>Permitted Acquisitions;</w:t>
      </w:r>
    </w:p>
    <w:p>
      <w:pPr>
        <w:spacing w:after="0" w:line="182" w:lineRule="exact"/>
        <w:rPr>
          <w:rFonts w:ascii="Arial" w:cs="Arial" w:eastAsia="Arial" w:hAnsi="Arial"/>
          <w:sz w:val="19"/>
          <w:szCs w:val="19"/>
          <w:color w:val="auto"/>
        </w:rPr>
      </w:pPr>
    </w:p>
    <w:p>
      <w:pPr>
        <w:jc w:val="both"/>
        <w:ind w:left="100" w:firstLine="851"/>
        <w:spacing w:after="0" w:line="244" w:lineRule="auto"/>
        <w:tabs>
          <w:tab w:leader="none" w:pos="1430" w:val="left"/>
        </w:tabs>
        <w:numPr>
          <w:ilvl w:val="0"/>
          <w:numId w:val="51"/>
        </w:numPr>
        <w:rPr>
          <w:rFonts w:ascii="Arial" w:cs="Arial" w:eastAsia="Arial" w:hAnsi="Arial"/>
          <w:sz w:val="19"/>
          <w:szCs w:val="19"/>
          <w:color w:val="auto"/>
        </w:rPr>
      </w:pPr>
      <w:r>
        <w:rPr>
          <w:rFonts w:ascii="Arial" w:cs="Arial" w:eastAsia="Arial" w:hAnsi="Arial"/>
          <w:sz w:val="19"/>
          <w:szCs w:val="19"/>
          <w:color w:val="auto"/>
        </w:rPr>
        <w:t>Borrower’s entry into (including payments of premiums in connection therewith), and the performance of obligations under, any Permitted Bond Hedge Transactions and Permitted Warrant Transactions in accordance with their terms;</w:t>
      </w:r>
    </w:p>
    <w:p>
      <w:pPr>
        <w:spacing w:after="0" w:line="158" w:lineRule="exact"/>
        <w:rPr>
          <w:rFonts w:ascii="Arial" w:cs="Arial" w:eastAsia="Arial" w:hAnsi="Arial"/>
          <w:sz w:val="19"/>
          <w:szCs w:val="19"/>
          <w:color w:val="auto"/>
        </w:rPr>
      </w:pPr>
    </w:p>
    <w:p>
      <w:pPr>
        <w:ind w:left="1420" w:hanging="469"/>
        <w:spacing w:after="0"/>
        <w:tabs>
          <w:tab w:leader="none" w:pos="1420" w:val="left"/>
        </w:tabs>
        <w:numPr>
          <w:ilvl w:val="0"/>
          <w:numId w:val="51"/>
        </w:numPr>
        <w:rPr>
          <w:rFonts w:ascii="Arial" w:cs="Arial" w:eastAsia="Arial" w:hAnsi="Arial"/>
          <w:sz w:val="19"/>
          <w:szCs w:val="19"/>
          <w:color w:val="auto"/>
        </w:rPr>
      </w:pPr>
      <w:r>
        <w:rPr>
          <w:rFonts w:ascii="Arial" w:cs="Arial" w:eastAsia="Arial" w:hAnsi="Arial"/>
          <w:sz w:val="19"/>
          <w:szCs w:val="19"/>
          <w:color w:val="auto"/>
        </w:rPr>
        <w:t>Hedge Agreements constituting Permitted Indebtedness pursuant to clause (vii) thereof; and</w:t>
      </w:r>
    </w:p>
    <w:p>
      <w:pPr>
        <w:spacing w:after="0" w:line="182" w:lineRule="exact"/>
        <w:rPr>
          <w:rFonts w:ascii="Arial" w:cs="Arial" w:eastAsia="Arial" w:hAnsi="Arial"/>
          <w:sz w:val="19"/>
          <w:szCs w:val="19"/>
          <w:color w:val="auto"/>
        </w:rPr>
      </w:pPr>
    </w:p>
    <w:p>
      <w:pPr>
        <w:ind w:left="1400" w:hanging="449"/>
        <w:spacing w:after="0"/>
        <w:tabs>
          <w:tab w:leader="none" w:pos="1400" w:val="left"/>
        </w:tabs>
        <w:numPr>
          <w:ilvl w:val="0"/>
          <w:numId w:val="51"/>
        </w:numPr>
        <w:rPr>
          <w:rFonts w:ascii="Arial" w:cs="Arial" w:eastAsia="Arial" w:hAnsi="Arial"/>
          <w:sz w:val="19"/>
          <w:szCs w:val="19"/>
          <w:color w:val="auto"/>
        </w:rPr>
      </w:pPr>
      <w:r>
        <w:rPr>
          <w:rFonts w:ascii="Arial" w:cs="Arial" w:eastAsia="Arial" w:hAnsi="Arial"/>
          <w:sz w:val="19"/>
          <w:szCs w:val="19"/>
          <w:color w:val="auto"/>
        </w:rPr>
        <w:t>additional Investments that do not exceed $250,000 in the aggregate in any fiscal year.</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“Permitted Liens” means:</w:t>
      </w:r>
    </w:p>
    <w:p>
      <w:pPr>
        <w:spacing w:after="0" w:line="182" w:lineRule="exact"/>
        <w:rPr>
          <w:sz w:val="20"/>
          <w:szCs w:val="20"/>
          <w:color w:val="auto"/>
        </w:rPr>
      </w:pPr>
    </w:p>
    <w:p>
      <w:pPr>
        <w:ind w:left="1420" w:hanging="469"/>
        <w:spacing w:after="0"/>
        <w:tabs>
          <w:tab w:leader="none" w:pos="1420" w:val="left"/>
        </w:tabs>
        <w:numPr>
          <w:ilvl w:val="0"/>
          <w:numId w:val="52"/>
        </w:numPr>
        <w:rPr>
          <w:rFonts w:ascii="Arial" w:cs="Arial" w:eastAsia="Arial" w:hAnsi="Arial"/>
          <w:sz w:val="19"/>
          <w:szCs w:val="19"/>
          <w:color w:val="auto"/>
        </w:rPr>
      </w:pPr>
      <w:r>
        <w:rPr>
          <w:rFonts w:ascii="Arial" w:cs="Arial" w:eastAsia="Arial" w:hAnsi="Arial"/>
          <w:sz w:val="19"/>
          <w:szCs w:val="19"/>
          <w:color w:val="auto"/>
        </w:rPr>
        <w:t>Liens in favor of Agent or the Lenders;</w:t>
      </w:r>
    </w:p>
    <w:p>
      <w:pPr>
        <w:spacing w:after="0" w:line="182" w:lineRule="exact"/>
        <w:rPr>
          <w:rFonts w:ascii="Arial" w:cs="Arial" w:eastAsia="Arial" w:hAnsi="Arial"/>
          <w:sz w:val="19"/>
          <w:szCs w:val="19"/>
          <w:color w:val="auto"/>
        </w:rPr>
      </w:pPr>
    </w:p>
    <w:p>
      <w:pPr>
        <w:ind w:left="1420" w:hanging="469"/>
        <w:spacing w:after="0"/>
        <w:tabs>
          <w:tab w:leader="none" w:pos="1420" w:val="left"/>
        </w:tabs>
        <w:numPr>
          <w:ilvl w:val="0"/>
          <w:numId w:val="52"/>
        </w:numPr>
        <w:rPr>
          <w:rFonts w:ascii="Arial" w:cs="Arial" w:eastAsia="Arial" w:hAnsi="Arial"/>
          <w:sz w:val="19"/>
          <w:szCs w:val="19"/>
          <w:color w:val="auto"/>
        </w:rPr>
      </w:pPr>
      <w:r>
        <w:rPr>
          <w:rFonts w:ascii="Arial" w:cs="Arial" w:eastAsia="Arial" w:hAnsi="Arial"/>
          <w:sz w:val="19"/>
          <w:szCs w:val="19"/>
          <w:color w:val="auto"/>
        </w:rPr>
        <w:t>Liens existing on the Closing Date which are disclosed in Schedule 1C;</w:t>
      </w:r>
    </w:p>
    <w:p>
      <w:pPr>
        <w:spacing w:after="0" w:line="182" w:lineRule="exact"/>
        <w:rPr>
          <w:rFonts w:ascii="Arial" w:cs="Arial" w:eastAsia="Arial" w:hAnsi="Arial"/>
          <w:sz w:val="19"/>
          <w:szCs w:val="19"/>
          <w:color w:val="auto"/>
        </w:rPr>
      </w:pPr>
    </w:p>
    <w:p>
      <w:pPr>
        <w:ind w:left="100" w:right="20" w:firstLine="851"/>
        <w:spacing w:after="0" w:line="256" w:lineRule="auto"/>
        <w:tabs>
          <w:tab w:leader="none" w:pos="1492" w:val="left"/>
        </w:tabs>
        <w:numPr>
          <w:ilvl w:val="0"/>
          <w:numId w:val="52"/>
        </w:numPr>
        <w:rPr>
          <w:rFonts w:ascii="Arial" w:cs="Arial" w:eastAsia="Arial" w:hAnsi="Arial"/>
          <w:sz w:val="19"/>
          <w:szCs w:val="19"/>
          <w:color w:val="auto"/>
        </w:rPr>
      </w:pPr>
      <w:r>
        <w:rPr>
          <w:rFonts w:ascii="Arial" w:cs="Arial" w:eastAsia="Arial" w:hAnsi="Arial"/>
          <w:sz w:val="19"/>
          <w:szCs w:val="19"/>
          <w:color w:val="auto"/>
        </w:rPr>
        <w:t>Liens for taxes, fees, assessments or other governmental charges or levies, either not yet delinquent or being contested in good faith by appropriate proceedings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480"/>
        <w:spacing w:after="0"/>
        <w:rPr>
          <w:sz w:val="20"/>
          <w:szCs w:val="20"/>
          <w:color w:val="auto"/>
        </w:rPr>
      </w:pPr>
      <w:r>
        <w:rPr>
          <w:rFonts w:ascii="Arial" w:cs="Arial" w:eastAsia="Arial" w:hAnsi="Arial"/>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307340</wp:posOffset>
            </wp:positionV>
            <wp:extent cx="6311265" cy="2222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480"/>
          </w:cols>
          <w:pgMar w:left="1440" w:top="780" w:right="979" w:bottom="1440" w:gutter="0" w:footer="0" w:header="0"/>
        </w:sectPr>
      </w:pPr>
    </w:p>
    <w:bookmarkStart w:id="123" w:name="page124"/>
    <w:bookmarkEnd w:id="123"/>
    <w:p>
      <w:pPr>
        <w:ind w:left="100"/>
        <w:spacing w:after="0" w:line="256" w:lineRule="auto"/>
        <w:rPr>
          <w:sz w:val="20"/>
          <w:szCs w:val="20"/>
          <w:color w:val="auto"/>
        </w:rPr>
      </w:pPr>
      <w:r>
        <w:rPr>
          <w:rFonts w:ascii="Arial" w:cs="Arial" w:eastAsia="Arial" w:hAnsi="Arial"/>
          <w:sz w:val="19"/>
          <w:szCs w:val="19"/>
          <w:color w:val="auto"/>
        </w:rPr>
        <w:t>diligently conducted; provided, that Borrower maintains adequate reserves therefor on Borrower’s Books in accordance with GAAP;</w:t>
      </w:r>
    </w:p>
    <w:p>
      <w:pPr>
        <w:spacing w:after="0" w:line="147" w:lineRule="exact"/>
        <w:rPr>
          <w:sz w:val="20"/>
          <w:szCs w:val="20"/>
          <w:color w:val="auto"/>
        </w:rPr>
      </w:pPr>
    </w:p>
    <w:p>
      <w:pPr>
        <w:jc w:val="both"/>
        <w:ind w:left="100" w:firstLine="851"/>
        <w:spacing w:after="0" w:line="239" w:lineRule="auto"/>
        <w:tabs>
          <w:tab w:leader="none" w:pos="1422" w:val="left"/>
        </w:tabs>
        <w:numPr>
          <w:ilvl w:val="0"/>
          <w:numId w:val="53"/>
        </w:numPr>
        <w:rPr>
          <w:rFonts w:ascii="Arial" w:cs="Arial" w:eastAsia="Arial" w:hAnsi="Arial"/>
          <w:sz w:val="19"/>
          <w:szCs w:val="19"/>
          <w:color w:val="auto"/>
        </w:rPr>
      </w:pPr>
      <w:r>
        <w:rPr>
          <w:rFonts w:ascii="Arial" w:cs="Arial" w:eastAsia="Arial" w:hAnsi="Arial"/>
          <w:sz w:val="19"/>
          <w:szCs w:val="19"/>
          <w:color w:val="auto"/>
        </w:rPr>
        <w:t>Liens securing claims or demands of materialmen, artisans, mechanics, carriers, warehousemen, landlords and other like Persons arising in the ordinary course of Borrower’s business and imposed without action of such parties; provided, that the payment thereof is not yet delinquent or remain payable without penalty, or that are being contested in good faith and by appropriate proceedings which proceedings have the effect of preventing the forfeiture or sale of the property subject thereto;</w:t>
      </w:r>
    </w:p>
    <w:p>
      <w:pPr>
        <w:spacing w:after="0" w:line="161" w:lineRule="exact"/>
        <w:rPr>
          <w:rFonts w:ascii="Arial" w:cs="Arial" w:eastAsia="Arial" w:hAnsi="Arial"/>
          <w:sz w:val="19"/>
          <w:szCs w:val="19"/>
          <w:color w:val="auto"/>
        </w:rPr>
      </w:pPr>
    </w:p>
    <w:p>
      <w:pPr>
        <w:ind w:left="100" w:right="20" w:firstLine="851"/>
        <w:spacing w:after="0" w:line="256" w:lineRule="auto"/>
        <w:tabs>
          <w:tab w:leader="none" w:pos="1454" w:val="left"/>
        </w:tabs>
        <w:numPr>
          <w:ilvl w:val="0"/>
          <w:numId w:val="53"/>
        </w:numPr>
        <w:rPr>
          <w:rFonts w:ascii="Arial" w:cs="Arial" w:eastAsia="Arial" w:hAnsi="Arial"/>
          <w:sz w:val="19"/>
          <w:szCs w:val="19"/>
          <w:color w:val="auto"/>
        </w:rPr>
      </w:pPr>
      <w:r>
        <w:rPr>
          <w:rFonts w:ascii="Arial" w:cs="Arial" w:eastAsia="Arial" w:hAnsi="Arial"/>
          <w:sz w:val="19"/>
          <w:szCs w:val="19"/>
          <w:color w:val="auto"/>
        </w:rPr>
        <w:t>Liens arising from judgments, decrees or attachments in circumstances which do not constitute an Event of Default hereunder;</w:t>
      </w:r>
    </w:p>
    <w:p>
      <w:pPr>
        <w:spacing w:after="0" w:line="146" w:lineRule="exact"/>
        <w:rPr>
          <w:rFonts w:ascii="Arial" w:cs="Arial" w:eastAsia="Arial" w:hAnsi="Arial"/>
          <w:sz w:val="19"/>
          <w:szCs w:val="19"/>
          <w:color w:val="auto"/>
        </w:rPr>
      </w:pPr>
    </w:p>
    <w:p>
      <w:pPr>
        <w:jc w:val="both"/>
        <w:ind w:left="100" w:firstLine="851"/>
        <w:spacing w:after="0" w:line="253" w:lineRule="auto"/>
        <w:tabs>
          <w:tab w:leader="none" w:pos="147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following Liens, to the extent made in the ordinary course of business: deposits and pledges under worker’s compensation, unemployment insurance, social security and other similar laws, or to secure the performance of bids, tenders or contracts (other than for the repayment of borrowed money) or to secure indemnity, performance or other similar bonds for the performance of bids, tenders or contracts (other than for the repayment of borrowed money) or to secure statutory obligations (other than Liens arising under ERISA or environmental Liens) or surety or appeal bonds, or to secure indemnity, performance or other similar bonds;</w:t>
      </w:r>
    </w:p>
    <w:p>
      <w:pPr>
        <w:spacing w:after="0" w:line="152" w:lineRule="exact"/>
        <w:rPr>
          <w:rFonts w:ascii="Arial" w:cs="Arial" w:eastAsia="Arial" w:hAnsi="Arial"/>
          <w:sz w:val="18"/>
          <w:szCs w:val="18"/>
          <w:color w:val="auto"/>
        </w:rPr>
      </w:pPr>
    </w:p>
    <w:p>
      <w:pPr>
        <w:ind w:left="100" w:right="20" w:firstLine="851"/>
        <w:spacing w:after="0" w:line="315" w:lineRule="auto"/>
        <w:tabs>
          <w:tab w:leader="none" w:pos="1490" w:val="left"/>
        </w:tabs>
        <w:numPr>
          <w:ilvl w:val="0"/>
          <w:numId w:val="53"/>
        </w:numPr>
        <w:rPr>
          <w:rFonts w:ascii="Arial" w:cs="Arial" w:eastAsia="Arial" w:hAnsi="Arial"/>
          <w:sz w:val="17"/>
          <w:szCs w:val="17"/>
          <w:color w:val="auto"/>
        </w:rPr>
      </w:pPr>
      <w:r>
        <w:rPr>
          <w:rFonts w:ascii="Arial" w:cs="Arial" w:eastAsia="Arial" w:hAnsi="Arial"/>
          <w:sz w:val="17"/>
          <w:szCs w:val="17"/>
          <w:color w:val="auto"/>
        </w:rPr>
        <w:t>Liens on Equipment or software or other intellectual property constituting purchase money Liens and Liens in connection with capital leases securing Indebtedness permitted in clause (iii) of “Permitted Indebtedness”;</w:t>
      </w:r>
    </w:p>
    <w:p>
      <w:pPr>
        <w:spacing w:after="0" w:line="99" w:lineRule="exact"/>
        <w:rPr>
          <w:rFonts w:ascii="Arial" w:cs="Arial" w:eastAsia="Arial" w:hAnsi="Arial"/>
          <w:sz w:val="17"/>
          <w:szCs w:val="17"/>
          <w:color w:val="auto"/>
        </w:rPr>
      </w:pPr>
    </w:p>
    <w:p>
      <w:pPr>
        <w:ind w:left="1420" w:hanging="469"/>
        <w:spacing w:after="0"/>
        <w:tabs>
          <w:tab w:leader="none" w:pos="1420" w:val="left"/>
        </w:tabs>
        <w:numPr>
          <w:ilvl w:val="0"/>
          <w:numId w:val="53"/>
        </w:numPr>
        <w:rPr>
          <w:rFonts w:ascii="Arial" w:cs="Arial" w:eastAsia="Arial" w:hAnsi="Arial"/>
          <w:sz w:val="19"/>
          <w:szCs w:val="19"/>
          <w:color w:val="auto"/>
        </w:rPr>
      </w:pPr>
      <w:r>
        <w:rPr>
          <w:rFonts w:ascii="Arial" w:cs="Arial" w:eastAsia="Arial" w:hAnsi="Arial"/>
          <w:sz w:val="19"/>
          <w:szCs w:val="19"/>
          <w:color w:val="auto"/>
        </w:rPr>
        <w:t>Liens incurred in connection with Subordinated Indebtedness;</w:t>
      </w:r>
    </w:p>
    <w:p>
      <w:pPr>
        <w:spacing w:after="0" w:line="182" w:lineRule="exact"/>
        <w:rPr>
          <w:rFonts w:ascii="Arial" w:cs="Arial" w:eastAsia="Arial" w:hAnsi="Arial"/>
          <w:sz w:val="19"/>
          <w:szCs w:val="19"/>
          <w:color w:val="auto"/>
        </w:rPr>
      </w:pPr>
    </w:p>
    <w:p>
      <w:pPr>
        <w:ind w:left="100" w:right="20" w:firstLine="851"/>
        <w:spacing w:after="0" w:line="256" w:lineRule="auto"/>
        <w:tabs>
          <w:tab w:leader="none" w:pos="1474" w:val="left"/>
        </w:tabs>
        <w:numPr>
          <w:ilvl w:val="0"/>
          <w:numId w:val="53"/>
        </w:numPr>
        <w:rPr>
          <w:rFonts w:ascii="Arial" w:cs="Arial" w:eastAsia="Arial" w:hAnsi="Arial"/>
          <w:sz w:val="19"/>
          <w:szCs w:val="19"/>
          <w:color w:val="auto"/>
        </w:rPr>
      </w:pPr>
      <w:r>
        <w:rPr>
          <w:rFonts w:ascii="Arial" w:cs="Arial" w:eastAsia="Arial" w:hAnsi="Arial"/>
          <w:sz w:val="19"/>
          <w:szCs w:val="19"/>
          <w:color w:val="auto"/>
        </w:rPr>
        <w:t>leasehold interests in leases or subleases and licenses and sublicenses granted in the ordinary course of business and not interfering in any material respect with the business of the licensor;</w:t>
      </w:r>
    </w:p>
    <w:p>
      <w:pPr>
        <w:spacing w:after="0" w:line="146" w:lineRule="exact"/>
        <w:rPr>
          <w:rFonts w:ascii="Arial" w:cs="Arial" w:eastAsia="Arial" w:hAnsi="Arial"/>
          <w:sz w:val="19"/>
          <w:szCs w:val="19"/>
          <w:color w:val="auto"/>
        </w:rPr>
      </w:pPr>
    </w:p>
    <w:p>
      <w:pPr>
        <w:ind w:left="100" w:firstLine="851"/>
        <w:spacing w:after="0" w:line="256" w:lineRule="auto"/>
        <w:tabs>
          <w:tab w:leader="none" w:pos="1440" w:val="left"/>
        </w:tabs>
        <w:numPr>
          <w:ilvl w:val="0"/>
          <w:numId w:val="53"/>
        </w:numPr>
        <w:rPr>
          <w:rFonts w:ascii="Arial" w:cs="Arial" w:eastAsia="Arial" w:hAnsi="Arial"/>
          <w:sz w:val="19"/>
          <w:szCs w:val="19"/>
          <w:color w:val="auto"/>
        </w:rPr>
      </w:pPr>
      <w:r>
        <w:rPr>
          <w:rFonts w:ascii="Arial" w:cs="Arial" w:eastAsia="Arial" w:hAnsi="Arial"/>
          <w:sz w:val="19"/>
          <w:szCs w:val="19"/>
          <w:color w:val="auto"/>
        </w:rPr>
        <w:t>Liens in favor of customs and revenue authorities arising as a matter of law to secure payment of custom duties that are promptly paid on or before the date they become due;</w:t>
      </w:r>
    </w:p>
    <w:p>
      <w:pPr>
        <w:spacing w:after="0" w:line="146" w:lineRule="exact"/>
        <w:rPr>
          <w:rFonts w:ascii="Arial" w:cs="Arial" w:eastAsia="Arial" w:hAnsi="Arial"/>
          <w:sz w:val="19"/>
          <w:szCs w:val="19"/>
          <w:color w:val="auto"/>
        </w:rPr>
      </w:pPr>
    </w:p>
    <w:p>
      <w:pPr>
        <w:jc w:val="both"/>
        <w:ind w:left="100" w:right="20" w:firstLine="851"/>
        <w:spacing w:after="0" w:line="244" w:lineRule="auto"/>
        <w:tabs>
          <w:tab w:leader="none" w:pos="1423" w:val="left"/>
        </w:tabs>
        <w:numPr>
          <w:ilvl w:val="0"/>
          <w:numId w:val="53"/>
        </w:numPr>
        <w:rPr>
          <w:rFonts w:ascii="Arial" w:cs="Arial" w:eastAsia="Arial" w:hAnsi="Arial"/>
          <w:sz w:val="19"/>
          <w:szCs w:val="19"/>
          <w:color w:val="auto"/>
        </w:rPr>
      </w:pPr>
      <w:r>
        <w:rPr>
          <w:rFonts w:ascii="Arial" w:cs="Arial" w:eastAsia="Arial" w:hAnsi="Arial"/>
          <w:sz w:val="19"/>
          <w:szCs w:val="19"/>
          <w:color w:val="auto"/>
        </w:rPr>
        <w:t>Liens on insurance proceeds securing the payment of financed insurance premiums that are promptly paid on or before the date they become due (provided that such Liens extend only to such insurance proceeds and not to any other property or assets);</w:t>
      </w:r>
    </w:p>
    <w:p>
      <w:pPr>
        <w:spacing w:after="0" w:line="158" w:lineRule="exact"/>
        <w:rPr>
          <w:rFonts w:ascii="Arial" w:cs="Arial" w:eastAsia="Arial" w:hAnsi="Arial"/>
          <w:sz w:val="19"/>
          <w:szCs w:val="19"/>
          <w:color w:val="auto"/>
        </w:rPr>
      </w:pPr>
    </w:p>
    <w:p>
      <w:pPr>
        <w:ind w:left="100" w:right="20" w:firstLine="851"/>
        <w:spacing w:after="0" w:line="256" w:lineRule="auto"/>
        <w:tabs>
          <w:tab w:leader="none" w:pos="1429" w:val="left"/>
        </w:tabs>
        <w:numPr>
          <w:ilvl w:val="0"/>
          <w:numId w:val="53"/>
        </w:numPr>
        <w:rPr>
          <w:rFonts w:ascii="Arial" w:cs="Arial" w:eastAsia="Arial" w:hAnsi="Arial"/>
          <w:sz w:val="19"/>
          <w:szCs w:val="19"/>
          <w:color w:val="auto"/>
        </w:rPr>
      </w:pPr>
      <w:r>
        <w:rPr>
          <w:rFonts w:ascii="Arial" w:cs="Arial" w:eastAsia="Arial" w:hAnsi="Arial"/>
          <w:sz w:val="19"/>
          <w:szCs w:val="19"/>
          <w:color w:val="auto"/>
        </w:rPr>
        <w:t>statutory and common law rights of set-off and other similar rights as to deposits of cash and securities in favor of banks, other depository institutions and brokerage firms;</w:t>
      </w:r>
    </w:p>
    <w:p>
      <w:pPr>
        <w:spacing w:after="0" w:line="146" w:lineRule="exact"/>
        <w:rPr>
          <w:rFonts w:ascii="Arial" w:cs="Arial" w:eastAsia="Arial" w:hAnsi="Arial"/>
          <w:sz w:val="19"/>
          <w:szCs w:val="19"/>
          <w:color w:val="auto"/>
        </w:rPr>
      </w:pPr>
    </w:p>
    <w:p>
      <w:pPr>
        <w:jc w:val="both"/>
        <w:ind w:left="100" w:firstLine="851"/>
        <w:spacing w:after="0" w:line="244" w:lineRule="auto"/>
        <w:tabs>
          <w:tab w:leader="none" w:pos="1441" w:val="left"/>
        </w:tabs>
        <w:numPr>
          <w:ilvl w:val="0"/>
          <w:numId w:val="53"/>
        </w:numPr>
        <w:rPr>
          <w:rFonts w:ascii="Arial" w:cs="Arial" w:eastAsia="Arial" w:hAnsi="Arial"/>
          <w:sz w:val="19"/>
          <w:szCs w:val="19"/>
          <w:color w:val="auto"/>
        </w:rPr>
      </w:pPr>
      <w:r>
        <w:rPr>
          <w:rFonts w:ascii="Arial" w:cs="Arial" w:eastAsia="Arial" w:hAnsi="Arial"/>
          <w:sz w:val="19"/>
          <w:szCs w:val="19"/>
          <w:color w:val="auto"/>
        </w:rPr>
        <w:t>easements, zoning restrictions, rights-of-way and similar encumbrances on real property imposed by law or arising in the ordinary course of business so long as they do not materially impair the value or marketability of the related property;</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480"/>
        <w:spacing w:after="0"/>
        <w:rPr>
          <w:sz w:val="20"/>
          <w:szCs w:val="20"/>
          <w:color w:val="auto"/>
        </w:rPr>
      </w:pPr>
      <w:r>
        <w:rPr>
          <w:rFonts w:ascii="Arial" w:cs="Arial" w:eastAsia="Arial" w:hAnsi="Arial"/>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307340</wp:posOffset>
            </wp:positionV>
            <wp:extent cx="6311265" cy="2222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480"/>
          </w:cols>
          <w:pgMar w:left="1440" w:top="781" w:right="979" w:bottom="1440" w:gutter="0" w:footer="0" w:header="0"/>
        </w:sectPr>
      </w:pPr>
    </w:p>
    <w:bookmarkStart w:id="124" w:name="page125"/>
    <w:bookmarkEnd w:id="124"/>
    <w:p>
      <w:pPr>
        <w:jc w:val="both"/>
        <w:ind w:left="560" w:firstLine="851"/>
        <w:spacing w:after="0" w:line="241" w:lineRule="auto"/>
        <w:tabs>
          <w:tab w:leader="none" w:pos="1964" w:val="left"/>
        </w:tabs>
        <w:numPr>
          <w:ilvl w:val="0"/>
          <w:numId w:val="54"/>
        </w:numPr>
        <w:rPr>
          <w:rFonts w:ascii="Arial" w:cs="Arial" w:eastAsia="Arial" w:hAnsi="Arial"/>
          <w:sz w:val="19"/>
          <w:szCs w:val="19"/>
          <w:color w:val="auto"/>
        </w:rPr>
      </w:pPr>
      <w:r>
        <w:rPr>
          <w:rFonts w:ascii="Arial" w:cs="Arial" w:eastAsia="Arial" w:hAnsi="Arial"/>
          <w:sz w:val="19"/>
          <w:szCs w:val="19"/>
          <w:color w:val="auto"/>
        </w:rPr>
        <w:t>(A) Without duplication of any Indebtedness incurred pursuant to clause (vii) of the definition of Permitted Indebtedness, Liens on Cash securing obligations permitted under clause (vii) of the definition of Permitted Indebtedness, and (B) security deposits in connection with real property leases, the combination of (A) and (B) in an aggregate amount not to exceed $3,000,000 at any time;</w:t>
      </w:r>
    </w:p>
    <w:p>
      <w:pPr>
        <w:spacing w:after="0" w:line="159" w:lineRule="exact"/>
        <w:rPr>
          <w:rFonts w:ascii="Arial" w:cs="Arial" w:eastAsia="Arial" w:hAnsi="Arial"/>
          <w:sz w:val="19"/>
          <w:szCs w:val="19"/>
          <w:color w:val="auto"/>
        </w:rPr>
      </w:pPr>
    </w:p>
    <w:p>
      <w:pPr>
        <w:jc w:val="both"/>
        <w:ind w:left="560" w:right="20" w:firstLine="851"/>
        <w:spacing w:after="0" w:line="265" w:lineRule="auto"/>
        <w:tabs>
          <w:tab w:leader="none" w:pos="1987" w:val="left"/>
        </w:tabs>
        <w:numPr>
          <w:ilvl w:val="0"/>
          <w:numId w:val="54"/>
        </w:numPr>
        <w:rPr>
          <w:rFonts w:ascii="Arial" w:cs="Arial" w:eastAsia="Arial" w:hAnsi="Arial"/>
          <w:sz w:val="18"/>
          <w:szCs w:val="18"/>
          <w:color w:val="auto"/>
        </w:rPr>
      </w:pPr>
      <w:r>
        <w:rPr>
          <w:rFonts w:ascii="Arial" w:cs="Arial" w:eastAsia="Arial" w:hAnsi="Arial"/>
          <w:sz w:val="18"/>
          <w:szCs w:val="18"/>
          <w:color w:val="auto"/>
        </w:rPr>
        <w:t>Liens solely on any Cash earnest money deposits made by Borrower or any of its Subsidiaries in connection with any letter of intent or purchase agreement that constitutes a Permitted Acquisition in an aggregate amount not to exceed five percent (5%) of the aggregate purchase consideration paid in connection thereto;</w:t>
      </w:r>
    </w:p>
    <w:p>
      <w:pPr>
        <w:spacing w:after="0" w:line="139" w:lineRule="exact"/>
        <w:rPr>
          <w:rFonts w:ascii="Arial" w:cs="Arial" w:eastAsia="Arial" w:hAnsi="Arial"/>
          <w:sz w:val="18"/>
          <w:szCs w:val="18"/>
          <w:color w:val="auto"/>
        </w:rPr>
      </w:pPr>
    </w:p>
    <w:p>
      <w:pPr>
        <w:ind w:left="560" w:right="20" w:firstLine="851"/>
        <w:spacing w:after="0" w:line="315" w:lineRule="auto"/>
        <w:tabs>
          <w:tab w:leader="none" w:pos="1887" w:val="left"/>
        </w:tabs>
        <w:numPr>
          <w:ilvl w:val="0"/>
          <w:numId w:val="54"/>
        </w:numPr>
        <w:rPr>
          <w:rFonts w:ascii="Arial" w:cs="Arial" w:eastAsia="Arial" w:hAnsi="Arial"/>
          <w:sz w:val="17"/>
          <w:szCs w:val="17"/>
          <w:color w:val="auto"/>
        </w:rPr>
      </w:pPr>
      <w:r>
        <w:rPr>
          <w:rFonts w:ascii="Arial" w:cs="Arial" w:eastAsia="Arial" w:hAnsi="Arial"/>
          <w:sz w:val="17"/>
          <w:szCs w:val="17"/>
          <w:color w:val="auto"/>
        </w:rPr>
        <w:t>Liens solely on the royalty interests purchased pursuant to a Permitted Royalty Transaction and proceeds thereon; provided that no Liens shall be granted with respect to any Intellectual Property of Borrower or its Subsidiaries;</w:t>
      </w:r>
    </w:p>
    <w:p>
      <w:pPr>
        <w:spacing w:after="0" w:line="99" w:lineRule="exact"/>
        <w:rPr>
          <w:rFonts w:ascii="Arial" w:cs="Arial" w:eastAsia="Arial" w:hAnsi="Arial"/>
          <w:sz w:val="17"/>
          <w:szCs w:val="17"/>
          <w:color w:val="auto"/>
        </w:rPr>
      </w:pPr>
    </w:p>
    <w:p>
      <w:pPr>
        <w:ind w:left="1920" w:hanging="509"/>
        <w:spacing w:after="0"/>
        <w:tabs>
          <w:tab w:leader="none" w:pos="1920" w:val="left"/>
        </w:tabs>
        <w:numPr>
          <w:ilvl w:val="0"/>
          <w:numId w:val="54"/>
        </w:numPr>
        <w:rPr>
          <w:rFonts w:ascii="Arial" w:cs="Arial" w:eastAsia="Arial" w:hAnsi="Arial"/>
          <w:sz w:val="19"/>
          <w:szCs w:val="19"/>
          <w:color w:val="auto"/>
        </w:rPr>
      </w:pPr>
      <w:r>
        <w:rPr>
          <w:rFonts w:ascii="Arial" w:cs="Arial" w:eastAsia="Arial" w:hAnsi="Arial"/>
          <w:sz w:val="19"/>
          <w:szCs w:val="19"/>
          <w:color w:val="auto"/>
        </w:rPr>
        <w:t>Licenses that qualify as Permitted Transfers; and</w:t>
      </w:r>
    </w:p>
    <w:p>
      <w:pPr>
        <w:spacing w:after="0" w:line="182" w:lineRule="exact"/>
        <w:rPr>
          <w:rFonts w:ascii="Arial" w:cs="Arial" w:eastAsia="Arial" w:hAnsi="Arial"/>
          <w:sz w:val="19"/>
          <w:szCs w:val="19"/>
          <w:color w:val="auto"/>
        </w:rPr>
      </w:pPr>
    </w:p>
    <w:p>
      <w:pPr>
        <w:jc w:val="both"/>
        <w:ind w:left="560" w:right="20" w:firstLine="851"/>
        <w:spacing w:after="0" w:line="278" w:lineRule="auto"/>
        <w:tabs>
          <w:tab w:leader="none" w:pos="1942" w:val="left"/>
        </w:tabs>
        <w:numPr>
          <w:ilvl w:val="0"/>
          <w:numId w:val="54"/>
        </w:numPr>
        <w:rPr>
          <w:rFonts w:ascii="Arial" w:cs="Arial" w:eastAsia="Arial" w:hAnsi="Arial"/>
          <w:sz w:val="17"/>
          <w:szCs w:val="17"/>
          <w:color w:val="auto"/>
        </w:rPr>
      </w:pPr>
      <w:r>
        <w:rPr>
          <w:rFonts w:ascii="Arial" w:cs="Arial" w:eastAsia="Arial" w:hAnsi="Arial"/>
          <w:sz w:val="17"/>
          <w:szCs w:val="17"/>
          <w:color w:val="auto"/>
        </w:rPr>
        <w:t>Liens incurred in connection with the extension, renewal or refinancing of the Indebtedness secured by Liens of the type described in clauses (i) through (xvii) above; provided, that any extension, renewal or replacement Lien shall be limited to the property encumbered by the existing Lien and the principal amount of the Indebtedness being extended, renewed or refinanced (as may have been reduced by any payment thereon) does not increase.</w:t>
      </w:r>
    </w:p>
    <w:p>
      <w:pPr>
        <w:spacing w:after="0" w:line="132" w:lineRule="exact"/>
        <w:rPr>
          <w:sz w:val="20"/>
          <w:szCs w:val="20"/>
          <w:color w:val="auto"/>
        </w:rPr>
      </w:pPr>
    </w:p>
    <w:p>
      <w:pPr>
        <w:jc w:val="both"/>
        <w:ind w:firstLine="1132"/>
        <w:spacing w:after="0" w:line="271" w:lineRule="auto"/>
        <w:rPr>
          <w:sz w:val="20"/>
          <w:szCs w:val="20"/>
          <w:color w:val="auto"/>
        </w:rPr>
      </w:pPr>
      <w:r>
        <w:rPr>
          <w:rFonts w:ascii="Arial" w:cs="Arial" w:eastAsia="Arial" w:hAnsi="Arial"/>
          <w:sz w:val="17"/>
          <w:szCs w:val="17"/>
          <w:color w:val="auto"/>
        </w:rPr>
        <w:t>“Permitted Royalty Transaction” means any synthetic royalty participations (and not royalty purchases or buyouts) with respect to any of AXS-05, AXS-07, and/or AXS-12 whereby Borrower receives upfront unrestricted (including, not subject to any redemption, clawback, escrow or similar encumbrance or restriction) net cash proceeds of at least $75,000,000 in exchange for rights to participation payments based on net sales of AXS-05, AXS-07, and/or AXS-12 in an amount not to exceed 4.0% of net sales, and on terms (including without limitation, that any security granted in connection with such Permitted Royalty Transaction is limited solely to the respective Intellectual Property being financed by such facility) and with a purchaser satisfactory to Agent.</w:t>
      </w:r>
    </w:p>
    <w:p>
      <w:pPr>
        <w:spacing w:after="0" w:line="138"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“Permitted Transfers” means:</w:t>
      </w:r>
    </w:p>
    <w:p>
      <w:pPr>
        <w:spacing w:after="0" w:line="182" w:lineRule="exact"/>
        <w:rPr>
          <w:sz w:val="20"/>
          <w:szCs w:val="20"/>
          <w:color w:val="auto"/>
        </w:rPr>
      </w:pPr>
    </w:p>
    <w:p>
      <w:pPr>
        <w:ind w:left="1880" w:hanging="469"/>
        <w:spacing w:after="0"/>
        <w:tabs>
          <w:tab w:leader="none" w:pos="1880" w:val="left"/>
        </w:tabs>
        <w:numPr>
          <w:ilvl w:val="0"/>
          <w:numId w:val="55"/>
        </w:numPr>
        <w:rPr>
          <w:rFonts w:ascii="Arial" w:cs="Arial" w:eastAsia="Arial" w:hAnsi="Arial"/>
          <w:sz w:val="19"/>
          <w:szCs w:val="19"/>
          <w:color w:val="auto"/>
        </w:rPr>
      </w:pPr>
      <w:r>
        <w:rPr>
          <w:rFonts w:ascii="Arial" w:cs="Arial" w:eastAsia="Arial" w:hAnsi="Arial"/>
          <w:sz w:val="19"/>
          <w:szCs w:val="19"/>
          <w:color w:val="auto"/>
        </w:rPr>
        <w:t>sales of Inventory in the ordinary course of business,</w:t>
      </w:r>
    </w:p>
    <w:p>
      <w:pPr>
        <w:spacing w:after="0" w:line="182" w:lineRule="exact"/>
        <w:rPr>
          <w:rFonts w:ascii="Arial" w:cs="Arial" w:eastAsia="Arial" w:hAnsi="Arial"/>
          <w:sz w:val="19"/>
          <w:szCs w:val="19"/>
          <w:color w:val="auto"/>
        </w:rPr>
      </w:pPr>
    </w:p>
    <w:p>
      <w:pPr>
        <w:jc w:val="both"/>
        <w:ind w:left="560" w:firstLine="851"/>
        <w:spacing w:after="0" w:line="237" w:lineRule="auto"/>
        <w:tabs>
          <w:tab w:leader="none" w:pos="2028" w:val="left"/>
        </w:tabs>
        <w:numPr>
          <w:ilvl w:val="0"/>
          <w:numId w:val="55"/>
        </w:numPr>
        <w:rPr>
          <w:rFonts w:ascii="Arial" w:cs="Arial" w:eastAsia="Arial" w:hAnsi="Arial"/>
          <w:sz w:val="19"/>
          <w:szCs w:val="19"/>
          <w:color w:val="auto"/>
        </w:rPr>
      </w:pPr>
      <w:r>
        <w:rPr>
          <w:rFonts w:ascii="Arial" w:cs="Arial" w:eastAsia="Arial" w:hAnsi="Arial"/>
          <w:sz w:val="19"/>
          <w:szCs w:val="19"/>
          <w:color w:val="auto"/>
        </w:rPr>
        <w:t>(A) licenses and similar arrangements for the use of Intellectual Property in the ordinary course of business that could not result in a legal transfer of title of the licensed property that are non-exclusive or may be exclusive in respects other than territory or may be exclusive as to territory but only as to discreet geographical areas outside of the United States of America in the ordinary course; and (B) the abandonment, permitted lapse, cancellation, termination and/or cessation of any immaterial Company IP that is, in the reasonable judgment of the Borrower, no longer economically practicable, commercially desirable to maintain or useful, in each case, in the conduct of business of the Borrower and its Subsidiaries taken as a whole,</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307340</wp:posOffset>
            </wp:positionV>
            <wp:extent cx="6311265" cy="2222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940"/>
          </w:cols>
          <w:pgMar w:left="980" w:top="781" w:right="979" w:bottom="1440" w:gutter="0" w:footer="0" w:header="0"/>
        </w:sectPr>
      </w:pPr>
    </w:p>
    <w:bookmarkStart w:id="125" w:name="page126"/>
    <w:bookmarkEnd w:id="125"/>
    <w:p>
      <w:pPr>
        <w:ind w:left="1960" w:hanging="549"/>
        <w:spacing w:after="0"/>
        <w:tabs>
          <w:tab w:leader="none" w:pos="19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dispositions of worn-out, obsolete or surplus Equipment at fair market value in the ordinary course of</w:t>
      </w:r>
    </w:p>
    <w:p>
      <w:pPr>
        <w:spacing w:after="0" w:line="33" w:lineRule="exact"/>
        <w:rPr>
          <w:sz w:val="20"/>
          <w:szCs w:val="20"/>
          <w:color w:val="auto"/>
        </w:rPr>
      </w:pPr>
    </w:p>
    <w:p>
      <w:pPr>
        <w:ind w:left="560"/>
        <w:spacing w:after="0"/>
        <w:rPr>
          <w:sz w:val="20"/>
          <w:szCs w:val="20"/>
          <w:color w:val="auto"/>
        </w:rPr>
      </w:pPr>
      <w:r>
        <w:rPr>
          <w:rFonts w:ascii="Arial" w:cs="Arial" w:eastAsia="Arial" w:hAnsi="Arial"/>
          <w:sz w:val="19"/>
          <w:szCs w:val="19"/>
          <w:color w:val="auto"/>
        </w:rPr>
        <w:t>business,</w:t>
      </w:r>
    </w:p>
    <w:p>
      <w:pPr>
        <w:spacing w:after="0" w:line="166" w:lineRule="exact"/>
        <w:rPr>
          <w:sz w:val="20"/>
          <w:szCs w:val="20"/>
          <w:color w:val="auto"/>
        </w:rPr>
      </w:pPr>
    </w:p>
    <w:p>
      <w:pPr>
        <w:ind w:left="1880" w:hanging="469"/>
        <w:spacing w:after="0"/>
        <w:tabs>
          <w:tab w:leader="none" w:pos="1880" w:val="left"/>
        </w:tabs>
        <w:numPr>
          <w:ilvl w:val="0"/>
          <w:numId w:val="57"/>
        </w:numPr>
        <w:rPr>
          <w:rFonts w:ascii="Arial" w:cs="Arial" w:eastAsia="Arial" w:hAnsi="Arial"/>
          <w:sz w:val="19"/>
          <w:szCs w:val="19"/>
          <w:color w:val="auto"/>
        </w:rPr>
      </w:pPr>
      <w:r>
        <w:rPr>
          <w:rFonts w:ascii="Arial" w:cs="Arial" w:eastAsia="Arial" w:hAnsi="Arial"/>
          <w:sz w:val="19"/>
          <w:szCs w:val="19"/>
          <w:color w:val="auto"/>
        </w:rPr>
        <w:t>to the extent constituting Transfers, Permitted Liens and Permitted Investments,</w:t>
      </w:r>
    </w:p>
    <w:p>
      <w:pPr>
        <w:spacing w:after="0" w:line="182" w:lineRule="exact"/>
        <w:rPr>
          <w:rFonts w:ascii="Arial" w:cs="Arial" w:eastAsia="Arial" w:hAnsi="Arial"/>
          <w:sz w:val="19"/>
          <w:szCs w:val="19"/>
          <w:color w:val="auto"/>
        </w:rPr>
      </w:pPr>
    </w:p>
    <w:p>
      <w:pPr>
        <w:ind w:left="1860" w:hanging="449"/>
        <w:spacing w:after="0"/>
        <w:tabs>
          <w:tab w:leader="none" w:pos="1860" w:val="left"/>
        </w:tabs>
        <w:numPr>
          <w:ilvl w:val="0"/>
          <w:numId w:val="57"/>
        </w:numPr>
        <w:rPr>
          <w:rFonts w:ascii="Arial" w:cs="Arial" w:eastAsia="Arial" w:hAnsi="Arial"/>
          <w:sz w:val="19"/>
          <w:szCs w:val="19"/>
          <w:color w:val="auto"/>
        </w:rPr>
      </w:pPr>
      <w:r>
        <w:rPr>
          <w:rFonts w:ascii="Arial" w:cs="Arial" w:eastAsia="Arial" w:hAnsi="Arial"/>
          <w:sz w:val="19"/>
          <w:szCs w:val="19"/>
          <w:color w:val="auto"/>
        </w:rPr>
        <w:t>Permitted Royalty Transactions,</w:t>
      </w:r>
    </w:p>
    <w:p>
      <w:pPr>
        <w:spacing w:after="0" w:line="182" w:lineRule="exact"/>
        <w:rPr>
          <w:rFonts w:ascii="Arial" w:cs="Arial" w:eastAsia="Arial" w:hAnsi="Arial"/>
          <w:sz w:val="19"/>
          <w:szCs w:val="19"/>
          <w:color w:val="auto"/>
        </w:rPr>
      </w:pPr>
    </w:p>
    <w:p>
      <w:pPr>
        <w:ind w:left="560" w:firstLine="851"/>
        <w:spacing w:after="0" w:line="284" w:lineRule="auto"/>
        <w:tabs>
          <w:tab w:leader="none" w:pos="1988"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disposition of any Permitted Convertible Debt, any Hedge Agreement or in connection with any Permitted Bond Hedge Transaction or Permitted Warrant Transaction, in each case as permitted hereunder,</w:t>
      </w:r>
    </w:p>
    <w:p>
      <w:pPr>
        <w:spacing w:after="0" w:line="123" w:lineRule="exact"/>
        <w:rPr>
          <w:rFonts w:ascii="Arial" w:cs="Arial" w:eastAsia="Arial" w:hAnsi="Arial"/>
          <w:sz w:val="18"/>
          <w:szCs w:val="18"/>
          <w:color w:val="auto"/>
        </w:rPr>
      </w:pPr>
    </w:p>
    <w:p>
      <w:pPr>
        <w:ind w:left="560" w:firstLine="851"/>
        <w:spacing w:after="0" w:line="256" w:lineRule="auto"/>
        <w:tabs>
          <w:tab w:leader="none" w:pos="1902" w:val="left"/>
        </w:tabs>
        <w:numPr>
          <w:ilvl w:val="0"/>
          <w:numId w:val="57"/>
        </w:numPr>
        <w:rPr>
          <w:rFonts w:ascii="Arial" w:cs="Arial" w:eastAsia="Arial" w:hAnsi="Arial"/>
          <w:sz w:val="19"/>
          <w:szCs w:val="19"/>
          <w:color w:val="auto"/>
        </w:rPr>
      </w:pPr>
      <w:r>
        <w:rPr>
          <w:rFonts w:ascii="Arial" w:cs="Arial" w:eastAsia="Arial" w:hAnsi="Arial"/>
          <w:sz w:val="19"/>
          <w:szCs w:val="19"/>
          <w:color w:val="auto"/>
        </w:rPr>
        <w:t>the use or transfer of Cash in a manner that is not prohibited by the terms of this Agreement or the other Loan Documents and in the ordinary course of business,</w:t>
      </w:r>
    </w:p>
    <w:p>
      <w:pPr>
        <w:spacing w:after="0" w:line="146" w:lineRule="exact"/>
        <w:rPr>
          <w:rFonts w:ascii="Arial" w:cs="Arial" w:eastAsia="Arial" w:hAnsi="Arial"/>
          <w:sz w:val="19"/>
          <w:szCs w:val="19"/>
          <w:color w:val="auto"/>
        </w:rPr>
      </w:pPr>
    </w:p>
    <w:p>
      <w:pPr>
        <w:jc w:val="both"/>
        <w:ind w:left="560" w:firstLine="851"/>
        <w:spacing w:after="0" w:line="239" w:lineRule="auto"/>
        <w:tabs>
          <w:tab w:leader="none" w:pos="1939" w:val="left"/>
        </w:tabs>
        <w:numPr>
          <w:ilvl w:val="0"/>
          <w:numId w:val="57"/>
        </w:numPr>
        <w:rPr>
          <w:rFonts w:ascii="Arial" w:cs="Arial" w:eastAsia="Arial" w:hAnsi="Arial"/>
          <w:sz w:val="19"/>
          <w:szCs w:val="19"/>
          <w:color w:val="auto"/>
        </w:rPr>
      </w:pPr>
      <w:r>
        <w:rPr>
          <w:rFonts w:ascii="Arial" w:cs="Arial" w:eastAsia="Arial" w:hAnsi="Arial"/>
          <w:sz w:val="19"/>
          <w:szCs w:val="19"/>
          <w:color w:val="auto"/>
        </w:rPr>
        <w:t>transfers by and among the Borrower and any of its Subsidiaries (other than Permitted Investments); provided that (a)(x) such transfers are in the ordinary course of business and (y) with respect to any transfers to an Excluded Subsidiary, such transfers do not involve any transfer of any Intellectual Property and are in an aggregate amount not to exceed $500,000 in any fiscal year or (b) such Subsidiary has entered into a Joinder Agreement and such other documents as shall reasonably be required by Agent, and</w:t>
      </w:r>
    </w:p>
    <w:p>
      <w:pPr>
        <w:spacing w:after="0" w:line="161" w:lineRule="exact"/>
        <w:rPr>
          <w:rFonts w:ascii="Arial" w:cs="Arial" w:eastAsia="Arial" w:hAnsi="Arial"/>
          <w:sz w:val="19"/>
          <w:szCs w:val="19"/>
          <w:color w:val="auto"/>
        </w:rPr>
      </w:pPr>
    </w:p>
    <w:p>
      <w:pPr>
        <w:ind w:left="1940" w:hanging="529"/>
        <w:spacing w:after="0"/>
        <w:tabs>
          <w:tab w:leader="none" w:pos="19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other transfers of assets having a fair market value of not more than $500,000 in the aggregate in any</w:t>
      </w:r>
    </w:p>
    <w:p>
      <w:pPr>
        <w:spacing w:after="0" w:line="32" w:lineRule="exact"/>
        <w:rPr>
          <w:rFonts w:ascii="Arial" w:cs="Arial" w:eastAsia="Arial" w:hAnsi="Arial"/>
          <w:sz w:val="17"/>
          <w:szCs w:val="17"/>
          <w:color w:val="auto"/>
        </w:rPr>
      </w:pPr>
    </w:p>
    <w:p>
      <w:pPr>
        <w:ind w:left="560"/>
        <w:spacing w:after="0"/>
        <w:rPr>
          <w:rFonts w:ascii="Arial" w:cs="Arial" w:eastAsia="Arial" w:hAnsi="Arial"/>
          <w:sz w:val="17"/>
          <w:szCs w:val="17"/>
          <w:color w:val="auto"/>
        </w:rPr>
      </w:pPr>
      <w:r>
        <w:rPr>
          <w:rFonts w:ascii="Arial" w:cs="Arial" w:eastAsia="Arial" w:hAnsi="Arial"/>
          <w:sz w:val="19"/>
          <w:szCs w:val="19"/>
          <w:color w:val="auto"/>
        </w:rPr>
        <w:t>fiscal year.</w:t>
      </w:r>
    </w:p>
    <w:p>
      <w:pPr>
        <w:spacing w:after="0" w:line="166" w:lineRule="exact"/>
        <w:rPr>
          <w:sz w:val="20"/>
          <w:szCs w:val="20"/>
          <w:color w:val="auto"/>
        </w:rPr>
      </w:pPr>
    </w:p>
    <w:p>
      <w:pPr>
        <w:jc w:val="both"/>
        <w:ind w:firstLine="1132"/>
        <w:spacing w:after="0" w:line="269" w:lineRule="auto"/>
        <w:rPr>
          <w:sz w:val="20"/>
          <w:szCs w:val="20"/>
          <w:color w:val="auto"/>
        </w:rPr>
      </w:pPr>
      <w:r>
        <w:rPr>
          <w:rFonts w:ascii="Arial" w:cs="Arial" w:eastAsia="Arial" w:hAnsi="Arial"/>
          <w:sz w:val="17"/>
          <w:szCs w:val="17"/>
          <w:color w:val="auto"/>
        </w:rPr>
        <w:t>“Permitted Warrant Transaction” means any call option, warrant or right to purchase (or substantively equivalent derivative transaction) relating to Common Stock (or other securities or property following a merger event or other change of the Common Stock) and/or cash (in an amount determined by reference to the price of such Common Stock) sold by Borrower substantially concurrently with any purchase by Borrower of a related Permitted Bond Hedge Transaction and as may be amended in accordance with its terms; provided that (x) that the terms, conditions and covenants of each such call option transaction are customary for agreements of such type, as determined in good faith by the board of directors of the Borrower or a committee thereof and (y) such call option transaction would be classified as an equity instrument in accordance with GAAP.</w:t>
      </w:r>
    </w:p>
    <w:p>
      <w:pPr>
        <w:spacing w:after="0" w:line="141" w:lineRule="exact"/>
        <w:rPr>
          <w:sz w:val="20"/>
          <w:szCs w:val="20"/>
          <w:color w:val="auto"/>
        </w:rPr>
      </w:pPr>
    </w:p>
    <w:p>
      <w:pPr>
        <w:jc w:val="both"/>
        <w:ind w:right="20" w:firstLine="1132"/>
        <w:spacing w:after="0" w:line="256" w:lineRule="auto"/>
        <w:rPr>
          <w:sz w:val="20"/>
          <w:szCs w:val="20"/>
          <w:color w:val="auto"/>
        </w:rPr>
      </w:pPr>
      <w:r>
        <w:rPr>
          <w:rFonts w:ascii="Arial" w:cs="Arial" w:eastAsia="Arial" w:hAnsi="Arial"/>
          <w:sz w:val="19"/>
          <w:szCs w:val="19"/>
          <w:color w:val="auto"/>
        </w:rPr>
        <w:t>“Person” means any individual, sole proprietorship, partnership, joint venture, trust, unincorporated organization, association, corporation, limited liability company, institution, other entity or government.</w:t>
      </w:r>
    </w:p>
    <w:p>
      <w:pPr>
        <w:spacing w:after="0" w:line="147" w:lineRule="exact"/>
        <w:rPr>
          <w:sz w:val="20"/>
          <w:szCs w:val="20"/>
          <w:color w:val="auto"/>
        </w:rPr>
      </w:pPr>
    </w:p>
    <w:p>
      <w:pPr>
        <w:jc w:val="both"/>
        <w:ind w:right="20" w:firstLine="1132"/>
        <w:spacing w:after="0" w:line="256" w:lineRule="auto"/>
        <w:rPr>
          <w:sz w:val="20"/>
          <w:szCs w:val="20"/>
          <w:color w:val="auto"/>
        </w:rPr>
      </w:pPr>
      <w:r>
        <w:rPr>
          <w:rFonts w:ascii="Arial" w:cs="Arial" w:eastAsia="Arial" w:hAnsi="Arial"/>
          <w:sz w:val="19"/>
          <w:szCs w:val="19"/>
          <w:color w:val="auto"/>
        </w:rPr>
        <w:t>“Pledge Agreement” means the Pledge Agreement dated as of the Closing Date between Borrower and Agent, as the same may from time to time be amended, restated, modified or otherwise supplemented.</w:t>
      </w:r>
    </w:p>
    <w:p>
      <w:pPr>
        <w:spacing w:after="0" w:line="147" w:lineRule="exact"/>
        <w:rPr>
          <w:sz w:val="20"/>
          <w:szCs w:val="20"/>
          <w:color w:val="auto"/>
        </w:rPr>
      </w:pPr>
    </w:p>
    <w:p>
      <w:pPr>
        <w:jc w:val="both"/>
        <w:ind w:right="20" w:firstLine="1132"/>
        <w:spacing w:after="0" w:line="244" w:lineRule="auto"/>
        <w:rPr>
          <w:sz w:val="20"/>
          <w:szCs w:val="20"/>
          <w:color w:val="auto"/>
        </w:rPr>
      </w:pPr>
      <w:r>
        <w:rPr>
          <w:rFonts w:ascii="Arial" w:cs="Arial" w:eastAsia="Arial" w:hAnsi="Arial"/>
          <w:sz w:val="19"/>
          <w:szCs w:val="19"/>
          <w:color w:val="auto"/>
        </w:rPr>
        <w:t>“Public Health Laws” means all Requirements of Law relating to the procurement, development, clinical and non-clinical evaluation, product approval or licensure, manufacture, production, analysis, distribution, dispensing, importation, exportation, use, handling, quality,</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307340</wp:posOffset>
            </wp:positionV>
            <wp:extent cx="6311265" cy="2222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940"/>
          </w:cols>
          <w:pgMar w:left="980" w:top="781" w:right="979" w:bottom="1440" w:gutter="0" w:footer="0" w:header="0"/>
        </w:sectPr>
      </w:pPr>
    </w:p>
    <w:bookmarkStart w:id="126" w:name="page127"/>
    <w:bookmarkEnd w:id="126"/>
    <w:p>
      <w:pPr>
        <w:jc w:val="both"/>
        <w:spacing w:after="0" w:line="271" w:lineRule="auto"/>
        <w:rPr>
          <w:sz w:val="20"/>
          <w:szCs w:val="20"/>
          <w:color w:val="auto"/>
        </w:rPr>
      </w:pPr>
      <w:r>
        <w:rPr>
          <w:rFonts w:ascii="Arial" w:cs="Arial" w:eastAsia="Arial" w:hAnsi="Arial"/>
          <w:sz w:val="17"/>
          <w:szCs w:val="17"/>
          <w:color w:val="auto"/>
        </w:rPr>
        <w:t>sale, labeling, promotion, clinical trial registration or post market requirements of any drug, biologic or other product (including, without limitation, any ingredient or component of the foregoing products) subject to regulation under the Federal Food, Drug, and Cosmetic Act (21 U.S.C. § 301 et seq.) and the Public Health Service Act (42 U.S.C. § 201 et seq.), including without limitation the regulations promulgated by the FDA at Title 21 of the Code of Federal Regulations and all applicable regulations promulgated by the National Institutes of Health (“</w:t>
      </w:r>
      <w:r>
        <w:rPr>
          <w:rFonts w:ascii="Arial" w:cs="Arial" w:eastAsia="Arial" w:hAnsi="Arial"/>
          <w:sz w:val="17"/>
          <w:szCs w:val="17"/>
          <w:u w:val="single" w:color="auto"/>
          <w:color w:val="auto"/>
        </w:rPr>
        <w:t>NIH</w:t>
      </w:r>
      <w:r>
        <w:rPr>
          <w:rFonts w:ascii="Arial" w:cs="Arial" w:eastAsia="Arial" w:hAnsi="Arial"/>
          <w:sz w:val="17"/>
          <w:szCs w:val="17"/>
          <w:color w:val="auto"/>
        </w:rPr>
        <w:t>”) and codified at Title 42 of the Code of Federal Regulations, and guidance, compliance, guides, and other policies issued by the FDA, the NIH and other comparable governmental authorities.</w:t>
      </w:r>
    </w:p>
    <w:p>
      <w:pPr>
        <w:spacing w:after="0" w:line="138" w:lineRule="exact"/>
        <w:rPr>
          <w:sz w:val="20"/>
          <w:szCs w:val="20"/>
          <w:color w:val="auto"/>
        </w:rPr>
      </w:pPr>
    </w:p>
    <w:p>
      <w:pPr>
        <w:jc w:val="both"/>
        <w:ind w:right="20" w:firstLine="1132"/>
        <w:spacing w:after="0" w:line="256" w:lineRule="auto"/>
        <w:rPr>
          <w:sz w:val="20"/>
          <w:szCs w:val="20"/>
          <w:color w:val="auto"/>
        </w:rPr>
      </w:pPr>
      <w:r>
        <w:rPr>
          <w:rFonts w:ascii="Arial" w:cs="Arial" w:eastAsia="Arial" w:hAnsi="Arial"/>
          <w:sz w:val="19"/>
          <w:szCs w:val="19"/>
          <w:color w:val="auto"/>
        </w:rPr>
        <w:t>“Qualified Cash” means the amount of Borrower’s Cash held in accounts subject to an Account Control Agreement in favor of Agent.</w:t>
      </w:r>
    </w:p>
    <w:p>
      <w:pPr>
        <w:spacing w:after="0" w:line="147" w:lineRule="exact"/>
        <w:rPr>
          <w:sz w:val="20"/>
          <w:szCs w:val="20"/>
          <w:color w:val="auto"/>
        </w:rPr>
      </w:pPr>
    </w:p>
    <w:p>
      <w:pPr>
        <w:jc w:val="both"/>
        <w:ind w:right="20" w:firstLine="1132"/>
        <w:spacing w:after="0" w:line="256" w:lineRule="auto"/>
        <w:rPr>
          <w:sz w:val="20"/>
          <w:szCs w:val="20"/>
          <w:color w:val="auto"/>
        </w:rPr>
      </w:pPr>
      <w:r>
        <w:rPr>
          <w:rFonts w:ascii="Arial" w:cs="Arial" w:eastAsia="Arial" w:hAnsi="Arial"/>
          <w:sz w:val="19"/>
          <w:szCs w:val="19"/>
          <w:color w:val="auto"/>
        </w:rPr>
        <w:t>“Qualified Cash A/P Amount” means the amount of Borrower’s accounts payable under GAAP not paid after the 180th day following the invoice for such account payable.</w:t>
      </w:r>
    </w:p>
    <w:p>
      <w:pPr>
        <w:spacing w:after="0" w:line="147" w:lineRule="exact"/>
        <w:rPr>
          <w:sz w:val="20"/>
          <w:szCs w:val="20"/>
          <w:color w:val="auto"/>
        </w:rPr>
      </w:pPr>
    </w:p>
    <w:p>
      <w:pPr>
        <w:jc w:val="both"/>
        <w:ind w:right="20" w:firstLine="1132"/>
        <w:spacing w:after="0" w:line="244" w:lineRule="auto"/>
        <w:rPr>
          <w:sz w:val="20"/>
          <w:szCs w:val="20"/>
          <w:color w:val="auto"/>
        </w:rPr>
      </w:pPr>
      <w:r>
        <w:rPr>
          <w:rFonts w:ascii="Arial" w:cs="Arial" w:eastAsia="Arial" w:hAnsi="Arial"/>
          <w:sz w:val="19"/>
          <w:szCs w:val="19"/>
          <w:color w:val="auto"/>
        </w:rPr>
        <w:t>“Receivables” means (i) all of Borrower’s Accounts, Instruments, Documents, Chattel Paper, Supporting Obligations, letters of credit, proceeds of any letter of credit, and Letter of Credit Rights, and (ii) all customer lists, software, and business records related thereto.</w:t>
      </w:r>
    </w:p>
    <w:p>
      <w:pPr>
        <w:spacing w:after="0" w:line="159" w:lineRule="exact"/>
        <w:rPr>
          <w:sz w:val="20"/>
          <w:szCs w:val="20"/>
          <w:color w:val="auto"/>
        </w:rPr>
      </w:pPr>
    </w:p>
    <w:p>
      <w:pPr>
        <w:jc w:val="both"/>
        <w:ind w:firstLine="1132"/>
        <w:spacing w:after="0" w:line="258" w:lineRule="auto"/>
        <w:rPr>
          <w:sz w:val="20"/>
          <w:szCs w:val="20"/>
          <w:color w:val="auto"/>
        </w:rPr>
      </w:pPr>
      <w:r>
        <w:rPr>
          <w:rFonts w:ascii="Arial" w:cs="Arial" w:eastAsia="Arial" w:hAnsi="Arial"/>
          <w:sz w:val="18"/>
          <w:szCs w:val="18"/>
          <w:color w:val="auto"/>
        </w:rPr>
        <w:t>“Redemption Conditions” means, with respect to any payment of cash in respect of the principal amount of any Permitted Convertible Debt, satisfaction of each of the following events: (a) no Default or Event of Default shall exist or result therefrom, and (b) both immediately before and at all times after such redemption, Borrower’s Qualified Cash shall be no less than 150% of the outstanding principal amount of the Secured Obligations plus the Qualified Cash A/P Amount.</w:t>
      </w:r>
    </w:p>
    <w:p>
      <w:pPr>
        <w:spacing w:after="0" w:line="147"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“Register” has the meaning specified in Section 11.7.</w:t>
      </w:r>
    </w:p>
    <w:p>
      <w:pPr>
        <w:spacing w:after="0" w:line="182" w:lineRule="exact"/>
        <w:rPr>
          <w:sz w:val="20"/>
          <w:szCs w:val="20"/>
          <w:color w:val="auto"/>
        </w:rPr>
      </w:pPr>
    </w:p>
    <w:p>
      <w:pPr>
        <w:jc w:val="both"/>
        <w:ind w:firstLine="1132"/>
        <w:spacing w:after="0" w:line="238" w:lineRule="auto"/>
        <w:rPr>
          <w:sz w:val="20"/>
          <w:szCs w:val="20"/>
          <w:color w:val="auto"/>
        </w:rPr>
      </w:pPr>
      <w:r>
        <w:rPr>
          <w:rFonts w:ascii="Arial" w:cs="Arial" w:eastAsia="Arial" w:hAnsi="Arial"/>
          <w:sz w:val="19"/>
          <w:szCs w:val="19"/>
          <w:color w:val="auto"/>
        </w:rPr>
        <w:t>“Registrations” shall mean authorizations, approvals, licenses, permits, certificates, registrations, listings, certificates, or exemptions of or issued by any governmental authority (including marketing approvals, investigational new drug applications, product recertifications, drug manufacturing establishment registration and product listing, pricing and reimbursement approvals, labeling approvals or their foreign equivalent) that are required for the research, development, manufacture, commercialization, distribution, marketing, storage, transportation, pricing, governmental authority reimbursement, use and sale of Borrower Products.</w:t>
      </w:r>
    </w:p>
    <w:p>
      <w:pPr>
        <w:spacing w:after="0" w:line="162" w:lineRule="exact"/>
        <w:rPr>
          <w:sz w:val="20"/>
          <w:szCs w:val="20"/>
          <w:color w:val="auto"/>
        </w:rPr>
      </w:pPr>
    </w:p>
    <w:p>
      <w:pPr>
        <w:jc w:val="both"/>
        <w:ind w:firstLine="1132"/>
        <w:spacing w:after="0" w:line="258" w:lineRule="auto"/>
        <w:rPr>
          <w:sz w:val="20"/>
          <w:szCs w:val="20"/>
          <w:color w:val="auto"/>
        </w:rPr>
      </w:pPr>
      <w:r>
        <w:rPr>
          <w:rFonts w:ascii="Arial" w:cs="Arial" w:eastAsia="Arial" w:hAnsi="Arial"/>
          <w:sz w:val="18"/>
          <w:szCs w:val="18"/>
          <w:color w:val="auto"/>
        </w:rPr>
        <w:t>“Regulatory Action” means an administrative or regulatory enforcement action, proceeding or investigation, warning letter, untitled letter, Form 483 or similar inspectional observations, other notice of violation letter, recall, seizure, Section 305 notice or other similar written communication, or consent decree, issued or required by the FDA or under the Public Health Laws, the NIH or a comparable governmental authority in any other regulatory jurisdiction.</w:t>
      </w:r>
    </w:p>
    <w:p>
      <w:pPr>
        <w:spacing w:after="0" w:line="147" w:lineRule="exact"/>
        <w:rPr>
          <w:sz w:val="20"/>
          <w:szCs w:val="20"/>
          <w:color w:val="auto"/>
        </w:rPr>
      </w:pPr>
    </w:p>
    <w:p>
      <w:pPr>
        <w:jc w:val="both"/>
        <w:ind w:right="20" w:firstLine="1132"/>
        <w:spacing w:after="0" w:line="256" w:lineRule="auto"/>
        <w:rPr>
          <w:sz w:val="20"/>
          <w:szCs w:val="20"/>
          <w:color w:val="auto"/>
        </w:rPr>
      </w:pPr>
      <w:r>
        <w:rPr>
          <w:rFonts w:ascii="Arial" w:cs="Arial" w:eastAsia="Arial" w:hAnsi="Arial"/>
          <w:sz w:val="19"/>
          <w:szCs w:val="19"/>
          <w:color w:val="auto"/>
        </w:rPr>
        <w:t>“Required Lenders” means at any time, the holders of more than 50% of the sum of the aggregate unpaid principal amount of the Term Loans then outstanding.</w:t>
      </w:r>
    </w:p>
    <w:p>
      <w:pPr>
        <w:spacing w:after="0" w:line="147" w:lineRule="exact"/>
        <w:rPr>
          <w:sz w:val="20"/>
          <w:szCs w:val="20"/>
          <w:color w:val="auto"/>
        </w:rPr>
      </w:pPr>
    </w:p>
    <w:p>
      <w:pPr>
        <w:jc w:val="both"/>
        <w:ind w:firstLine="1132"/>
        <w:spacing w:after="0" w:line="256" w:lineRule="auto"/>
        <w:rPr>
          <w:sz w:val="20"/>
          <w:szCs w:val="20"/>
          <w:color w:val="auto"/>
        </w:rPr>
      </w:pPr>
      <w:r>
        <w:rPr>
          <w:rFonts w:ascii="Arial" w:cs="Arial" w:eastAsia="Arial" w:hAnsi="Arial"/>
          <w:sz w:val="19"/>
          <w:szCs w:val="19"/>
          <w:color w:val="auto"/>
        </w:rPr>
        <w:t>“Requirements of Law” means, with respect to any Person, collectively, the common law and all federal, state, provincial, local, foreign, multinational or international laws,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307340</wp:posOffset>
            </wp:positionV>
            <wp:extent cx="6311265" cy="2222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940"/>
          </w:cols>
          <w:pgMar w:left="980" w:top="781" w:right="979" w:bottom="1440" w:gutter="0" w:footer="0" w:header="0"/>
        </w:sectPr>
      </w:pPr>
    </w:p>
    <w:bookmarkStart w:id="127" w:name="page128"/>
    <w:bookmarkEnd w:id="127"/>
    <w:p>
      <w:pPr>
        <w:jc w:val="both"/>
        <w:ind w:right="20"/>
        <w:spacing w:after="0" w:line="258" w:lineRule="auto"/>
        <w:rPr>
          <w:sz w:val="20"/>
          <w:szCs w:val="20"/>
          <w:color w:val="auto"/>
        </w:rPr>
      </w:pPr>
      <w:r>
        <w:rPr>
          <w:rFonts w:ascii="Arial" w:cs="Arial" w:eastAsia="Arial" w:hAnsi="Arial"/>
          <w:sz w:val="18"/>
          <w:szCs w:val="18"/>
          <w:color w:val="auto"/>
        </w:rPr>
        <w:t>statutes, codes, treaties, standards, rules and regulations, guidelines, ordinances, orders, judgments, writs, injunctions, decrees (including administrative or judicial precedents or authorities) and the interpretation or administration thereof by, and other determinations, directives, requirements or requests of, any governmental authority, in each case that are applicable to or binding upon such Person or any of its property or to which such Person or any of its property is subject.</w:t>
      </w:r>
    </w:p>
    <w:p>
      <w:pPr>
        <w:spacing w:after="0" w:line="147" w:lineRule="exact"/>
        <w:rPr>
          <w:sz w:val="20"/>
          <w:szCs w:val="20"/>
          <w:color w:val="auto"/>
        </w:rPr>
      </w:pPr>
    </w:p>
    <w:p>
      <w:pPr>
        <w:jc w:val="both"/>
        <w:ind w:firstLine="1132"/>
        <w:spacing w:after="0" w:line="239" w:lineRule="auto"/>
        <w:rPr>
          <w:sz w:val="20"/>
          <w:szCs w:val="20"/>
          <w:color w:val="auto"/>
        </w:rPr>
      </w:pPr>
      <w:r>
        <w:rPr>
          <w:rFonts w:ascii="Arial" w:cs="Arial" w:eastAsia="Arial" w:hAnsi="Arial"/>
          <w:sz w:val="19"/>
          <w:szCs w:val="19"/>
          <w:color w:val="auto"/>
        </w:rPr>
        <w:t>“Restricted License” means any Material Agreement with respect to which Borrower is the licensee (other than over-the-counter software and software that is commercially available to the public) (a) that prohibits or otherwise restricts Borrower from granting a security interest in Borrower’s interest in such Material Agreement or any other property, or (b) for which a default under or termination of could reasonably be expected to interfere in any material respect with the Agent’s right to sell any Collateral.</w:t>
      </w:r>
    </w:p>
    <w:p>
      <w:pPr>
        <w:spacing w:after="0" w:line="162"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“Sanctioned Country” means, at any time, a country or territory which is the subject or target of any Sanctions.</w:t>
      </w:r>
    </w:p>
    <w:p>
      <w:pPr>
        <w:spacing w:after="0" w:line="194" w:lineRule="exact"/>
        <w:rPr>
          <w:sz w:val="20"/>
          <w:szCs w:val="20"/>
          <w:color w:val="auto"/>
        </w:rPr>
      </w:pPr>
    </w:p>
    <w:p>
      <w:pPr>
        <w:jc w:val="both"/>
        <w:ind w:firstLine="1132"/>
        <w:spacing w:after="0" w:line="241" w:lineRule="auto"/>
        <w:rPr>
          <w:sz w:val="20"/>
          <w:szCs w:val="20"/>
          <w:color w:val="auto"/>
        </w:rPr>
      </w:pPr>
      <w:r>
        <w:rPr>
          <w:rFonts w:ascii="Arial" w:cs="Arial" w:eastAsia="Arial" w:hAnsi="Arial"/>
          <w:sz w:val="19"/>
          <w:szCs w:val="19"/>
          <w:color w:val="auto"/>
        </w:rPr>
        <w:t>“Sanctioned Person” means, at any time, (a) any Person listed in any Sanctions-related list of designated Persons maintained by the Office of Foreign Assets Control of the U.S. Department of the Treasury or the U.S. Department of State, or by the United Nations Security Council, the European Union or any EU member state, (b) any Person operating, organized or resident in a Sanctioned Country or (c) any Person controlled by any such Person.</w:t>
      </w:r>
    </w:p>
    <w:p>
      <w:pPr>
        <w:spacing w:after="0" w:line="160" w:lineRule="exact"/>
        <w:rPr>
          <w:sz w:val="20"/>
          <w:szCs w:val="20"/>
          <w:color w:val="auto"/>
        </w:rPr>
      </w:pPr>
    </w:p>
    <w:p>
      <w:pPr>
        <w:jc w:val="both"/>
        <w:ind w:firstLine="1132"/>
        <w:spacing w:after="0" w:line="241" w:lineRule="auto"/>
        <w:rPr>
          <w:sz w:val="20"/>
          <w:szCs w:val="20"/>
          <w:color w:val="auto"/>
        </w:rPr>
      </w:pPr>
      <w:r>
        <w:rPr>
          <w:rFonts w:ascii="Arial" w:cs="Arial" w:eastAsia="Arial" w:hAnsi="Arial"/>
          <w:sz w:val="19"/>
          <w:szCs w:val="19"/>
          <w:color w:val="auto"/>
        </w:rPr>
        <w:t>“Sanctions” means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or Her Majesty’s Treasury of the United Kingdom.</w:t>
      </w:r>
    </w:p>
    <w:p>
      <w:pPr>
        <w:spacing w:after="0" w:line="160" w:lineRule="exact"/>
        <w:rPr>
          <w:sz w:val="20"/>
          <w:szCs w:val="20"/>
          <w:color w:val="auto"/>
        </w:rPr>
      </w:pPr>
    </w:p>
    <w:p>
      <w:pPr>
        <w:jc w:val="both"/>
        <w:ind w:right="20" w:firstLine="1132"/>
        <w:spacing w:after="0" w:line="244" w:lineRule="auto"/>
        <w:rPr>
          <w:sz w:val="20"/>
          <w:szCs w:val="20"/>
          <w:color w:val="auto"/>
        </w:rPr>
      </w:pPr>
      <w:r>
        <w:rPr>
          <w:rFonts w:ascii="Arial" w:cs="Arial" w:eastAsia="Arial" w:hAnsi="Arial"/>
          <w:sz w:val="19"/>
          <w:szCs w:val="19"/>
          <w:color w:val="auto"/>
        </w:rPr>
        <w:t>“Second Interest Only Extension Conditions” shall mean satisfaction of each of the following events: (a) no default or Event of Default shall have occurred and be continuing; (b) the AXS-05 Milestone has been achieved; and (c) the AXS-07 Milestone has been achieved on or prior to October 31, 2023.</w:t>
      </w:r>
    </w:p>
    <w:p>
      <w:pPr>
        <w:spacing w:after="0" w:line="159" w:lineRule="exact"/>
        <w:rPr>
          <w:sz w:val="20"/>
          <w:szCs w:val="20"/>
          <w:color w:val="auto"/>
        </w:rPr>
      </w:pPr>
    </w:p>
    <w:p>
      <w:pPr>
        <w:jc w:val="both"/>
        <w:ind w:firstLine="1132"/>
        <w:spacing w:after="0" w:line="256" w:lineRule="auto"/>
        <w:rPr>
          <w:sz w:val="20"/>
          <w:szCs w:val="20"/>
          <w:color w:val="auto"/>
        </w:rPr>
      </w:pPr>
      <w:r>
        <w:rPr>
          <w:rFonts w:ascii="Arial" w:cs="Arial" w:eastAsia="Arial" w:hAnsi="Arial"/>
          <w:sz w:val="19"/>
          <w:szCs w:val="19"/>
          <w:color w:val="auto"/>
        </w:rPr>
        <w:t>“Secured Obligations” means Borrower’s obligations under this Agreement and any Loan Document (other than the Warrant), including any obligation to pay any amount now owing or later arising.</w:t>
      </w:r>
    </w:p>
    <w:p>
      <w:pPr>
        <w:spacing w:after="0" w:line="147" w:lineRule="exact"/>
        <w:rPr>
          <w:sz w:val="20"/>
          <w:szCs w:val="20"/>
          <w:color w:val="auto"/>
        </w:rPr>
      </w:pPr>
    </w:p>
    <w:p>
      <w:pPr>
        <w:jc w:val="both"/>
        <w:ind w:firstLine="1132"/>
        <w:spacing w:after="0" w:line="244" w:lineRule="auto"/>
        <w:rPr>
          <w:sz w:val="20"/>
          <w:szCs w:val="20"/>
          <w:color w:val="auto"/>
        </w:rPr>
      </w:pPr>
      <w:r>
        <w:rPr>
          <w:rFonts w:ascii="Arial" w:cs="Arial" w:eastAsia="Arial" w:hAnsi="Arial"/>
          <w:sz w:val="19"/>
          <w:szCs w:val="19"/>
          <w:color w:val="auto"/>
        </w:rPr>
        <w:t>“Subordinated Indebtedness” means Indebtedness subordinated to the Secured Obligations in amounts and on terms and conditions satisfactory to Agent in its sole discretion and subject to a subordination agreement in form and substance satisfactory to Agent in its sole discretion.</w:t>
      </w:r>
    </w:p>
    <w:p>
      <w:pPr>
        <w:spacing w:after="0" w:line="159" w:lineRule="exact"/>
        <w:rPr>
          <w:sz w:val="20"/>
          <w:szCs w:val="20"/>
          <w:color w:val="auto"/>
        </w:rPr>
      </w:pPr>
    </w:p>
    <w:p>
      <w:pPr>
        <w:jc w:val="both"/>
        <w:ind w:right="20" w:firstLine="1132"/>
        <w:spacing w:after="0" w:line="287" w:lineRule="auto"/>
        <w:rPr>
          <w:sz w:val="20"/>
          <w:szCs w:val="20"/>
          <w:color w:val="auto"/>
        </w:rPr>
      </w:pPr>
      <w:r>
        <w:rPr>
          <w:rFonts w:ascii="Arial" w:cs="Arial" w:eastAsia="Arial" w:hAnsi="Arial"/>
          <w:sz w:val="17"/>
          <w:szCs w:val="17"/>
          <w:color w:val="auto"/>
        </w:rPr>
        <w:t>“Subsequent Financing” means the closing of any equity financing which becomes effective after the Closing Date in which Borrower receives net cash proceeds in excess of $25,000,000 from the sale and issuance of its Equity Interests for Cash primarily for capital raising purposes and that is broadly marketed to multiple investors, which shall not include any Permitted</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307340</wp:posOffset>
            </wp:positionV>
            <wp:extent cx="6311265" cy="2222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940"/>
          </w:cols>
          <w:pgMar w:left="980" w:top="781" w:right="979" w:bottom="1440" w:gutter="0" w:footer="0" w:header="0"/>
        </w:sectPr>
      </w:pPr>
    </w:p>
    <w:bookmarkStart w:id="128" w:name="page129"/>
    <w:bookmarkEnd w:id="128"/>
    <w:p>
      <w:pPr>
        <w:jc w:val="both"/>
        <w:ind w:left="4"/>
        <w:spacing w:after="0" w:line="263" w:lineRule="auto"/>
        <w:rPr>
          <w:sz w:val="20"/>
          <w:szCs w:val="20"/>
          <w:color w:val="auto"/>
        </w:rPr>
      </w:pPr>
      <w:r>
        <w:rPr>
          <w:rFonts w:ascii="Arial" w:cs="Arial" w:eastAsia="Arial" w:hAnsi="Arial"/>
          <w:sz w:val="17"/>
          <w:szCs w:val="17"/>
          <w:color w:val="auto"/>
        </w:rPr>
        <w:t>Convertible Debt offering (or any Permitted Bond Hedge Transaction or Permitted Warrant Transaction) or any issuance or sale by Borrower of its Equity Interests (i) pursuant to benefit plans or arrangements, including under Borrower’s equity incentive plans (whether currently in effect or adopted by Borrower after the Closing Date) or otherwise as equity compensation, (ii) as dividends or distributions or upon stock splits, recapitalizations or similar transactions, (iii) pursuant to a merger, consolidation, acquisition, strategic alliance or similar business combination or acquisition, (iv) to banks, funds, equipment or real property lessors or other financial institutions pursuant to a non-convertible debt financing, equipment lease, loan or credit arrangement or commercial leasing transaction entered into for primarily non-equity financing purposes, (v) in connection with strategic transactions, including</w:t>
      </w:r>
    </w:p>
    <w:p>
      <w:pPr>
        <w:spacing w:after="0" w:line="2" w:lineRule="exact"/>
        <w:rPr>
          <w:sz w:val="20"/>
          <w:szCs w:val="20"/>
          <w:color w:val="auto"/>
        </w:rPr>
      </w:pPr>
    </w:p>
    <w:p>
      <w:pPr>
        <w:jc w:val="both"/>
        <w:ind w:left="4" w:hanging="4"/>
        <w:spacing w:after="0" w:line="248" w:lineRule="auto"/>
        <w:tabs>
          <w:tab w:leader="none" w:pos="367"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joint ventures, manufacturing, marketing, OEM, sponsored research, collaboration or distribution arrangements or (B) technology transfer or development arrangements, (vi) securities issued or issuable to suppliers or third party service providers in connection with the provision of goods or services, (vii) in an at-the-market (ATM) offering, and (viii) securities issued in connection with options, warrants, convertible securities or other arrangement in existence on the Closing Date or issued in transactions excluded from the definition of Subsequent Financing pursuant to clause (i) through (vii) above;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Borrower or its agents attempts to “wall-cross” the Lender or its assignee or nominee in conjunction with any Subsequent Financing and the Lender or its assignee or nominee declines to be “wall-crossed,” then the issuance and sale of such equity securities shall not be considered a Subsequent Financing hereunder.</w:t>
      </w:r>
    </w:p>
    <w:p>
      <w:pPr>
        <w:spacing w:after="0" w:line="159" w:lineRule="exact"/>
        <w:rPr>
          <w:sz w:val="20"/>
          <w:szCs w:val="20"/>
          <w:color w:val="auto"/>
        </w:rPr>
      </w:pPr>
    </w:p>
    <w:p>
      <w:pPr>
        <w:jc w:val="both"/>
        <w:ind w:left="4" w:right="20" w:firstLine="1132"/>
        <w:spacing w:after="0" w:line="244" w:lineRule="auto"/>
        <w:rPr>
          <w:sz w:val="20"/>
          <w:szCs w:val="20"/>
          <w:color w:val="auto"/>
        </w:rPr>
      </w:pPr>
      <w:r>
        <w:rPr>
          <w:rFonts w:ascii="Arial" w:cs="Arial" w:eastAsia="Arial" w:hAnsi="Arial"/>
          <w:sz w:val="19"/>
          <w:szCs w:val="19"/>
          <w:color w:val="auto"/>
        </w:rPr>
        <w:t>“Subsidiary” means an entity, whether a corporation, partnership, limited liability company, joint venture or otherwise, in which Borrower owns or controls 50% or more of the outstanding voting securities, including each entity listed on Schedule 1 hereto.</w:t>
      </w:r>
    </w:p>
    <w:p>
      <w:pPr>
        <w:spacing w:after="0" w:line="159" w:lineRule="exact"/>
        <w:rPr>
          <w:sz w:val="20"/>
          <w:szCs w:val="20"/>
          <w:color w:val="auto"/>
        </w:rPr>
      </w:pPr>
    </w:p>
    <w:p>
      <w:pPr>
        <w:jc w:val="both"/>
        <w:ind w:left="4" w:right="20" w:firstLine="1132"/>
        <w:spacing w:after="0" w:line="266" w:lineRule="auto"/>
        <w:rPr>
          <w:sz w:val="20"/>
          <w:szCs w:val="20"/>
          <w:color w:val="auto"/>
        </w:rPr>
      </w:pPr>
      <w:r>
        <w:rPr>
          <w:rFonts w:ascii="Arial" w:cs="Arial" w:eastAsia="Arial" w:hAnsi="Arial"/>
          <w:sz w:val="17"/>
          <w:szCs w:val="17"/>
          <w:color w:val="auto"/>
        </w:rPr>
        <w:t>“T3M Net Product Revenue” means Borrower’s net product revenue (as determined in accordance with GAAP) solely from the sale of AXS-05 and AXS-07 (which may include royalty, profit sharing, or sales-based milestone revenue recognized in accordance with GAAP, but which shall not include any upfront or non-sales-based milestone payments under business development or licensing transactions), measured on a trailing three-month basis as of the date of the most recently delivered monthly financial statement in accordance with Section 7.1(a). For the avoidance of doubt, net product revenue shall not include any of the following to the extent not recognizable as revenue in accordance with GAAP (i) trade, quantity and cash discounts allowed by Borrower, (ii) discounts, refunds, rebates, charge backs, retroactive price adjustment and any other allowances which effectively reduce net selling price, (iii) product returns and allowances, (iv) allowances for shipping or other distribution expenses, (iv) set-offs and counterclaims, and (v) any other similar and customary deductions that are typically deducted from gross revenue and not included in net revenue in accordance with GAAP.</w:t>
      </w:r>
    </w:p>
    <w:p>
      <w:pPr>
        <w:spacing w:after="0" w:line="144" w:lineRule="exact"/>
        <w:rPr>
          <w:sz w:val="20"/>
          <w:szCs w:val="20"/>
          <w:color w:val="auto"/>
        </w:rPr>
      </w:pPr>
    </w:p>
    <w:p>
      <w:pPr>
        <w:jc w:val="both"/>
        <w:ind w:left="4" w:firstLine="1132"/>
        <w:spacing w:after="0" w:line="238" w:lineRule="auto"/>
        <w:rPr>
          <w:sz w:val="20"/>
          <w:szCs w:val="20"/>
          <w:color w:val="auto"/>
        </w:rPr>
      </w:pPr>
      <w:r>
        <w:rPr>
          <w:rFonts w:ascii="Arial" w:cs="Arial" w:eastAsia="Arial" w:hAnsi="Arial"/>
          <w:sz w:val="19"/>
          <w:szCs w:val="19"/>
          <w:color w:val="auto"/>
        </w:rPr>
        <w:t>“T6M Net Product Revenue” means Borrower’s net product revenue (as determined in accordance with GAAP) solely from the sale of AXS-05 and AXS-07 (which may include royalty, profit sharing, or sales-based milestone revenue recognized in accordance with GAAP, but which shall not include any upfront or non-sales-based milestone payments under business development or licensing transactions), measured on a trailing six-month basis as of the date of the most recently quarterly financial statement filed with its most recent 10-Q filing. For the avoidance of doubt, net product revenue shall not include any of the following to the extent not recognizable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
        <w:spacing w:after="0"/>
        <w:rPr>
          <w:sz w:val="20"/>
          <w:szCs w:val="20"/>
          <w:color w:val="auto"/>
        </w:rPr>
      </w:pPr>
      <w:r>
        <w:rPr>
          <w:rFonts w:ascii="Arial" w:cs="Arial" w:eastAsia="Arial" w:hAnsi="Arial"/>
          <w:sz w:val="19"/>
          <w:szCs w:val="19"/>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307340</wp:posOffset>
            </wp:positionV>
            <wp:extent cx="6311265" cy="2222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944"/>
          </w:cols>
          <w:pgMar w:left="976" w:top="781" w:right="979" w:bottom="1440" w:gutter="0" w:footer="0" w:header="0"/>
        </w:sectPr>
      </w:pPr>
    </w:p>
    <w:bookmarkStart w:id="129" w:name="page130"/>
    <w:bookmarkEnd w:id="129"/>
    <w:p>
      <w:pPr>
        <w:jc w:val="both"/>
        <w:ind w:right="20"/>
        <w:spacing w:after="0" w:line="239" w:lineRule="auto"/>
        <w:rPr>
          <w:sz w:val="20"/>
          <w:szCs w:val="20"/>
          <w:color w:val="auto"/>
        </w:rPr>
      </w:pPr>
      <w:r>
        <w:rPr>
          <w:rFonts w:ascii="Arial" w:cs="Arial" w:eastAsia="Arial" w:hAnsi="Arial"/>
          <w:sz w:val="19"/>
          <w:szCs w:val="19"/>
          <w:color w:val="auto"/>
        </w:rPr>
        <w:t>as revenue in accordance with GAAP (i) trade, quantity and cash discounts allowed by Borrower, (ii) discounts, refunds, rebates, charge backs, retroactive price adjustment and any other allowances which effectively reduce net selling price, (iii) product returns and allowances, (iv) allowances for shipping or other distribution expenses, (iv) set-offs and counterclaims, and (v) any other similar and customary deductions that are typically deducted from gross revenue and not included in net revenue in accordance with GAAP.</w:t>
      </w:r>
    </w:p>
    <w:p>
      <w:pPr>
        <w:spacing w:after="0" w:line="162" w:lineRule="exact"/>
        <w:rPr>
          <w:sz w:val="20"/>
          <w:szCs w:val="20"/>
          <w:color w:val="auto"/>
        </w:rPr>
      </w:pPr>
    </w:p>
    <w:p>
      <w:pPr>
        <w:jc w:val="both"/>
        <w:ind w:right="20" w:firstLine="1132"/>
        <w:spacing w:after="0" w:line="244" w:lineRule="auto"/>
        <w:rPr>
          <w:sz w:val="20"/>
          <w:szCs w:val="20"/>
          <w:color w:val="auto"/>
        </w:rPr>
      </w:pPr>
      <w:r>
        <w:rPr>
          <w:rFonts w:ascii="Arial" w:cs="Arial" w:eastAsia="Arial" w:hAnsi="Arial"/>
          <w:sz w:val="19"/>
          <w:szCs w:val="19"/>
          <w:color w:val="auto"/>
        </w:rPr>
        <w:t>“Taxes”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59" w:lineRule="exact"/>
        <w:rPr>
          <w:sz w:val="20"/>
          <w:szCs w:val="20"/>
          <w:color w:val="auto"/>
        </w:rPr>
      </w:pPr>
    </w:p>
    <w:p>
      <w:pPr>
        <w:jc w:val="both"/>
        <w:ind w:firstLine="1132"/>
        <w:spacing w:after="0" w:line="244" w:lineRule="auto"/>
        <w:rPr>
          <w:sz w:val="20"/>
          <w:szCs w:val="20"/>
          <w:color w:val="auto"/>
        </w:rPr>
      </w:pPr>
      <w:r>
        <w:rPr>
          <w:rFonts w:ascii="Arial" w:cs="Arial" w:eastAsia="Arial" w:hAnsi="Arial"/>
          <w:sz w:val="19"/>
          <w:szCs w:val="19"/>
          <w:color w:val="auto"/>
        </w:rPr>
        <w:t>“Term Commitment” means as to any Lender, the obligation of such Lender, if any, to make a Term Loan Advance to the Borrower in a principal amount not to exceed the amount set forth under the heading “Term Commitment” opposite such Lender’s name on Schedule 1.1.</w:t>
      </w:r>
    </w:p>
    <w:p>
      <w:pPr>
        <w:spacing w:after="0" w:line="159" w:lineRule="exact"/>
        <w:rPr>
          <w:sz w:val="20"/>
          <w:szCs w:val="20"/>
          <w:color w:val="auto"/>
        </w:rPr>
      </w:pPr>
    </w:p>
    <w:p>
      <w:pPr>
        <w:jc w:val="both"/>
        <w:ind w:firstLine="1132"/>
        <w:spacing w:after="0" w:line="256" w:lineRule="auto"/>
        <w:rPr>
          <w:sz w:val="20"/>
          <w:szCs w:val="20"/>
          <w:color w:val="auto"/>
        </w:rPr>
      </w:pPr>
      <w:r>
        <w:rPr>
          <w:rFonts w:ascii="Arial" w:cs="Arial" w:eastAsia="Arial" w:hAnsi="Arial"/>
          <w:sz w:val="19"/>
          <w:szCs w:val="19"/>
          <w:color w:val="auto"/>
        </w:rPr>
        <w:t>“Term Loan Advance” means each Tranche 1 Advance, Tranche 2 Advance, Tranche 3 Advance, Tranche 4 Advance, Tranche 5 Advance and any other Term Loan funds advanced under this Agreement.</w:t>
      </w:r>
    </w:p>
    <w:p>
      <w:pPr>
        <w:spacing w:after="0" w:line="147" w:lineRule="exact"/>
        <w:rPr>
          <w:sz w:val="20"/>
          <w:szCs w:val="20"/>
          <w:color w:val="auto"/>
        </w:rPr>
      </w:pPr>
    </w:p>
    <w:p>
      <w:pPr>
        <w:jc w:val="both"/>
        <w:ind w:firstLine="1132"/>
        <w:spacing w:after="0" w:line="244" w:lineRule="auto"/>
        <w:rPr>
          <w:sz w:val="20"/>
          <w:szCs w:val="20"/>
          <w:color w:val="auto"/>
        </w:rPr>
      </w:pPr>
      <w:r>
        <w:rPr>
          <w:rFonts w:ascii="Arial" w:cs="Arial" w:eastAsia="Arial" w:hAnsi="Arial"/>
          <w:sz w:val="19"/>
          <w:szCs w:val="19"/>
          <w:color w:val="auto"/>
        </w:rPr>
        <w:t xml:space="preserve">“Term Loan Cash Interest Rate” means for any day a per annum rate of interest equal to the greater of either (i) the prime rate as reported in The Wall Street Journal plus 5.90%, and (ii) 9.15%;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the Term Loan Cash Interest Rate may be reduced from time to time in accordance with Section 2.2(c)(iii).</w:t>
      </w:r>
    </w:p>
    <w:p>
      <w:pPr>
        <w:spacing w:after="0" w:line="159" w:lineRule="exact"/>
        <w:rPr>
          <w:sz w:val="20"/>
          <w:szCs w:val="20"/>
          <w:color w:val="auto"/>
        </w:rPr>
      </w:pPr>
    </w:p>
    <w:p>
      <w:pPr>
        <w:jc w:val="both"/>
        <w:ind w:firstLine="1132"/>
        <w:spacing w:after="0" w:line="256" w:lineRule="auto"/>
        <w:rPr>
          <w:sz w:val="20"/>
          <w:szCs w:val="20"/>
          <w:color w:val="auto"/>
        </w:rPr>
      </w:pPr>
      <w:r>
        <w:rPr>
          <w:rFonts w:ascii="Arial" w:cs="Arial" w:eastAsia="Arial" w:hAnsi="Arial"/>
          <w:sz w:val="19"/>
          <w:szCs w:val="19"/>
          <w:color w:val="auto"/>
        </w:rPr>
        <w:t>“Term Loan PIK Interest Rate” means, for any day, a per annum rate of interest equal to (a) during any PIK Deferral Period, the Cash Interest Reduction Amount, multiplied by 1.15, and (b) otherwise, 0.00%.</w:t>
      </w:r>
    </w:p>
    <w:p>
      <w:pPr>
        <w:spacing w:after="0" w:line="147" w:lineRule="exact"/>
        <w:rPr>
          <w:sz w:val="20"/>
          <w:szCs w:val="20"/>
          <w:color w:val="auto"/>
        </w:rPr>
      </w:pPr>
    </w:p>
    <w:p>
      <w:pPr>
        <w:jc w:val="both"/>
        <w:ind w:right="20" w:firstLine="1132"/>
        <w:spacing w:after="0" w:line="256" w:lineRule="auto"/>
        <w:rPr>
          <w:sz w:val="20"/>
          <w:szCs w:val="20"/>
          <w:color w:val="auto"/>
        </w:rPr>
      </w:pPr>
      <w:r>
        <w:rPr>
          <w:rFonts w:ascii="Arial" w:cs="Arial" w:eastAsia="Arial" w:hAnsi="Arial"/>
          <w:sz w:val="19"/>
          <w:szCs w:val="19"/>
          <w:color w:val="auto"/>
        </w:rPr>
        <w:t>“Term Loan Maturity Date” means October 1, 2025; provided that if such day is not a Business Day, the Term Loan Maturity Date shall be the immediately preceding Business Day.</w:t>
      </w:r>
    </w:p>
    <w:p>
      <w:pPr>
        <w:spacing w:after="0" w:line="147" w:lineRule="exact"/>
        <w:rPr>
          <w:sz w:val="20"/>
          <w:szCs w:val="20"/>
          <w:color w:val="auto"/>
        </w:rPr>
      </w:pPr>
    </w:p>
    <w:p>
      <w:pPr>
        <w:jc w:val="both"/>
        <w:ind w:right="20" w:firstLine="1132"/>
        <w:spacing w:after="0" w:line="244" w:lineRule="auto"/>
        <w:rPr>
          <w:sz w:val="20"/>
          <w:szCs w:val="20"/>
          <w:color w:val="auto"/>
        </w:rPr>
      </w:pPr>
      <w:r>
        <w:rPr>
          <w:rFonts w:ascii="Arial" w:cs="Arial" w:eastAsia="Arial" w:hAnsi="Arial"/>
          <w:sz w:val="19"/>
          <w:szCs w:val="19"/>
          <w:color w:val="auto"/>
        </w:rPr>
        <w:t>“Third Interest Only Extension Conditions” shall mean satisfaction of each of the following events: (a) no default or Event of Default shall have occurred and be continuing; and (b) at least one Tranche 4 Advance has been made on or prior to April 30, 2024.</w:t>
      </w:r>
    </w:p>
    <w:p>
      <w:pPr>
        <w:spacing w:after="0" w:line="159" w:lineRule="exact"/>
        <w:rPr>
          <w:sz w:val="20"/>
          <w:szCs w:val="20"/>
          <w:color w:val="auto"/>
        </w:rPr>
      </w:pPr>
    </w:p>
    <w:p>
      <w:pPr>
        <w:jc w:val="both"/>
        <w:ind w:firstLine="1132"/>
        <w:spacing w:after="0" w:line="284" w:lineRule="auto"/>
        <w:rPr>
          <w:sz w:val="20"/>
          <w:szCs w:val="20"/>
          <w:color w:val="auto"/>
        </w:rPr>
      </w:pPr>
      <w:r>
        <w:rPr>
          <w:rFonts w:ascii="Arial" w:cs="Arial" w:eastAsia="Arial" w:hAnsi="Arial"/>
          <w:sz w:val="18"/>
          <w:szCs w:val="18"/>
          <w:color w:val="auto"/>
        </w:rPr>
        <w:t>“Trademark License” means any written agreement granting any right to use any Trademark or Trademark registration, now owned or hereafter acquired by Borrower or in which Borrower now holds or hereafter acquires any interest.</w:t>
      </w:r>
    </w:p>
    <w:p>
      <w:pPr>
        <w:spacing w:after="0" w:line="123" w:lineRule="exact"/>
        <w:rPr>
          <w:sz w:val="20"/>
          <w:szCs w:val="20"/>
          <w:color w:val="auto"/>
        </w:rPr>
      </w:pPr>
    </w:p>
    <w:p>
      <w:pPr>
        <w:jc w:val="both"/>
        <w:ind w:right="20" w:firstLine="1132"/>
        <w:spacing w:after="0" w:line="287" w:lineRule="auto"/>
        <w:rPr>
          <w:sz w:val="20"/>
          <w:szCs w:val="20"/>
          <w:color w:val="auto"/>
        </w:rPr>
      </w:pPr>
      <w:r>
        <w:rPr>
          <w:rFonts w:ascii="Arial" w:cs="Arial" w:eastAsia="Arial" w:hAnsi="Arial"/>
          <w:sz w:val="17"/>
          <w:szCs w:val="17"/>
          <w:color w:val="auto"/>
        </w:rPr>
        <w:t>“Trademarks” means all trademarks (registered, common law or otherwise) and any applications in connection therewith, including registrations, recordings and applications in the United States Patent and Trademark Office or in any similar office or agency of the United States of America, any State thereof or any other country or any political subdivision thereof.</w:t>
      </w:r>
    </w:p>
    <w:p>
      <w:pPr>
        <w:spacing w:after="0" w:line="124" w:lineRule="exact"/>
        <w:rPr>
          <w:sz w:val="20"/>
          <w:szCs w:val="20"/>
          <w:color w:val="auto"/>
        </w:rPr>
      </w:pPr>
    </w:p>
    <w:p>
      <w:pPr>
        <w:jc w:val="both"/>
        <w:ind w:firstLine="1132"/>
        <w:spacing w:after="0" w:line="256" w:lineRule="auto"/>
        <w:rPr>
          <w:sz w:val="20"/>
          <w:szCs w:val="20"/>
          <w:color w:val="auto"/>
        </w:rPr>
      </w:pPr>
      <w:r>
        <w:rPr>
          <w:rFonts w:ascii="Arial" w:cs="Arial" w:eastAsia="Arial" w:hAnsi="Arial"/>
          <w:sz w:val="19"/>
          <w:szCs w:val="19"/>
          <w:color w:val="auto"/>
        </w:rPr>
        <w:t>“Tranche 1A Commitment” means as to any Lender, the obligation of such Lender, if any, to make a Term Loan Advance to Borrowers in a principal amount not to exceed the amount</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307340</wp:posOffset>
            </wp:positionV>
            <wp:extent cx="6311265" cy="2222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940"/>
          </w:cols>
          <w:pgMar w:left="980" w:top="781" w:right="979" w:bottom="1440" w:gutter="0" w:footer="0" w:header="0"/>
        </w:sectPr>
      </w:pPr>
    </w:p>
    <w:bookmarkStart w:id="130" w:name="page131"/>
    <w:bookmarkEnd w:id="130"/>
    <w:p>
      <w:pPr>
        <w:spacing w:after="0"/>
        <w:rPr>
          <w:sz w:val="20"/>
          <w:szCs w:val="20"/>
          <w:color w:val="auto"/>
        </w:rPr>
      </w:pPr>
      <w:r>
        <w:rPr>
          <w:rFonts w:ascii="Arial" w:cs="Arial" w:eastAsia="Arial" w:hAnsi="Arial"/>
          <w:sz w:val="19"/>
          <w:szCs w:val="19"/>
          <w:color w:val="auto"/>
        </w:rPr>
        <w:t>set forth under the heading “Tranche 1A Term Commitment” opposite such Lender’s name on Schedule 1.1.</w:t>
      </w:r>
    </w:p>
    <w:p>
      <w:pPr>
        <w:spacing w:after="0" w:line="182" w:lineRule="exact"/>
        <w:rPr>
          <w:sz w:val="20"/>
          <w:szCs w:val="20"/>
          <w:color w:val="auto"/>
        </w:rPr>
      </w:pPr>
    </w:p>
    <w:p>
      <w:pPr>
        <w:jc w:val="both"/>
        <w:ind w:right="20" w:firstLine="1132"/>
        <w:spacing w:after="0" w:line="244" w:lineRule="auto"/>
        <w:rPr>
          <w:sz w:val="20"/>
          <w:szCs w:val="20"/>
          <w:color w:val="auto"/>
        </w:rPr>
      </w:pPr>
      <w:r>
        <w:rPr>
          <w:rFonts w:ascii="Arial" w:cs="Arial" w:eastAsia="Arial" w:hAnsi="Arial"/>
          <w:sz w:val="19"/>
          <w:szCs w:val="19"/>
          <w:color w:val="auto"/>
        </w:rPr>
        <w:t>“Tranche 1B Commitment” means as to any Lender, the obligation of such Lender, if any, to make a Term Loan Advance to Borrowers in a principal amount not to exceed the amount set forth under the heading “Tranche 1B Term Commitment” opposite such Lender’s name on Schedule 1.1.</w:t>
      </w:r>
    </w:p>
    <w:p>
      <w:pPr>
        <w:spacing w:after="0" w:line="159" w:lineRule="exact"/>
        <w:rPr>
          <w:sz w:val="20"/>
          <w:szCs w:val="20"/>
          <w:color w:val="auto"/>
        </w:rPr>
      </w:pPr>
    </w:p>
    <w:p>
      <w:pPr>
        <w:jc w:val="both"/>
        <w:ind w:right="20" w:firstLine="1132"/>
        <w:spacing w:after="0" w:line="256" w:lineRule="auto"/>
        <w:rPr>
          <w:sz w:val="20"/>
          <w:szCs w:val="20"/>
          <w:color w:val="auto"/>
        </w:rPr>
      </w:pPr>
      <w:r>
        <w:rPr>
          <w:rFonts w:ascii="Arial" w:cs="Arial" w:eastAsia="Arial" w:hAnsi="Arial"/>
          <w:sz w:val="19"/>
          <w:szCs w:val="19"/>
          <w:color w:val="auto"/>
        </w:rPr>
        <w:t>“Tranche 2 Facility Charge” means three-quarter percent (0.75%) of the Tranche 2 Advances funded, which is payable to the Lenders in accordance with Section 4.2(d).</w:t>
      </w:r>
    </w:p>
    <w:p>
      <w:pPr>
        <w:spacing w:after="0" w:line="147" w:lineRule="exact"/>
        <w:rPr>
          <w:sz w:val="20"/>
          <w:szCs w:val="20"/>
          <w:color w:val="auto"/>
        </w:rPr>
      </w:pPr>
    </w:p>
    <w:p>
      <w:pPr>
        <w:jc w:val="both"/>
        <w:ind w:right="20" w:firstLine="1132"/>
        <w:spacing w:after="0" w:line="256" w:lineRule="auto"/>
        <w:rPr>
          <w:sz w:val="20"/>
          <w:szCs w:val="20"/>
          <w:color w:val="auto"/>
        </w:rPr>
      </w:pPr>
      <w:r>
        <w:rPr>
          <w:rFonts w:ascii="Arial" w:cs="Arial" w:eastAsia="Arial" w:hAnsi="Arial"/>
          <w:sz w:val="19"/>
          <w:szCs w:val="19"/>
          <w:color w:val="auto"/>
        </w:rPr>
        <w:t>“Tranche 3 Facility Charge” means three-quarter percent (0.75%) of the Tranche 3 Advances funded, which is payable to the Lenders in accordance with Section 4.2(e).</w:t>
      </w:r>
    </w:p>
    <w:p>
      <w:pPr>
        <w:spacing w:after="0" w:line="147" w:lineRule="exact"/>
        <w:rPr>
          <w:sz w:val="20"/>
          <w:szCs w:val="20"/>
          <w:color w:val="auto"/>
        </w:rPr>
      </w:pPr>
    </w:p>
    <w:p>
      <w:pPr>
        <w:jc w:val="both"/>
        <w:ind w:firstLine="1132"/>
        <w:spacing w:after="0" w:line="244" w:lineRule="auto"/>
        <w:rPr>
          <w:sz w:val="20"/>
          <w:szCs w:val="20"/>
          <w:color w:val="auto"/>
        </w:rPr>
      </w:pPr>
      <w:r>
        <w:rPr>
          <w:rFonts w:ascii="Arial" w:cs="Arial" w:eastAsia="Arial" w:hAnsi="Arial"/>
          <w:sz w:val="19"/>
          <w:szCs w:val="19"/>
          <w:color w:val="auto"/>
        </w:rPr>
        <w:t>“Tranche 4 Draw Conditions” means (i) Borrower’s achievement of the AXS-05 Milestone or the AXS-07 Milestone and (ii) both before and after giving effect to any such Tranche 4 Advance, (a) the Net Product Revenue Ratio shall be no greater than 2.75:1.00 and (b) no Default or Event of Default shall have occurred and be continuing.</w:t>
      </w:r>
    </w:p>
    <w:p>
      <w:pPr>
        <w:spacing w:after="0" w:line="159" w:lineRule="exact"/>
        <w:rPr>
          <w:sz w:val="20"/>
          <w:szCs w:val="20"/>
          <w:color w:val="auto"/>
        </w:rPr>
      </w:pPr>
    </w:p>
    <w:p>
      <w:pPr>
        <w:jc w:val="both"/>
        <w:ind w:firstLine="1132"/>
        <w:spacing w:after="0" w:line="256" w:lineRule="auto"/>
        <w:rPr>
          <w:sz w:val="20"/>
          <w:szCs w:val="20"/>
          <w:color w:val="auto"/>
        </w:rPr>
      </w:pPr>
      <w:r>
        <w:rPr>
          <w:rFonts w:ascii="Arial" w:cs="Arial" w:eastAsia="Arial" w:hAnsi="Arial"/>
          <w:sz w:val="19"/>
          <w:szCs w:val="19"/>
          <w:color w:val="auto"/>
        </w:rPr>
        <w:t>“Tranche 4 Facility Charge” means one percent (1.00%) of the Tranche 4 Advances funded, which is payable to the Lenders in accordance with Section 4.2(f).</w:t>
      </w:r>
    </w:p>
    <w:p>
      <w:pPr>
        <w:spacing w:after="0" w:line="147" w:lineRule="exact"/>
        <w:rPr>
          <w:sz w:val="20"/>
          <w:szCs w:val="20"/>
          <w:color w:val="auto"/>
        </w:rPr>
      </w:pPr>
    </w:p>
    <w:p>
      <w:pPr>
        <w:jc w:val="both"/>
        <w:ind w:firstLine="1132"/>
        <w:spacing w:after="0" w:line="256" w:lineRule="auto"/>
        <w:rPr>
          <w:sz w:val="20"/>
          <w:szCs w:val="20"/>
          <w:color w:val="auto"/>
        </w:rPr>
      </w:pPr>
      <w:r>
        <w:rPr>
          <w:rFonts w:ascii="Arial" w:cs="Arial" w:eastAsia="Arial" w:hAnsi="Arial"/>
          <w:sz w:val="19"/>
          <w:szCs w:val="19"/>
          <w:color w:val="auto"/>
        </w:rPr>
        <w:t>“Tranche 5 Facility Charge” means one percent (1.00%) of the Tranche 5 Advances funded, which is payable to the Lenders in accordance with Section 4.2(g).</w:t>
      </w:r>
    </w:p>
    <w:p>
      <w:pPr>
        <w:spacing w:after="0" w:line="147" w:lineRule="exact"/>
        <w:rPr>
          <w:sz w:val="20"/>
          <w:szCs w:val="20"/>
          <w:color w:val="auto"/>
        </w:rPr>
      </w:pPr>
    </w:p>
    <w:p>
      <w:pPr>
        <w:jc w:val="both"/>
        <w:ind w:right="20" w:firstLine="1132"/>
        <w:spacing w:after="0" w:line="253" w:lineRule="auto"/>
        <w:rPr>
          <w:sz w:val="20"/>
          <w:szCs w:val="20"/>
          <w:color w:val="auto"/>
        </w:rPr>
      </w:pPr>
      <w:r>
        <w:rPr>
          <w:rFonts w:ascii="Arial" w:cs="Arial" w:eastAsia="Arial" w:hAnsi="Arial"/>
          <w:sz w:val="18"/>
          <w:szCs w:val="18"/>
          <w:color w:val="auto"/>
        </w:rPr>
        <w:t>“UCC” means the Uniform Commercial Code as the same is, from time to time, in effect in the State of California; provided, that in the event that, by reason of mandatory provisions of law, any or all of the attachment, perfection or priority of, or remedies with respect to, Agent’s Lien on any Collateral is governed by the Uniform Commercial Code as the same is, from time to time, in effect in a jurisdiction other than the State of California, then the term “UCC” shall mean the Uniform Commercial Code as in effect, from time to time, in such other jurisdiction solely for purposes of the provisions thereof relating to such attachment, perfection, priority or remedies and for purposes of definitions related to such provisions.</w:t>
      </w:r>
    </w:p>
    <w:p>
      <w:pPr>
        <w:spacing w:after="0" w:line="153"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“U.S. Person” means any Person that is a “United States person” as defined in Section 7701(a)(30) of the Code.</w:t>
      </w:r>
    </w:p>
    <w:p>
      <w:pPr>
        <w:spacing w:after="0" w:line="205" w:lineRule="exact"/>
        <w:rPr>
          <w:sz w:val="20"/>
          <w:szCs w:val="20"/>
          <w:color w:val="auto"/>
        </w:rPr>
      </w:pPr>
    </w:p>
    <w:p>
      <w:pPr>
        <w:jc w:val="both"/>
        <w:ind w:right="20" w:firstLine="1132"/>
        <w:spacing w:after="0" w:line="256" w:lineRule="auto"/>
        <w:rPr>
          <w:sz w:val="20"/>
          <w:szCs w:val="20"/>
          <w:color w:val="auto"/>
        </w:rPr>
      </w:pPr>
      <w:r>
        <w:rPr>
          <w:rFonts w:ascii="Arial" w:cs="Arial" w:eastAsia="Arial" w:hAnsi="Arial"/>
          <w:sz w:val="19"/>
          <w:szCs w:val="19"/>
          <w:color w:val="auto"/>
        </w:rPr>
        <w:t>“Warrant” means any warrant entered into in connection with the Loan, as may be amended, restated or modified from time to time.</w:t>
      </w:r>
    </w:p>
    <w:p>
      <w:pPr>
        <w:spacing w:after="0" w:line="147" w:lineRule="exact"/>
        <w:rPr>
          <w:sz w:val="20"/>
          <w:szCs w:val="20"/>
          <w:color w:val="auto"/>
        </w:rPr>
      </w:pPr>
    </w:p>
    <w:p>
      <w:pPr>
        <w:ind w:left="560"/>
        <w:spacing w:after="0"/>
        <w:tabs>
          <w:tab w:leader="none" w:pos="1240" w:val="left"/>
        </w:tabs>
        <w:rPr>
          <w:sz w:val="20"/>
          <w:szCs w:val="20"/>
          <w:color w:val="auto"/>
        </w:rPr>
      </w:pPr>
      <w:r>
        <w:rPr>
          <w:rFonts w:ascii="Arial" w:cs="Arial" w:eastAsia="Arial" w:hAnsi="Arial"/>
          <w:sz w:val="19"/>
          <w:szCs w:val="19"/>
          <w:color w:val="auto"/>
        </w:rPr>
        <w:t>1.2</w:t>
      </w:r>
      <w:r>
        <w:rPr>
          <w:sz w:val="20"/>
          <w:szCs w:val="20"/>
          <w:color w:val="auto"/>
        </w:rPr>
        <w:tab/>
      </w:r>
      <w:r>
        <w:rPr>
          <w:rFonts w:ascii="Arial" w:cs="Arial" w:eastAsia="Arial" w:hAnsi="Arial"/>
          <w:sz w:val="17"/>
          <w:szCs w:val="17"/>
          <w:color w:val="auto"/>
        </w:rPr>
        <w:t>The following terms are defined in the Sections or subsections referenced opposite such terms:</w:t>
      </w:r>
    </w:p>
    <w:p>
      <w:pPr>
        <w:sectPr>
          <w:pgSz w:w="11900" w:h="16838" w:orient="portrait"/>
          <w:cols w:equalWidth="0" w:num="1">
            <w:col w:w="9940"/>
          </w:cols>
          <w:pgMar w:left="980" w:top="781" w:right="979" w:bottom="1440" w:gutter="0" w:footer="0" w:header="0"/>
        </w:sectPr>
      </w:pPr>
    </w:p>
    <w:p>
      <w:pPr>
        <w:spacing w:after="0" w:line="200"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FFFFFF"/>
        </w:rPr>
        <w:t>Defined Term</w:t>
      </w:r>
    </w:p>
    <w:p>
      <w:pPr>
        <w:spacing w:after="0" w:line="51" w:lineRule="exact"/>
        <w:rPr>
          <w:sz w:val="20"/>
          <w:szCs w:val="20"/>
          <w:color w:val="auto"/>
        </w:rPr>
      </w:pPr>
    </w:p>
    <w:p>
      <w:pPr>
        <w:ind w:left="1100"/>
        <w:spacing w:after="0"/>
        <w:rPr>
          <w:sz w:val="20"/>
          <w:szCs w:val="20"/>
          <w:color w:val="auto"/>
        </w:rPr>
      </w:pPr>
      <w:r>
        <w:rPr>
          <w:rFonts w:ascii="Arial" w:cs="Arial" w:eastAsia="Arial" w:hAnsi="Arial"/>
          <w:sz w:val="19"/>
          <w:szCs w:val="19"/>
          <w:b w:val="1"/>
          <w:bCs w:val="1"/>
          <w:color w:val="auto"/>
        </w:rPr>
        <w:t>Agent</w:t>
      </w:r>
    </w:p>
    <w:p>
      <w:pPr>
        <w:spacing w:after="0" w:line="6" w:lineRule="exact"/>
        <w:rPr>
          <w:sz w:val="20"/>
          <w:szCs w:val="20"/>
          <w:color w:val="auto"/>
        </w:rPr>
      </w:pPr>
    </w:p>
    <w:p>
      <w:pPr>
        <w:ind w:left="1100"/>
        <w:spacing w:after="0"/>
        <w:rPr>
          <w:sz w:val="20"/>
          <w:szCs w:val="20"/>
          <w:color w:val="auto"/>
        </w:rPr>
      </w:pPr>
      <w:r>
        <w:rPr>
          <w:rFonts w:ascii="Arial" w:cs="Arial" w:eastAsia="Arial" w:hAnsi="Arial"/>
          <w:sz w:val="19"/>
          <w:szCs w:val="19"/>
          <w:b w:val="1"/>
          <w:bCs w:val="1"/>
          <w:color w:val="auto"/>
        </w:rPr>
        <w:t>Assignee</w:t>
      </w:r>
    </w:p>
    <w:p>
      <w:pPr>
        <w:spacing w:after="0" w:line="6" w:lineRule="exact"/>
        <w:rPr>
          <w:sz w:val="20"/>
          <w:szCs w:val="20"/>
          <w:color w:val="auto"/>
        </w:rPr>
      </w:pPr>
    </w:p>
    <w:p>
      <w:pPr>
        <w:ind w:left="1100"/>
        <w:spacing w:after="0"/>
        <w:rPr>
          <w:sz w:val="20"/>
          <w:szCs w:val="20"/>
          <w:color w:val="auto"/>
        </w:rPr>
      </w:pPr>
      <w:r>
        <w:rPr>
          <w:rFonts w:ascii="Arial" w:cs="Arial" w:eastAsia="Arial" w:hAnsi="Arial"/>
          <w:sz w:val="19"/>
          <w:szCs w:val="19"/>
          <w:b w:val="1"/>
          <w:bCs w:val="1"/>
          <w:color w:val="auto"/>
        </w:rPr>
        <w:t>Borrower</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b w:val="1"/>
          <w:bCs w:val="1"/>
          <w:color w:val="FFFFFF"/>
        </w:rPr>
        <w:t>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-2592070</wp:posOffset>
            </wp:positionH>
            <wp:positionV relativeFrom="paragraph">
              <wp:posOffset>-129540</wp:posOffset>
            </wp:positionV>
            <wp:extent cx="5053330" cy="5765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5053330" cy="57658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Preamble</w:t>
      </w:r>
    </w:p>
    <w:p>
      <w:pPr>
        <w:spacing w:after="0" w:line="40" w:lineRule="exact"/>
        <w:rPr>
          <w:sz w:val="20"/>
          <w:szCs w:val="20"/>
          <w:color w:val="auto"/>
        </w:rPr>
      </w:pPr>
    </w:p>
    <w:p>
      <w:pPr>
        <w:spacing w:after="0"/>
        <w:rPr>
          <w:sz w:val="20"/>
          <w:szCs w:val="20"/>
          <w:color w:val="auto"/>
        </w:rPr>
      </w:pPr>
      <w:r>
        <w:rPr>
          <w:rFonts w:ascii="Arial" w:cs="Arial" w:eastAsia="Arial" w:hAnsi="Arial"/>
          <w:sz w:val="19"/>
          <w:szCs w:val="19"/>
          <w:color w:val="auto"/>
        </w:rPr>
        <w:t>11.14</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Preamble</w:t>
      </w:r>
    </w:p>
    <w:p>
      <w:pPr>
        <w:spacing w:after="0" w:line="234" w:lineRule="exact"/>
        <w:rPr>
          <w:sz w:val="20"/>
          <w:szCs w:val="20"/>
          <w:color w:val="auto"/>
        </w:rPr>
      </w:pPr>
    </w:p>
    <w:p>
      <w:pPr>
        <w:sectPr>
          <w:pgSz w:w="11900" w:h="16838" w:orient="portrait"/>
          <w:cols w:equalWidth="0" w:num="2">
            <w:col w:w="4360" w:space="720"/>
            <w:col w:w="4860"/>
          </w:cols>
          <w:pgMar w:left="980" w:top="781" w:right="979" w:bottom="1440" w:gutter="0" w:footer="0" w:header="0"/>
          <w:type w:val="continuous"/>
        </w:sectPr>
      </w:pP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321945</wp:posOffset>
            </wp:positionV>
            <wp:extent cx="6311265" cy="2222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940"/>
          </w:cols>
          <w:pgMar w:left="980" w:top="781" w:right="979" w:bottom="1440" w:gutter="0" w:footer="0" w:header="0"/>
          <w:type w:val="continuous"/>
        </w:sectPr>
      </w:pPr>
    </w:p>
    <w:bookmarkStart w:id="131" w:name="page132"/>
    <w:bookmarkEnd w:id="131"/>
    <w:tbl>
      <w:tblPr>
        <w:tblLayout w:type="fixed"/>
        <w:tblInd w:w="990" w:type="dxa"/>
        <w:tblCellMar>
          <w:top w:w="0" w:type="dxa"/>
          <w:left w:w="0" w:type="dxa"/>
          <w:bottom w:w="0" w:type="dxa"/>
          <w:right w:w="0" w:type="dxa"/>
        </w:tblCellMar>
      </w:tblPr>
      <w:tr>
        <w:trPr>
          <w:trHeight w:val="224"/>
        </w:trPr>
        <w:tc>
          <w:tcPr>
            <w:tcW w:w="400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9"/>
                <w:szCs w:val="19"/>
                <w:b w:val="1"/>
                <w:bCs w:val="1"/>
                <w:color w:val="auto"/>
              </w:rPr>
              <w:t>Cash Interest Reduction Amount</w:t>
            </w:r>
          </w:p>
        </w:tc>
        <w:tc>
          <w:tcPr>
            <w:tcW w:w="398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2.2(c)(iii)</w:t>
            </w:r>
          </w:p>
        </w:tc>
      </w:tr>
      <w:tr>
        <w:trPr>
          <w:trHeight w:val="204"/>
        </w:trPr>
        <w:tc>
          <w:tcPr>
            <w:tcW w:w="4000" w:type="dxa"/>
            <w:vAlign w:val="bottom"/>
            <w:tcBorders>
              <w:left w:val="single" w:sz="8" w:color="auto"/>
              <w:bottom w:val="single" w:sz="8" w:color="auto"/>
              <w:right w:val="single" w:sz="8" w:color="auto"/>
            </w:tcBorders>
            <w:shd w:val="clear" w:color="auto" w:fill="CCCCCC"/>
          </w:tcPr>
          <w:p>
            <w:pPr>
              <w:ind w:left="120"/>
              <w:spacing w:after="0" w:line="204" w:lineRule="exact"/>
              <w:rPr>
                <w:sz w:val="20"/>
                <w:szCs w:val="20"/>
                <w:color w:val="auto"/>
              </w:rPr>
            </w:pPr>
            <w:r>
              <w:rPr>
                <w:rFonts w:ascii="Arial" w:cs="Arial" w:eastAsia="Arial" w:hAnsi="Arial"/>
                <w:sz w:val="19"/>
                <w:szCs w:val="19"/>
                <w:b w:val="1"/>
                <w:bCs w:val="1"/>
                <w:color w:val="auto"/>
              </w:rPr>
              <w:t>Claims</w:t>
            </w:r>
          </w:p>
        </w:tc>
        <w:tc>
          <w:tcPr>
            <w:tcW w:w="3980" w:type="dxa"/>
            <w:vAlign w:val="bottom"/>
            <w:tcBorders>
              <w:bottom w:val="single" w:sz="8" w:color="auto"/>
              <w:right w:val="single" w:sz="8" w:color="auto"/>
            </w:tcBorders>
            <w:shd w:val="clear" w:color="auto" w:fill="CCCCCC"/>
          </w:tcPr>
          <w:p>
            <w:pPr>
              <w:ind w:left="80"/>
              <w:spacing w:after="0" w:line="204" w:lineRule="exact"/>
              <w:rPr>
                <w:sz w:val="20"/>
                <w:szCs w:val="20"/>
                <w:color w:val="auto"/>
              </w:rPr>
            </w:pPr>
            <w:r>
              <w:rPr>
                <w:rFonts w:ascii="Arial" w:cs="Arial" w:eastAsia="Arial" w:hAnsi="Arial"/>
                <w:sz w:val="19"/>
                <w:szCs w:val="19"/>
                <w:color w:val="auto"/>
              </w:rPr>
              <w:t>11.11</w:t>
            </w:r>
          </w:p>
        </w:tc>
      </w:tr>
      <w:tr>
        <w:trPr>
          <w:trHeight w:val="204"/>
        </w:trPr>
        <w:tc>
          <w:tcPr>
            <w:tcW w:w="4000" w:type="dxa"/>
            <w:vAlign w:val="bottom"/>
            <w:tcBorders>
              <w:left w:val="single" w:sz="8" w:color="auto"/>
              <w:bottom w:val="single" w:sz="8" w:color="auto"/>
              <w:right w:val="single" w:sz="8" w:color="auto"/>
            </w:tcBorders>
          </w:tcPr>
          <w:p>
            <w:pPr>
              <w:ind w:left="120"/>
              <w:spacing w:after="0" w:line="204" w:lineRule="exact"/>
              <w:rPr>
                <w:sz w:val="20"/>
                <w:szCs w:val="20"/>
                <w:color w:val="auto"/>
              </w:rPr>
            </w:pPr>
            <w:r>
              <w:rPr>
                <w:rFonts w:ascii="Arial" w:cs="Arial" w:eastAsia="Arial" w:hAnsi="Arial"/>
                <w:sz w:val="19"/>
                <w:szCs w:val="19"/>
                <w:b w:val="1"/>
                <w:bCs w:val="1"/>
                <w:color w:val="auto"/>
              </w:rPr>
              <w:t>Collateral</w:t>
            </w:r>
          </w:p>
        </w:tc>
        <w:tc>
          <w:tcPr>
            <w:tcW w:w="3980" w:type="dxa"/>
            <w:vAlign w:val="bottom"/>
            <w:tcBorders>
              <w:bottom w:val="single" w:sz="8" w:color="auto"/>
              <w:right w:val="single" w:sz="8" w:color="auto"/>
            </w:tcBorders>
          </w:tcPr>
          <w:p>
            <w:pPr>
              <w:ind w:left="80"/>
              <w:spacing w:after="0" w:line="204" w:lineRule="exact"/>
              <w:rPr>
                <w:sz w:val="20"/>
                <w:szCs w:val="20"/>
                <w:color w:val="auto"/>
              </w:rPr>
            </w:pPr>
            <w:r>
              <w:rPr>
                <w:rFonts w:ascii="Arial" w:cs="Arial" w:eastAsia="Arial" w:hAnsi="Arial"/>
                <w:sz w:val="19"/>
                <w:szCs w:val="19"/>
                <w:color w:val="auto"/>
              </w:rPr>
              <w:t>3.1</w:t>
            </w:r>
          </w:p>
        </w:tc>
      </w:tr>
      <w:tr>
        <w:trPr>
          <w:trHeight w:val="204"/>
        </w:trPr>
        <w:tc>
          <w:tcPr>
            <w:tcW w:w="4000" w:type="dxa"/>
            <w:vAlign w:val="bottom"/>
            <w:tcBorders>
              <w:left w:val="single" w:sz="8" w:color="auto"/>
              <w:bottom w:val="single" w:sz="8" w:color="auto"/>
              <w:right w:val="single" w:sz="8" w:color="auto"/>
            </w:tcBorders>
            <w:shd w:val="clear" w:color="auto" w:fill="CCCCCC"/>
          </w:tcPr>
          <w:p>
            <w:pPr>
              <w:ind w:left="120"/>
              <w:spacing w:after="0" w:line="204" w:lineRule="exact"/>
              <w:rPr>
                <w:sz w:val="20"/>
                <w:szCs w:val="20"/>
                <w:color w:val="auto"/>
              </w:rPr>
            </w:pPr>
            <w:r>
              <w:rPr>
                <w:rFonts w:ascii="Arial" w:cs="Arial" w:eastAsia="Arial" w:hAnsi="Arial"/>
                <w:sz w:val="19"/>
                <w:szCs w:val="19"/>
                <w:b w:val="1"/>
                <w:bCs w:val="1"/>
                <w:color w:val="auto"/>
              </w:rPr>
              <w:t>Confidential Information</w:t>
            </w:r>
          </w:p>
        </w:tc>
        <w:tc>
          <w:tcPr>
            <w:tcW w:w="3980" w:type="dxa"/>
            <w:vAlign w:val="bottom"/>
            <w:tcBorders>
              <w:bottom w:val="single" w:sz="8" w:color="auto"/>
              <w:right w:val="single" w:sz="8" w:color="auto"/>
            </w:tcBorders>
            <w:shd w:val="clear" w:color="auto" w:fill="CCCCCC"/>
          </w:tcPr>
          <w:p>
            <w:pPr>
              <w:ind w:left="80"/>
              <w:spacing w:after="0" w:line="204" w:lineRule="exact"/>
              <w:rPr>
                <w:sz w:val="20"/>
                <w:szCs w:val="20"/>
                <w:color w:val="auto"/>
              </w:rPr>
            </w:pPr>
            <w:r>
              <w:rPr>
                <w:rFonts w:ascii="Arial" w:cs="Arial" w:eastAsia="Arial" w:hAnsi="Arial"/>
                <w:sz w:val="19"/>
                <w:szCs w:val="19"/>
                <w:color w:val="auto"/>
              </w:rPr>
              <w:t>11.13</w:t>
            </w:r>
          </w:p>
        </w:tc>
      </w:tr>
      <w:tr>
        <w:trPr>
          <w:trHeight w:val="204"/>
        </w:trPr>
        <w:tc>
          <w:tcPr>
            <w:tcW w:w="4000" w:type="dxa"/>
            <w:vAlign w:val="bottom"/>
            <w:tcBorders>
              <w:left w:val="single" w:sz="8" w:color="auto"/>
              <w:bottom w:val="single" w:sz="8" w:color="auto"/>
              <w:right w:val="single" w:sz="8" w:color="auto"/>
            </w:tcBorders>
          </w:tcPr>
          <w:p>
            <w:pPr>
              <w:ind w:left="120"/>
              <w:spacing w:after="0" w:line="204" w:lineRule="exact"/>
              <w:rPr>
                <w:sz w:val="20"/>
                <w:szCs w:val="20"/>
                <w:color w:val="auto"/>
              </w:rPr>
            </w:pPr>
            <w:r>
              <w:rPr>
                <w:rFonts w:ascii="Arial" w:cs="Arial" w:eastAsia="Arial" w:hAnsi="Arial"/>
                <w:sz w:val="19"/>
                <w:szCs w:val="19"/>
                <w:b w:val="1"/>
                <w:bCs w:val="1"/>
                <w:color w:val="auto"/>
              </w:rPr>
              <w:t>Current Company IP</w:t>
            </w:r>
          </w:p>
        </w:tc>
        <w:tc>
          <w:tcPr>
            <w:tcW w:w="3980" w:type="dxa"/>
            <w:vAlign w:val="bottom"/>
            <w:tcBorders>
              <w:bottom w:val="single" w:sz="8" w:color="auto"/>
              <w:right w:val="single" w:sz="8" w:color="auto"/>
            </w:tcBorders>
          </w:tcPr>
          <w:p>
            <w:pPr>
              <w:ind w:left="80"/>
              <w:spacing w:after="0" w:line="204" w:lineRule="exact"/>
              <w:rPr>
                <w:sz w:val="20"/>
                <w:szCs w:val="20"/>
                <w:color w:val="auto"/>
              </w:rPr>
            </w:pPr>
            <w:r>
              <w:rPr>
                <w:rFonts w:ascii="Arial" w:cs="Arial" w:eastAsia="Arial" w:hAnsi="Arial"/>
                <w:sz w:val="19"/>
                <w:szCs w:val="19"/>
                <w:color w:val="auto"/>
              </w:rPr>
              <w:t>5.10(a)</w:t>
            </w:r>
          </w:p>
        </w:tc>
      </w:tr>
      <w:tr>
        <w:trPr>
          <w:trHeight w:val="204"/>
        </w:trPr>
        <w:tc>
          <w:tcPr>
            <w:tcW w:w="4000" w:type="dxa"/>
            <w:vAlign w:val="bottom"/>
            <w:tcBorders>
              <w:left w:val="single" w:sz="8" w:color="auto"/>
              <w:bottom w:val="single" w:sz="8" w:color="auto"/>
              <w:right w:val="single" w:sz="8" w:color="auto"/>
            </w:tcBorders>
            <w:shd w:val="clear" w:color="auto" w:fill="CCCCCC"/>
          </w:tcPr>
          <w:p>
            <w:pPr>
              <w:ind w:left="120"/>
              <w:spacing w:after="0" w:line="204" w:lineRule="exact"/>
              <w:rPr>
                <w:sz w:val="20"/>
                <w:szCs w:val="20"/>
                <w:color w:val="auto"/>
              </w:rPr>
            </w:pPr>
            <w:r>
              <w:rPr>
                <w:rFonts w:ascii="Arial" w:cs="Arial" w:eastAsia="Arial" w:hAnsi="Arial"/>
                <w:sz w:val="19"/>
                <w:szCs w:val="19"/>
                <w:b w:val="1"/>
                <w:bCs w:val="1"/>
                <w:color w:val="auto"/>
              </w:rPr>
              <w:t>End of Term Charge</w:t>
            </w:r>
          </w:p>
        </w:tc>
        <w:tc>
          <w:tcPr>
            <w:tcW w:w="3980" w:type="dxa"/>
            <w:vAlign w:val="bottom"/>
            <w:tcBorders>
              <w:bottom w:val="single" w:sz="8" w:color="auto"/>
              <w:right w:val="single" w:sz="8" w:color="auto"/>
            </w:tcBorders>
            <w:shd w:val="clear" w:color="auto" w:fill="CCCCCC"/>
          </w:tcPr>
          <w:p>
            <w:pPr>
              <w:ind w:left="80"/>
              <w:spacing w:after="0" w:line="204" w:lineRule="exact"/>
              <w:rPr>
                <w:sz w:val="20"/>
                <w:szCs w:val="20"/>
                <w:color w:val="auto"/>
              </w:rPr>
            </w:pPr>
            <w:r>
              <w:rPr>
                <w:rFonts w:ascii="Arial" w:cs="Arial" w:eastAsia="Arial" w:hAnsi="Arial"/>
                <w:sz w:val="19"/>
                <w:szCs w:val="19"/>
                <w:color w:val="auto"/>
              </w:rPr>
              <w:t>2.6</w:t>
            </w:r>
          </w:p>
        </w:tc>
      </w:tr>
      <w:tr>
        <w:trPr>
          <w:trHeight w:val="204"/>
        </w:trPr>
        <w:tc>
          <w:tcPr>
            <w:tcW w:w="4000" w:type="dxa"/>
            <w:vAlign w:val="bottom"/>
            <w:tcBorders>
              <w:left w:val="single" w:sz="8" w:color="auto"/>
              <w:bottom w:val="single" w:sz="8" w:color="auto"/>
              <w:right w:val="single" w:sz="8" w:color="auto"/>
            </w:tcBorders>
          </w:tcPr>
          <w:p>
            <w:pPr>
              <w:ind w:left="120"/>
              <w:spacing w:after="0" w:line="204" w:lineRule="exact"/>
              <w:rPr>
                <w:sz w:val="20"/>
                <w:szCs w:val="20"/>
                <w:color w:val="auto"/>
              </w:rPr>
            </w:pPr>
            <w:r>
              <w:rPr>
                <w:rFonts w:ascii="Arial" w:cs="Arial" w:eastAsia="Arial" w:hAnsi="Arial"/>
                <w:sz w:val="19"/>
                <w:szCs w:val="19"/>
                <w:b w:val="1"/>
                <w:bCs w:val="1"/>
                <w:color w:val="auto"/>
              </w:rPr>
              <w:t>Event of Default</w:t>
            </w:r>
          </w:p>
        </w:tc>
        <w:tc>
          <w:tcPr>
            <w:tcW w:w="3980" w:type="dxa"/>
            <w:vAlign w:val="bottom"/>
            <w:tcBorders>
              <w:bottom w:val="single" w:sz="8" w:color="auto"/>
              <w:right w:val="single" w:sz="8" w:color="auto"/>
            </w:tcBorders>
          </w:tcPr>
          <w:p>
            <w:pPr>
              <w:ind w:left="80"/>
              <w:spacing w:after="0" w:line="204" w:lineRule="exact"/>
              <w:rPr>
                <w:sz w:val="20"/>
                <w:szCs w:val="20"/>
                <w:color w:val="auto"/>
              </w:rPr>
            </w:pPr>
            <w:r>
              <w:rPr>
                <w:rFonts w:ascii="Arial" w:cs="Arial" w:eastAsia="Arial" w:hAnsi="Arial"/>
                <w:sz w:val="19"/>
                <w:szCs w:val="19"/>
                <w:color w:val="auto"/>
              </w:rPr>
              <w:t>9</w:t>
            </w:r>
          </w:p>
        </w:tc>
      </w:tr>
      <w:tr>
        <w:trPr>
          <w:trHeight w:val="204"/>
        </w:trPr>
        <w:tc>
          <w:tcPr>
            <w:tcW w:w="4000" w:type="dxa"/>
            <w:vAlign w:val="bottom"/>
            <w:tcBorders>
              <w:left w:val="single" w:sz="8" w:color="auto"/>
              <w:bottom w:val="single" w:sz="8" w:color="auto"/>
              <w:right w:val="single" w:sz="8" w:color="auto"/>
            </w:tcBorders>
            <w:shd w:val="clear" w:color="auto" w:fill="CCCCCC"/>
          </w:tcPr>
          <w:p>
            <w:pPr>
              <w:ind w:left="120"/>
              <w:spacing w:after="0" w:line="204" w:lineRule="exact"/>
              <w:rPr>
                <w:sz w:val="20"/>
                <w:szCs w:val="20"/>
                <w:color w:val="auto"/>
              </w:rPr>
            </w:pPr>
            <w:r>
              <w:rPr>
                <w:rFonts w:ascii="Arial" w:cs="Arial" w:eastAsia="Arial" w:hAnsi="Arial"/>
                <w:sz w:val="19"/>
                <w:szCs w:val="19"/>
                <w:b w:val="1"/>
                <w:bCs w:val="1"/>
                <w:color w:val="auto"/>
              </w:rPr>
              <w:t>Financial Statements</w:t>
            </w:r>
          </w:p>
        </w:tc>
        <w:tc>
          <w:tcPr>
            <w:tcW w:w="3980" w:type="dxa"/>
            <w:vAlign w:val="bottom"/>
            <w:tcBorders>
              <w:bottom w:val="single" w:sz="8" w:color="auto"/>
              <w:right w:val="single" w:sz="8" w:color="auto"/>
            </w:tcBorders>
            <w:shd w:val="clear" w:color="auto" w:fill="CCCCCC"/>
          </w:tcPr>
          <w:p>
            <w:pPr>
              <w:ind w:left="80"/>
              <w:spacing w:after="0" w:line="204" w:lineRule="exact"/>
              <w:rPr>
                <w:sz w:val="20"/>
                <w:szCs w:val="20"/>
                <w:color w:val="auto"/>
              </w:rPr>
            </w:pPr>
            <w:r>
              <w:rPr>
                <w:rFonts w:ascii="Arial" w:cs="Arial" w:eastAsia="Arial" w:hAnsi="Arial"/>
                <w:sz w:val="19"/>
                <w:szCs w:val="19"/>
                <w:color w:val="auto"/>
              </w:rPr>
              <w:t>7.1</w:t>
            </w:r>
          </w:p>
        </w:tc>
      </w:tr>
      <w:tr>
        <w:trPr>
          <w:trHeight w:val="204"/>
        </w:trPr>
        <w:tc>
          <w:tcPr>
            <w:tcW w:w="4000" w:type="dxa"/>
            <w:vAlign w:val="bottom"/>
            <w:tcBorders>
              <w:left w:val="single" w:sz="8" w:color="auto"/>
              <w:bottom w:val="single" w:sz="8" w:color="auto"/>
              <w:right w:val="single" w:sz="8" w:color="auto"/>
            </w:tcBorders>
          </w:tcPr>
          <w:p>
            <w:pPr>
              <w:ind w:left="120"/>
              <w:spacing w:after="0" w:line="204" w:lineRule="exact"/>
              <w:rPr>
                <w:sz w:val="20"/>
                <w:szCs w:val="20"/>
                <w:color w:val="auto"/>
              </w:rPr>
            </w:pPr>
            <w:r>
              <w:rPr>
                <w:rFonts w:ascii="Arial" w:cs="Arial" w:eastAsia="Arial" w:hAnsi="Arial"/>
                <w:sz w:val="19"/>
                <w:szCs w:val="19"/>
                <w:b w:val="1"/>
                <w:bCs w:val="1"/>
                <w:color w:val="auto"/>
              </w:rPr>
              <w:t>Indemnified Person</w:t>
            </w:r>
          </w:p>
        </w:tc>
        <w:tc>
          <w:tcPr>
            <w:tcW w:w="3980" w:type="dxa"/>
            <w:vAlign w:val="bottom"/>
            <w:tcBorders>
              <w:bottom w:val="single" w:sz="8" w:color="auto"/>
              <w:right w:val="single" w:sz="8" w:color="auto"/>
            </w:tcBorders>
          </w:tcPr>
          <w:p>
            <w:pPr>
              <w:ind w:left="80"/>
              <w:spacing w:after="0" w:line="204" w:lineRule="exact"/>
              <w:rPr>
                <w:sz w:val="20"/>
                <w:szCs w:val="20"/>
                <w:color w:val="auto"/>
              </w:rPr>
            </w:pPr>
            <w:r>
              <w:rPr>
                <w:rFonts w:ascii="Arial" w:cs="Arial" w:eastAsia="Arial" w:hAnsi="Arial"/>
                <w:sz w:val="19"/>
                <w:szCs w:val="19"/>
                <w:color w:val="auto"/>
              </w:rPr>
              <w:t>6.3</w:t>
            </w:r>
          </w:p>
        </w:tc>
      </w:tr>
      <w:tr>
        <w:trPr>
          <w:trHeight w:val="204"/>
        </w:trPr>
        <w:tc>
          <w:tcPr>
            <w:tcW w:w="4000" w:type="dxa"/>
            <w:vAlign w:val="bottom"/>
            <w:tcBorders>
              <w:left w:val="single" w:sz="8" w:color="auto"/>
              <w:bottom w:val="single" w:sz="8" w:color="auto"/>
              <w:right w:val="single" w:sz="8" w:color="auto"/>
            </w:tcBorders>
            <w:shd w:val="clear" w:color="auto" w:fill="CCCCCC"/>
          </w:tcPr>
          <w:p>
            <w:pPr>
              <w:ind w:left="120"/>
              <w:spacing w:after="0" w:line="204" w:lineRule="exact"/>
              <w:rPr>
                <w:sz w:val="20"/>
                <w:szCs w:val="20"/>
                <w:color w:val="auto"/>
              </w:rPr>
            </w:pPr>
            <w:r>
              <w:rPr>
                <w:rFonts w:ascii="Arial" w:cs="Arial" w:eastAsia="Arial" w:hAnsi="Arial"/>
                <w:sz w:val="19"/>
                <w:szCs w:val="19"/>
                <w:b w:val="1"/>
                <w:bCs w:val="1"/>
                <w:color w:val="auto"/>
              </w:rPr>
              <w:t>Lenders</w:t>
            </w:r>
          </w:p>
        </w:tc>
        <w:tc>
          <w:tcPr>
            <w:tcW w:w="3980" w:type="dxa"/>
            <w:vAlign w:val="bottom"/>
            <w:tcBorders>
              <w:bottom w:val="single" w:sz="8" w:color="auto"/>
              <w:right w:val="single" w:sz="8" w:color="auto"/>
            </w:tcBorders>
            <w:shd w:val="clear" w:color="auto" w:fill="CCCCCC"/>
          </w:tcPr>
          <w:p>
            <w:pPr>
              <w:ind w:left="80"/>
              <w:spacing w:after="0" w:line="204" w:lineRule="exact"/>
              <w:rPr>
                <w:sz w:val="20"/>
                <w:szCs w:val="20"/>
                <w:color w:val="auto"/>
              </w:rPr>
            </w:pPr>
            <w:r>
              <w:rPr>
                <w:rFonts w:ascii="Arial" w:cs="Arial" w:eastAsia="Arial" w:hAnsi="Arial"/>
                <w:sz w:val="19"/>
                <w:szCs w:val="19"/>
                <w:color w:val="auto"/>
              </w:rPr>
              <w:t>Preamble</w:t>
            </w:r>
          </w:p>
        </w:tc>
      </w:tr>
      <w:tr>
        <w:trPr>
          <w:trHeight w:val="204"/>
        </w:trPr>
        <w:tc>
          <w:tcPr>
            <w:tcW w:w="4000" w:type="dxa"/>
            <w:vAlign w:val="bottom"/>
            <w:tcBorders>
              <w:left w:val="single" w:sz="8" w:color="auto"/>
              <w:bottom w:val="single" w:sz="8" w:color="auto"/>
              <w:right w:val="single" w:sz="8" w:color="auto"/>
            </w:tcBorders>
          </w:tcPr>
          <w:p>
            <w:pPr>
              <w:ind w:left="120"/>
              <w:spacing w:after="0" w:line="204" w:lineRule="exact"/>
              <w:rPr>
                <w:sz w:val="20"/>
                <w:szCs w:val="20"/>
                <w:color w:val="auto"/>
              </w:rPr>
            </w:pPr>
            <w:r>
              <w:rPr>
                <w:rFonts w:ascii="Arial" w:cs="Arial" w:eastAsia="Arial" w:hAnsi="Arial"/>
                <w:sz w:val="19"/>
                <w:szCs w:val="19"/>
                <w:b w:val="1"/>
                <w:bCs w:val="1"/>
                <w:color w:val="auto"/>
              </w:rPr>
              <w:t>Liabilities</w:t>
            </w:r>
          </w:p>
        </w:tc>
        <w:tc>
          <w:tcPr>
            <w:tcW w:w="3980" w:type="dxa"/>
            <w:vAlign w:val="bottom"/>
            <w:tcBorders>
              <w:bottom w:val="single" w:sz="8" w:color="auto"/>
              <w:right w:val="single" w:sz="8" w:color="auto"/>
            </w:tcBorders>
          </w:tcPr>
          <w:p>
            <w:pPr>
              <w:ind w:left="80"/>
              <w:spacing w:after="0" w:line="204" w:lineRule="exact"/>
              <w:rPr>
                <w:sz w:val="20"/>
                <w:szCs w:val="20"/>
                <w:color w:val="auto"/>
              </w:rPr>
            </w:pPr>
            <w:r>
              <w:rPr>
                <w:rFonts w:ascii="Arial" w:cs="Arial" w:eastAsia="Arial" w:hAnsi="Arial"/>
                <w:sz w:val="19"/>
                <w:szCs w:val="19"/>
                <w:color w:val="auto"/>
              </w:rPr>
              <w:t>6.3</w:t>
            </w:r>
          </w:p>
        </w:tc>
      </w:tr>
      <w:tr>
        <w:trPr>
          <w:trHeight w:val="204"/>
        </w:trPr>
        <w:tc>
          <w:tcPr>
            <w:tcW w:w="4000" w:type="dxa"/>
            <w:vAlign w:val="bottom"/>
            <w:tcBorders>
              <w:left w:val="single" w:sz="8" w:color="auto"/>
              <w:bottom w:val="single" w:sz="8" w:color="auto"/>
              <w:right w:val="single" w:sz="8" w:color="auto"/>
            </w:tcBorders>
            <w:shd w:val="clear" w:color="auto" w:fill="CCCCCC"/>
          </w:tcPr>
          <w:p>
            <w:pPr>
              <w:ind w:left="120"/>
              <w:spacing w:after="0" w:line="204" w:lineRule="exact"/>
              <w:rPr>
                <w:sz w:val="20"/>
                <w:szCs w:val="20"/>
                <w:color w:val="auto"/>
              </w:rPr>
            </w:pPr>
            <w:r>
              <w:rPr>
                <w:rFonts w:ascii="Arial" w:cs="Arial" w:eastAsia="Arial" w:hAnsi="Arial"/>
                <w:sz w:val="19"/>
                <w:szCs w:val="19"/>
                <w:b w:val="1"/>
                <w:bCs w:val="1"/>
                <w:color w:val="auto"/>
              </w:rPr>
              <w:t>Maximum Rate</w:t>
            </w:r>
          </w:p>
        </w:tc>
        <w:tc>
          <w:tcPr>
            <w:tcW w:w="3980" w:type="dxa"/>
            <w:vAlign w:val="bottom"/>
            <w:tcBorders>
              <w:bottom w:val="single" w:sz="8" w:color="auto"/>
              <w:right w:val="single" w:sz="8" w:color="auto"/>
            </w:tcBorders>
            <w:shd w:val="clear" w:color="auto" w:fill="CCCCCC"/>
          </w:tcPr>
          <w:p>
            <w:pPr>
              <w:ind w:left="80"/>
              <w:spacing w:after="0" w:line="204" w:lineRule="exact"/>
              <w:rPr>
                <w:sz w:val="20"/>
                <w:szCs w:val="20"/>
                <w:color w:val="auto"/>
              </w:rPr>
            </w:pPr>
            <w:r>
              <w:rPr>
                <w:rFonts w:ascii="Arial" w:cs="Arial" w:eastAsia="Arial" w:hAnsi="Arial"/>
                <w:sz w:val="19"/>
                <w:szCs w:val="19"/>
                <w:color w:val="auto"/>
              </w:rPr>
              <w:t>2.3</w:t>
            </w:r>
          </w:p>
        </w:tc>
      </w:tr>
      <w:tr>
        <w:trPr>
          <w:trHeight w:val="204"/>
        </w:trPr>
        <w:tc>
          <w:tcPr>
            <w:tcW w:w="4000" w:type="dxa"/>
            <w:vAlign w:val="bottom"/>
            <w:tcBorders>
              <w:left w:val="single" w:sz="8" w:color="auto"/>
              <w:bottom w:val="single" w:sz="8" w:color="auto"/>
              <w:right w:val="single" w:sz="8" w:color="auto"/>
            </w:tcBorders>
          </w:tcPr>
          <w:p>
            <w:pPr>
              <w:ind w:left="120"/>
              <w:spacing w:after="0" w:line="204" w:lineRule="exact"/>
              <w:rPr>
                <w:sz w:val="20"/>
                <w:szCs w:val="20"/>
                <w:color w:val="auto"/>
              </w:rPr>
            </w:pPr>
            <w:r>
              <w:rPr>
                <w:rFonts w:ascii="Arial" w:cs="Arial" w:eastAsia="Arial" w:hAnsi="Arial"/>
                <w:sz w:val="19"/>
                <w:szCs w:val="19"/>
                <w:b w:val="1"/>
                <w:bCs w:val="1"/>
                <w:color w:val="auto"/>
              </w:rPr>
              <w:t>Open Source License</w:t>
            </w:r>
          </w:p>
        </w:tc>
        <w:tc>
          <w:tcPr>
            <w:tcW w:w="3980" w:type="dxa"/>
            <w:vAlign w:val="bottom"/>
            <w:tcBorders>
              <w:bottom w:val="single" w:sz="8" w:color="auto"/>
              <w:right w:val="single" w:sz="8" w:color="auto"/>
            </w:tcBorders>
          </w:tcPr>
          <w:p>
            <w:pPr>
              <w:ind w:left="80"/>
              <w:spacing w:after="0" w:line="204" w:lineRule="exact"/>
              <w:rPr>
                <w:sz w:val="20"/>
                <w:szCs w:val="20"/>
                <w:color w:val="auto"/>
              </w:rPr>
            </w:pPr>
            <w:r>
              <w:rPr>
                <w:rFonts w:ascii="Arial" w:cs="Arial" w:eastAsia="Arial" w:hAnsi="Arial"/>
                <w:sz w:val="19"/>
                <w:szCs w:val="19"/>
                <w:color w:val="auto"/>
              </w:rPr>
              <w:t>5.10(p)</w:t>
            </w:r>
          </w:p>
        </w:tc>
      </w:tr>
      <w:tr>
        <w:trPr>
          <w:trHeight w:val="204"/>
        </w:trPr>
        <w:tc>
          <w:tcPr>
            <w:tcW w:w="4000" w:type="dxa"/>
            <w:vAlign w:val="bottom"/>
            <w:tcBorders>
              <w:left w:val="single" w:sz="8" w:color="auto"/>
              <w:bottom w:val="single" w:sz="8" w:color="auto"/>
              <w:right w:val="single" w:sz="8" w:color="auto"/>
            </w:tcBorders>
            <w:shd w:val="clear" w:color="auto" w:fill="CCCCCC"/>
          </w:tcPr>
          <w:p>
            <w:pPr>
              <w:ind w:left="80"/>
              <w:spacing w:after="0" w:line="204" w:lineRule="exact"/>
              <w:rPr>
                <w:sz w:val="20"/>
                <w:szCs w:val="20"/>
                <w:color w:val="auto"/>
              </w:rPr>
            </w:pPr>
            <w:r>
              <w:rPr>
                <w:rFonts w:ascii="Arial" w:cs="Arial" w:eastAsia="Arial" w:hAnsi="Arial"/>
                <w:sz w:val="19"/>
                <w:szCs w:val="19"/>
                <w:b w:val="1"/>
                <w:bCs w:val="1"/>
                <w:color w:val="auto"/>
              </w:rPr>
              <w:t>Participant Register</w:t>
            </w:r>
          </w:p>
        </w:tc>
        <w:tc>
          <w:tcPr>
            <w:tcW w:w="3980" w:type="dxa"/>
            <w:vAlign w:val="bottom"/>
            <w:tcBorders>
              <w:bottom w:val="single" w:sz="8" w:color="auto"/>
              <w:right w:val="single" w:sz="8" w:color="auto"/>
            </w:tcBorders>
            <w:shd w:val="clear" w:color="auto" w:fill="CCCCCC"/>
          </w:tcPr>
          <w:p>
            <w:pPr>
              <w:ind w:left="60"/>
              <w:spacing w:after="0" w:line="204" w:lineRule="exact"/>
              <w:rPr>
                <w:sz w:val="20"/>
                <w:szCs w:val="20"/>
                <w:color w:val="auto"/>
              </w:rPr>
            </w:pPr>
            <w:r>
              <w:rPr>
                <w:rFonts w:ascii="Arial" w:cs="Arial" w:eastAsia="Arial" w:hAnsi="Arial"/>
                <w:sz w:val="19"/>
                <w:szCs w:val="19"/>
                <w:color w:val="auto"/>
              </w:rPr>
              <w:t>11.8</w:t>
            </w:r>
          </w:p>
        </w:tc>
      </w:tr>
      <w:tr>
        <w:trPr>
          <w:trHeight w:val="204"/>
        </w:trPr>
        <w:tc>
          <w:tcPr>
            <w:tcW w:w="4000" w:type="dxa"/>
            <w:vAlign w:val="bottom"/>
            <w:tcBorders>
              <w:left w:val="single" w:sz="8" w:color="auto"/>
              <w:bottom w:val="single" w:sz="8" w:color="auto"/>
              <w:right w:val="single" w:sz="8" w:color="auto"/>
            </w:tcBorders>
          </w:tcPr>
          <w:p>
            <w:pPr>
              <w:ind w:left="80"/>
              <w:spacing w:after="0" w:line="204" w:lineRule="exact"/>
              <w:rPr>
                <w:sz w:val="20"/>
                <w:szCs w:val="20"/>
                <w:color w:val="auto"/>
              </w:rPr>
            </w:pPr>
            <w:r>
              <w:rPr>
                <w:rFonts w:ascii="Arial" w:cs="Arial" w:eastAsia="Arial" w:hAnsi="Arial"/>
                <w:sz w:val="19"/>
                <w:szCs w:val="19"/>
                <w:b w:val="1"/>
                <w:bCs w:val="1"/>
                <w:color w:val="auto"/>
              </w:rPr>
              <w:t>PIK Deferral Period</w:t>
            </w:r>
          </w:p>
        </w:tc>
        <w:tc>
          <w:tcPr>
            <w:tcW w:w="3980" w:type="dxa"/>
            <w:vAlign w:val="bottom"/>
            <w:tcBorders>
              <w:bottom w:val="single" w:sz="8" w:color="auto"/>
              <w:right w:val="single" w:sz="8" w:color="auto"/>
            </w:tcBorders>
          </w:tcPr>
          <w:p>
            <w:pPr>
              <w:ind w:left="60"/>
              <w:spacing w:after="0" w:line="204" w:lineRule="exact"/>
              <w:rPr>
                <w:sz w:val="20"/>
                <w:szCs w:val="20"/>
                <w:color w:val="auto"/>
              </w:rPr>
            </w:pPr>
            <w:r>
              <w:rPr>
                <w:rFonts w:ascii="Arial" w:cs="Arial" w:eastAsia="Arial" w:hAnsi="Arial"/>
                <w:sz w:val="19"/>
                <w:szCs w:val="19"/>
                <w:color w:val="auto"/>
              </w:rPr>
              <w:t>2.2(c)(iii)</w:t>
            </w:r>
          </w:p>
        </w:tc>
      </w:tr>
      <w:tr>
        <w:trPr>
          <w:trHeight w:val="204"/>
        </w:trPr>
        <w:tc>
          <w:tcPr>
            <w:tcW w:w="4000" w:type="dxa"/>
            <w:vAlign w:val="bottom"/>
            <w:tcBorders>
              <w:left w:val="single" w:sz="8" w:color="auto"/>
              <w:bottom w:val="single" w:sz="8" w:color="auto"/>
              <w:right w:val="single" w:sz="8" w:color="auto"/>
            </w:tcBorders>
            <w:shd w:val="clear" w:color="auto" w:fill="CCCCCC"/>
          </w:tcPr>
          <w:p>
            <w:pPr>
              <w:ind w:left="80"/>
              <w:spacing w:after="0" w:line="204" w:lineRule="exact"/>
              <w:rPr>
                <w:sz w:val="20"/>
                <w:szCs w:val="20"/>
                <w:color w:val="auto"/>
              </w:rPr>
            </w:pPr>
            <w:r>
              <w:rPr>
                <w:rFonts w:ascii="Arial" w:cs="Arial" w:eastAsia="Arial" w:hAnsi="Arial"/>
                <w:sz w:val="19"/>
                <w:szCs w:val="19"/>
                <w:b w:val="1"/>
                <w:bCs w:val="1"/>
                <w:color w:val="auto"/>
              </w:rPr>
              <w:t>Prepayment Charge</w:t>
            </w:r>
          </w:p>
        </w:tc>
        <w:tc>
          <w:tcPr>
            <w:tcW w:w="3980" w:type="dxa"/>
            <w:vAlign w:val="bottom"/>
            <w:tcBorders>
              <w:bottom w:val="single" w:sz="8" w:color="auto"/>
              <w:right w:val="single" w:sz="8" w:color="auto"/>
            </w:tcBorders>
            <w:shd w:val="clear" w:color="auto" w:fill="CCCCCC"/>
          </w:tcPr>
          <w:p>
            <w:pPr>
              <w:ind w:left="60"/>
              <w:spacing w:after="0" w:line="204" w:lineRule="exact"/>
              <w:rPr>
                <w:sz w:val="20"/>
                <w:szCs w:val="20"/>
                <w:color w:val="auto"/>
              </w:rPr>
            </w:pPr>
            <w:r>
              <w:rPr>
                <w:rFonts w:ascii="Arial" w:cs="Arial" w:eastAsia="Arial" w:hAnsi="Arial"/>
                <w:sz w:val="19"/>
                <w:szCs w:val="19"/>
                <w:color w:val="auto"/>
              </w:rPr>
              <w:t>2.5</w:t>
            </w:r>
          </w:p>
        </w:tc>
      </w:tr>
      <w:tr>
        <w:trPr>
          <w:trHeight w:val="204"/>
        </w:trPr>
        <w:tc>
          <w:tcPr>
            <w:tcW w:w="4000" w:type="dxa"/>
            <w:vAlign w:val="bottom"/>
            <w:tcBorders>
              <w:left w:val="single" w:sz="8" w:color="auto"/>
              <w:bottom w:val="single" w:sz="8" w:color="auto"/>
              <w:right w:val="single" w:sz="8" w:color="auto"/>
            </w:tcBorders>
          </w:tcPr>
          <w:p>
            <w:pPr>
              <w:ind w:left="80"/>
              <w:spacing w:after="0" w:line="204" w:lineRule="exact"/>
              <w:rPr>
                <w:sz w:val="20"/>
                <w:szCs w:val="20"/>
                <w:color w:val="auto"/>
              </w:rPr>
            </w:pPr>
            <w:r>
              <w:rPr>
                <w:rFonts w:ascii="Arial" w:cs="Arial" w:eastAsia="Arial" w:hAnsi="Arial"/>
                <w:sz w:val="19"/>
                <w:szCs w:val="19"/>
                <w:b w:val="1"/>
                <w:bCs w:val="1"/>
                <w:color w:val="auto"/>
              </w:rPr>
              <w:t>Publicity Materials</w:t>
            </w:r>
          </w:p>
        </w:tc>
        <w:tc>
          <w:tcPr>
            <w:tcW w:w="3980" w:type="dxa"/>
            <w:vAlign w:val="bottom"/>
            <w:tcBorders>
              <w:bottom w:val="single" w:sz="8" w:color="auto"/>
              <w:right w:val="single" w:sz="8" w:color="auto"/>
            </w:tcBorders>
          </w:tcPr>
          <w:p>
            <w:pPr>
              <w:ind w:left="60"/>
              <w:spacing w:after="0" w:line="204" w:lineRule="exact"/>
              <w:rPr>
                <w:sz w:val="20"/>
                <w:szCs w:val="20"/>
                <w:color w:val="auto"/>
              </w:rPr>
            </w:pPr>
            <w:r>
              <w:rPr>
                <w:rFonts w:ascii="Arial" w:cs="Arial" w:eastAsia="Arial" w:hAnsi="Arial"/>
                <w:sz w:val="19"/>
                <w:szCs w:val="19"/>
                <w:color w:val="auto"/>
              </w:rPr>
              <w:t>11.19</w:t>
            </w:r>
          </w:p>
        </w:tc>
      </w:tr>
      <w:tr>
        <w:trPr>
          <w:trHeight w:val="204"/>
        </w:trPr>
        <w:tc>
          <w:tcPr>
            <w:tcW w:w="4000" w:type="dxa"/>
            <w:vAlign w:val="bottom"/>
            <w:tcBorders>
              <w:left w:val="single" w:sz="8" w:color="auto"/>
              <w:bottom w:val="single" w:sz="8" w:color="auto"/>
              <w:right w:val="single" w:sz="8" w:color="auto"/>
            </w:tcBorders>
            <w:shd w:val="clear" w:color="auto" w:fill="CCCCCC"/>
          </w:tcPr>
          <w:p>
            <w:pPr>
              <w:ind w:left="80"/>
              <w:spacing w:after="0" w:line="204" w:lineRule="exact"/>
              <w:rPr>
                <w:sz w:val="20"/>
                <w:szCs w:val="20"/>
                <w:color w:val="auto"/>
              </w:rPr>
            </w:pPr>
            <w:r>
              <w:rPr>
                <w:rFonts w:ascii="Arial" w:cs="Arial" w:eastAsia="Arial" w:hAnsi="Arial"/>
                <w:sz w:val="19"/>
                <w:szCs w:val="19"/>
                <w:b w:val="1"/>
                <w:bCs w:val="1"/>
                <w:color w:val="auto"/>
              </w:rPr>
              <w:t>Register</w:t>
            </w:r>
          </w:p>
        </w:tc>
        <w:tc>
          <w:tcPr>
            <w:tcW w:w="3980" w:type="dxa"/>
            <w:vAlign w:val="bottom"/>
            <w:tcBorders>
              <w:bottom w:val="single" w:sz="8" w:color="auto"/>
              <w:right w:val="single" w:sz="8" w:color="auto"/>
            </w:tcBorders>
            <w:shd w:val="clear" w:color="auto" w:fill="CCCCCC"/>
          </w:tcPr>
          <w:p>
            <w:pPr>
              <w:ind w:left="60"/>
              <w:spacing w:after="0" w:line="204" w:lineRule="exact"/>
              <w:rPr>
                <w:sz w:val="20"/>
                <w:szCs w:val="20"/>
                <w:color w:val="auto"/>
              </w:rPr>
            </w:pPr>
            <w:r>
              <w:rPr>
                <w:rFonts w:ascii="Arial" w:cs="Arial" w:eastAsia="Arial" w:hAnsi="Arial"/>
                <w:sz w:val="19"/>
                <w:szCs w:val="19"/>
                <w:color w:val="auto"/>
              </w:rPr>
              <w:t>11.7</w:t>
            </w:r>
          </w:p>
        </w:tc>
      </w:tr>
      <w:tr>
        <w:trPr>
          <w:trHeight w:val="204"/>
        </w:trPr>
        <w:tc>
          <w:tcPr>
            <w:tcW w:w="4000" w:type="dxa"/>
            <w:vAlign w:val="bottom"/>
            <w:tcBorders>
              <w:left w:val="single" w:sz="8" w:color="auto"/>
              <w:bottom w:val="single" w:sz="8" w:color="auto"/>
              <w:right w:val="single" w:sz="8" w:color="auto"/>
            </w:tcBorders>
          </w:tcPr>
          <w:p>
            <w:pPr>
              <w:ind w:left="80"/>
              <w:spacing w:after="0" w:line="204" w:lineRule="exact"/>
              <w:rPr>
                <w:sz w:val="20"/>
                <w:szCs w:val="20"/>
                <w:color w:val="auto"/>
              </w:rPr>
            </w:pPr>
            <w:r>
              <w:rPr>
                <w:rFonts w:ascii="Arial" w:cs="Arial" w:eastAsia="Arial" w:hAnsi="Arial"/>
                <w:sz w:val="19"/>
                <w:szCs w:val="19"/>
                <w:b w:val="1"/>
                <w:bCs w:val="1"/>
                <w:color w:val="auto"/>
              </w:rPr>
              <w:t>Rights to Payment</w:t>
            </w:r>
          </w:p>
        </w:tc>
        <w:tc>
          <w:tcPr>
            <w:tcW w:w="3980" w:type="dxa"/>
            <w:vAlign w:val="bottom"/>
            <w:tcBorders>
              <w:bottom w:val="single" w:sz="8" w:color="auto"/>
              <w:right w:val="single" w:sz="8" w:color="auto"/>
            </w:tcBorders>
          </w:tcPr>
          <w:p>
            <w:pPr>
              <w:ind w:left="60"/>
              <w:spacing w:after="0" w:line="204" w:lineRule="exact"/>
              <w:rPr>
                <w:sz w:val="20"/>
                <w:szCs w:val="20"/>
                <w:color w:val="auto"/>
              </w:rPr>
            </w:pPr>
            <w:r>
              <w:rPr>
                <w:rFonts w:ascii="Arial" w:cs="Arial" w:eastAsia="Arial" w:hAnsi="Arial"/>
                <w:sz w:val="19"/>
                <w:szCs w:val="19"/>
                <w:color w:val="auto"/>
              </w:rPr>
              <w:t>3.1</w:t>
            </w:r>
          </w:p>
        </w:tc>
      </w:tr>
      <w:tr>
        <w:trPr>
          <w:trHeight w:val="204"/>
        </w:trPr>
        <w:tc>
          <w:tcPr>
            <w:tcW w:w="4000" w:type="dxa"/>
            <w:vAlign w:val="bottom"/>
            <w:tcBorders>
              <w:left w:val="single" w:sz="8" w:color="auto"/>
              <w:bottom w:val="single" w:sz="8" w:color="auto"/>
              <w:right w:val="single" w:sz="8" w:color="auto"/>
            </w:tcBorders>
            <w:shd w:val="clear" w:color="auto" w:fill="CCCCCC"/>
          </w:tcPr>
          <w:p>
            <w:pPr>
              <w:ind w:left="80"/>
              <w:spacing w:after="0" w:line="204" w:lineRule="exact"/>
              <w:rPr>
                <w:sz w:val="20"/>
                <w:szCs w:val="20"/>
                <w:color w:val="auto"/>
              </w:rPr>
            </w:pPr>
            <w:r>
              <w:rPr>
                <w:rFonts w:ascii="Arial" w:cs="Arial" w:eastAsia="Arial" w:hAnsi="Arial"/>
                <w:sz w:val="19"/>
                <w:szCs w:val="19"/>
                <w:b w:val="1"/>
                <w:bCs w:val="1"/>
                <w:color w:val="auto"/>
              </w:rPr>
              <w:t>Specified Disputes</w:t>
            </w:r>
          </w:p>
        </w:tc>
        <w:tc>
          <w:tcPr>
            <w:tcW w:w="3980" w:type="dxa"/>
            <w:vAlign w:val="bottom"/>
            <w:tcBorders>
              <w:bottom w:val="single" w:sz="8" w:color="auto"/>
              <w:right w:val="single" w:sz="8" w:color="auto"/>
            </w:tcBorders>
            <w:shd w:val="clear" w:color="auto" w:fill="CCCCCC"/>
          </w:tcPr>
          <w:p>
            <w:pPr>
              <w:ind w:left="60"/>
              <w:spacing w:after="0" w:line="204" w:lineRule="exact"/>
              <w:rPr>
                <w:sz w:val="20"/>
                <w:szCs w:val="20"/>
                <w:color w:val="auto"/>
              </w:rPr>
            </w:pPr>
            <w:r>
              <w:rPr>
                <w:rFonts w:ascii="Arial" w:cs="Arial" w:eastAsia="Arial" w:hAnsi="Arial"/>
                <w:sz w:val="19"/>
                <w:szCs w:val="19"/>
                <w:color w:val="auto"/>
              </w:rPr>
              <w:t>5.10(g)</w:t>
            </w:r>
          </w:p>
        </w:tc>
      </w:tr>
      <w:tr>
        <w:trPr>
          <w:trHeight w:val="204"/>
        </w:trPr>
        <w:tc>
          <w:tcPr>
            <w:tcW w:w="4000" w:type="dxa"/>
            <w:vAlign w:val="bottom"/>
            <w:tcBorders>
              <w:left w:val="single" w:sz="8" w:color="auto"/>
              <w:bottom w:val="single" w:sz="8" w:color="auto"/>
              <w:right w:val="single" w:sz="8" w:color="auto"/>
            </w:tcBorders>
          </w:tcPr>
          <w:p>
            <w:pPr>
              <w:ind w:left="80"/>
              <w:spacing w:after="0" w:line="204" w:lineRule="exact"/>
              <w:rPr>
                <w:sz w:val="20"/>
                <w:szCs w:val="20"/>
                <w:color w:val="auto"/>
              </w:rPr>
            </w:pPr>
            <w:r>
              <w:rPr>
                <w:rFonts w:ascii="Arial" w:cs="Arial" w:eastAsia="Arial" w:hAnsi="Arial"/>
                <w:sz w:val="19"/>
                <w:szCs w:val="19"/>
                <w:b w:val="1"/>
                <w:bCs w:val="1"/>
                <w:color w:val="auto"/>
              </w:rPr>
              <w:t>Term Loan PIK Interest</w:t>
            </w:r>
          </w:p>
        </w:tc>
        <w:tc>
          <w:tcPr>
            <w:tcW w:w="3980" w:type="dxa"/>
            <w:vAlign w:val="bottom"/>
            <w:tcBorders>
              <w:bottom w:val="single" w:sz="8" w:color="auto"/>
              <w:right w:val="single" w:sz="8" w:color="auto"/>
            </w:tcBorders>
          </w:tcPr>
          <w:p>
            <w:pPr>
              <w:ind w:left="60"/>
              <w:spacing w:after="0" w:line="204" w:lineRule="exact"/>
              <w:rPr>
                <w:sz w:val="20"/>
                <w:szCs w:val="20"/>
                <w:color w:val="auto"/>
              </w:rPr>
            </w:pPr>
            <w:r>
              <w:rPr>
                <w:rFonts w:ascii="Arial" w:cs="Arial" w:eastAsia="Arial" w:hAnsi="Arial"/>
                <w:sz w:val="19"/>
                <w:szCs w:val="19"/>
                <w:color w:val="auto"/>
              </w:rPr>
              <w:t>2.2(c)(ii)</w:t>
            </w:r>
          </w:p>
        </w:tc>
      </w:tr>
      <w:tr>
        <w:trPr>
          <w:trHeight w:val="204"/>
        </w:trPr>
        <w:tc>
          <w:tcPr>
            <w:tcW w:w="4000" w:type="dxa"/>
            <w:vAlign w:val="bottom"/>
            <w:tcBorders>
              <w:left w:val="single" w:sz="8" w:color="auto"/>
              <w:bottom w:val="single" w:sz="8" w:color="auto"/>
              <w:right w:val="single" w:sz="8" w:color="auto"/>
            </w:tcBorders>
            <w:shd w:val="clear" w:color="auto" w:fill="CCCCCC"/>
          </w:tcPr>
          <w:p>
            <w:pPr>
              <w:ind w:left="80"/>
              <w:spacing w:after="0" w:line="204" w:lineRule="exact"/>
              <w:rPr>
                <w:sz w:val="20"/>
                <w:szCs w:val="20"/>
                <w:color w:val="auto"/>
              </w:rPr>
            </w:pPr>
            <w:r>
              <w:rPr>
                <w:rFonts w:ascii="Arial" w:cs="Arial" w:eastAsia="Arial" w:hAnsi="Arial"/>
                <w:sz w:val="19"/>
                <w:szCs w:val="19"/>
                <w:b w:val="1"/>
                <w:bCs w:val="1"/>
                <w:color w:val="auto"/>
              </w:rPr>
              <w:t>Third Party IP</w:t>
            </w:r>
          </w:p>
        </w:tc>
        <w:tc>
          <w:tcPr>
            <w:tcW w:w="3980" w:type="dxa"/>
            <w:vAlign w:val="bottom"/>
            <w:tcBorders>
              <w:bottom w:val="single" w:sz="8" w:color="auto"/>
              <w:right w:val="single" w:sz="8" w:color="auto"/>
            </w:tcBorders>
            <w:shd w:val="clear" w:color="auto" w:fill="CCCCCC"/>
          </w:tcPr>
          <w:p>
            <w:pPr>
              <w:ind w:left="60"/>
              <w:spacing w:after="0" w:line="204" w:lineRule="exact"/>
              <w:rPr>
                <w:sz w:val="20"/>
                <w:szCs w:val="20"/>
                <w:color w:val="auto"/>
              </w:rPr>
            </w:pPr>
            <w:r>
              <w:rPr>
                <w:rFonts w:ascii="Arial" w:cs="Arial" w:eastAsia="Arial" w:hAnsi="Arial"/>
                <w:sz w:val="19"/>
                <w:szCs w:val="19"/>
                <w:color w:val="auto"/>
              </w:rPr>
              <w:t>5.10(i)</w:t>
            </w:r>
          </w:p>
        </w:tc>
      </w:tr>
      <w:tr>
        <w:trPr>
          <w:trHeight w:val="204"/>
        </w:trPr>
        <w:tc>
          <w:tcPr>
            <w:tcW w:w="4000" w:type="dxa"/>
            <w:vAlign w:val="bottom"/>
            <w:tcBorders>
              <w:left w:val="single" w:sz="8" w:color="auto"/>
              <w:bottom w:val="single" w:sz="8" w:color="auto"/>
              <w:right w:val="single" w:sz="8" w:color="auto"/>
            </w:tcBorders>
          </w:tcPr>
          <w:p>
            <w:pPr>
              <w:ind w:left="80"/>
              <w:spacing w:after="0" w:line="204" w:lineRule="exact"/>
              <w:rPr>
                <w:sz w:val="20"/>
                <w:szCs w:val="20"/>
                <w:color w:val="auto"/>
              </w:rPr>
            </w:pPr>
            <w:r>
              <w:rPr>
                <w:rFonts w:ascii="Arial" w:cs="Arial" w:eastAsia="Arial" w:hAnsi="Arial"/>
                <w:sz w:val="19"/>
                <w:szCs w:val="19"/>
                <w:b w:val="1"/>
                <w:bCs w:val="1"/>
                <w:color w:val="auto"/>
              </w:rPr>
              <w:t>Tranche 1A Advance</w:t>
            </w:r>
          </w:p>
        </w:tc>
        <w:tc>
          <w:tcPr>
            <w:tcW w:w="3980" w:type="dxa"/>
            <w:vAlign w:val="bottom"/>
            <w:tcBorders>
              <w:bottom w:val="single" w:sz="8" w:color="auto"/>
              <w:right w:val="single" w:sz="8" w:color="auto"/>
            </w:tcBorders>
          </w:tcPr>
          <w:p>
            <w:pPr>
              <w:ind w:left="60"/>
              <w:spacing w:after="0" w:line="204" w:lineRule="exact"/>
              <w:rPr>
                <w:sz w:val="20"/>
                <w:szCs w:val="20"/>
                <w:color w:val="auto"/>
              </w:rPr>
            </w:pPr>
            <w:r>
              <w:rPr>
                <w:rFonts w:ascii="Arial" w:cs="Arial" w:eastAsia="Arial" w:hAnsi="Arial"/>
                <w:sz w:val="19"/>
                <w:szCs w:val="19"/>
                <w:color w:val="auto"/>
              </w:rPr>
              <w:t>2.2(a)(i)</w:t>
            </w:r>
          </w:p>
        </w:tc>
      </w:tr>
      <w:tr>
        <w:trPr>
          <w:trHeight w:val="204"/>
        </w:trPr>
        <w:tc>
          <w:tcPr>
            <w:tcW w:w="4000" w:type="dxa"/>
            <w:vAlign w:val="bottom"/>
            <w:tcBorders>
              <w:left w:val="single" w:sz="8" w:color="auto"/>
              <w:bottom w:val="single" w:sz="8" w:color="auto"/>
              <w:right w:val="single" w:sz="8" w:color="auto"/>
            </w:tcBorders>
            <w:shd w:val="clear" w:color="auto" w:fill="CCCCCC"/>
          </w:tcPr>
          <w:p>
            <w:pPr>
              <w:ind w:left="80"/>
              <w:spacing w:after="0" w:line="204" w:lineRule="exact"/>
              <w:rPr>
                <w:sz w:val="20"/>
                <w:szCs w:val="20"/>
                <w:color w:val="auto"/>
              </w:rPr>
            </w:pPr>
            <w:r>
              <w:rPr>
                <w:rFonts w:ascii="Arial" w:cs="Arial" w:eastAsia="Arial" w:hAnsi="Arial"/>
                <w:sz w:val="19"/>
                <w:szCs w:val="19"/>
                <w:b w:val="1"/>
                <w:bCs w:val="1"/>
                <w:color w:val="auto"/>
              </w:rPr>
              <w:t>Tranche 1B Advance</w:t>
            </w:r>
          </w:p>
        </w:tc>
        <w:tc>
          <w:tcPr>
            <w:tcW w:w="3980" w:type="dxa"/>
            <w:vAlign w:val="bottom"/>
            <w:tcBorders>
              <w:bottom w:val="single" w:sz="8" w:color="auto"/>
              <w:right w:val="single" w:sz="8" w:color="auto"/>
            </w:tcBorders>
            <w:shd w:val="clear" w:color="auto" w:fill="CCCCCC"/>
          </w:tcPr>
          <w:p>
            <w:pPr>
              <w:ind w:left="60"/>
              <w:spacing w:after="0" w:line="204" w:lineRule="exact"/>
              <w:rPr>
                <w:sz w:val="20"/>
                <w:szCs w:val="20"/>
                <w:color w:val="auto"/>
              </w:rPr>
            </w:pPr>
            <w:r>
              <w:rPr>
                <w:rFonts w:ascii="Arial" w:cs="Arial" w:eastAsia="Arial" w:hAnsi="Arial"/>
                <w:sz w:val="19"/>
                <w:szCs w:val="19"/>
                <w:color w:val="auto"/>
              </w:rPr>
              <w:t>2.2(a)(ii)</w:t>
            </w:r>
          </w:p>
        </w:tc>
      </w:tr>
      <w:tr>
        <w:trPr>
          <w:trHeight w:val="204"/>
        </w:trPr>
        <w:tc>
          <w:tcPr>
            <w:tcW w:w="4000" w:type="dxa"/>
            <w:vAlign w:val="bottom"/>
            <w:tcBorders>
              <w:left w:val="single" w:sz="8" w:color="auto"/>
              <w:bottom w:val="single" w:sz="8" w:color="auto"/>
              <w:right w:val="single" w:sz="8" w:color="auto"/>
            </w:tcBorders>
          </w:tcPr>
          <w:p>
            <w:pPr>
              <w:ind w:left="80"/>
              <w:spacing w:after="0" w:line="204" w:lineRule="exact"/>
              <w:rPr>
                <w:sz w:val="20"/>
                <w:szCs w:val="20"/>
                <w:color w:val="auto"/>
              </w:rPr>
            </w:pPr>
            <w:r>
              <w:rPr>
                <w:rFonts w:ascii="Arial" w:cs="Arial" w:eastAsia="Arial" w:hAnsi="Arial"/>
                <w:sz w:val="19"/>
                <w:szCs w:val="19"/>
                <w:b w:val="1"/>
                <w:bCs w:val="1"/>
                <w:color w:val="auto"/>
              </w:rPr>
              <w:t>Tranche 1 Advance</w:t>
            </w:r>
          </w:p>
        </w:tc>
        <w:tc>
          <w:tcPr>
            <w:tcW w:w="3980" w:type="dxa"/>
            <w:vAlign w:val="bottom"/>
            <w:tcBorders>
              <w:bottom w:val="single" w:sz="8" w:color="auto"/>
              <w:right w:val="single" w:sz="8" w:color="auto"/>
            </w:tcBorders>
          </w:tcPr>
          <w:p>
            <w:pPr>
              <w:ind w:left="60"/>
              <w:spacing w:after="0" w:line="204" w:lineRule="exact"/>
              <w:rPr>
                <w:sz w:val="20"/>
                <w:szCs w:val="20"/>
                <w:color w:val="auto"/>
              </w:rPr>
            </w:pPr>
            <w:r>
              <w:rPr>
                <w:rFonts w:ascii="Arial" w:cs="Arial" w:eastAsia="Arial" w:hAnsi="Arial"/>
                <w:sz w:val="19"/>
                <w:szCs w:val="19"/>
                <w:color w:val="auto"/>
              </w:rPr>
              <w:t>2.2(a)(ii)</w:t>
            </w:r>
          </w:p>
        </w:tc>
      </w:tr>
      <w:tr>
        <w:trPr>
          <w:trHeight w:val="204"/>
        </w:trPr>
        <w:tc>
          <w:tcPr>
            <w:tcW w:w="4000" w:type="dxa"/>
            <w:vAlign w:val="bottom"/>
            <w:tcBorders>
              <w:left w:val="single" w:sz="8" w:color="auto"/>
              <w:bottom w:val="single" w:sz="8" w:color="auto"/>
              <w:right w:val="single" w:sz="8" w:color="auto"/>
            </w:tcBorders>
            <w:shd w:val="clear" w:color="auto" w:fill="CCCCCC"/>
          </w:tcPr>
          <w:p>
            <w:pPr>
              <w:ind w:left="80"/>
              <w:spacing w:after="0" w:line="204" w:lineRule="exact"/>
              <w:rPr>
                <w:sz w:val="20"/>
                <w:szCs w:val="20"/>
                <w:color w:val="auto"/>
              </w:rPr>
            </w:pPr>
            <w:r>
              <w:rPr>
                <w:rFonts w:ascii="Arial" w:cs="Arial" w:eastAsia="Arial" w:hAnsi="Arial"/>
                <w:sz w:val="19"/>
                <w:szCs w:val="19"/>
                <w:b w:val="1"/>
                <w:bCs w:val="1"/>
                <w:color w:val="auto"/>
              </w:rPr>
              <w:t>Tranche 2 Advance</w:t>
            </w:r>
          </w:p>
        </w:tc>
        <w:tc>
          <w:tcPr>
            <w:tcW w:w="3980" w:type="dxa"/>
            <w:vAlign w:val="bottom"/>
            <w:tcBorders>
              <w:bottom w:val="single" w:sz="8" w:color="auto"/>
              <w:right w:val="single" w:sz="8" w:color="auto"/>
            </w:tcBorders>
            <w:shd w:val="clear" w:color="auto" w:fill="CCCCCC"/>
          </w:tcPr>
          <w:p>
            <w:pPr>
              <w:ind w:left="60"/>
              <w:spacing w:after="0" w:line="204" w:lineRule="exact"/>
              <w:rPr>
                <w:sz w:val="20"/>
                <w:szCs w:val="20"/>
                <w:color w:val="auto"/>
              </w:rPr>
            </w:pPr>
            <w:r>
              <w:rPr>
                <w:rFonts w:ascii="Arial" w:cs="Arial" w:eastAsia="Arial" w:hAnsi="Arial"/>
                <w:sz w:val="19"/>
                <w:szCs w:val="19"/>
                <w:color w:val="auto"/>
              </w:rPr>
              <w:t>2.2(a)(iii)</w:t>
            </w:r>
          </w:p>
        </w:tc>
      </w:tr>
      <w:tr>
        <w:trPr>
          <w:trHeight w:val="204"/>
        </w:trPr>
        <w:tc>
          <w:tcPr>
            <w:tcW w:w="4000" w:type="dxa"/>
            <w:vAlign w:val="bottom"/>
            <w:tcBorders>
              <w:left w:val="single" w:sz="8" w:color="auto"/>
              <w:bottom w:val="single" w:sz="8" w:color="auto"/>
              <w:right w:val="single" w:sz="8" w:color="auto"/>
            </w:tcBorders>
          </w:tcPr>
          <w:p>
            <w:pPr>
              <w:ind w:left="80"/>
              <w:spacing w:after="0" w:line="204" w:lineRule="exact"/>
              <w:rPr>
                <w:sz w:val="20"/>
                <w:szCs w:val="20"/>
                <w:color w:val="auto"/>
              </w:rPr>
            </w:pPr>
            <w:r>
              <w:rPr>
                <w:rFonts w:ascii="Arial" w:cs="Arial" w:eastAsia="Arial" w:hAnsi="Arial"/>
                <w:sz w:val="19"/>
                <w:szCs w:val="19"/>
                <w:b w:val="1"/>
                <w:bCs w:val="1"/>
                <w:color w:val="auto"/>
              </w:rPr>
              <w:t>Tranche 3 Advance</w:t>
            </w:r>
          </w:p>
        </w:tc>
        <w:tc>
          <w:tcPr>
            <w:tcW w:w="3980" w:type="dxa"/>
            <w:vAlign w:val="bottom"/>
            <w:tcBorders>
              <w:bottom w:val="single" w:sz="8" w:color="auto"/>
              <w:right w:val="single" w:sz="8" w:color="auto"/>
            </w:tcBorders>
          </w:tcPr>
          <w:p>
            <w:pPr>
              <w:ind w:left="60"/>
              <w:spacing w:after="0" w:line="204" w:lineRule="exact"/>
              <w:rPr>
                <w:sz w:val="20"/>
                <w:szCs w:val="20"/>
                <w:color w:val="auto"/>
              </w:rPr>
            </w:pPr>
            <w:r>
              <w:rPr>
                <w:rFonts w:ascii="Arial" w:cs="Arial" w:eastAsia="Arial" w:hAnsi="Arial"/>
                <w:sz w:val="19"/>
                <w:szCs w:val="19"/>
                <w:color w:val="auto"/>
              </w:rPr>
              <w:t>2.2(a)(iv)</w:t>
            </w:r>
          </w:p>
        </w:tc>
      </w:tr>
      <w:tr>
        <w:trPr>
          <w:trHeight w:val="204"/>
        </w:trPr>
        <w:tc>
          <w:tcPr>
            <w:tcW w:w="4000" w:type="dxa"/>
            <w:vAlign w:val="bottom"/>
            <w:tcBorders>
              <w:left w:val="single" w:sz="8" w:color="auto"/>
              <w:bottom w:val="single" w:sz="8" w:color="auto"/>
              <w:right w:val="single" w:sz="8" w:color="auto"/>
            </w:tcBorders>
          </w:tcPr>
          <w:p>
            <w:pPr>
              <w:ind w:left="80"/>
              <w:spacing w:after="0" w:line="204" w:lineRule="exact"/>
              <w:rPr>
                <w:sz w:val="20"/>
                <w:szCs w:val="20"/>
                <w:color w:val="auto"/>
              </w:rPr>
            </w:pPr>
            <w:r>
              <w:rPr>
                <w:rFonts w:ascii="Arial" w:cs="Arial" w:eastAsia="Arial" w:hAnsi="Arial"/>
                <w:sz w:val="19"/>
                <w:szCs w:val="19"/>
                <w:b w:val="1"/>
                <w:bCs w:val="1"/>
                <w:color w:val="auto"/>
              </w:rPr>
              <w:t>Tranche 4 Advance</w:t>
            </w:r>
          </w:p>
        </w:tc>
        <w:tc>
          <w:tcPr>
            <w:tcW w:w="3980" w:type="dxa"/>
            <w:vAlign w:val="bottom"/>
            <w:tcBorders>
              <w:bottom w:val="single" w:sz="8" w:color="auto"/>
              <w:right w:val="single" w:sz="8" w:color="auto"/>
            </w:tcBorders>
          </w:tcPr>
          <w:p>
            <w:pPr>
              <w:ind w:left="60"/>
              <w:spacing w:after="0" w:line="204" w:lineRule="exact"/>
              <w:rPr>
                <w:sz w:val="20"/>
                <w:szCs w:val="20"/>
                <w:color w:val="auto"/>
              </w:rPr>
            </w:pPr>
            <w:r>
              <w:rPr>
                <w:rFonts w:ascii="Arial" w:cs="Arial" w:eastAsia="Arial" w:hAnsi="Arial"/>
                <w:sz w:val="19"/>
                <w:szCs w:val="19"/>
                <w:color w:val="auto"/>
              </w:rPr>
              <w:t>2.2(a)(v)</w:t>
            </w:r>
          </w:p>
        </w:tc>
      </w:tr>
      <w:tr>
        <w:trPr>
          <w:trHeight w:val="204"/>
        </w:trPr>
        <w:tc>
          <w:tcPr>
            <w:tcW w:w="4000" w:type="dxa"/>
            <w:vAlign w:val="bottom"/>
            <w:tcBorders>
              <w:left w:val="single" w:sz="8" w:color="auto"/>
              <w:bottom w:val="single" w:sz="8" w:color="auto"/>
              <w:right w:val="single" w:sz="8" w:color="auto"/>
            </w:tcBorders>
          </w:tcPr>
          <w:p>
            <w:pPr>
              <w:ind w:left="80"/>
              <w:spacing w:after="0" w:line="204" w:lineRule="exact"/>
              <w:rPr>
                <w:sz w:val="20"/>
                <w:szCs w:val="20"/>
                <w:color w:val="auto"/>
              </w:rPr>
            </w:pPr>
            <w:r>
              <w:rPr>
                <w:rFonts w:ascii="Arial" w:cs="Arial" w:eastAsia="Arial" w:hAnsi="Arial"/>
                <w:sz w:val="19"/>
                <w:szCs w:val="19"/>
                <w:b w:val="1"/>
                <w:bCs w:val="1"/>
                <w:color w:val="auto"/>
              </w:rPr>
              <w:t>Tranche 5 Advance</w:t>
            </w:r>
          </w:p>
        </w:tc>
        <w:tc>
          <w:tcPr>
            <w:tcW w:w="3980" w:type="dxa"/>
            <w:vAlign w:val="bottom"/>
            <w:tcBorders>
              <w:bottom w:val="single" w:sz="8" w:color="auto"/>
              <w:right w:val="single" w:sz="8" w:color="auto"/>
            </w:tcBorders>
          </w:tcPr>
          <w:p>
            <w:pPr>
              <w:ind w:left="60"/>
              <w:spacing w:after="0" w:line="204" w:lineRule="exact"/>
              <w:rPr>
                <w:sz w:val="20"/>
                <w:szCs w:val="20"/>
                <w:color w:val="auto"/>
              </w:rPr>
            </w:pPr>
            <w:r>
              <w:rPr>
                <w:rFonts w:ascii="Arial" w:cs="Arial" w:eastAsia="Arial" w:hAnsi="Arial"/>
                <w:sz w:val="19"/>
                <w:szCs w:val="19"/>
                <w:color w:val="auto"/>
              </w:rPr>
              <w:t>2.2(a)(vi)</w:t>
            </w:r>
          </w:p>
        </w:tc>
      </w:tr>
    </w:tbl>
    <w:p>
      <w:pPr>
        <w:spacing w:after="0" w:line="170" w:lineRule="exact"/>
        <w:rPr>
          <w:sz w:val="20"/>
          <w:szCs w:val="20"/>
          <w:color w:val="auto"/>
        </w:rPr>
      </w:pPr>
    </w:p>
    <w:p>
      <w:pPr>
        <w:jc w:val="both"/>
        <w:ind w:firstLine="566"/>
        <w:spacing w:after="0" w:line="251" w:lineRule="auto"/>
        <w:rPr>
          <w:sz w:val="20"/>
          <w:szCs w:val="20"/>
          <w:color w:val="auto"/>
        </w:rPr>
      </w:pPr>
      <w:r>
        <w:rPr>
          <w:rFonts w:ascii="Arial" w:cs="Arial" w:eastAsia="Arial" w:hAnsi="Arial"/>
          <w:sz w:val="18"/>
          <w:szCs w:val="18"/>
          <w:color w:val="auto"/>
        </w:rPr>
        <w:t>1.3 Unless otherwise specified, all references in this Agreement or any Annex or Schedule hereto to a “Section,” “subsection,” “Exhibit,” “Annex,” or “Schedule” shall refer to the corresponding Section, subsection, Exhibit, Annex, or Schedule in or to this Agreement. Unless otherwise specifically provided herein, any accounting term used in this Agreement or the other Loan Documents shall have the meaning customarily given such term in accordance with GAAP, and all financial computations hereunder shall be computed in accordance with GAAP, consistently applied; provided that if at any time any change in GAAP would affect the computation of any financial covenant or ratio or requirement set forth in any Loan Document, and either Borrower or Agent shall so request, Borrower, Agent and the Lenders shall negotiate in good faith to amend such ratio or requirement to preserve the original intent thereof in light of</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307340</wp:posOffset>
            </wp:positionV>
            <wp:extent cx="6311265" cy="2222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940"/>
          </w:cols>
          <w:pgMar w:left="980" w:top="980" w:right="979" w:bottom="1440" w:gutter="0" w:footer="0" w:header="0"/>
        </w:sectPr>
      </w:pPr>
    </w:p>
    <w:bookmarkStart w:id="132" w:name="page133"/>
    <w:bookmarkEnd w:id="132"/>
    <w:p>
      <w:pPr>
        <w:jc w:val="both"/>
        <w:spacing w:after="0" w:line="263" w:lineRule="auto"/>
        <w:rPr>
          <w:sz w:val="20"/>
          <w:szCs w:val="20"/>
          <w:color w:val="auto"/>
        </w:rPr>
      </w:pPr>
      <w:r>
        <w:rPr>
          <w:rFonts w:ascii="Arial" w:cs="Arial" w:eastAsia="Arial" w:hAnsi="Arial"/>
          <w:sz w:val="17"/>
          <w:szCs w:val="17"/>
          <w:color w:val="auto"/>
        </w:rPr>
        <w:t>such change in GAAP; provided, further, that, until so amended, (a) such ratio or requirement shall continue to be computed in accordance with GAAP prior to such change therein and (b) Borrower shall provide Agent financial statements and other documents required under this Agreement or as reasonably requested hereunder setting forth a reconciliation between calculations of such ratio covenant or requirement made before and after giving effect to such change in GAAP. Notwithstanding the foregoing, any obligations of a Person that are or would have been treated as operating leases for purposes of GAAP prior to the issuance by the Financial Accounting Standards Board on February 25, 2016 of an Accounting Standards Update (the “ASU”) shall continue to be accounted for as operating leases for purposes of all financial definitions, calculations and covenants for purpose of this Agreement (whether or not such operating lease obligations were in effect on such date) notwithstanding the fact that such obligations are required in accordance with the ASU (on a prospective or retroactive basis or otherwise) to be treated as capitalized lease obligations in accordance with GAAP (other than for purposes of the delivery of financial statements prepared in accordance with GAAP). Unless otherwise defined herein or in the other Loan Documents, terms that are used herein or in the other Loan Documents and defined in the UCC shall have the meanings given to them in the UCC.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78" w:lineRule="exact"/>
        <w:rPr>
          <w:sz w:val="20"/>
          <w:szCs w:val="20"/>
          <w:color w:val="auto"/>
        </w:rPr>
      </w:pPr>
    </w:p>
    <w:p>
      <w:pPr>
        <w:jc w:val="both"/>
        <w:ind w:firstLine="566"/>
        <w:spacing w:after="0" w:line="251" w:lineRule="auto"/>
        <w:rPr>
          <w:sz w:val="20"/>
          <w:szCs w:val="20"/>
          <w:color w:val="auto"/>
        </w:rPr>
      </w:pPr>
      <w:r>
        <w:rPr>
          <w:rFonts w:ascii="Arial" w:cs="Arial" w:eastAsia="Arial" w:hAnsi="Arial"/>
          <w:sz w:val="18"/>
          <w:szCs w:val="18"/>
          <w:color w:val="auto"/>
        </w:rPr>
        <w:t>1.4 Notwithstanding anything to the contrary in this Agreement or any other Loan Document, all terms of an accounting or financial nature used herein shall be construed, and all computations of amounts and ratios referred to herein shall be made without giving effect to any treatment of Indebtedness in respect of convertible debt instruments under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 For the avoidance of doubt, and without limitation of the foregoing, Permitted Convertible Debt shall at all times be valued at the full stated principal amount thereof and shall not include any reduction or appreciation in value of the shares deliverable upon conversion thereof.</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 xml:space="preserve">SECTION 2. </w:t>
      </w:r>
      <w:r>
        <w:rPr>
          <w:rFonts w:ascii="Arial" w:cs="Arial" w:eastAsia="Arial" w:hAnsi="Arial"/>
          <w:sz w:val="19"/>
          <w:szCs w:val="19"/>
          <w:b w:val="1"/>
          <w:bCs w:val="1"/>
          <w:u w:val="single" w:color="auto"/>
          <w:color w:val="auto"/>
        </w:rPr>
        <w:t>THE LOAN</w:t>
      </w:r>
    </w:p>
    <w:p>
      <w:pPr>
        <w:spacing w:after="0" w:line="188" w:lineRule="exact"/>
        <w:rPr>
          <w:sz w:val="20"/>
          <w:szCs w:val="20"/>
          <w:color w:val="auto"/>
        </w:rPr>
      </w:pPr>
    </w:p>
    <w:p>
      <w:pPr>
        <w:ind w:left="1060"/>
        <w:spacing w:after="0"/>
        <w:tabs>
          <w:tab w:leader="none" w:pos="1700" w:val="left"/>
        </w:tabs>
        <w:rPr>
          <w:sz w:val="20"/>
          <w:szCs w:val="20"/>
          <w:color w:val="auto"/>
        </w:rPr>
      </w:pPr>
      <w:r>
        <w:rPr>
          <w:rFonts w:ascii="Arial" w:cs="Arial" w:eastAsia="Arial" w:hAnsi="Arial"/>
          <w:sz w:val="19"/>
          <w:szCs w:val="19"/>
          <w:color w:val="auto"/>
        </w:rPr>
        <w:t>2.1</w:t>
      </w:r>
      <w:r>
        <w:rPr>
          <w:sz w:val="20"/>
          <w:szCs w:val="20"/>
          <w:color w:val="auto"/>
        </w:rPr>
        <w:tab/>
      </w:r>
      <w:r>
        <w:rPr>
          <w:rFonts w:ascii="Arial" w:cs="Arial" w:eastAsia="Arial" w:hAnsi="Arial"/>
          <w:sz w:val="16"/>
          <w:szCs w:val="16"/>
          <w:color w:val="auto"/>
        </w:rPr>
        <w:t>[Reserved]</w:t>
      </w:r>
    </w:p>
    <w:p>
      <w:pPr>
        <w:spacing w:after="0" w:line="182" w:lineRule="exact"/>
        <w:rPr>
          <w:sz w:val="20"/>
          <w:szCs w:val="20"/>
          <w:color w:val="auto"/>
        </w:rPr>
      </w:pPr>
    </w:p>
    <w:p>
      <w:pPr>
        <w:ind w:left="1060"/>
        <w:spacing w:after="0"/>
        <w:tabs>
          <w:tab w:leader="none" w:pos="1700" w:val="left"/>
        </w:tabs>
        <w:rPr>
          <w:sz w:val="20"/>
          <w:szCs w:val="20"/>
          <w:color w:val="auto"/>
        </w:rPr>
      </w:pPr>
      <w:r>
        <w:rPr>
          <w:rFonts w:ascii="Arial" w:cs="Arial" w:eastAsia="Arial" w:hAnsi="Arial"/>
          <w:sz w:val="19"/>
          <w:szCs w:val="19"/>
          <w:color w:val="auto"/>
        </w:rPr>
        <w:t>2.2</w:t>
      </w:r>
      <w:r>
        <w:rPr>
          <w:sz w:val="20"/>
          <w:szCs w:val="20"/>
          <w:color w:val="auto"/>
        </w:rPr>
        <w:tab/>
      </w:r>
      <w:r>
        <w:rPr>
          <w:rFonts w:ascii="Arial" w:cs="Arial" w:eastAsia="Arial" w:hAnsi="Arial"/>
          <w:sz w:val="17"/>
          <w:szCs w:val="17"/>
          <w:color w:val="auto"/>
        </w:rPr>
        <w:t>Term Loan.</w:t>
      </w:r>
    </w:p>
    <w:p>
      <w:pPr>
        <w:spacing w:after="0" w:line="182" w:lineRule="exact"/>
        <w:rPr>
          <w:sz w:val="20"/>
          <w:szCs w:val="20"/>
          <w:color w:val="auto"/>
        </w:rPr>
      </w:pPr>
    </w:p>
    <w:p>
      <w:pPr>
        <w:ind w:left="1700" w:hanging="572"/>
        <w:spacing w:after="0"/>
        <w:tabs>
          <w:tab w:leader="none" w:pos="1700" w:val="left"/>
        </w:tabs>
        <w:numPr>
          <w:ilvl w:val="0"/>
          <w:numId w:val="59"/>
        </w:numPr>
        <w:rPr>
          <w:rFonts w:ascii="Arial" w:cs="Arial" w:eastAsia="Arial" w:hAnsi="Arial"/>
          <w:sz w:val="19"/>
          <w:szCs w:val="19"/>
          <w:color w:val="auto"/>
        </w:rPr>
      </w:pPr>
      <w:r>
        <w:rPr>
          <w:rFonts w:ascii="Arial" w:cs="Arial" w:eastAsia="Arial" w:hAnsi="Arial"/>
          <w:sz w:val="19"/>
          <w:szCs w:val="19"/>
          <w:color w:val="auto"/>
        </w:rPr>
        <w:t>Advances.</w:t>
      </w:r>
    </w:p>
    <w:p>
      <w:pPr>
        <w:spacing w:after="0" w:line="182" w:lineRule="exact"/>
        <w:rPr>
          <w:rFonts w:ascii="Arial" w:cs="Arial" w:eastAsia="Arial" w:hAnsi="Arial"/>
          <w:sz w:val="19"/>
          <w:szCs w:val="19"/>
          <w:color w:val="auto"/>
        </w:rPr>
      </w:pPr>
    </w:p>
    <w:p>
      <w:pPr>
        <w:jc w:val="both"/>
        <w:ind w:left="1120" w:firstLine="574"/>
        <w:spacing w:after="0" w:line="244" w:lineRule="auto"/>
        <w:tabs>
          <w:tab w:leader="none" w:pos="2448" w:val="left"/>
        </w:tabs>
        <w:numPr>
          <w:ilvl w:val="1"/>
          <w:numId w:val="59"/>
        </w:numPr>
        <w:rPr>
          <w:rFonts w:ascii="Arial" w:cs="Arial" w:eastAsia="Arial" w:hAnsi="Arial"/>
          <w:sz w:val="19"/>
          <w:szCs w:val="19"/>
          <w:color w:val="auto"/>
        </w:rPr>
      </w:pPr>
      <w:r>
        <w:rPr>
          <w:rFonts w:ascii="Arial" w:cs="Arial" w:eastAsia="Arial" w:hAnsi="Arial"/>
          <w:sz w:val="19"/>
          <w:szCs w:val="19"/>
          <w:color w:val="auto"/>
        </w:rPr>
        <w:t>Subject to the terms and conditions of this Agreement, the Lenders will severally (and not jointly) make in an amount not to exceed their respective Tranche 1A Commitments, and Borrower agrees to draw, a Term Loan Advance of</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307340</wp:posOffset>
            </wp:positionV>
            <wp:extent cx="6311265" cy="2222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940"/>
          </w:cols>
          <w:pgMar w:left="980" w:top="781" w:right="979" w:bottom="1440" w:gutter="0" w:footer="0" w:header="0"/>
        </w:sectPr>
      </w:pPr>
    </w:p>
    <w:bookmarkStart w:id="133" w:name="page134"/>
    <w:bookmarkEnd w:id="133"/>
    <w:p>
      <w:pPr>
        <w:ind w:left="660"/>
        <w:spacing w:after="0"/>
        <w:rPr>
          <w:sz w:val="20"/>
          <w:szCs w:val="20"/>
          <w:color w:val="auto"/>
        </w:rPr>
      </w:pPr>
      <w:r>
        <w:rPr>
          <w:rFonts w:ascii="Arial" w:cs="Arial" w:eastAsia="Arial" w:hAnsi="Arial"/>
          <w:sz w:val="19"/>
          <w:szCs w:val="19"/>
          <w:color w:val="auto"/>
        </w:rPr>
        <w:t>Fifty Million Dollars ($50,000,000) on the Closing Date (the “Tranche 1A Advance”).</w:t>
      </w:r>
    </w:p>
    <w:p>
      <w:pPr>
        <w:spacing w:after="0" w:line="182" w:lineRule="exact"/>
        <w:rPr>
          <w:sz w:val="20"/>
          <w:szCs w:val="20"/>
          <w:color w:val="auto"/>
        </w:rPr>
      </w:pPr>
    </w:p>
    <w:p>
      <w:pPr>
        <w:jc w:val="both"/>
        <w:ind w:left="660" w:right="20" w:firstLine="574"/>
        <w:spacing w:after="0" w:line="237" w:lineRule="auto"/>
        <w:tabs>
          <w:tab w:leader="none" w:pos="2237" w:val="left"/>
        </w:tabs>
        <w:numPr>
          <w:ilvl w:val="0"/>
          <w:numId w:val="60"/>
        </w:numPr>
        <w:rPr>
          <w:rFonts w:ascii="Arial" w:cs="Arial" w:eastAsia="Arial" w:hAnsi="Arial"/>
          <w:sz w:val="19"/>
          <w:szCs w:val="19"/>
          <w:color w:val="auto"/>
        </w:rPr>
      </w:pPr>
      <w:r>
        <w:rPr>
          <w:rFonts w:ascii="Arial" w:cs="Arial" w:eastAsia="Arial" w:hAnsi="Arial"/>
          <w:sz w:val="19"/>
          <w:szCs w:val="19"/>
          <w:color w:val="auto"/>
        </w:rPr>
        <w:t>Subject to the terms and conditions of this Agreement, beginning on the Closing Date and continuing through September 15, 2021, Borrower may request and the Lenders will severally (and not jointly) make, in an amount not to exceed their respective Tranche 1B Commitments, additional Term Loan Advances in an aggregate principal amount of up to Ten Million Dollars ($10,000,000)</w:t>
      </w:r>
      <w:r>
        <w:rPr>
          <w:rFonts w:ascii="Arial" w:cs="Arial" w:eastAsia="Arial" w:hAnsi="Arial"/>
          <w:sz w:val="19"/>
          <w:szCs w:val="19"/>
          <w:b w:val="1"/>
          <w:bCs w:val="1"/>
          <w:i w:val="1"/>
          <w:iCs w:val="1"/>
          <w:color w:val="auto"/>
        </w:rPr>
        <w:t>,</w:t>
      </w:r>
      <w:r>
        <w:rPr>
          <w:rFonts w:ascii="Arial" w:cs="Arial" w:eastAsia="Arial" w:hAnsi="Arial"/>
          <w:sz w:val="19"/>
          <w:szCs w:val="19"/>
          <w:color w:val="auto"/>
        </w:rPr>
        <w:t xml:space="preserve"> in minimum increments of Five Million Dollars ($5,000,000) (each, a “Tranche 1B Advance” and together with the Tranche 1A Advance, each a “Tranche 1 Advance”), other than the last Term Loan Advance under the Tranche 1B Commitment which may be less than Five Million Dollars ($5,000,000).</w:t>
      </w:r>
    </w:p>
    <w:p>
      <w:pPr>
        <w:spacing w:after="0" w:line="163" w:lineRule="exact"/>
        <w:rPr>
          <w:rFonts w:ascii="Arial" w:cs="Arial" w:eastAsia="Arial" w:hAnsi="Arial"/>
          <w:sz w:val="19"/>
          <w:szCs w:val="19"/>
          <w:color w:val="auto"/>
        </w:rPr>
      </w:pPr>
    </w:p>
    <w:p>
      <w:pPr>
        <w:jc w:val="both"/>
        <w:ind w:left="660" w:right="20" w:firstLine="574"/>
        <w:spacing w:after="0" w:line="255" w:lineRule="auto"/>
        <w:tabs>
          <w:tab w:leader="none" w:pos="2016" w:val="left"/>
        </w:tabs>
        <w:numPr>
          <w:ilvl w:val="0"/>
          <w:numId w:val="60"/>
        </w:numPr>
        <w:rPr>
          <w:rFonts w:ascii="Arial" w:cs="Arial" w:eastAsia="Arial" w:hAnsi="Arial"/>
          <w:sz w:val="18"/>
          <w:szCs w:val="18"/>
          <w:color w:val="auto"/>
        </w:rPr>
      </w:pPr>
      <w:r>
        <w:rPr>
          <w:rFonts w:ascii="Arial" w:cs="Arial" w:eastAsia="Arial" w:hAnsi="Arial"/>
          <w:sz w:val="18"/>
          <w:szCs w:val="18"/>
          <w:color w:val="auto"/>
        </w:rPr>
        <w:t>Subject to the terms and conditions of this Agreement, beginning on the AXS-05 Milestone Date and continuing through the earlier of (x) 181 days following the AXS-05 Milestone Date and (y) June 30, 2022, Borrower may request and the Lenders shall severally (and not jointly) make additional Term Loan Advances in an aggregate principal amount of up to Thirty-Five Million Dollars ($35,000,000), in minimum increments of Five Million Dollars ($5,000,000) (each, a “Tranche 2 Advance”).</w:t>
      </w:r>
    </w:p>
    <w:p>
      <w:pPr>
        <w:spacing w:after="0" w:line="173" w:lineRule="exact"/>
        <w:rPr>
          <w:rFonts w:ascii="Arial" w:cs="Arial" w:eastAsia="Arial" w:hAnsi="Arial"/>
          <w:sz w:val="18"/>
          <w:szCs w:val="18"/>
          <w:color w:val="auto"/>
        </w:rPr>
      </w:pPr>
    </w:p>
    <w:p>
      <w:pPr>
        <w:jc w:val="both"/>
        <w:ind w:left="660" w:right="20" w:firstLine="574"/>
        <w:spacing w:after="0" w:line="255" w:lineRule="auto"/>
        <w:tabs>
          <w:tab w:leader="none" w:pos="201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Subject to the terms and conditions of this Agreement, beginning on the AXS-07 Milestone Date and continuing through the earlier of (x) 181 days following the AXS-07 Milestone Date and (y) June 30, 2022, Borrower may request and the Lenders shall severally (and not jointly) make additional Term Loan Advances in an aggregate principal amount of up to Twenty Million Dollars ($20,000,000), in minimum increments of Five Million Dollars ($5,000,000) (each, a “Tranche 3 Advance”).</w:t>
      </w:r>
    </w:p>
    <w:p>
      <w:pPr>
        <w:spacing w:after="0" w:line="150" w:lineRule="exact"/>
        <w:rPr>
          <w:rFonts w:ascii="Arial" w:cs="Arial" w:eastAsia="Arial" w:hAnsi="Arial"/>
          <w:sz w:val="18"/>
          <w:szCs w:val="18"/>
          <w:color w:val="auto"/>
        </w:rPr>
      </w:pPr>
    </w:p>
    <w:p>
      <w:pPr>
        <w:jc w:val="both"/>
        <w:ind w:left="660" w:firstLine="574"/>
        <w:spacing w:after="0" w:line="258" w:lineRule="auto"/>
        <w:tabs>
          <w:tab w:leader="none" w:pos="1972" w:val="left"/>
        </w:tabs>
        <w:numPr>
          <w:ilvl w:val="0"/>
          <w:numId w:val="60"/>
        </w:numPr>
        <w:rPr>
          <w:rFonts w:ascii="Arial" w:cs="Arial" w:eastAsia="Arial" w:hAnsi="Arial"/>
          <w:sz w:val="18"/>
          <w:szCs w:val="18"/>
          <w:color w:val="auto"/>
        </w:rPr>
      </w:pPr>
      <w:r>
        <w:rPr>
          <w:rFonts w:ascii="Arial" w:cs="Arial" w:eastAsia="Arial" w:hAnsi="Arial"/>
          <w:sz w:val="18"/>
          <w:szCs w:val="18"/>
          <w:color w:val="auto"/>
        </w:rPr>
        <w:t>Subject to the terms and conditions of this Agreement, and subject to the satisfaction of Tranche 4 Draw Conditions, beginning on January 1, 2022 and continuing through March 31, 2023, Borrower may request additional Term Loan Advances in an aggregate principal amount of up to Sixty Million Dollars ($60,000,000), in minimum increments of Ten Million Dollars ($10,000,000) (each, a “Tranche 4 Advance”).</w:t>
      </w:r>
    </w:p>
    <w:p>
      <w:pPr>
        <w:spacing w:after="0" w:line="147" w:lineRule="exact"/>
        <w:rPr>
          <w:rFonts w:ascii="Arial" w:cs="Arial" w:eastAsia="Arial" w:hAnsi="Arial"/>
          <w:sz w:val="18"/>
          <w:szCs w:val="18"/>
          <w:color w:val="auto"/>
        </w:rPr>
      </w:pPr>
    </w:p>
    <w:p>
      <w:pPr>
        <w:jc w:val="both"/>
        <w:ind w:left="660" w:right="20" w:firstLine="574"/>
        <w:spacing w:after="0" w:line="278" w:lineRule="auto"/>
        <w:tabs>
          <w:tab w:leader="none" w:pos="22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Subject to the terms and conditions of this Agreement, and conditioned on approval by the Lenders’ investment committee in its sole and unfettered discretion, on or before December 31, 2023, Borrower may request additional Term Loan Advances in an aggregate principal amount of up to Fifty Million Dollars ($50,000,000), in minimum increments of Ten Million Dollars ($10,000,000) (each, a “Tranche 5 Advance”).</w:t>
      </w:r>
    </w:p>
    <w:p>
      <w:pPr>
        <w:spacing w:after="0" w:line="131" w:lineRule="exact"/>
        <w:rPr>
          <w:rFonts w:ascii="Arial" w:cs="Arial" w:eastAsia="Arial" w:hAnsi="Arial"/>
          <w:sz w:val="17"/>
          <w:szCs w:val="17"/>
          <w:color w:val="auto"/>
        </w:rPr>
      </w:pPr>
    </w:p>
    <w:p>
      <w:pPr>
        <w:jc w:val="both"/>
        <w:ind w:left="660" w:firstLine="574"/>
        <w:spacing w:after="0" w:line="244" w:lineRule="auto"/>
        <w:tabs>
          <w:tab w:leader="none" w:pos="1993" w:val="left"/>
        </w:tabs>
        <w:numPr>
          <w:ilvl w:val="0"/>
          <w:numId w:val="60"/>
        </w:numPr>
        <w:rPr>
          <w:rFonts w:ascii="Arial" w:cs="Arial" w:eastAsia="Arial" w:hAnsi="Arial"/>
          <w:sz w:val="19"/>
          <w:szCs w:val="19"/>
          <w:color w:val="auto"/>
        </w:rPr>
      </w:pPr>
      <w:r>
        <w:rPr>
          <w:rFonts w:ascii="Arial" w:cs="Arial" w:eastAsia="Arial" w:hAnsi="Arial"/>
          <w:sz w:val="19"/>
          <w:szCs w:val="19"/>
          <w:color w:val="auto"/>
        </w:rPr>
        <w:t>The aggregate outstanding Term Loan Advances may be up to the Maximum Term Loan Amount plus, for the avoidance of doubt, any amount equal to the Term Loan PIK Interest added to principal pursuant to Section 2.2(c)(ii).</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480"/>
        <w:spacing w:after="0"/>
        <w:rPr>
          <w:sz w:val="20"/>
          <w:szCs w:val="20"/>
          <w:color w:val="auto"/>
        </w:rPr>
      </w:pPr>
      <w:r>
        <w:rPr>
          <w:rFonts w:ascii="Arial" w:cs="Arial" w:eastAsia="Arial" w:hAnsi="Arial"/>
          <w:sz w:val="19"/>
          <w:szCs w:val="19"/>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307340</wp:posOffset>
            </wp:positionV>
            <wp:extent cx="6311265" cy="2222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480"/>
          </w:cols>
          <w:pgMar w:left="1440" w:top="781" w:right="979" w:bottom="1440" w:gutter="0" w:footer="0" w:header="0"/>
        </w:sectPr>
      </w:pPr>
    </w:p>
    <w:bookmarkStart w:id="134" w:name="page135"/>
    <w:bookmarkEnd w:id="134"/>
    <w:p>
      <w:pPr>
        <w:jc w:val="both"/>
        <w:ind w:left="100" w:right="20" w:firstLine="568"/>
        <w:spacing w:after="0" w:line="239" w:lineRule="auto"/>
        <w:tabs>
          <w:tab w:leader="none" w:pos="1288" w:val="left"/>
        </w:tabs>
        <w:numPr>
          <w:ilvl w:val="0"/>
          <w:numId w:val="61"/>
        </w:numPr>
        <w:rPr>
          <w:rFonts w:ascii="Arial" w:cs="Arial" w:eastAsia="Arial" w:hAnsi="Arial"/>
          <w:sz w:val="19"/>
          <w:szCs w:val="19"/>
          <w:color w:val="auto"/>
        </w:rPr>
      </w:pPr>
      <w:r>
        <w:rPr>
          <w:rFonts w:ascii="Arial" w:cs="Arial" w:eastAsia="Arial" w:hAnsi="Arial"/>
          <w:sz w:val="19"/>
          <w:szCs w:val="19"/>
          <w:color w:val="auto"/>
        </w:rPr>
        <w:t>Advance Request. To obtain a Term Loan Advance, Borrower shall complete, sign and deliver an Advance Request (at least one (1) Business Day before the Closing Date and at least five (5) Business Days before each Advance Date other than the Closing Date) to Agent. The Lenders shall fund the Term Loan Advance in the manner requested by the Advance Request provided that each of the conditions precedent to such Term Loan Advance is satisfied as of the requested Advance Date.</w:t>
      </w:r>
    </w:p>
    <w:p>
      <w:pPr>
        <w:spacing w:after="0" w:line="161" w:lineRule="exact"/>
        <w:rPr>
          <w:rFonts w:ascii="Arial" w:cs="Arial" w:eastAsia="Arial" w:hAnsi="Arial"/>
          <w:sz w:val="19"/>
          <w:szCs w:val="19"/>
          <w:color w:val="auto"/>
        </w:rPr>
      </w:pPr>
    </w:p>
    <w:p>
      <w:pPr>
        <w:ind w:left="1260" w:hanging="592"/>
        <w:spacing w:after="0"/>
        <w:tabs>
          <w:tab w:leader="none" w:pos="1260" w:val="left"/>
        </w:tabs>
        <w:numPr>
          <w:ilvl w:val="0"/>
          <w:numId w:val="61"/>
        </w:numPr>
        <w:rPr>
          <w:rFonts w:ascii="Arial" w:cs="Arial" w:eastAsia="Arial" w:hAnsi="Arial"/>
          <w:sz w:val="19"/>
          <w:szCs w:val="19"/>
          <w:color w:val="auto"/>
        </w:rPr>
      </w:pPr>
      <w:r>
        <w:rPr>
          <w:rFonts w:ascii="Arial" w:cs="Arial" w:eastAsia="Arial" w:hAnsi="Arial"/>
          <w:sz w:val="19"/>
          <w:szCs w:val="19"/>
          <w:color w:val="auto"/>
        </w:rPr>
        <w:t>Interest.</w:t>
      </w:r>
    </w:p>
    <w:p>
      <w:pPr>
        <w:spacing w:after="0" w:line="182" w:lineRule="exact"/>
        <w:rPr>
          <w:rFonts w:ascii="Arial" w:cs="Arial" w:eastAsia="Arial" w:hAnsi="Arial"/>
          <w:sz w:val="19"/>
          <w:szCs w:val="19"/>
          <w:color w:val="auto"/>
        </w:rPr>
      </w:pPr>
    </w:p>
    <w:p>
      <w:pPr>
        <w:jc w:val="both"/>
        <w:ind w:left="660" w:firstLine="574"/>
        <w:spacing w:after="0" w:line="252" w:lineRule="auto"/>
        <w:tabs>
          <w:tab w:leader="none" w:pos="2019" w:val="left"/>
        </w:tabs>
        <w:numPr>
          <w:ilvl w:val="1"/>
          <w:numId w:val="61"/>
        </w:numPr>
        <w:rPr>
          <w:rFonts w:ascii="Arial" w:cs="Arial" w:eastAsia="Arial" w:hAnsi="Arial"/>
          <w:sz w:val="18"/>
          <w:szCs w:val="18"/>
          <w:color w:val="auto"/>
        </w:rPr>
      </w:pPr>
      <w:r>
        <w:rPr>
          <w:rFonts w:ascii="Arial" w:cs="Arial" w:eastAsia="Arial" w:hAnsi="Arial"/>
          <w:sz w:val="18"/>
          <w:szCs w:val="18"/>
          <w:color w:val="auto"/>
        </w:rPr>
        <w:t>Term Loan Cash Interest Rate. The principal balance (including, for the avoidance of doubt, any payment-in-kind interest added to principal pursuant to Section 2.2(c)(ii)) of each Term Loan Advance shall bear interest thereon from such Advance Date (or from the date such amount equal to the Term Loan PIK Interest is added to the principal) at the Term Loan Cash Interest Rate (as may be reduced for a given period in an amount equal to the applicable Cash Interest Reduction Amount pursuant to Section 2.2(c)(iii)) based on a year consisting of 360 days, with interest computed daily based on the actual number of days elapsed. The Term Loan Cash Interest Rate will float and change on the day the prime rate changes from time to time.</w:t>
      </w:r>
    </w:p>
    <w:p>
      <w:pPr>
        <w:spacing w:after="0" w:line="176" w:lineRule="exact"/>
        <w:rPr>
          <w:rFonts w:ascii="Arial" w:cs="Arial" w:eastAsia="Arial" w:hAnsi="Arial"/>
          <w:sz w:val="18"/>
          <w:szCs w:val="18"/>
          <w:color w:val="auto"/>
        </w:rPr>
      </w:pPr>
    </w:p>
    <w:p>
      <w:pPr>
        <w:jc w:val="both"/>
        <w:ind w:left="660" w:firstLine="574"/>
        <w:spacing w:after="0" w:line="250" w:lineRule="auto"/>
        <w:tabs>
          <w:tab w:leader="none" w:pos="2111" w:val="left"/>
        </w:tabs>
        <w:numPr>
          <w:ilvl w:val="1"/>
          <w:numId w:val="61"/>
        </w:numPr>
        <w:rPr>
          <w:rFonts w:ascii="Arial" w:cs="Arial" w:eastAsia="Arial" w:hAnsi="Arial"/>
          <w:sz w:val="18"/>
          <w:szCs w:val="18"/>
          <w:color w:val="auto"/>
        </w:rPr>
      </w:pPr>
      <w:r>
        <w:rPr>
          <w:rFonts w:ascii="Arial" w:cs="Arial" w:eastAsia="Arial" w:hAnsi="Arial"/>
          <w:sz w:val="18"/>
          <w:szCs w:val="18"/>
          <w:color w:val="auto"/>
        </w:rPr>
        <w:t>Term Loan PIK Interest Rate. In addition to interest accrued pursuant to the Term Loan Cash Interest Rate, the principal balance of each Term Loan Advance shall bear interest thereon during a PIK Deferral Period, if any, at the Term Loan PIK Interest Rate based on a year consisting of 360 days, with interest computed daily based on the actual number of days elapsed (the “Term Loan PIK Interest”), which amount shall be added to the outstanding principal balance on each Interest Payment Date during a PIK Deferral Period and so capitalized so as to increase the outstanding principal balance of such Term Loan Advance on each such Interest Payment Date for such Advance, which principal amount shall accrue interest payable as provided in Section 2.2(c)(i) and which accrued and unpaid amount shall be payable when the principal amount of the applicable Advance is payable in accordance with Section 2.2(d).</w:t>
      </w:r>
    </w:p>
    <w:p>
      <w:pPr>
        <w:spacing w:after="0" w:line="158" w:lineRule="exact"/>
        <w:rPr>
          <w:rFonts w:ascii="Arial" w:cs="Arial" w:eastAsia="Arial" w:hAnsi="Arial"/>
          <w:sz w:val="18"/>
          <w:szCs w:val="18"/>
          <w:color w:val="auto"/>
        </w:rPr>
      </w:pPr>
    </w:p>
    <w:p>
      <w:pPr>
        <w:jc w:val="both"/>
        <w:ind w:left="660" w:firstLine="574"/>
        <w:spacing w:after="0" w:line="250" w:lineRule="auto"/>
        <w:tabs>
          <w:tab w:leader="none" w:pos="1965" w:val="left"/>
        </w:tabs>
        <w:numPr>
          <w:ilvl w:val="1"/>
          <w:numId w:val="61"/>
        </w:numPr>
        <w:rPr>
          <w:rFonts w:ascii="Arial" w:cs="Arial" w:eastAsia="Arial" w:hAnsi="Arial"/>
          <w:sz w:val="18"/>
          <w:szCs w:val="18"/>
          <w:color w:val="auto"/>
        </w:rPr>
      </w:pPr>
      <w:r>
        <w:rPr>
          <w:rFonts w:ascii="Arial" w:cs="Arial" w:eastAsia="Arial" w:hAnsi="Arial"/>
          <w:sz w:val="18"/>
          <w:szCs w:val="18"/>
          <w:color w:val="auto"/>
        </w:rPr>
        <w:t>Borrower may elect, by prior written notice to Agent either: (a) prior to an Advance Date, or (b) at least five (5) Business Days prior to the first Business Day of a fiscal quarter (or such shorter period as Agent may allow in its sole discretion), to reduce the then effective per annum Term Loan Cash Interest Rate applicable to the Term Loan Advances, by up to 1.00% per annum (the amount of such reduction, the “Cash Interest Reduction Amount”) for a period specified in such notice; provided that such period shall begin on the first Business Day of the next fiscal quarter and shall end on the last day of such next fiscal quarter or any subsequent fiscal quarter thereafter (the “PIK Deferral Period”); provided that after the expiration of any PIK Deferral Period, the reduction to the Term Loan Cash Interest Rate by an amount equal to the Cash Interest Reduction Amount shall cease to apply concurrent with the termination of accrual of interest at the Term Loan PIK Interest Rate. If during a PIK Deferral Period, Borrower desires to terminate such</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480"/>
        <w:spacing w:after="0"/>
        <w:rPr>
          <w:sz w:val="20"/>
          <w:szCs w:val="20"/>
          <w:color w:val="auto"/>
        </w:rPr>
      </w:pPr>
      <w:r>
        <w:rPr>
          <w:rFonts w:ascii="Arial" w:cs="Arial" w:eastAsia="Arial" w:hAnsi="Arial"/>
          <w:sz w:val="19"/>
          <w:szCs w:val="19"/>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307340</wp:posOffset>
            </wp:positionV>
            <wp:extent cx="6311265" cy="2222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480"/>
          </w:cols>
          <w:pgMar w:left="1440" w:top="781" w:right="979" w:bottom="1440" w:gutter="0" w:footer="0" w:header="0"/>
        </w:sectPr>
      </w:pPr>
    </w:p>
    <w:bookmarkStart w:id="135" w:name="page136"/>
    <w:bookmarkEnd w:id="135"/>
    <w:p>
      <w:pPr>
        <w:jc w:val="both"/>
        <w:ind w:left="660"/>
        <w:spacing w:after="0" w:line="250" w:lineRule="auto"/>
        <w:rPr>
          <w:sz w:val="20"/>
          <w:szCs w:val="20"/>
          <w:color w:val="auto"/>
        </w:rPr>
      </w:pPr>
      <w:r>
        <w:rPr>
          <w:rFonts w:ascii="Arial" w:cs="Arial" w:eastAsia="Arial" w:hAnsi="Arial"/>
          <w:sz w:val="18"/>
          <w:szCs w:val="18"/>
          <w:color w:val="auto"/>
        </w:rPr>
        <w:t>PIK Deferral Period prior to the previously requested end date of the PIK Deferral Period, Borrower may by written notice to Agent at least five (5) Business Days prior to the previously scheduled end date of such PIK Deferral Period (or such shorter period as Agent may allow in its sole discretion), elect an earlier end date (which must be the last day of a fiscal quarter that is no earlier than the last day of the fiscal quarter after the commencement of such PIK Deferral Period, unless Agent allows a shorter period in its sole discretion). If during a PIK Deferral Period, Borrower desires to change the Cash Interest Reduction Amount, Borrower may by written notice to Agent at least five (5) Business Days prior to the first Business Day of the fiscal quarter when such change is to take effect (or such shorter period as Agent may allow in its sole discretion), elect a different Cash Interest Reduction Amount; provided that the Cash Interest Reduction Amount shall not be changed more frequently than once during any fiscal quarter.</w:t>
      </w:r>
    </w:p>
    <w:p>
      <w:pPr>
        <w:spacing w:after="0" w:line="155" w:lineRule="exact"/>
        <w:rPr>
          <w:sz w:val="20"/>
          <w:szCs w:val="20"/>
          <w:color w:val="auto"/>
        </w:rPr>
      </w:pPr>
    </w:p>
    <w:p>
      <w:pPr>
        <w:jc w:val="both"/>
        <w:ind w:left="100" w:firstLine="568"/>
        <w:spacing w:after="0" w:line="262" w:lineRule="auto"/>
        <w:tabs>
          <w:tab w:leader="none" w:pos="1563" w:val="left"/>
        </w:tabs>
        <w:numPr>
          <w:ilvl w:val="0"/>
          <w:numId w:val="62"/>
        </w:numPr>
        <w:rPr>
          <w:rFonts w:ascii="Arial" w:cs="Arial" w:eastAsia="Arial" w:hAnsi="Arial"/>
          <w:sz w:val="17"/>
          <w:szCs w:val="17"/>
          <w:color w:val="auto"/>
        </w:rPr>
      </w:pPr>
      <w:r>
        <w:rPr>
          <w:rFonts w:ascii="Arial" w:cs="Arial" w:eastAsia="Arial" w:hAnsi="Arial"/>
          <w:sz w:val="17"/>
          <w:szCs w:val="17"/>
          <w:color w:val="auto"/>
        </w:rPr>
        <w:t>Payment. Borrower will pay interest on each Term Loan Advance on the first Business Day of each month, beginning the month after the Advance Date (each an “Interest Payment Date”). Borrower shall repay the aggregate Term Loan principal balance that is outstanding on the day immediately preceding the Amortization Date, in equal monthly installments of principal and interest (mortgage style) beginning on the Amortization Date and continuing on the first Business Day of each month thereafter until the Secured Obligations (other than any inchoate indemnity obligations and any other obligations which, by their terms, are to survive the termination of this Agreement) are repaid; provided, that if the Term Loan Cash Interest Rate is adjusted in accordance with its terms, or a PIK Deferral Period becomes effective, the amount of each subsequent monthly installment shall be recalculated so that the remaining payments shall be equal monthly installments of principal and interest beginning on the first Business Day of the month following such recalculation and continuing on the first Business Day of each month thereafter until the Secured Obligations (other than any inchoate indemnity obligations and any other obligations which, by their terms, are to survive the termination of this Agreement) are repaid in full. The entire Term Loan principal balance and all accrued but unpaid interest hereunder, shall be due and payable on the Term Loan Maturity Date. Borrower shall make all payments under this Agreement without setoff, recoupment or deduction and regardless of any counterclaim or defense. If a payment hereunder becomes due and payable on a day that is not a Business Day, the due date thereof shall be the immediately preceding Business Day. The Lenders will initiate debit entries to the Borrower’s account as authorized on the ACH Authorization (i) on each payment date of all periodic obligations payable to the Lenders under each Term Loan Advance and (ii) reasonable, documented, out-of-pocket legal fees and costs incurred by Agent or the Lenders in connection with Section 11.12 of this Agreement; provided that, with respect to clause (i) above, in the event that the Lenders or Agent informs Borrower that the Lenders will not initiate a debit entry to Borrower’s account for a certain amount of the periodic obligations due on a specific payment date, Borrower shall pay to the Lenders such amount of periodic obligations in full in immediately available funds on such payment date; provided, further, that, with respect to clause (i) above, if the Lenders or Agent informs Borrower that the Lenders will not initiate a debit entry as described above later than the date that is three (3) Business Days prior to such payment date, Borrower shall pay to the</w:t>
      </w:r>
    </w:p>
    <w:p>
      <w:pPr>
        <w:spacing w:after="0" w:line="200" w:lineRule="exact"/>
        <w:rPr>
          <w:sz w:val="20"/>
          <w:szCs w:val="20"/>
          <w:color w:val="auto"/>
        </w:rPr>
      </w:pPr>
    </w:p>
    <w:p>
      <w:pPr>
        <w:spacing w:after="0" w:line="361" w:lineRule="exact"/>
        <w:rPr>
          <w:sz w:val="20"/>
          <w:szCs w:val="20"/>
          <w:color w:val="auto"/>
        </w:rPr>
      </w:pPr>
    </w:p>
    <w:p>
      <w:pPr>
        <w:jc w:val="center"/>
        <w:ind w:right="480"/>
        <w:spacing w:after="0"/>
        <w:rPr>
          <w:sz w:val="20"/>
          <w:szCs w:val="20"/>
          <w:color w:val="auto"/>
        </w:rPr>
      </w:pPr>
      <w:r>
        <w:rPr>
          <w:rFonts w:ascii="Arial" w:cs="Arial" w:eastAsia="Arial" w:hAnsi="Arial"/>
          <w:sz w:val="19"/>
          <w:szCs w:val="19"/>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307340</wp:posOffset>
            </wp:positionV>
            <wp:extent cx="6311265" cy="2222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480"/>
          </w:cols>
          <w:pgMar w:left="1440" w:top="781" w:right="979" w:bottom="1440" w:gutter="0" w:footer="0" w:header="0"/>
        </w:sectPr>
      </w:pPr>
    </w:p>
    <w:bookmarkStart w:id="136" w:name="page137"/>
    <w:bookmarkEnd w:id="136"/>
    <w:p>
      <w:pPr>
        <w:ind w:left="100" w:right="20"/>
        <w:spacing w:after="0" w:line="270" w:lineRule="auto"/>
        <w:rPr>
          <w:sz w:val="20"/>
          <w:szCs w:val="20"/>
          <w:color w:val="auto"/>
        </w:rPr>
      </w:pPr>
      <w:r>
        <w:rPr>
          <w:rFonts w:ascii="Arial" w:cs="Arial" w:eastAsia="Arial" w:hAnsi="Arial"/>
          <w:sz w:val="17"/>
          <w:szCs w:val="17"/>
          <w:color w:val="auto"/>
        </w:rPr>
        <w:t>Lenders such amount of periodic obligations in full in immediately available funds on the date that is three (3) Business Days after the date on which the Lenders or Agent notifies Borrower of such; provided, further, that, with respect to clause</w:t>
      </w:r>
    </w:p>
    <w:p>
      <w:pPr>
        <w:spacing w:after="0" w:line="1" w:lineRule="exact"/>
        <w:rPr>
          <w:sz w:val="20"/>
          <w:szCs w:val="20"/>
          <w:color w:val="auto"/>
        </w:rPr>
      </w:pPr>
    </w:p>
    <w:p>
      <w:pPr>
        <w:jc w:val="both"/>
        <w:ind w:left="100" w:right="20" w:firstLine="2"/>
        <w:spacing w:after="0" w:line="260" w:lineRule="auto"/>
        <w:tabs>
          <w:tab w:leader="none" w:pos="408" w:val="left"/>
        </w:tabs>
        <w:numPr>
          <w:ilvl w:val="0"/>
          <w:numId w:val="63"/>
        </w:numPr>
        <w:rPr>
          <w:rFonts w:ascii="Arial" w:cs="Arial" w:eastAsia="Arial" w:hAnsi="Arial"/>
          <w:sz w:val="17"/>
          <w:szCs w:val="17"/>
          <w:color w:val="auto"/>
        </w:rPr>
      </w:pPr>
      <w:r>
        <w:rPr>
          <w:rFonts w:ascii="Arial" w:cs="Arial" w:eastAsia="Arial" w:hAnsi="Arial"/>
          <w:sz w:val="17"/>
          <w:szCs w:val="17"/>
          <w:color w:val="auto"/>
        </w:rPr>
        <w:t>above, in the event that the Lenders or Agent informs Borrower that the Lenders will not initiate a debit entry to Borrower’s account for certain amount of such reasonable, documented out-of-pocket legal fees and costs incurred by Agent or the Lenders, Borrower shall pay to the Lenders such amount in full in immediately available funds within three</w:t>
      </w:r>
    </w:p>
    <w:p>
      <w:pPr>
        <w:spacing w:after="0" w:line="1"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9"/>
          <w:szCs w:val="19"/>
          <w:color w:val="auto"/>
        </w:rPr>
        <w:t>(3) Business Days.</w:t>
      </w:r>
    </w:p>
    <w:p>
      <w:pPr>
        <w:spacing w:after="0" w:line="190" w:lineRule="exact"/>
        <w:rPr>
          <w:sz w:val="20"/>
          <w:szCs w:val="20"/>
          <w:color w:val="auto"/>
        </w:rPr>
      </w:pPr>
    </w:p>
    <w:p>
      <w:pPr>
        <w:jc w:val="both"/>
        <w:ind w:left="100" w:right="20" w:firstLine="566"/>
        <w:spacing w:after="0" w:line="266" w:lineRule="auto"/>
        <w:rPr>
          <w:sz w:val="20"/>
          <w:szCs w:val="20"/>
          <w:color w:val="auto"/>
        </w:rPr>
      </w:pPr>
      <w:r>
        <w:rPr>
          <w:rFonts w:ascii="Arial" w:cs="Arial" w:eastAsia="Arial" w:hAnsi="Arial"/>
          <w:sz w:val="17"/>
          <w:szCs w:val="17"/>
          <w:color w:val="auto"/>
        </w:rPr>
        <w:t>2.3 Maximum Interest. Notwithstanding any provision in this Agreement or any other Loan Document, it is the parties’ intent not to contract for, charge or receive interest at a rate that is greater than the maximum rate permissible by law that a court of competent jurisdiction shall deem applicable hereto (which under the laws of the State of California shall be deemed to be the laws relating to permissible rates of interest on commercial loans) (the “Maximum Rate”). If a court of competent jurisdiction shall finally determine that Borrower has actually paid to the Lenders an amount of interest in excess of the amount that would have been payable if all of the Secured Obligations had at all times borne interest at the Maximum Rate, then such excess interest actually paid by Borrower shall be applied as follows: first, to the payment of the Secured Obligations consisting of the outstanding principal; second, after all principal is repaid, to the payment of the Lenders’ accrued interest, costs, expenses, professional fees and any other Secured Obligations; and third, after all Secured Obligations are repaid, the excess (if any) shall be refunded to Borrower.</w:t>
      </w:r>
    </w:p>
    <w:p>
      <w:pPr>
        <w:spacing w:after="0" w:line="144" w:lineRule="exact"/>
        <w:rPr>
          <w:sz w:val="20"/>
          <w:szCs w:val="20"/>
          <w:color w:val="auto"/>
        </w:rPr>
      </w:pPr>
    </w:p>
    <w:p>
      <w:pPr>
        <w:jc w:val="both"/>
        <w:ind w:left="100" w:right="20" w:firstLine="566"/>
        <w:spacing w:after="0" w:line="251" w:lineRule="auto"/>
        <w:rPr>
          <w:sz w:val="20"/>
          <w:szCs w:val="20"/>
          <w:color w:val="auto"/>
        </w:rPr>
      </w:pPr>
      <w:r>
        <w:rPr>
          <w:rFonts w:ascii="Arial" w:cs="Arial" w:eastAsia="Arial" w:hAnsi="Arial"/>
          <w:sz w:val="18"/>
          <w:szCs w:val="18"/>
          <w:color w:val="auto"/>
        </w:rPr>
        <w:t>2.4 Default Interest. In the event any payment is not paid on the scheduled payment date (or promptly following resolution of an ACH Failure (and in no event later than three (3) Business Days of the scheduled payment date); provided that such late payment is due to an ACH Failure), an amount equal to five percent (5%) of the past due amount shall be payable on demand. In addition, upon the occurrence and during the continuation of an Event of Default hereunder, all Secured Obligations, including principal, interest, compounded interest, and professional fees, shall bear interest at a rate per annum equal to the rate set forth in Section 2.2(c) plus five percent (5%) per annum. In the event any interest is not paid when due hereunder, delinquent interest shall be added to principal and shall bear interest on interest, compounded at the rate set forth in Section 2.2(c) or Section 2.4, as applicable.</w:t>
      </w:r>
    </w:p>
    <w:p>
      <w:pPr>
        <w:spacing w:after="0" w:line="155" w:lineRule="exact"/>
        <w:rPr>
          <w:sz w:val="20"/>
          <w:szCs w:val="20"/>
          <w:color w:val="auto"/>
        </w:rPr>
      </w:pPr>
    </w:p>
    <w:p>
      <w:pPr>
        <w:jc w:val="both"/>
        <w:ind w:left="100" w:firstLine="566"/>
        <w:spacing w:after="0" w:line="267" w:lineRule="auto"/>
        <w:rPr>
          <w:sz w:val="20"/>
          <w:szCs w:val="20"/>
          <w:color w:val="auto"/>
        </w:rPr>
      </w:pPr>
      <w:r>
        <w:rPr>
          <w:rFonts w:ascii="Arial" w:cs="Arial" w:eastAsia="Arial" w:hAnsi="Arial"/>
          <w:sz w:val="17"/>
          <w:szCs w:val="17"/>
          <w:color w:val="auto"/>
        </w:rPr>
        <w:t>2.5 Prepayment. At its option, upon at least seven (7) Business Days prior written notice to Agent (or such shorter notice period as agreed by Agent in its sole discretion), Borrower may at any time and from time to time, prepay all or a portion of the outstanding Advances by paying the entire principal balance, or such portion thereof in minimum increments of Five Million Dollars ($5,000,000), all accrued and unpaid interest thereon, together with a prepayment charge equal to the following percentage of the Advance amount being prepaid: with respect to each Advance (which Advance amount shall include, for the avoidance of doubt, any payment-in-kind interest that has been added to the principal balance of such Advance pursuant to Section 2.2(c)(ii)), if such Advance amounts are prepaid in any of the first twelve (12) months following the Closing Date, 2.0%; on or after the date that is twelve (12) months following the Closing Date but prior to twenty four (24) months following the Closing Date, 1.5%; and on or after the date that is twenty four (24) months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480"/>
        <w:spacing w:after="0"/>
        <w:rPr>
          <w:sz w:val="20"/>
          <w:szCs w:val="20"/>
          <w:color w:val="auto"/>
        </w:rPr>
      </w:pPr>
      <w:r>
        <w:rPr>
          <w:rFonts w:ascii="Arial" w:cs="Arial" w:eastAsia="Arial" w:hAnsi="Arial"/>
          <w:sz w:val="19"/>
          <w:szCs w:val="19"/>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307340</wp:posOffset>
            </wp:positionV>
            <wp:extent cx="6311265" cy="2222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480"/>
          </w:cols>
          <w:pgMar w:left="1440" w:top="781" w:right="979" w:bottom="1440" w:gutter="0" w:footer="0" w:header="0"/>
        </w:sectPr>
      </w:pPr>
    </w:p>
    <w:bookmarkStart w:id="137" w:name="page138"/>
    <w:bookmarkEnd w:id="137"/>
    <w:p>
      <w:pPr>
        <w:jc w:val="both"/>
        <w:ind w:left="100"/>
        <w:spacing w:after="0" w:line="263" w:lineRule="auto"/>
        <w:rPr>
          <w:sz w:val="20"/>
          <w:szCs w:val="20"/>
          <w:color w:val="auto"/>
        </w:rPr>
      </w:pPr>
      <w:r>
        <w:rPr>
          <w:rFonts w:ascii="Arial" w:cs="Arial" w:eastAsia="Arial" w:hAnsi="Arial"/>
          <w:sz w:val="17"/>
          <w:szCs w:val="17"/>
          <w:color w:val="auto"/>
        </w:rPr>
        <w:t>following the Closing Date but prior to thirty six (36) months following the Closing Date, 1.0% (each, a “Prepayment Charge”). If at any time Borrower elects to make a prepayment, and at such time, there are outstanding Advances under multiple Tranches, the Prepayment Charge shall be determined by applying the amount of such prepayment in the following order: first, to the outstanding principal amount (and accrued but unpaid interest thereon) of Advances outstanding under the Tranche with the latest initial funding date; second, to the outstanding principal amount (and accrued but unpaid interest thereon) of Advances outstanding under the Tranche with the next latest initial funding date and so on until the entire principal balance of all Advances made hereunder (and all accrued but unpaid interest thereon) is paid in full. Borrower agrees that the Prepayment Charge is a reasonable calculation of the Lenders’ lost profits in view of the difficulties and impracticality of determining actual damages resulting from an early repayment of the Advances. Borrower shall prepay the outstanding amount of all principal and accrued interest through the prepayment date and the Prepayment Charge, if any, upon the occurrence of a Change in Control or any other prepayment hereunder. Notwithstanding the foregoing, Agent and the Lenders agree to waive the Prepayment Charge if Agent and the Lenders (in their sole and absolute discretion) agree in writing to refinance the Advances prior to the Term Loan Maturity Date. Any amounts paid under this Section shall be applied by Agent to the then unpaid amount of any Secured Obligations (including principal and interest) in such order and priority as Agent may choose in its sole discretion. For the avoidance of doubt, if a payment hereunder becomes due and payable on a day that is not a Business Day, the due date thereof shall be the immediately preceding Business Day. Notwithstanding anything to the contrary contained in this Agreement, so long as Borrower provided notice to the Agent no less than seven (7) Business Days prior to the proposed prepayment date, Borrower may rescind any notice of prepayment if such prepayment would have resulted from a refinancing of all or a portion of the Term Loan Advances, which refinancing shall not be consummated or shall otherwise be delayed.</w:t>
      </w:r>
    </w:p>
    <w:p>
      <w:pPr>
        <w:spacing w:after="0" w:line="172" w:lineRule="exact"/>
        <w:rPr>
          <w:sz w:val="20"/>
          <w:szCs w:val="20"/>
          <w:color w:val="auto"/>
        </w:rPr>
      </w:pPr>
    </w:p>
    <w:p>
      <w:pPr>
        <w:ind w:left="600"/>
        <w:spacing w:after="0"/>
        <w:tabs>
          <w:tab w:leader="none" w:pos="1280" w:val="left"/>
        </w:tabs>
        <w:rPr>
          <w:sz w:val="20"/>
          <w:szCs w:val="20"/>
          <w:color w:val="auto"/>
        </w:rPr>
      </w:pPr>
      <w:r>
        <w:rPr>
          <w:rFonts w:ascii="Arial" w:cs="Arial" w:eastAsia="Arial" w:hAnsi="Arial"/>
          <w:sz w:val="19"/>
          <w:szCs w:val="19"/>
          <w:color w:val="auto"/>
        </w:rPr>
        <w:t>2.6</w:t>
      </w:r>
      <w:r>
        <w:rPr>
          <w:sz w:val="20"/>
          <w:szCs w:val="20"/>
          <w:color w:val="auto"/>
        </w:rPr>
        <w:tab/>
      </w:r>
      <w:r>
        <w:rPr>
          <w:rFonts w:ascii="Arial" w:cs="Arial" w:eastAsia="Arial" w:hAnsi="Arial"/>
          <w:sz w:val="17"/>
          <w:szCs w:val="17"/>
          <w:color w:val="auto"/>
        </w:rPr>
        <w:t>End of Term Charge.</w:t>
      </w:r>
    </w:p>
    <w:p>
      <w:pPr>
        <w:spacing w:after="0" w:line="182" w:lineRule="exact"/>
        <w:rPr>
          <w:sz w:val="20"/>
          <w:szCs w:val="20"/>
          <w:color w:val="auto"/>
        </w:rPr>
      </w:pPr>
    </w:p>
    <w:p>
      <w:pPr>
        <w:jc w:val="both"/>
        <w:ind w:left="100" w:right="20" w:firstLine="568"/>
        <w:spacing w:after="0" w:line="265" w:lineRule="auto"/>
        <w:tabs>
          <w:tab w:leader="none" w:pos="1387" w:val="left"/>
        </w:tabs>
        <w:numPr>
          <w:ilvl w:val="0"/>
          <w:numId w:val="64"/>
        </w:numPr>
        <w:rPr>
          <w:rFonts w:ascii="Arial" w:cs="Arial" w:eastAsia="Arial" w:hAnsi="Arial"/>
          <w:sz w:val="18"/>
          <w:szCs w:val="18"/>
          <w:color w:val="auto"/>
        </w:rPr>
      </w:pPr>
      <w:r>
        <w:rPr>
          <w:rFonts w:ascii="Arial" w:cs="Arial" w:eastAsia="Arial" w:hAnsi="Arial"/>
          <w:sz w:val="18"/>
          <w:szCs w:val="18"/>
          <w:color w:val="auto"/>
        </w:rPr>
        <w:t>On any date that Borrower partially prepays the outstanding Secured Obligations pursuant to Section 2.5, Borrower shall pay the Lenders a charge of 4.85% of the principal amount of such Term Loan Advances being prepaid (without giving effect to any capitalization of paid-in-kind interest for purposes of this calculation).</w:t>
      </w:r>
    </w:p>
    <w:p>
      <w:pPr>
        <w:spacing w:after="0" w:line="139" w:lineRule="exact"/>
        <w:rPr>
          <w:rFonts w:ascii="Arial" w:cs="Arial" w:eastAsia="Arial" w:hAnsi="Arial"/>
          <w:sz w:val="18"/>
          <w:szCs w:val="18"/>
          <w:color w:val="auto"/>
        </w:rPr>
      </w:pPr>
    </w:p>
    <w:p>
      <w:pPr>
        <w:jc w:val="both"/>
        <w:ind w:left="100" w:firstLine="568"/>
        <w:spacing w:after="0" w:line="269" w:lineRule="auto"/>
        <w:tabs>
          <w:tab w:leader="none" w:pos="1550" w:val="left"/>
        </w:tabs>
        <w:numPr>
          <w:ilvl w:val="0"/>
          <w:numId w:val="64"/>
        </w:numPr>
        <w:rPr>
          <w:rFonts w:ascii="Arial" w:cs="Arial" w:eastAsia="Arial" w:hAnsi="Arial"/>
          <w:sz w:val="17"/>
          <w:szCs w:val="17"/>
          <w:color w:val="auto"/>
        </w:rPr>
      </w:pPr>
      <w:r>
        <w:rPr>
          <w:rFonts w:ascii="Arial" w:cs="Arial" w:eastAsia="Arial" w:hAnsi="Arial"/>
          <w:sz w:val="17"/>
          <w:szCs w:val="17"/>
          <w:color w:val="auto"/>
        </w:rPr>
        <w:t>On the earliest to occur of (i) the Term Loan Maturity Date, (ii) the date that Borrower prepays the outstanding Secured Obligations (other than any inchoate indemnity obligations and any other obligations which, by their terms, are to survive the termination of this Agreement) in full, or (iii) the date that the Secured Obligations become due and payable in full (other than regularly scheduled interest and amortization payments), Borrower shall pay the Lenders a charge equal to (x) the greater of (A) Two Million Nine Hundred and Ten Thousand Dollars ($2,910,000) and (B) 4.85% of the aggregate amount of all Term Loan Advances funded minus (y) the aggregate amount of payments made pursuant to Section 2.6(a) (collectively with any charge made pursuant to Section 2.6(a), the “End of Term Charge”).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480"/>
        <w:spacing w:after="0"/>
        <w:rPr>
          <w:sz w:val="20"/>
          <w:szCs w:val="20"/>
          <w:color w:val="auto"/>
        </w:rPr>
      </w:pPr>
      <w:r>
        <w:rPr>
          <w:rFonts w:ascii="Arial" w:cs="Arial" w:eastAsia="Arial" w:hAnsi="Arial"/>
          <w:sz w:val="19"/>
          <w:szCs w:val="19"/>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307340</wp:posOffset>
            </wp:positionV>
            <wp:extent cx="6311265" cy="2222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480"/>
          </w:cols>
          <w:pgMar w:left="1440" w:top="781" w:right="979" w:bottom="1440" w:gutter="0" w:footer="0" w:header="0"/>
        </w:sectPr>
      </w:pPr>
    </w:p>
    <w:bookmarkStart w:id="138" w:name="page139"/>
    <w:bookmarkEnd w:id="138"/>
    <w:p>
      <w:pPr>
        <w:jc w:val="both"/>
        <w:ind w:left="100" w:firstLine="568"/>
        <w:spacing w:after="0" w:line="241" w:lineRule="auto"/>
        <w:tabs>
          <w:tab w:leader="none" w:pos="1351" w:val="left"/>
        </w:tabs>
        <w:numPr>
          <w:ilvl w:val="0"/>
          <w:numId w:val="65"/>
        </w:numPr>
        <w:rPr>
          <w:rFonts w:ascii="Arial" w:cs="Arial" w:eastAsia="Arial" w:hAnsi="Arial"/>
          <w:sz w:val="19"/>
          <w:szCs w:val="19"/>
          <w:color w:val="auto"/>
        </w:rPr>
      </w:pPr>
      <w:r>
        <w:rPr>
          <w:rFonts w:ascii="Arial" w:cs="Arial" w:eastAsia="Arial" w:hAnsi="Arial"/>
          <w:sz w:val="19"/>
          <w:szCs w:val="19"/>
          <w:color w:val="auto"/>
        </w:rPr>
        <w:t>Notwithstanding the required payment date of such End of Term Charge, the applicable pro rata portion of the End of Term Charge shall be deemed earned by the Lenders as of each date a Term Loan Advance is made. For the avoidance of doubt, if a payment hereunder becomes due and payable on a day that is not a Business Day, the due date thereof shall be the immediately preceding Business Day.</w:t>
      </w:r>
    </w:p>
    <w:p>
      <w:pPr>
        <w:spacing w:after="0" w:line="160" w:lineRule="exact"/>
        <w:rPr>
          <w:sz w:val="20"/>
          <w:szCs w:val="20"/>
          <w:color w:val="auto"/>
        </w:rPr>
      </w:pPr>
    </w:p>
    <w:p>
      <w:pPr>
        <w:jc w:val="both"/>
        <w:ind w:left="40" w:firstLine="566"/>
        <w:spacing w:after="0" w:line="256" w:lineRule="auto"/>
        <w:rPr>
          <w:sz w:val="20"/>
          <w:szCs w:val="20"/>
          <w:color w:val="auto"/>
        </w:rPr>
      </w:pPr>
      <w:r>
        <w:rPr>
          <w:rFonts w:ascii="Arial" w:cs="Arial" w:eastAsia="Arial" w:hAnsi="Arial"/>
          <w:sz w:val="19"/>
          <w:szCs w:val="19"/>
          <w:color w:val="auto"/>
        </w:rPr>
        <w:t>2.7 Pro Rata Treatment. Each payment (including prepayment) on account of any fee and any reduction of the Term Loans shall be made pro rata according to the Term Commitments of the relevant Lender.</w:t>
      </w:r>
    </w:p>
    <w:p>
      <w:pPr>
        <w:spacing w:after="0" w:line="147" w:lineRule="exact"/>
        <w:rPr>
          <w:sz w:val="20"/>
          <w:szCs w:val="20"/>
          <w:color w:val="auto"/>
        </w:rPr>
      </w:pPr>
    </w:p>
    <w:p>
      <w:pPr>
        <w:jc w:val="both"/>
        <w:ind w:left="40" w:right="20" w:firstLine="566"/>
        <w:spacing w:after="0" w:line="256" w:lineRule="auto"/>
        <w:rPr>
          <w:sz w:val="20"/>
          <w:szCs w:val="20"/>
          <w:color w:val="auto"/>
        </w:rPr>
      </w:pPr>
      <w:r>
        <w:rPr>
          <w:rFonts w:ascii="Arial" w:cs="Arial" w:eastAsia="Arial" w:hAnsi="Arial"/>
          <w:sz w:val="19"/>
          <w:szCs w:val="19"/>
          <w:color w:val="auto"/>
        </w:rPr>
        <w:t>2.8 Taxes; Increased Costs. The Borrower, the Agent and the Lenders each hereby agree to the terms and conditions set forth on Addendum 1 attached hereto.</w:t>
      </w:r>
    </w:p>
    <w:p>
      <w:pPr>
        <w:spacing w:after="0" w:line="147" w:lineRule="exact"/>
        <w:rPr>
          <w:sz w:val="20"/>
          <w:szCs w:val="20"/>
          <w:color w:val="auto"/>
        </w:rPr>
      </w:pPr>
    </w:p>
    <w:p>
      <w:pPr>
        <w:jc w:val="both"/>
        <w:ind w:left="40" w:firstLine="566"/>
        <w:spacing w:after="0" w:line="263" w:lineRule="auto"/>
        <w:rPr>
          <w:sz w:val="20"/>
          <w:szCs w:val="20"/>
          <w:color w:val="auto"/>
        </w:rPr>
      </w:pPr>
      <w:r>
        <w:rPr>
          <w:rFonts w:ascii="Arial" w:cs="Arial" w:eastAsia="Arial" w:hAnsi="Arial"/>
          <w:sz w:val="17"/>
          <w:szCs w:val="17"/>
          <w:color w:val="auto"/>
        </w:rPr>
        <w:t>2.9 Treatment of Prepayment Charge and End of Term Charge. Borrower agrees that any Prepayment Charge and any End of Term Charge payable shall be presumed to be the liquidated damages sustained by each Lender as the result of the early termination, and Borrower agrees that it is reasonable under the circumstances currently existing and existing as of the Closing Date. The Prepayment Charge and the End of Term Charge shall also be payable in the event the Secured Obligations (and/or this Agreement) are satisfied or released by foreclosure (whether by power of judicial proceeding), deed in lieu of foreclosure, or by any other means. Borrower expressly waives (to the fullest extent it may lawfully do so) the provisions of any present or future statute or law that prohibits or may prohibit the collection of the foregoing Prepayment Charge and End of Term Charge in connection with any such acceleration. Borrower agrees (to the fullest extent that each may lawfully do so): (a) each of the Prepayment Charge and the End of Term Charge is reasonable and is the product of an arm’s length transaction between sophisticated business people, ably represented by counsel; (b) each of the Prepayment Charge and the End of Term Charge shall be payable notwithstanding the then prevailing market rates at the time payment is made; (c) there has been a course of conduct between the Lenders and Borrower giving specific consideration in this transaction for such agreement to pay the Prepayment Charge and the End of Term Charge as a charge (and not interest) in the event of prepayment or acceleration; (d) Borrower shall be estopped from claiming differently than as agreed to in this paragraph. Borrower expressly acknowledges that their agreement to pay each of the Prepayment Charge and the End of Term Charge to the Lenders as herein described was on the Closing Date and continues to be a material inducement to the Lenders to provide the Term Loans.</w:t>
      </w:r>
    </w:p>
    <w:p>
      <w:pPr>
        <w:spacing w:after="0" w:line="149" w:lineRule="exact"/>
        <w:rPr>
          <w:sz w:val="20"/>
          <w:szCs w:val="20"/>
          <w:color w:val="auto"/>
        </w:rPr>
      </w:pPr>
    </w:p>
    <w:p>
      <w:pPr>
        <w:ind w:left="2960"/>
        <w:spacing w:after="0"/>
        <w:rPr>
          <w:sz w:val="20"/>
          <w:szCs w:val="20"/>
          <w:color w:val="auto"/>
        </w:rPr>
      </w:pPr>
      <w:r>
        <w:rPr>
          <w:rFonts w:ascii="Arial" w:cs="Arial" w:eastAsia="Arial" w:hAnsi="Arial"/>
          <w:sz w:val="19"/>
          <w:szCs w:val="19"/>
          <w:b w:val="1"/>
          <w:bCs w:val="1"/>
          <w:color w:val="auto"/>
        </w:rPr>
        <w:t xml:space="preserve">SECTION 3. </w:t>
      </w:r>
      <w:r>
        <w:rPr>
          <w:rFonts w:ascii="Arial" w:cs="Arial" w:eastAsia="Arial" w:hAnsi="Arial"/>
          <w:sz w:val="19"/>
          <w:szCs w:val="19"/>
          <w:b w:val="1"/>
          <w:bCs w:val="1"/>
          <w:u w:val="single" w:color="auto"/>
          <w:color w:val="auto"/>
        </w:rPr>
        <w:t>SECURITY INTEREST</w:t>
      </w:r>
    </w:p>
    <w:p>
      <w:pPr>
        <w:spacing w:after="0" w:line="188" w:lineRule="exact"/>
        <w:rPr>
          <w:sz w:val="20"/>
          <w:szCs w:val="20"/>
          <w:color w:val="auto"/>
        </w:rPr>
      </w:pPr>
    </w:p>
    <w:p>
      <w:pPr>
        <w:jc w:val="both"/>
        <w:ind w:left="40" w:right="20" w:firstLine="566"/>
        <w:spacing w:after="0" w:line="253" w:lineRule="auto"/>
        <w:rPr>
          <w:sz w:val="20"/>
          <w:szCs w:val="20"/>
          <w:color w:val="auto"/>
        </w:rPr>
      </w:pPr>
      <w:r>
        <w:rPr>
          <w:rFonts w:ascii="Arial" w:cs="Arial" w:eastAsia="Arial" w:hAnsi="Arial"/>
          <w:sz w:val="18"/>
          <w:szCs w:val="18"/>
          <w:color w:val="auto"/>
        </w:rPr>
        <w:t>3.1 As security for the prompt and complete payment when due (whether on the payment dates or otherwise) of all the Secured Obligations, Borrower grants to Agent a security interest in all of Borrower’s right, title, and interest in, to and under all of Borrower’s personal property and other assets including without limitation the following (except as set forth herein) whether now owned or hereafter acquired (collectively, the “Collateral”): (a) Receivables; (b) Equipment; (c) Fixtures; (d) General Intangibles; (e) Inventory; (f) Investment Property; (g) Deposit Accounts; (h) Cash; (i) Goods; (j) the Antecip License Agreement and all proceeds thereof; and all other tangible and intangible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460"/>
        <w:spacing w:after="0"/>
        <w:rPr>
          <w:sz w:val="20"/>
          <w:szCs w:val="20"/>
          <w:color w:val="auto"/>
        </w:rPr>
      </w:pPr>
      <w:r>
        <w:rPr>
          <w:rFonts w:ascii="Arial" w:cs="Arial" w:eastAsia="Arial" w:hAnsi="Arial"/>
          <w:sz w:val="19"/>
          <w:szCs w:val="19"/>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307340</wp:posOffset>
            </wp:positionV>
            <wp:extent cx="6311265" cy="2222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480"/>
          </w:cols>
          <w:pgMar w:left="1440" w:top="781" w:right="979" w:bottom="1440" w:gutter="0" w:footer="0" w:header="0"/>
        </w:sectPr>
      </w:pPr>
    </w:p>
    <w:bookmarkStart w:id="139" w:name="page140"/>
    <w:bookmarkEnd w:id="139"/>
    <w:p>
      <w:pPr>
        <w:jc w:val="both"/>
        <w:ind w:left="500" w:right="20"/>
        <w:spacing w:after="0" w:line="241" w:lineRule="auto"/>
        <w:rPr>
          <w:sz w:val="20"/>
          <w:szCs w:val="20"/>
          <w:color w:val="auto"/>
        </w:rPr>
      </w:pPr>
      <w:r>
        <w:rPr>
          <w:rFonts w:ascii="Arial" w:cs="Arial" w:eastAsia="Arial" w:hAnsi="Arial"/>
          <w:sz w:val="19"/>
          <w:szCs w:val="19"/>
          <w:color w:val="auto"/>
        </w:rPr>
        <w:t>personal property of Borrower whether now or hereafter owned or existing, leased, consigned by or to, or acquired by, Borrower and wherever located, and any of Borrower’s property in the possession or under the control of Agent; and, to the extent not otherwise included, all Proceeds of each of the foregoing and all accessions to, substitutions and replacements for, and rents, profits and products of each of the foregoing.</w:t>
      </w:r>
    </w:p>
    <w:p>
      <w:pPr>
        <w:spacing w:after="0" w:line="160" w:lineRule="exact"/>
        <w:rPr>
          <w:sz w:val="20"/>
          <w:szCs w:val="20"/>
          <w:color w:val="auto"/>
        </w:rPr>
      </w:pPr>
    </w:p>
    <w:p>
      <w:pPr>
        <w:jc w:val="both"/>
        <w:ind w:left="500" w:firstLine="566"/>
        <w:spacing w:after="0" w:line="263" w:lineRule="auto"/>
        <w:rPr>
          <w:sz w:val="20"/>
          <w:szCs w:val="20"/>
          <w:color w:val="auto"/>
        </w:rPr>
      </w:pPr>
      <w:r>
        <w:rPr>
          <w:rFonts w:ascii="Arial" w:cs="Arial" w:eastAsia="Arial" w:hAnsi="Arial"/>
          <w:sz w:val="17"/>
          <w:szCs w:val="17"/>
          <w:color w:val="auto"/>
        </w:rPr>
        <w:t>3.2 Notwithstanding the broad grant of the security interest set forth in Section 3.1, above, the Collateral shall not include (collectively, the “Excluded Property”) (a) any “intent to use” trademarks at all times prior to the first use thereof, whether by the actual use thereof in commerce, the recording of a statement of use with the United States Patent and Trademark Office or otherwise, provided, that upon submission and acceptance by the United States Patent and Trademark Office of an amendment to allege use of an intent-to-use trademark application pursuant to 15 U.S.C. Section 1060(a) (or any successor provision) such intent-to-use application shall constitute Collateral, (b) non-assignable property, licenses or contracts, which by their terms require the consent of the licensor thereof or another party (but only to the extent such prohibition on transfer is enforceable under applicable law, including, without limitation, Sections 9406, 9407 and 9408 of the UCC), (c) any particular asset if the pledge thereof or the security interest therein is prohibited or restricted by applicable law, rule or regulation (including any requirement to obtain the consent of any governmental authority, regulatory authority or third party), provided that the foregoing exclusion of this clause (c) shall in no way be construed (1) to apply to the extent that any described prohibition or restriction is unenforceable under Section 9406, 9407 or 9408 of the UCC or other applicable law or (2) to apply to the extent that any consent or waiver has been obtained, or is hereafter obtained, that would permit the Agent’s security interest or Lien notwithstanding the prohibition or restriction on the pledge of such asset, (d) any Excluded Accounts, including cash pledged pursuant to Permitted Liens and any Deposit Account, securities account, commodities account or other account to the extent solely and exclusively used to hold any cash pledged as a Permitted Lien, and (e) Equipment and software (and the products and proceeds thereof) subject to Permitted Liens of the type described in clause (vii) of the definition of Permitted Liens, but only to the extent and for so long as the agreements under which the equipment is financed prohibit granting a security interest therein to Lender.</w:t>
      </w:r>
    </w:p>
    <w:p>
      <w:pPr>
        <w:spacing w:after="0" w:line="151" w:lineRule="exact"/>
        <w:rPr>
          <w:sz w:val="20"/>
          <w:szCs w:val="20"/>
          <w:color w:val="auto"/>
        </w:rPr>
      </w:pPr>
    </w:p>
    <w:p>
      <w:pPr>
        <w:jc w:val="both"/>
        <w:ind w:left="500" w:right="20" w:firstLine="566"/>
        <w:spacing w:after="0" w:line="239" w:lineRule="auto"/>
        <w:rPr>
          <w:sz w:val="20"/>
          <w:szCs w:val="20"/>
          <w:color w:val="auto"/>
        </w:rPr>
      </w:pPr>
      <w:r>
        <w:rPr>
          <w:rFonts w:ascii="Arial" w:cs="Arial" w:eastAsia="Arial" w:hAnsi="Arial"/>
          <w:sz w:val="19"/>
          <w:szCs w:val="19"/>
          <w:color w:val="auto"/>
        </w:rPr>
        <w:t>3.3 Upon termination of this Agreement and repayment if full of all Secured Obligations (other than any inchoate indemnity obligations and any other obligations which, by their terms, are to survive the termination of this Agreement), all security interest in the Collateral granted under this Agreement shall terminate and all rights on the Collateral shall revert to Borrower. Agent shall execute such documents and take such other steps as are reasonably necessary for Borrower to accomplish the foregoing, all at Borrower’s sole cost and expense.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 xml:space="preserve">SECTION 4. </w:t>
      </w:r>
      <w:r>
        <w:rPr>
          <w:rFonts w:ascii="Arial" w:cs="Arial" w:eastAsia="Arial" w:hAnsi="Arial"/>
          <w:sz w:val="19"/>
          <w:szCs w:val="19"/>
          <w:b w:val="1"/>
          <w:bCs w:val="1"/>
          <w:u w:val="single" w:color="auto"/>
          <w:color w:val="auto"/>
        </w:rPr>
        <w:t>CONDITIONS PRECEDENT TO LOAN</w:t>
      </w:r>
    </w:p>
    <w:p>
      <w:pPr>
        <w:spacing w:after="0" w:line="188" w:lineRule="exact"/>
        <w:rPr>
          <w:sz w:val="20"/>
          <w:szCs w:val="20"/>
          <w:color w:val="auto"/>
        </w:rPr>
      </w:pPr>
    </w:p>
    <w:p>
      <w:pPr>
        <w:ind w:right="20" w:firstLine="566"/>
        <w:spacing w:after="0" w:line="256" w:lineRule="auto"/>
        <w:rPr>
          <w:sz w:val="20"/>
          <w:szCs w:val="20"/>
          <w:color w:val="auto"/>
        </w:rPr>
      </w:pPr>
      <w:r>
        <w:rPr>
          <w:rFonts w:ascii="Arial" w:cs="Arial" w:eastAsia="Arial" w:hAnsi="Arial"/>
          <w:sz w:val="19"/>
          <w:szCs w:val="19"/>
          <w:color w:val="auto"/>
        </w:rPr>
        <w:t>The obligations of the Lenders to make the Loan hereunder are subject to the satisfaction by Borrower of the following conditions: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307340</wp:posOffset>
            </wp:positionV>
            <wp:extent cx="6311265" cy="2222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940"/>
          </w:cols>
          <w:pgMar w:left="980" w:top="781" w:right="979" w:bottom="1440" w:gutter="0" w:footer="0" w:header="0"/>
        </w:sectPr>
      </w:pPr>
    </w:p>
    <w:bookmarkStart w:id="140" w:name="page141"/>
    <w:bookmarkEnd w:id="140"/>
    <w:p>
      <w:pPr>
        <w:ind w:left="600"/>
        <w:spacing w:after="0"/>
        <w:tabs>
          <w:tab w:leader="none" w:pos="1280" w:val="left"/>
        </w:tabs>
        <w:rPr>
          <w:sz w:val="20"/>
          <w:szCs w:val="20"/>
          <w:color w:val="auto"/>
        </w:rPr>
      </w:pPr>
      <w:r>
        <w:rPr>
          <w:rFonts w:ascii="Arial" w:cs="Arial" w:eastAsia="Arial" w:hAnsi="Arial"/>
          <w:sz w:val="19"/>
          <w:szCs w:val="19"/>
          <w:color w:val="auto"/>
        </w:rPr>
        <w:t>4.1</w:t>
      </w:r>
      <w:r>
        <w:rPr>
          <w:sz w:val="20"/>
          <w:szCs w:val="20"/>
          <w:color w:val="auto"/>
        </w:rPr>
        <w:tab/>
      </w:r>
      <w:r>
        <w:rPr>
          <w:rFonts w:ascii="Arial" w:cs="Arial" w:eastAsia="Arial" w:hAnsi="Arial"/>
          <w:sz w:val="17"/>
          <w:szCs w:val="17"/>
          <w:color w:val="auto"/>
        </w:rPr>
        <w:t>Initial Advance. On or prior to the Closing Date, Borrower shall have delivered to Agent the following:</w:t>
      </w:r>
    </w:p>
    <w:p>
      <w:pPr>
        <w:spacing w:after="0" w:line="182" w:lineRule="exact"/>
        <w:rPr>
          <w:sz w:val="20"/>
          <w:szCs w:val="20"/>
          <w:color w:val="auto"/>
        </w:rPr>
      </w:pPr>
    </w:p>
    <w:p>
      <w:pPr>
        <w:jc w:val="both"/>
        <w:ind w:left="100" w:right="20" w:firstLine="568"/>
        <w:spacing w:after="0" w:line="241" w:lineRule="auto"/>
        <w:tabs>
          <w:tab w:leader="none" w:pos="1531" w:val="left"/>
        </w:tabs>
        <w:numPr>
          <w:ilvl w:val="0"/>
          <w:numId w:val="66"/>
        </w:numPr>
        <w:rPr>
          <w:rFonts w:ascii="Arial" w:cs="Arial" w:eastAsia="Arial" w:hAnsi="Arial"/>
          <w:sz w:val="19"/>
          <w:szCs w:val="19"/>
          <w:color w:val="auto"/>
        </w:rPr>
      </w:pPr>
      <w:r>
        <w:rPr>
          <w:rFonts w:ascii="Arial" w:cs="Arial" w:eastAsia="Arial" w:hAnsi="Arial"/>
          <w:sz w:val="19"/>
          <w:szCs w:val="19"/>
          <w:color w:val="auto"/>
        </w:rPr>
        <w:t>executed copies of the Loan Documents (other than the Warrant, which shall be an original), Account Control Agreements, and all other documents and instruments reasonably required by Agent to effectuate the transactions contemplated hereby or to create and perfect the Liens of Agent with respect to all Collateral, in all cases in form and substance reasonably acceptable to Agent;</w:t>
      </w:r>
    </w:p>
    <w:p>
      <w:pPr>
        <w:spacing w:after="0" w:line="159" w:lineRule="exact"/>
        <w:rPr>
          <w:rFonts w:ascii="Arial" w:cs="Arial" w:eastAsia="Arial" w:hAnsi="Arial"/>
          <w:sz w:val="19"/>
          <w:szCs w:val="19"/>
          <w:color w:val="auto"/>
        </w:rPr>
      </w:pPr>
    </w:p>
    <w:p>
      <w:pPr>
        <w:ind w:left="1360" w:hanging="692"/>
        <w:spacing w:after="0"/>
        <w:tabs>
          <w:tab w:leader="none" w:pos="1360" w:val="left"/>
        </w:tabs>
        <w:numPr>
          <w:ilvl w:val="0"/>
          <w:numId w:val="66"/>
        </w:numPr>
        <w:rPr>
          <w:rFonts w:ascii="Arial" w:cs="Arial" w:eastAsia="Arial" w:hAnsi="Arial"/>
          <w:sz w:val="19"/>
          <w:szCs w:val="19"/>
          <w:color w:val="auto"/>
        </w:rPr>
      </w:pPr>
      <w:r>
        <w:rPr>
          <w:rFonts w:ascii="Arial" w:cs="Arial" w:eastAsia="Arial" w:hAnsi="Arial"/>
          <w:sz w:val="19"/>
          <w:szCs w:val="19"/>
          <w:color w:val="auto"/>
        </w:rPr>
        <w:t>a legal opinion of Borrower’s counsel in form and substance reasonably acceptable to Agent,</w:t>
      </w:r>
    </w:p>
    <w:p>
      <w:pPr>
        <w:spacing w:after="0" w:line="182" w:lineRule="exact"/>
        <w:rPr>
          <w:rFonts w:ascii="Arial" w:cs="Arial" w:eastAsia="Arial" w:hAnsi="Arial"/>
          <w:sz w:val="19"/>
          <w:szCs w:val="19"/>
          <w:color w:val="auto"/>
        </w:rPr>
      </w:pPr>
    </w:p>
    <w:p>
      <w:pPr>
        <w:ind w:left="100" w:right="20" w:firstLine="568"/>
        <w:spacing w:after="0" w:line="284" w:lineRule="auto"/>
        <w:tabs>
          <w:tab w:leader="none" w:pos="1356" w:val="left"/>
        </w:tabs>
        <w:numPr>
          <w:ilvl w:val="0"/>
          <w:numId w:val="66"/>
        </w:numPr>
        <w:rPr>
          <w:rFonts w:ascii="Arial" w:cs="Arial" w:eastAsia="Arial" w:hAnsi="Arial"/>
          <w:sz w:val="18"/>
          <w:szCs w:val="18"/>
          <w:color w:val="auto"/>
        </w:rPr>
      </w:pPr>
      <w:r>
        <w:rPr>
          <w:rFonts w:ascii="Arial" w:cs="Arial" w:eastAsia="Arial" w:hAnsi="Arial"/>
          <w:sz w:val="18"/>
          <w:szCs w:val="18"/>
          <w:color w:val="auto"/>
        </w:rPr>
        <w:t>certified copy of resolutions of Borrower’s board of directors evidencing approval of (i) the Loan and other transactions evidenced by the Loan Documents; and (ii) the Warrant and transactions evidenced thereby;</w:t>
      </w:r>
    </w:p>
    <w:p>
      <w:pPr>
        <w:spacing w:after="0" w:line="123" w:lineRule="exact"/>
        <w:rPr>
          <w:rFonts w:ascii="Arial" w:cs="Arial" w:eastAsia="Arial" w:hAnsi="Arial"/>
          <w:sz w:val="18"/>
          <w:szCs w:val="18"/>
          <w:color w:val="auto"/>
        </w:rPr>
      </w:pPr>
    </w:p>
    <w:p>
      <w:pPr>
        <w:ind w:left="1420" w:hanging="752"/>
        <w:spacing w:after="0"/>
        <w:tabs>
          <w:tab w:leader="none" w:pos="14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certified copies of the Certificate of Incorporation and the Bylaws, as amended through the Closing Date,</w:t>
      </w:r>
    </w:p>
    <w:p>
      <w:pPr>
        <w:spacing w:after="0" w:line="32"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9"/>
          <w:szCs w:val="19"/>
          <w:color w:val="auto"/>
        </w:rPr>
        <w:t>of Borrower;</w:t>
      </w:r>
    </w:p>
    <w:p>
      <w:pPr>
        <w:spacing w:after="0" w:line="166" w:lineRule="exact"/>
        <w:rPr>
          <w:rFonts w:ascii="Arial" w:cs="Arial" w:eastAsia="Arial" w:hAnsi="Arial"/>
          <w:sz w:val="17"/>
          <w:szCs w:val="17"/>
          <w:color w:val="auto"/>
        </w:rPr>
      </w:pPr>
    </w:p>
    <w:p>
      <w:pPr>
        <w:ind w:left="100" w:right="20" w:firstLine="568"/>
        <w:spacing w:after="0" w:line="315" w:lineRule="auto"/>
        <w:tabs>
          <w:tab w:leader="none" w:pos="1410" w:val="left"/>
        </w:tabs>
        <w:numPr>
          <w:ilvl w:val="0"/>
          <w:numId w:val="66"/>
        </w:numPr>
        <w:rPr>
          <w:rFonts w:ascii="Arial" w:cs="Arial" w:eastAsia="Arial" w:hAnsi="Arial"/>
          <w:sz w:val="17"/>
          <w:szCs w:val="17"/>
          <w:color w:val="auto"/>
        </w:rPr>
      </w:pPr>
      <w:r>
        <w:rPr>
          <w:rFonts w:ascii="Arial" w:cs="Arial" w:eastAsia="Arial" w:hAnsi="Arial"/>
          <w:sz w:val="17"/>
          <w:szCs w:val="17"/>
          <w:color w:val="auto"/>
        </w:rPr>
        <w:t>a certificate of good standing for Borrower from its state of incorporation and similar certificates from all other jurisdictions in which it does business and where the failure to be qualified could have a Material Adverse Effect;</w:t>
      </w:r>
    </w:p>
    <w:p>
      <w:pPr>
        <w:spacing w:after="0" w:line="99" w:lineRule="exact"/>
        <w:rPr>
          <w:rFonts w:ascii="Arial" w:cs="Arial" w:eastAsia="Arial" w:hAnsi="Arial"/>
          <w:sz w:val="17"/>
          <w:szCs w:val="17"/>
          <w:color w:val="auto"/>
        </w:rPr>
      </w:pPr>
    </w:p>
    <w:p>
      <w:pPr>
        <w:ind w:left="100" w:firstLine="568"/>
        <w:spacing w:after="0" w:line="315" w:lineRule="auto"/>
        <w:tabs>
          <w:tab w:leader="none" w:pos="1382" w:val="left"/>
        </w:tabs>
        <w:numPr>
          <w:ilvl w:val="0"/>
          <w:numId w:val="66"/>
        </w:numPr>
        <w:rPr>
          <w:rFonts w:ascii="Arial" w:cs="Arial" w:eastAsia="Arial" w:hAnsi="Arial"/>
          <w:sz w:val="17"/>
          <w:szCs w:val="17"/>
          <w:color w:val="auto"/>
        </w:rPr>
      </w:pPr>
      <w:r>
        <w:rPr>
          <w:rFonts w:ascii="Arial" w:cs="Arial" w:eastAsia="Arial" w:hAnsi="Arial"/>
          <w:sz w:val="17"/>
          <w:szCs w:val="17"/>
          <w:color w:val="auto"/>
        </w:rPr>
        <w:t>payment of the Due Diligence Fee, Initial Facility Charge and reimbursement of Agent’s and the Lenders’ current expenses reimbursable pursuant to this Agreement, which amounts may be deducted from the initial Advance;</w:t>
      </w:r>
    </w:p>
    <w:p>
      <w:pPr>
        <w:spacing w:after="0" w:line="99" w:lineRule="exact"/>
        <w:rPr>
          <w:rFonts w:ascii="Arial" w:cs="Arial" w:eastAsia="Arial" w:hAnsi="Arial"/>
          <w:sz w:val="17"/>
          <w:szCs w:val="17"/>
          <w:color w:val="auto"/>
        </w:rPr>
      </w:pPr>
    </w:p>
    <w:p>
      <w:pPr>
        <w:ind w:left="1320" w:hanging="652"/>
        <w:spacing w:after="0"/>
        <w:tabs>
          <w:tab w:leader="none" w:pos="1320" w:val="left"/>
        </w:tabs>
        <w:numPr>
          <w:ilvl w:val="0"/>
          <w:numId w:val="66"/>
        </w:numPr>
        <w:rPr>
          <w:rFonts w:ascii="Arial" w:cs="Arial" w:eastAsia="Arial" w:hAnsi="Arial"/>
          <w:sz w:val="19"/>
          <w:szCs w:val="19"/>
          <w:color w:val="auto"/>
        </w:rPr>
      </w:pPr>
      <w:r>
        <w:rPr>
          <w:rFonts w:ascii="Arial" w:cs="Arial" w:eastAsia="Arial" w:hAnsi="Arial"/>
          <w:sz w:val="19"/>
          <w:szCs w:val="19"/>
          <w:color w:val="auto"/>
        </w:rPr>
        <w:t>all certificates of insurance and copies of each insurance policy required hereunder;</w:t>
      </w:r>
    </w:p>
    <w:p>
      <w:pPr>
        <w:spacing w:after="0" w:line="182" w:lineRule="exact"/>
        <w:rPr>
          <w:rFonts w:ascii="Arial" w:cs="Arial" w:eastAsia="Arial" w:hAnsi="Arial"/>
          <w:sz w:val="19"/>
          <w:szCs w:val="19"/>
          <w:color w:val="auto"/>
        </w:rPr>
      </w:pPr>
    </w:p>
    <w:p>
      <w:pPr>
        <w:ind w:left="1320" w:hanging="652"/>
        <w:spacing w:after="0"/>
        <w:tabs>
          <w:tab w:leader="none" w:pos="1320" w:val="left"/>
        </w:tabs>
        <w:numPr>
          <w:ilvl w:val="0"/>
          <w:numId w:val="66"/>
        </w:numPr>
        <w:rPr>
          <w:rFonts w:ascii="Arial" w:cs="Arial" w:eastAsia="Arial" w:hAnsi="Arial"/>
          <w:sz w:val="19"/>
          <w:szCs w:val="19"/>
          <w:color w:val="auto"/>
        </w:rPr>
      </w:pPr>
      <w:r>
        <w:rPr>
          <w:rFonts w:ascii="Arial" w:cs="Arial" w:eastAsia="Arial" w:hAnsi="Arial"/>
          <w:sz w:val="19"/>
          <w:szCs w:val="19"/>
          <w:color w:val="auto"/>
        </w:rPr>
        <w:t>executed copy of the Antecip Direct Agreement; and</w:t>
      </w:r>
    </w:p>
    <w:p>
      <w:pPr>
        <w:spacing w:after="0" w:line="182" w:lineRule="exact"/>
        <w:rPr>
          <w:rFonts w:ascii="Arial" w:cs="Arial" w:eastAsia="Arial" w:hAnsi="Arial"/>
          <w:sz w:val="19"/>
          <w:szCs w:val="19"/>
          <w:color w:val="auto"/>
        </w:rPr>
      </w:pPr>
    </w:p>
    <w:p>
      <w:pPr>
        <w:ind w:left="1320" w:hanging="652"/>
        <w:spacing w:after="0"/>
        <w:tabs>
          <w:tab w:leader="none" w:pos="1320" w:val="left"/>
        </w:tabs>
        <w:numPr>
          <w:ilvl w:val="0"/>
          <w:numId w:val="66"/>
        </w:numPr>
        <w:rPr>
          <w:rFonts w:ascii="Arial" w:cs="Arial" w:eastAsia="Arial" w:hAnsi="Arial"/>
          <w:sz w:val="19"/>
          <w:szCs w:val="19"/>
          <w:color w:val="auto"/>
        </w:rPr>
      </w:pPr>
      <w:r>
        <w:rPr>
          <w:rFonts w:ascii="Arial" w:cs="Arial" w:eastAsia="Arial" w:hAnsi="Arial"/>
          <w:sz w:val="19"/>
          <w:szCs w:val="19"/>
          <w:color w:val="auto"/>
        </w:rPr>
        <w:t>such other documents as Agent may reasonably request.</w:t>
      </w:r>
    </w:p>
    <w:p>
      <w:pPr>
        <w:spacing w:after="0" w:line="182" w:lineRule="exact"/>
        <w:rPr>
          <w:sz w:val="20"/>
          <w:szCs w:val="20"/>
          <w:color w:val="auto"/>
        </w:rPr>
      </w:pPr>
    </w:p>
    <w:p>
      <w:pPr>
        <w:ind w:left="600"/>
        <w:spacing w:after="0"/>
        <w:tabs>
          <w:tab w:leader="none" w:pos="1280" w:val="left"/>
        </w:tabs>
        <w:rPr>
          <w:sz w:val="20"/>
          <w:szCs w:val="20"/>
          <w:color w:val="auto"/>
        </w:rPr>
      </w:pPr>
      <w:r>
        <w:rPr>
          <w:rFonts w:ascii="Arial" w:cs="Arial" w:eastAsia="Arial" w:hAnsi="Arial"/>
          <w:sz w:val="19"/>
          <w:szCs w:val="19"/>
          <w:color w:val="auto"/>
        </w:rPr>
        <w:t>4.2</w:t>
      </w:r>
      <w:r>
        <w:rPr>
          <w:sz w:val="20"/>
          <w:szCs w:val="20"/>
          <w:color w:val="auto"/>
        </w:rPr>
        <w:tab/>
      </w:r>
      <w:r>
        <w:rPr>
          <w:rFonts w:ascii="Arial" w:cs="Arial" w:eastAsia="Arial" w:hAnsi="Arial"/>
          <w:sz w:val="17"/>
          <w:szCs w:val="17"/>
          <w:color w:val="auto"/>
        </w:rPr>
        <w:t>All Advances. On each Advance Date:</w:t>
      </w:r>
    </w:p>
    <w:p>
      <w:pPr>
        <w:spacing w:after="0" w:line="182" w:lineRule="exact"/>
        <w:rPr>
          <w:sz w:val="20"/>
          <w:szCs w:val="20"/>
          <w:color w:val="auto"/>
        </w:rPr>
      </w:pPr>
    </w:p>
    <w:p>
      <w:pPr>
        <w:jc w:val="both"/>
        <w:ind w:left="100" w:right="20" w:firstLine="568"/>
        <w:spacing w:after="0" w:line="244" w:lineRule="auto"/>
        <w:tabs>
          <w:tab w:leader="none" w:pos="1361" w:val="left"/>
        </w:tabs>
        <w:numPr>
          <w:ilvl w:val="0"/>
          <w:numId w:val="67"/>
        </w:numPr>
        <w:rPr>
          <w:rFonts w:ascii="Arial" w:cs="Arial" w:eastAsia="Arial" w:hAnsi="Arial"/>
          <w:sz w:val="19"/>
          <w:szCs w:val="19"/>
          <w:color w:val="auto"/>
        </w:rPr>
      </w:pPr>
      <w:r>
        <w:rPr>
          <w:rFonts w:ascii="Arial" w:cs="Arial" w:eastAsia="Arial" w:hAnsi="Arial"/>
          <w:sz w:val="19"/>
          <w:szCs w:val="19"/>
          <w:color w:val="auto"/>
        </w:rPr>
        <w:t>Agent shall have received (i) an Advance Request for the relevant Advance as required by Section 2.2(b), each duly executed by Borrower’s Chief Executive Officer or Chief Financial Officer, and (ii) any other documents Agent may reasonably request.</w:t>
      </w:r>
    </w:p>
    <w:p>
      <w:pPr>
        <w:spacing w:after="0" w:line="158" w:lineRule="exact"/>
        <w:rPr>
          <w:rFonts w:ascii="Arial" w:cs="Arial" w:eastAsia="Arial" w:hAnsi="Arial"/>
          <w:sz w:val="19"/>
          <w:szCs w:val="19"/>
          <w:color w:val="auto"/>
        </w:rPr>
      </w:pPr>
    </w:p>
    <w:p>
      <w:pPr>
        <w:jc w:val="both"/>
        <w:ind w:left="100" w:right="20" w:firstLine="568"/>
        <w:spacing w:after="0" w:line="244" w:lineRule="auto"/>
        <w:tabs>
          <w:tab w:leader="none" w:pos="1485" w:val="left"/>
        </w:tabs>
        <w:numPr>
          <w:ilvl w:val="0"/>
          <w:numId w:val="67"/>
        </w:numPr>
        <w:rPr>
          <w:rFonts w:ascii="Arial" w:cs="Arial" w:eastAsia="Arial" w:hAnsi="Arial"/>
          <w:sz w:val="19"/>
          <w:szCs w:val="19"/>
          <w:color w:val="auto"/>
        </w:rPr>
      </w:pPr>
      <w:r>
        <w:rPr>
          <w:rFonts w:ascii="Arial" w:cs="Arial" w:eastAsia="Arial" w:hAnsi="Arial"/>
          <w:sz w:val="19"/>
          <w:szCs w:val="19"/>
          <w:color w:val="auto"/>
        </w:rPr>
        <w:t>The representations and warranties set forth in this Agreement shall be true and correct in all material respects on and as of the Advance Date with the same effect as though made on and as of such date, except to the extent such representations and warranties expressly relate to an earlier date.</w:t>
      </w:r>
    </w:p>
    <w:p>
      <w:pPr>
        <w:spacing w:after="0" w:line="158" w:lineRule="exact"/>
        <w:rPr>
          <w:rFonts w:ascii="Arial" w:cs="Arial" w:eastAsia="Arial" w:hAnsi="Arial"/>
          <w:sz w:val="19"/>
          <w:szCs w:val="19"/>
          <w:color w:val="auto"/>
        </w:rPr>
      </w:pPr>
    </w:p>
    <w:p>
      <w:pPr>
        <w:ind w:left="100" w:right="20" w:firstLine="568"/>
        <w:spacing w:after="0" w:line="256" w:lineRule="auto"/>
        <w:tabs>
          <w:tab w:leader="none" w:pos="1374" w:val="left"/>
        </w:tabs>
        <w:numPr>
          <w:ilvl w:val="0"/>
          <w:numId w:val="67"/>
        </w:numPr>
        <w:rPr>
          <w:rFonts w:ascii="Arial" w:cs="Arial" w:eastAsia="Arial" w:hAnsi="Arial"/>
          <w:sz w:val="19"/>
          <w:szCs w:val="19"/>
          <w:color w:val="auto"/>
        </w:rPr>
      </w:pPr>
      <w:r>
        <w:rPr>
          <w:rFonts w:ascii="Arial" w:cs="Arial" w:eastAsia="Arial" w:hAnsi="Arial"/>
          <w:sz w:val="19"/>
          <w:szCs w:val="19"/>
          <w:color w:val="auto"/>
        </w:rPr>
        <w:t>Borrower shall be in compliance with all the terms and provisions set forth herein and in each other Loan Document on its part to be observed or performed, and at</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480"/>
        <w:spacing w:after="0"/>
        <w:rPr>
          <w:sz w:val="20"/>
          <w:szCs w:val="20"/>
          <w:color w:val="auto"/>
        </w:rPr>
      </w:pPr>
      <w:r>
        <w:rPr>
          <w:rFonts w:ascii="Arial" w:cs="Arial" w:eastAsia="Arial" w:hAnsi="Arial"/>
          <w:sz w:val="19"/>
          <w:szCs w:val="19"/>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307340</wp:posOffset>
            </wp:positionV>
            <wp:extent cx="6311265" cy="2222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480"/>
          </w:cols>
          <w:pgMar w:left="1440" w:top="780" w:right="979" w:bottom="1440" w:gutter="0" w:footer="0" w:header="0"/>
        </w:sectPr>
      </w:pPr>
    </w:p>
    <w:bookmarkStart w:id="141" w:name="page142"/>
    <w:bookmarkEnd w:id="141"/>
    <w:p>
      <w:pPr>
        <w:ind w:left="100"/>
        <w:spacing w:after="0"/>
        <w:rPr>
          <w:sz w:val="20"/>
          <w:szCs w:val="20"/>
          <w:color w:val="auto"/>
        </w:rPr>
      </w:pPr>
      <w:r>
        <w:rPr>
          <w:rFonts w:ascii="Arial" w:cs="Arial" w:eastAsia="Arial" w:hAnsi="Arial"/>
          <w:sz w:val="19"/>
          <w:szCs w:val="19"/>
          <w:color w:val="auto"/>
        </w:rPr>
        <w:t>the time of and immediately after such Advance no Event of Default shall have occurred and be continuing.</w:t>
      </w:r>
    </w:p>
    <w:p>
      <w:pPr>
        <w:spacing w:after="0" w:line="182" w:lineRule="exact"/>
        <w:rPr>
          <w:sz w:val="20"/>
          <w:szCs w:val="20"/>
          <w:color w:val="auto"/>
        </w:rPr>
      </w:pPr>
    </w:p>
    <w:p>
      <w:pPr>
        <w:ind w:left="1320" w:hanging="652"/>
        <w:spacing w:after="0"/>
        <w:tabs>
          <w:tab w:leader="none" w:pos="13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with respect to any Tranche 2 Advance, the Borrower shall have paid the Tranche 2 Facility Charge.</w:t>
      </w:r>
    </w:p>
    <w:p>
      <w:pPr>
        <w:spacing w:after="0" w:line="193" w:lineRule="exact"/>
        <w:rPr>
          <w:rFonts w:ascii="Arial" w:cs="Arial" w:eastAsia="Arial" w:hAnsi="Arial"/>
          <w:sz w:val="18"/>
          <w:szCs w:val="18"/>
          <w:color w:val="auto"/>
        </w:rPr>
      </w:pPr>
    </w:p>
    <w:p>
      <w:pPr>
        <w:ind w:left="1300" w:hanging="632"/>
        <w:spacing w:after="0"/>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with respect to any Tranche 3 Advance, the Borrower shall have paid the Tranche 3 Facility Charge.</w:t>
      </w:r>
    </w:p>
    <w:p>
      <w:pPr>
        <w:spacing w:after="0" w:line="193" w:lineRule="exact"/>
        <w:rPr>
          <w:rFonts w:ascii="Arial" w:cs="Arial" w:eastAsia="Arial" w:hAnsi="Arial"/>
          <w:sz w:val="18"/>
          <w:szCs w:val="18"/>
          <w:color w:val="auto"/>
        </w:rPr>
      </w:pPr>
    </w:p>
    <w:p>
      <w:pPr>
        <w:ind w:left="1320" w:hanging="652"/>
        <w:spacing w:after="0"/>
        <w:tabs>
          <w:tab w:leader="none" w:pos="13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with respect to any Tranche 4 Advance, the Borrower shall have paid the Tranche 4 Facility Charge.</w:t>
      </w:r>
    </w:p>
    <w:p>
      <w:pPr>
        <w:spacing w:after="0" w:line="193" w:lineRule="exact"/>
        <w:rPr>
          <w:rFonts w:ascii="Arial" w:cs="Arial" w:eastAsia="Arial" w:hAnsi="Arial"/>
          <w:sz w:val="18"/>
          <w:szCs w:val="18"/>
          <w:color w:val="auto"/>
        </w:rPr>
      </w:pPr>
    </w:p>
    <w:p>
      <w:pPr>
        <w:ind w:left="1320" w:hanging="652"/>
        <w:spacing w:after="0"/>
        <w:tabs>
          <w:tab w:leader="none" w:pos="13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with respect to any Tranche 5 Advance, the Borrower shall have paid the Tranche 5 Facility Charge.</w:t>
      </w:r>
    </w:p>
    <w:p>
      <w:pPr>
        <w:spacing w:after="0" w:line="193" w:lineRule="exact"/>
        <w:rPr>
          <w:rFonts w:ascii="Arial" w:cs="Arial" w:eastAsia="Arial" w:hAnsi="Arial"/>
          <w:sz w:val="18"/>
          <w:szCs w:val="18"/>
          <w:color w:val="auto"/>
        </w:rPr>
      </w:pPr>
    </w:p>
    <w:p>
      <w:pPr>
        <w:jc w:val="both"/>
        <w:ind w:left="100" w:right="20" w:firstLine="568"/>
        <w:spacing w:after="0" w:line="244" w:lineRule="auto"/>
        <w:tabs>
          <w:tab w:leader="none" w:pos="1359" w:val="left"/>
        </w:tabs>
        <w:numPr>
          <w:ilvl w:val="0"/>
          <w:numId w:val="68"/>
        </w:numPr>
        <w:rPr>
          <w:rFonts w:ascii="Arial" w:cs="Arial" w:eastAsia="Arial" w:hAnsi="Arial"/>
          <w:sz w:val="19"/>
          <w:szCs w:val="19"/>
          <w:color w:val="auto"/>
        </w:rPr>
      </w:pPr>
      <w:r>
        <w:rPr>
          <w:rFonts w:ascii="Arial" w:cs="Arial" w:eastAsia="Arial" w:hAnsi="Arial"/>
          <w:sz w:val="19"/>
          <w:szCs w:val="19"/>
          <w:color w:val="auto"/>
        </w:rPr>
        <w:t>Prior to the funding of any Tranche 4 Advance, Borrower shall deliver to Agent a calculation detailing the Net Product Revenue Ratio and demonstrating compliance with the Tranche 4 Draw Conditions in form and substance reasonably acceptable to Agent.</w:t>
      </w:r>
    </w:p>
    <w:p>
      <w:pPr>
        <w:spacing w:after="0" w:line="158" w:lineRule="exact"/>
        <w:rPr>
          <w:rFonts w:ascii="Arial" w:cs="Arial" w:eastAsia="Arial" w:hAnsi="Arial"/>
          <w:sz w:val="19"/>
          <w:szCs w:val="19"/>
          <w:color w:val="auto"/>
        </w:rPr>
      </w:pPr>
    </w:p>
    <w:p>
      <w:pPr>
        <w:jc w:val="both"/>
        <w:ind w:left="100" w:firstLine="568"/>
        <w:spacing w:after="0" w:line="244" w:lineRule="auto"/>
        <w:tabs>
          <w:tab w:leader="none" w:pos="1457" w:val="left"/>
        </w:tabs>
        <w:numPr>
          <w:ilvl w:val="0"/>
          <w:numId w:val="68"/>
        </w:numPr>
        <w:rPr>
          <w:rFonts w:ascii="Arial" w:cs="Arial" w:eastAsia="Arial" w:hAnsi="Arial"/>
          <w:sz w:val="19"/>
          <w:szCs w:val="19"/>
          <w:color w:val="auto"/>
        </w:rPr>
      </w:pPr>
      <w:r>
        <w:rPr>
          <w:rFonts w:ascii="Arial" w:cs="Arial" w:eastAsia="Arial" w:hAnsi="Arial"/>
          <w:sz w:val="19"/>
          <w:szCs w:val="19"/>
          <w:color w:val="auto"/>
        </w:rPr>
        <w:t>Each Advance Request shall be deemed to constitute a representation and warranty by Borrower on the relevant Advance Date as to the matters specified in paragraphs (b) and (c) of this Section 4.2 and as to the matters set forth in the Advance Request.</w:t>
      </w:r>
    </w:p>
    <w:p>
      <w:pPr>
        <w:spacing w:after="0" w:line="159" w:lineRule="exact"/>
        <w:rPr>
          <w:sz w:val="20"/>
          <w:szCs w:val="20"/>
          <w:color w:val="auto"/>
        </w:rPr>
      </w:pPr>
    </w:p>
    <w:p>
      <w:pPr>
        <w:jc w:val="both"/>
        <w:ind w:left="40" w:right="20" w:firstLine="566"/>
        <w:spacing w:after="0" w:line="244" w:lineRule="auto"/>
        <w:rPr>
          <w:sz w:val="20"/>
          <w:szCs w:val="20"/>
          <w:color w:val="auto"/>
        </w:rPr>
      </w:pPr>
      <w:r>
        <w:rPr>
          <w:rFonts w:ascii="Arial" w:cs="Arial" w:eastAsia="Arial" w:hAnsi="Arial"/>
          <w:sz w:val="19"/>
          <w:szCs w:val="19"/>
          <w:color w:val="auto"/>
        </w:rPr>
        <w:t>4.3 No Default. As of the Closing Date and each Advance Date, (i) no fact or condition exists that could (or could, with the passage of time, the giving of notice, or both) constitute an Event of Default and (ii) no event that has had or could reasonably be expected to have a Material Adverse Effect has occurred and is continuing.</w:t>
      </w:r>
    </w:p>
    <w:p>
      <w:pPr>
        <w:spacing w:after="0" w:line="159" w:lineRule="exact"/>
        <w:rPr>
          <w:sz w:val="20"/>
          <w:szCs w:val="20"/>
          <w:color w:val="auto"/>
        </w:rPr>
      </w:pPr>
    </w:p>
    <w:p>
      <w:pPr>
        <w:jc w:val="both"/>
        <w:ind w:left="40" w:firstLine="566"/>
        <w:spacing w:after="0" w:line="258" w:lineRule="auto"/>
        <w:rPr>
          <w:sz w:val="20"/>
          <w:szCs w:val="20"/>
          <w:color w:val="auto"/>
        </w:rPr>
      </w:pPr>
      <w:r>
        <w:rPr>
          <w:rFonts w:ascii="Arial" w:cs="Arial" w:eastAsia="Arial" w:hAnsi="Arial"/>
          <w:sz w:val="18"/>
          <w:szCs w:val="18"/>
          <w:color w:val="auto"/>
        </w:rPr>
        <w:t>4.4 Post-Close Obligations. Notwithstanding any provision herein or in any other Loan Document to the contrary, to the extent not actually delivered on or prior to the Closing Date, Borrower shall deliver to Agent (or its designated attorney or representative), within two (2) Business Days after the Closing Date, an Account Control Agreement for Borrower’s accounts (other than Excluded Accounts) maintained with Silicon Valley Bank.</w:t>
      </w:r>
    </w:p>
    <w:p>
      <w:pPr>
        <w:spacing w:after="0" w:line="141" w:lineRule="exact"/>
        <w:rPr>
          <w:sz w:val="20"/>
          <w:szCs w:val="20"/>
          <w:color w:val="auto"/>
        </w:rPr>
      </w:pPr>
    </w:p>
    <w:p>
      <w:pPr>
        <w:ind w:left="100" w:right="1860" w:firstLine="1282"/>
        <w:spacing w:after="0" w:line="443" w:lineRule="auto"/>
        <w:rPr>
          <w:sz w:val="20"/>
          <w:szCs w:val="20"/>
          <w:color w:val="auto"/>
        </w:rPr>
      </w:pPr>
      <w:r>
        <w:rPr>
          <w:rFonts w:ascii="Arial" w:cs="Arial" w:eastAsia="Arial" w:hAnsi="Arial"/>
          <w:sz w:val="19"/>
          <w:szCs w:val="19"/>
          <w:b w:val="1"/>
          <w:bCs w:val="1"/>
          <w:color w:val="auto"/>
        </w:rPr>
        <w:t xml:space="preserve">SECTION 5. </w:t>
      </w:r>
      <w:r>
        <w:rPr>
          <w:rFonts w:ascii="Arial" w:cs="Arial" w:eastAsia="Arial" w:hAnsi="Arial"/>
          <w:sz w:val="19"/>
          <w:szCs w:val="19"/>
          <w:b w:val="1"/>
          <w:bCs w:val="1"/>
          <w:u w:val="single" w:color="auto"/>
          <w:color w:val="auto"/>
        </w:rPr>
        <w:t>REPRESENTATIONS AND WARRANTIES OF BORROWER</w:t>
      </w:r>
      <w:r>
        <w:rPr>
          <w:rFonts w:ascii="Arial" w:cs="Arial" w:eastAsia="Arial" w:hAnsi="Arial"/>
          <w:sz w:val="19"/>
          <w:szCs w:val="19"/>
          <w:b w:val="1"/>
          <w:bCs w:val="1"/>
          <w:color w:val="auto"/>
        </w:rPr>
        <w:t xml:space="preserve"> </w:t>
      </w:r>
      <w:r>
        <w:rPr>
          <w:rFonts w:ascii="Arial" w:cs="Arial" w:eastAsia="Arial" w:hAnsi="Arial"/>
          <w:sz w:val="19"/>
          <w:szCs w:val="19"/>
          <w:color w:val="auto"/>
        </w:rPr>
        <w:t>Borrower represents and warrants that:</w:t>
      </w:r>
    </w:p>
    <w:p>
      <w:pPr>
        <w:spacing w:after="0" w:line="1" w:lineRule="exact"/>
        <w:rPr>
          <w:sz w:val="20"/>
          <w:szCs w:val="20"/>
          <w:color w:val="auto"/>
        </w:rPr>
      </w:pPr>
    </w:p>
    <w:p>
      <w:pPr>
        <w:jc w:val="both"/>
        <w:ind w:left="40" w:right="20" w:firstLine="566"/>
        <w:spacing w:after="0" w:line="239" w:lineRule="auto"/>
        <w:rPr>
          <w:sz w:val="20"/>
          <w:szCs w:val="20"/>
          <w:color w:val="auto"/>
        </w:rPr>
      </w:pPr>
      <w:r>
        <w:rPr>
          <w:rFonts w:ascii="Arial" w:cs="Arial" w:eastAsia="Arial" w:hAnsi="Arial"/>
          <w:sz w:val="19"/>
          <w:szCs w:val="19"/>
          <w:color w:val="auto"/>
        </w:rPr>
        <w:t>5.1 Corporate Status. Borrower is a corporation duly organized, legally existing and in good standing under the laws of its state of incorporation, and is duly qualified as a foreign corporation in all jurisdictions in which the nature of its business or location of its properties require such qualifications and where the failure to be qualified could reasonably be expected to have a Material Adverse Effect. Borrower’s present name, former names (if any), locations, place of formation, tax identification number, organizational identification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460"/>
        <w:spacing w:after="0"/>
        <w:rPr>
          <w:sz w:val="20"/>
          <w:szCs w:val="20"/>
          <w:color w:val="auto"/>
        </w:rPr>
      </w:pPr>
      <w:r>
        <w:rPr>
          <w:rFonts w:ascii="Arial" w:cs="Arial" w:eastAsia="Arial" w:hAnsi="Arial"/>
          <w:sz w:val="19"/>
          <w:szCs w:val="19"/>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307340</wp:posOffset>
            </wp:positionV>
            <wp:extent cx="6311265" cy="2222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480"/>
          </w:cols>
          <w:pgMar w:left="1440" w:top="781" w:right="979" w:bottom="1440" w:gutter="0" w:footer="0" w:header="0"/>
        </w:sectPr>
      </w:pPr>
    </w:p>
    <w:bookmarkStart w:id="142" w:name="page143"/>
    <w:bookmarkEnd w:id="142"/>
    <w:p>
      <w:pPr>
        <w:jc w:val="both"/>
        <w:ind w:left="80" w:right="20"/>
        <w:spacing w:after="0" w:line="256" w:lineRule="auto"/>
        <w:rPr>
          <w:sz w:val="20"/>
          <w:szCs w:val="20"/>
          <w:color w:val="auto"/>
        </w:rPr>
      </w:pPr>
      <w:r>
        <w:rPr>
          <w:rFonts w:ascii="Arial" w:cs="Arial" w:eastAsia="Arial" w:hAnsi="Arial"/>
          <w:sz w:val="19"/>
          <w:szCs w:val="19"/>
          <w:color w:val="auto"/>
        </w:rPr>
        <w:t>number and other information are correctly set forth in Exhibit B, as may be updated by Borrower in a written notice (including any Compliance Certificate) provided to Agent after the Closing Date.</w:t>
      </w:r>
    </w:p>
    <w:p>
      <w:pPr>
        <w:spacing w:after="0" w:line="147" w:lineRule="exact"/>
        <w:rPr>
          <w:sz w:val="20"/>
          <w:szCs w:val="20"/>
          <w:color w:val="auto"/>
        </w:rPr>
      </w:pPr>
    </w:p>
    <w:p>
      <w:pPr>
        <w:jc w:val="both"/>
        <w:ind w:left="80" w:right="20" w:firstLine="566"/>
        <w:spacing w:after="0" w:line="256" w:lineRule="auto"/>
        <w:rPr>
          <w:sz w:val="20"/>
          <w:szCs w:val="20"/>
          <w:color w:val="auto"/>
        </w:rPr>
      </w:pPr>
      <w:r>
        <w:rPr>
          <w:rFonts w:ascii="Arial" w:cs="Arial" w:eastAsia="Arial" w:hAnsi="Arial"/>
          <w:sz w:val="19"/>
          <w:szCs w:val="19"/>
          <w:color w:val="auto"/>
        </w:rPr>
        <w:t>5.2 Collateral. Borrower owns the Collateral, free of all Liens, except for Permitted Liens. Borrower has the power and authority to grant to Agent a Lien in the Collateral as security for the Secured Obligations.</w:t>
      </w:r>
    </w:p>
    <w:p>
      <w:pPr>
        <w:spacing w:after="0" w:line="147" w:lineRule="exact"/>
        <w:rPr>
          <w:sz w:val="20"/>
          <w:szCs w:val="20"/>
          <w:color w:val="auto"/>
        </w:rPr>
      </w:pPr>
    </w:p>
    <w:p>
      <w:pPr>
        <w:jc w:val="both"/>
        <w:ind w:left="80" w:firstLine="566"/>
        <w:spacing w:after="0" w:line="251" w:lineRule="auto"/>
        <w:rPr>
          <w:sz w:val="20"/>
          <w:szCs w:val="20"/>
          <w:color w:val="auto"/>
        </w:rPr>
      </w:pPr>
      <w:r>
        <w:rPr>
          <w:rFonts w:ascii="Arial" w:cs="Arial" w:eastAsia="Arial" w:hAnsi="Arial"/>
          <w:sz w:val="18"/>
          <w:szCs w:val="18"/>
          <w:color w:val="auto"/>
        </w:rPr>
        <w:t>5.3 Consents. Borrower’s execution, delivery and performance of this Agreement and all other Loan Documents, and Borrower’s execution of the Warrant, (i) have been duly authorized by all necessary corporate action of Borrower, (ii) will not result in the creation or imposition of any Lien upon the Collateral, other than Permitted Liens and the Liens created by this Agreement and the other Loan Documents, (iii) do not violate any provisions of Borrower’s Certificate or Articles of Incorporation (as applicable), bylaws, or any, law, regulation, order, injunction, judgment, decree or writ to which Borrower is subject and (iv) except as described on Schedule 5.3, do not violate any material contract or agreement or require the consent or approval of any other Person which has not already been obtained. The individual or individuals executing the Loan Documents and the Warrant are duly authorized to do so.</w:t>
      </w:r>
    </w:p>
    <w:p>
      <w:pPr>
        <w:spacing w:after="0" w:line="155" w:lineRule="exact"/>
        <w:rPr>
          <w:sz w:val="20"/>
          <w:szCs w:val="20"/>
          <w:color w:val="auto"/>
        </w:rPr>
      </w:pPr>
    </w:p>
    <w:p>
      <w:pPr>
        <w:jc w:val="both"/>
        <w:ind w:left="80" w:firstLine="566"/>
        <w:spacing w:after="0" w:line="244" w:lineRule="auto"/>
        <w:rPr>
          <w:sz w:val="20"/>
          <w:szCs w:val="20"/>
          <w:color w:val="auto"/>
        </w:rPr>
      </w:pPr>
      <w:r>
        <w:rPr>
          <w:rFonts w:ascii="Arial" w:cs="Arial" w:eastAsia="Arial" w:hAnsi="Arial"/>
          <w:sz w:val="19"/>
          <w:szCs w:val="19"/>
          <w:color w:val="auto"/>
        </w:rPr>
        <w:t>5.4 Material Adverse Effect. No event that has had or could reasonably be expected to have a Material Adverse Effect has occurred and is continuing. Borrower is not aware of any event likely to occur that is reasonably expected to result in a Material Adverse Effect.</w:t>
      </w:r>
    </w:p>
    <w:p>
      <w:pPr>
        <w:spacing w:after="0" w:line="159" w:lineRule="exact"/>
        <w:rPr>
          <w:sz w:val="20"/>
          <w:szCs w:val="20"/>
          <w:color w:val="auto"/>
        </w:rPr>
      </w:pPr>
    </w:p>
    <w:p>
      <w:pPr>
        <w:jc w:val="both"/>
        <w:ind w:left="80" w:firstLine="566"/>
        <w:spacing w:after="0" w:line="244" w:lineRule="auto"/>
        <w:rPr>
          <w:sz w:val="20"/>
          <w:szCs w:val="20"/>
          <w:color w:val="auto"/>
        </w:rPr>
      </w:pPr>
      <w:r>
        <w:rPr>
          <w:rFonts w:ascii="Arial" w:cs="Arial" w:eastAsia="Arial" w:hAnsi="Arial"/>
          <w:sz w:val="19"/>
          <w:szCs w:val="19"/>
          <w:color w:val="auto"/>
        </w:rPr>
        <w:t>5.5 Actions Before Governmental Authorities. There are no actions, suits or proceedings at law or in equity or by or before any governmental authority now pending or, to the knowledge of Borrower, threatened in writing against Borrower or its property, that is reasonably expected to result in a Material Adverse Effect.</w:t>
      </w:r>
    </w:p>
    <w:p>
      <w:pPr>
        <w:spacing w:after="0" w:line="159" w:lineRule="exact"/>
        <w:rPr>
          <w:sz w:val="20"/>
          <w:szCs w:val="20"/>
          <w:color w:val="auto"/>
        </w:rPr>
      </w:pPr>
    </w:p>
    <w:p>
      <w:pPr>
        <w:jc w:val="both"/>
        <w:ind w:left="80" w:firstLine="566"/>
        <w:spacing w:after="0" w:line="238" w:lineRule="auto"/>
        <w:rPr>
          <w:sz w:val="20"/>
          <w:szCs w:val="20"/>
          <w:color w:val="auto"/>
        </w:rPr>
      </w:pPr>
      <w:r>
        <w:rPr>
          <w:rFonts w:ascii="Arial" w:cs="Arial" w:eastAsia="Arial" w:hAnsi="Arial"/>
          <w:sz w:val="19"/>
          <w:szCs w:val="19"/>
          <w:color w:val="auto"/>
        </w:rPr>
        <w:t>5.6 Laws. Neither Borrower nor any of its Subsidiaries is in violation of any law, rule or regulation, or in default with respect to any judgment, writ, injunction or decree of any governmental authority, where such violation or default is reasonably expected to result in a Material Adverse Effect. Borrower is not in default in any manner under any provision of any agreement or instrument evidencing (i) material Indebtedness, or any other Material Agreement to which it is a party or by which it is bound or (ii) any other agreement which default is reasonably expected to result in a Material Adverse Effect.</w:t>
      </w:r>
    </w:p>
    <w:p>
      <w:pPr>
        <w:spacing w:after="0" w:line="162" w:lineRule="exact"/>
        <w:rPr>
          <w:sz w:val="20"/>
          <w:szCs w:val="20"/>
          <w:color w:val="auto"/>
        </w:rPr>
      </w:pPr>
    </w:p>
    <w:p>
      <w:pPr>
        <w:jc w:val="both"/>
        <w:ind w:firstLine="707"/>
        <w:spacing w:after="0" w:line="252" w:lineRule="auto"/>
        <w:rPr>
          <w:sz w:val="20"/>
          <w:szCs w:val="20"/>
          <w:color w:val="auto"/>
        </w:rPr>
      </w:pPr>
      <w:r>
        <w:rPr>
          <w:rFonts w:ascii="Arial" w:cs="Arial" w:eastAsia="Arial" w:hAnsi="Arial"/>
          <w:sz w:val="18"/>
          <w:szCs w:val="18"/>
          <w:color w:val="auto"/>
        </w:rPr>
        <w:t>Neither Borrower nor any of its Subsidiaries is an “investment company” or a company “controlled” by an “investment company” under the Investment Company Act of 1940, as amended. Neither Borrower nor any of its Subsidiaries is engaged as one of its important activities in extending credit for margin stock (under Regulations X, T and U of the Federal Reserve Board of Governors). Borrower and each of its Subsidiaries has complied in all material respects with the Federal Fair Labor Standards Act. Neither Borrower nor any of its Subsidiaries is a “holding company” or an “affiliate” of a “holding company” or a “subsidiary company” of a “holding company” as each term is defined and used in the Public Utility Holding Company Act of 2005. Neither Borrower’s nor any of its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440"/>
        <w:spacing w:after="0"/>
        <w:rPr>
          <w:sz w:val="20"/>
          <w:szCs w:val="20"/>
          <w:color w:val="auto"/>
        </w:rPr>
      </w:pPr>
      <w:r>
        <w:rPr>
          <w:rFonts w:ascii="Arial" w:cs="Arial" w:eastAsia="Arial" w:hAnsi="Arial"/>
          <w:sz w:val="19"/>
          <w:szCs w:val="19"/>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307340</wp:posOffset>
            </wp:positionV>
            <wp:extent cx="6311265" cy="2222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520"/>
          </w:cols>
          <w:pgMar w:left="1400" w:top="781" w:right="979" w:bottom="1440" w:gutter="0" w:footer="0" w:header="0"/>
        </w:sectPr>
      </w:pPr>
    </w:p>
    <w:bookmarkStart w:id="143" w:name="page144"/>
    <w:bookmarkEnd w:id="143"/>
    <w:p>
      <w:pPr>
        <w:jc w:val="both"/>
        <w:spacing w:after="0" w:line="239" w:lineRule="auto"/>
        <w:rPr>
          <w:sz w:val="20"/>
          <w:szCs w:val="20"/>
          <w:color w:val="auto"/>
        </w:rPr>
      </w:pPr>
      <w:r>
        <w:rPr>
          <w:rFonts w:ascii="Arial" w:cs="Arial" w:eastAsia="Arial" w:hAnsi="Arial"/>
          <w:sz w:val="19"/>
          <w:szCs w:val="19"/>
          <w:color w:val="auto"/>
        </w:rPr>
        <w:t>Subsidiaries’ properties or assets has been used by Borrower or such Subsidiary or, to Borrower’s knowledge, by previous Persons, in disposing, producing, storing, treating, or transporting any hazardous substance other than in material compliance with applicable laws. Borrower and each of its Subsidiaries has obtained all consents, approvals and authorizations of, made all declarations or filings with, and given all notices to, all Governmental Authorities that are necessary to continue their respective businesses as currently conducted.</w:t>
      </w:r>
    </w:p>
    <w:p>
      <w:pPr>
        <w:spacing w:after="0" w:line="162"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None of Borrower, any of its Subsidiaries, or any of Borrower’s or its Subsidiaries’ Affiliates or any of their respective agents acting or benefiting in any capacity in connection with the transactions contemplated by this Agreement is (i) in violation of any Anti-Terrorism Law, (ii) engaging in or conspiring to engage in any transaction that evades or avoids, or has the purpose of evading or avoiding or attempts to violate, any of the prohibitions set forth in any Anti-Terrorism Law, or (iii) is a Blocked Person. None of Borrower, any of its Subsidiaries, or to the knowledge of Borrower and any of their Affiliates or agents, acting or benefiting in any capacity in connection with the transactions contemplated by this Agreement, (x) conducts any business or engages in making or receiving any contribution of funds, goods or services to or for the benefit of any Blocked Person, or (y) deals in, or otherwise engages in any transaction relating to, any property or interest in property blocked pursuant to Executive Order No. 13224, any similar executive order or other Anti-Terrorism Law. None of the funds to be provided under this Agreement will be used, directly or indirectly, (a) for any activities in violation of any applicable anti-money laundering, economic sanctions and anti-bribery laws and regulations laws and regulations or (b) for any payment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w:t>
      </w:r>
    </w:p>
    <w:p>
      <w:pPr>
        <w:spacing w:after="0" w:line="149" w:lineRule="exact"/>
        <w:rPr>
          <w:sz w:val="20"/>
          <w:szCs w:val="20"/>
          <w:color w:val="auto"/>
        </w:rPr>
      </w:pPr>
    </w:p>
    <w:p>
      <w:pPr>
        <w:jc w:val="both"/>
        <w:ind w:left="80" w:firstLine="566"/>
        <w:spacing w:after="0" w:line="266" w:lineRule="auto"/>
        <w:rPr>
          <w:sz w:val="20"/>
          <w:szCs w:val="20"/>
          <w:color w:val="auto"/>
        </w:rPr>
      </w:pPr>
      <w:r>
        <w:rPr>
          <w:rFonts w:ascii="Arial" w:cs="Arial" w:eastAsia="Arial" w:hAnsi="Arial"/>
          <w:sz w:val="17"/>
          <w:szCs w:val="17"/>
          <w:color w:val="auto"/>
        </w:rPr>
        <w:t>5.7 Information Correct and Current. No information, report, Advance Request, financial statement, exhibit or schedule furnished, by or on behalf of Borrower to Agent in connection with any Loan Document or included therein or delivered pursuant thereto contained, or, when taken as a whole, contains any material misstatement of fact or, when taken together with all other such information or documents, omitted or omits to state any material fact necessary to make the statements therein, in the light of the circumstances under which they were, are or will be made, not materially misleading at the time such statement was made or deemed made. Additionally, any and all financial or business projections provided by Borrower to Agent, whether prior to or after the Closing Date, shall be (i) provided in good faith and based on the most current data and information available to Borrower and subject to normal year-end adjustments, and (ii) the most current of such projections provided to Borrower’s board of directors (it being understood that such projections are subject to significant uncertainties and contingencies, many of which are beyond the control of Borrower, that no assurance is given that any particular projections will be realized, that actual results may differ).</w:t>
      </w:r>
    </w:p>
    <w:p>
      <w:pPr>
        <w:spacing w:after="0" w:line="140" w:lineRule="exact"/>
        <w:rPr>
          <w:sz w:val="20"/>
          <w:szCs w:val="20"/>
          <w:color w:val="auto"/>
        </w:rPr>
      </w:pPr>
    </w:p>
    <w:p>
      <w:pPr>
        <w:jc w:val="both"/>
        <w:ind w:left="80" w:right="20" w:firstLine="566"/>
        <w:spacing w:after="0" w:line="244" w:lineRule="auto"/>
        <w:rPr>
          <w:sz w:val="20"/>
          <w:szCs w:val="20"/>
          <w:color w:val="auto"/>
        </w:rPr>
      </w:pPr>
      <w:r>
        <w:rPr>
          <w:rFonts w:ascii="Arial" w:cs="Arial" w:eastAsia="Arial" w:hAnsi="Arial"/>
          <w:sz w:val="19"/>
          <w:szCs w:val="19"/>
          <w:color w:val="auto"/>
        </w:rPr>
        <w:t>5.8 Tax Matters. Except as described on Schedule 5.8, (a) Borrower and its Subsidiaries have filed all federal and state income Tax returns and other material Tax returns that they are required to file, (b) Borrower and its Subsidiaries have duly paid all</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440"/>
        <w:spacing w:after="0"/>
        <w:rPr>
          <w:sz w:val="20"/>
          <w:szCs w:val="20"/>
          <w:color w:val="auto"/>
        </w:rPr>
      </w:pPr>
      <w:r>
        <w:rPr>
          <w:rFonts w:ascii="Arial" w:cs="Arial" w:eastAsia="Arial" w:hAnsi="Arial"/>
          <w:sz w:val="19"/>
          <w:szCs w:val="19"/>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307340</wp:posOffset>
            </wp:positionV>
            <wp:extent cx="6311265" cy="2222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520"/>
          </w:cols>
          <w:pgMar w:left="1400" w:top="781" w:right="979" w:bottom="1440" w:gutter="0" w:footer="0" w:header="0"/>
        </w:sectPr>
      </w:pPr>
    </w:p>
    <w:bookmarkStart w:id="144" w:name="page145"/>
    <w:bookmarkEnd w:id="144"/>
    <w:p>
      <w:pPr>
        <w:jc w:val="both"/>
        <w:ind w:left="500" w:right="20"/>
        <w:spacing w:after="0" w:line="255" w:lineRule="auto"/>
        <w:rPr>
          <w:sz w:val="20"/>
          <w:szCs w:val="20"/>
          <w:color w:val="auto"/>
        </w:rPr>
      </w:pPr>
      <w:r>
        <w:rPr>
          <w:rFonts w:ascii="Arial" w:cs="Arial" w:eastAsia="Arial" w:hAnsi="Arial"/>
          <w:sz w:val="18"/>
          <w:szCs w:val="18"/>
          <w:color w:val="auto"/>
        </w:rPr>
        <w:t>federal and state income Taxes and other material Taxes or installments thereof that they are required to pay, except Taxes being contested in good faith by appropriate proceedings and for which Borrower and its Subsidiaries maintain adequate reserves in accordance with GAAP, and (c) to the best of Borrower’s knowledge, no proposed or pending Tax assessments, deficiencies, audits or other proceedings with respect to Borrower or any Subsidiary have had, or could reasonably be expected to have, individually or in the aggregate, a Material Adverse Effect.</w:t>
      </w:r>
    </w:p>
    <w:p>
      <w:pPr>
        <w:spacing w:after="0" w:line="150" w:lineRule="exact"/>
        <w:rPr>
          <w:sz w:val="20"/>
          <w:szCs w:val="20"/>
          <w:color w:val="auto"/>
        </w:rPr>
      </w:pPr>
    </w:p>
    <w:p>
      <w:pPr>
        <w:jc w:val="both"/>
        <w:ind w:left="500" w:firstLine="566"/>
        <w:spacing w:after="0" w:line="248" w:lineRule="auto"/>
        <w:rPr>
          <w:sz w:val="20"/>
          <w:szCs w:val="20"/>
          <w:color w:val="auto"/>
        </w:rPr>
      </w:pPr>
      <w:r>
        <w:rPr>
          <w:rFonts w:ascii="Arial" w:cs="Arial" w:eastAsia="Arial" w:hAnsi="Arial"/>
          <w:sz w:val="18"/>
          <w:szCs w:val="18"/>
          <w:color w:val="auto"/>
        </w:rPr>
        <w:t>5.9 Intellectual Property Claims. Borrower is the sole owner of, or otherwise has the right to use, the Intellectual Property material to Borrower’s business. Except as described on Schedule 5.9 and as may be updated by Borrower in a written notice provided from time to time after the Closing Date, (i) each of the material Copyrights, Trademarks and Patents (other than patent applications) is valid and enforceable, (ii) no material part of the Intellectual Property has been judged invalid or unenforceable, in whole or in part, and (iii) except as set forth in the most recently delivered Compliance Certificate in accordance with Section 7.1(d), no claim has been made to Borrower in writing that any material part of the Intellectual Property violates the rights of any third party. Exhibit C (and as may be updated by Borrower in a written notice provided from time to time after the Closing Date) is a true, correct and complete list of each of Borrower’s registered Patents and filed Patent applications, registered Trademarks, registered Copyrights, and Material Agreements under which Borrower licenses Intellectual Property from third parties (other than shrink-wrap software licenses, licenses that are commercially available to the public, open source licenses, licenses disclosed in writing to Agent as required under this Agreement and immaterial Intellectual Property licensed to Borrower in the ordinary course of business), together with application or registration numbers, as applicable, owned by Borrower or any Subsidiary, in each case as of the Closing Date. Borrower is not in material breach of, nor has Borrower failed to perform any material obligations under, any of the foregoing contracts, licenses or agreements and, to Borrower’s knowledge, no third party to any such contract, license or agreement is in material breach thereof or has failed to perform any material obligations thereunder.</w:t>
      </w:r>
    </w:p>
    <w:p>
      <w:pPr>
        <w:spacing w:after="0" w:line="160" w:lineRule="exact"/>
        <w:rPr>
          <w:sz w:val="20"/>
          <w:szCs w:val="20"/>
          <w:color w:val="auto"/>
        </w:rPr>
      </w:pPr>
    </w:p>
    <w:p>
      <w:pPr>
        <w:ind w:left="1060"/>
        <w:spacing w:after="0"/>
        <w:tabs>
          <w:tab w:leader="none" w:pos="1740" w:val="left"/>
        </w:tabs>
        <w:rPr>
          <w:sz w:val="20"/>
          <w:szCs w:val="20"/>
          <w:color w:val="auto"/>
        </w:rPr>
      </w:pPr>
      <w:r>
        <w:rPr>
          <w:rFonts w:ascii="Arial" w:cs="Arial" w:eastAsia="Arial" w:hAnsi="Arial"/>
          <w:sz w:val="19"/>
          <w:szCs w:val="19"/>
          <w:color w:val="auto"/>
        </w:rPr>
        <w:t>5.10</w:t>
      </w:r>
      <w:r>
        <w:rPr>
          <w:sz w:val="20"/>
          <w:szCs w:val="20"/>
          <w:color w:val="auto"/>
        </w:rPr>
        <w:tab/>
      </w:r>
      <w:r>
        <w:rPr>
          <w:rFonts w:ascii="Arial" w:cs="Arial" w:eastAsia="Arial" w:hAnsi="Arial"/>
          <w:sz w:val="17"/>
          <w:szCs w:val="17"/>
          <w:color w:val="auto"/>
        </w:rPr>
        <w:t>Intellectual Property.</w:t>
      </w:r>
    </w:p>
    <w:p>
      <w:pPr>
        <w:spacing w:after="0" w:line="182" w:lineRule="exact"/>
        <w:rPr>
          <w:sz w:val="20"/>
          <w:szCs w:val="20"/>
          <w:color w:val="auto"/>
        </w:rPr>
      </w:pPr>
    </w:p>
    <w:p>
      <w:pPr>
        <w:jc w:val="both"/>
        <w:ind w:firstLine="1128"/>
        <w:spacing w:after="0" w:line="266" w:lineRule="auto"/>
        <w:tabs>
          <w:tab w:leader="none" w:pos="1955" w:val="left"/>
        </w:tabs>
        <w:numPr>
          <w:ilvl w:val="0"/>
          <w:numId w:val="69"/>
        </w:numPr>
        <w:rPr>
          <w:rFonts w:ascii="Arial" w:cs="Arial" w:eastAsia="Arial" w:hAnsi="Arial"/>
          <w:sz w:val="17"/>
          <w:szCs w:val="17"/>
          <w:color w:val="auto"/>
        </w:rPr>
      </w:pPr>
      <w:r>
        <w:rPr>
          <w:rFonts w:ascii="Arial" w:cs="Arial" w:eastAsia="Arial" w:hAnsi="Arial"/>
          <w:sz w:val="17"/>
          <w:szCs w:val="17"/>
          <w:color w:val="auto"/>
        </w:rPr>
        <w:t>A true, correct and complete list of each pending, registered, issued or in-licensed Intellectual Property that, individually or taken together with any other such Intellectual Property, is material to the business of Borrower and its Subsidiaries, taken as a whole, relating to the research, development, manufacture, production, use, commercialization, marketing, importing, storage, transport, offer for sale, distribution or sale of the Borrower Products, and is owned or co-owned by or exclusively or non-exclusively licensed to the Borrower or any of its Subsidiaries (collectively, the “Current Company IP”), including its name/title, current owner or co-owners (including ownership interest), registration, patent or application number, and registration or application date, issued or filed in the United States, is set forth on Schedule 5.10(a). Except as set forth on Schedule 5.10(a), (i) (A) each item of owned Current Company IP is valid, subsisting and (other than with respect to Patent applications) enforceable and no such item of Current Company IP has lapsed, expired, been cancelled or invalidated or become abandoned or unenforceable, and (B) no written notice has been received challenging the inventorship or</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307340</wp:posOffset>
            </wp:positionV>
            <wp:extent cx="6311265" cy="2222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940"/>
          </w:cols>
          <w:pgMar w:left="980" w:top="781" w:right="979" w:bottom="1440" w:gutter="0" w:footer="0" w:header="0"/>
        </w:sectPr>
      </w:pPr>
    </w:p>
    <w:bookmarkStart w:id="145" w:name="page146"/>
    <w:bookmarkEnd w:id="145"/>
    <w:p>
      <w:pPr>
        <w:jc w:val="both"/>
        <w:spacing w:after="0" w:line="249" w:lineRule="auto"/>
        <w:rPr>
          <w:sz w:val="20"/>
          <w:szCs w:val="20"/>
          <w:color w:val="auto"/>
        </w:rPr>
      </w:pPr>
      <w:r>
        <w:rPr>
          <w:rFonts w:ascii="Arial" w:cs="Arial" w:eastAsia="Arial" w:hAnsi="Arial"/>
          <w:sz w:val="18"/>
          <w:szCs w:val="18"/>
          <w:color w:val="auto"/>
        </w:rPr>
        <w:t>ownership, or relating to any lapse, expiration, invalidation, abandonment or unenforceability, of any such item of Current Company IP, and (ii) (A) each such item of Current Company IP which is licensed from another Person is valid, subsisting and enforceable and no such item of Current Company IP has lapsed, expired, been cancelled or invalidated, or become abandoned or unenforceable, and (B) no written notice has been received challenging the inventorship or ownership, or relating to any lapse, expiration, invalidation, abandonment or unenforceability, of any such item of Current Company IP. To the knowledge of Borrower, there are no published patents, patent applications, articles or prior art references that would reasonably be expected to materially adversely affect the exploitation of the Borrower Products. Except as set forth on Schedule 5.10(a), (x) each Person who has or has had any rights in or to owned Current Company IP or any trade secrets owned by the Borrower or any of its Subsidiaries, including each inventor named on the Patents within such owned Current Company IP filed by the Borrower or any of its Subsidiaries, and has executed an agreement assigning his, her or its entire right, title and interest in and to such owned Current Company IP and such trade secrets, and the inventions, improvements, ideas, discoveries, writings, works of authorship, information and other intellectual property embodied, described or claimed therein, to the stated owner thereof, and (y) no such Person has any contractual or other obligation that would preclude or conflict with such assignment or the exploitation of the Borrower Products or entitle such Person to ongoing payments.</w:t>
      </w:r>
    </w:p>
    <w:p>
      <w:pPr>
        <w:spacing w:after="0" w:line="153" w:lineRule="exact"/>
        <w:rPr>
          <w:sz w:val="20"/>
          <w:szCs w:val="20"/>
          <w:color w:val="auto"/>
        </w:rPr>
      </w:pPr>
    </w:p>
    <w:p>
      <w:pPr>
        <w:ind w:right="20" w:firstLine="1128"/>
        <w:spacing w:after="0" w:line="315" w:lineRule="auto"/>
        <w:tabs>
          <w:tab w:leader="none" w:pos="18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(i) The Borrower or any of its Subsidiaries possesses valid title to the Current Company IP for which it is listed as the owner or co-owner, as applicable, on Schedule 5.10(a); and (ii) there are no Liens on any Current Company IP.</w:t>
      </w:r>
    </w:p>
    <w:p>
      <w:pPr>
        <w:spacing w:after="0" w:line="99" w:lineRule="exact"/>
        <w:rPr>
          <w:rFonts w:ascii="Arial" w:cs="Arial" w:eastAsia="Arial" w:hAnsi="Arial"/>
          <w:sz w:val="17"/>
          <w:szCs w:val="17"/>
          <w:color w:val="auto"/>
        </w:rPr>
      </w:pPr>
    </w:p>
    <w:p>
      <w:pPr>
        <w:jc w:val="both"/>
        <w:ind w:firstLine="1128"/>
        <w:spacing w:after="0" w:line="253" w:lineRule="auto"/>
        <w:tabs>
          <w:tab w:leader="none" w:pos="1913"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There are no maintenance, annuity or renewal fees that are currently overdue beyond their allotted grace period for any of the Current Company IP which is owned by or exclusively licensed to the Borrower or any of its Subsidiaries, nor have any applications or registrations therefor lapsed or become abandoned, been cancelled or expired. There are no maintenance, annuity or renewal fees that are currently overdue beyond their allotted grace period for any of the Current Company IP which is non-exclusively licensed to the Borrower or any of its Subsidiaries, nor have any applications or registrations therefor lapsed or become abandoned, been cancelled or expired.</w:t>
      </w:r>
    </w:p>
    <w:p>
      <w:pPr>
        <w:spacing w:after="0" w:line="152" w:lineRule="exact"/>
        <w:rPr>
          <w:rFonts w:ascii="Arial" w:cs="Arial" w:eastAsia="Arial" w:hAnsi="Arial"/>
          <w:sz w:val="18"/>
          <w:szCs w:val="18"/>
          <w:color w:val="auto"/>
        </w:rPr>
      </w:pPr>
    </w:p>
    <w:p>
      <w:pPr>
        <w:jc w:val="both"/>
        <w:ind w:firstLine="1128"/>
        <w:spacing w:after="0" w:line="250" w:lineRule="auto"/>
        <w:tabs>
          <w:tab w:leader="none" w:pos="2083"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There are no unpaid fees or royalties under any Material Agreements that have become due, or are expected to become overdue. Each Material Agreement is in full force and effect and is legal, valid, binding, and enforceable in accordance with its respective terms, except as may be limited by bankruptcy, insolvency, reorganization, moratorium or similar laws relating to or limiting creditors’ rights generally or by equitable principles relating to enforceability. Except as set forth on Schedule 5.10(d), neither Borrower nor any of its Subsidiaries, as applicable, is in breach of or default in any manner that could reasonably be expected to materially affect the Borrower Products under any Material Agreement to which it is a party or may otherwise be bound, and no circumstances or grounds exist that would give rise to a claim of breach or right of rescission, termination, non-renewal, revision or amendment of any of the Material Agreements, including the execution, delivery and performance of this Agreement and the other Loan Documents.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307340</wp:posOffset>
            </wp:positionV>
            <wp:extent cx="6311265" cy="2222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940"/>
          </w:cols>
          <w:pgMar w:left="980" w:top="781" w:right="979" w:bottom="1440" w:gutter="0" w:footer="0" w:header="0"/>
        </w:sectPr>
      </w:pPr>
    </w:p>
    <w:bookmarkStart w:id="146" w:name="page147"/>
    <w:bookmarkEnd w:id="146"/>
    <w:p>
      <w:pPr>
        <w:jc w:val="both"/>
        <w:ind w:right="20" w:firstLine="1128"/>
        <w:spacing w:after="0" w:line="287" w:lineRule="auto"/>
        <w:tabs>
          <w:tab w:leader="none" w:pos="20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No payments by the Borrower or any of its Subsidiaries are due to any other Person in respect of the Current Company IP, other than pursuant to the Material Agreements and those fees payable to patent offices in connection with the prosecution and maintenance of the Current Company IP, any applicable taxes and associated attorney fees.</w:t>
      </w:r>
    </w:p>
    <w:p>
      <w:pPr>
        <w:spacing w:after="0" w:line="124" w:lineRule="exact"/>
        <w:rPr>
          <w:rFonts w:ascii="Arial" w:cs="Arial" w:eastAsia="Arial" w:hAnsi="Arial"/>
          <w:sz w:val="17"/>
          <w:szCs w:val="17"/>
          <w:color w:val="auto"/>
        </w:rPr>
      </w:pPr>
    </w:p>
    <w:p>
      <w:pPr>
        <w:jc w:val="both"/>
        <w:ind w:right="20" w:firstLine="1128"/>
        <w:spacing w:after="0" w:line="238" w:lineRule="auto"/>
        <w:tabs>
          <w:tab w:leader="none" w:pos="1918" w:val="left"/>
        </w:tabs>
        <w:numPr>
          <w:ilvl w:val="0"/>
          <w:numId w:val="71"/>
        </w:numPr>
        <w:rPr>
          <w:rFonts w:ascii="Arial" w:cs="Arial" w:eastAsia="Arial" w:hAnsi="Arial"/>
          <w:sz w:val="19"/>
          <w:szCs w:val="19"/>
          <w:color w:val="auto"/>
        </w:rPr>
      </w:pPr>
      <w:r>
        <w:rPr>
          <w:rFonts w:ascii="Arial" w:cs="Arial" w:eastAsia="Arial" w:hAnsi="Arial"/>
          <w:sz w:val="19"/>
          <w:szCs w:val="19"/>
          <w:color w:val="auto"/>
        </w:rPr>
        <w:t>Neither the Borrower nor any of its Subsidiaries has undertaken or omitted to undertake any acts, and no circumstance or grounds exist that would invalidate or reduce, in whole or in part, the enforceability or scope of (i) the Current Company IP in any manner that could reasonably be expected to materially adversely affect the Borrower Products, or (ii) in the case of Current Company IP owned or co-owned or exclusively or non-exclusively licensed by the Borrower or any of its Subsidiaries, except as set forth on Schedule 5.10(f), the Borrower’s or Subsidiary’s entitlement to own or license and exploit such Current Company IP.</w:t>
      </w:r>
    </w:p>
    <w:p>
      <w:pPr>
        <w:spacing w:after="0" w:line="161" w:lineRule="exact"/>
        <w:rPr>
          <w:rFonts w:ascii="Arial" w:cs="Arial" w:eastAsia="Arial" w:hAnsi="Arial"/>
          <w:sz w:val="19"/>
          <w:szCs w:val="19"/>
          <w:color w:val="auto"/>
        </w:rPr>
      </w:pPr>
    </w:p>
    <w:p>
      <w:pPr>
        <w:jc w:val="both"/>
        <w:ind w:firstLine="1128"/>
        <w:spacing w:after="0" w:line="250" w:lineRule="auto"/>
        <w:tabs>
          <w:tab w:leader="none" w:pos="2182" w:val="left"/>
        </w:tabs>
        <w:numPr>
          <w:ilvl w:val="0"/>
          <w:numId w:val="71"/>
        </w:numPr>
        <w:rPr>
          <w:rFonts w:ascii="Arial" w:cs="Arial" w:eastAsia="Arial" w:hAnsi="Arial"/>
          <w:sz w:val="18"/>
          <w:szCs w:val="18"/>
          <w:color w:val="auto"/>
        </w:rPr>
      </w:pPr>
      <w:r>
        <w:rPr>
          <w:rFonts w:ascii="Arial" w:cs="Arial" w:eastAsia="Arial" w:hAnsi="Arial"/>
          <w:sz w:val="18"/>
          <w:szCs w:val="18"/>
          <w:color w:val="auto"/>
        </w:rPr>
        <w:t>Except as described on Schedule 5.9 or in the most recently delivered Compliance Certificate in accordance with Section 7.1(d), there is no requested, filed pending, decided or settled opposition, interference proceeding, reissue proceeding, reexamination proceeding, inter-partes review proceeding, post-grant review proceeding, cancellation proceeding, injunction, litigation, paragraph IV patent certification or lawsuit under the Hatch-Waxman Act, hearing, investigation, complaint, arbitration, mediation, demand, International Trade Commission investigation, decree, or any other dispute, disagreement, or claim, in each case alleged in writing to Borrower or any of its Subsidiaries (collectively referred to hereinafter as “Specified Disputes”), nor to the knowledge of Borrower, has any such Specified Dispute been threatened in writing, in each case challenging the legality, validity, enforceability or ownership of any Current Company IP, in each case that would have a material adverse effect on the Borrower Products.</w:t>
      </w:r>
    </w:p>
    <w:p>
      <w:pPr>
        <w:spacing w:after="0" w:line="158" w:lineRule="exact"/>
        <w:rPr>
          <w:sz w:val="20"/>
          <w:szCs w:val="20"/>
          <w:color w:val="auto"/>
        </w:rPr>
      </w:pPr>
    </w:p>
    <w:p>
      <w:pPr>
        <w:jc w:val="both"/>
        <w:ind w:right="20" w:firstLine="1199"/>
        <w:spacing w:after="0" w:line="244" w:lineRule="auto"/>
        <w:tabs>
          <w:tab w:leader="none" w:pos="2147" w:val="left"/>
        </w:tabs>
        <w:numPr>
          <w:ilvl w:val="1"/>
          <w:numId w:val="72"/>
        </w:numPr>
        <w:rPr>
          <w:rFonts w:ascii="Arial" w:cs="Arial" w:eastAsia="Arial" w:hAnsi="Arial"/>
          <w:sz w:val="19"/>
          <w:szCs w:val="19"/>
          <w:color w:val="auto"/>
        </w:rPr>
      </w:pPr>
      <w:r>
        <w:rPr>
          <w:rFonts w:ascii="Arial" w:cs="Arial" w:eastAsia="Arial" w:hAnsi="Arial"/>
          <w:sz w:val="19"/>
          <w:szCs w:val="19"/>
          <w:color w:val="auto"/>
        </w:rPr>
        <w:t>In each case where an issued Patent within the Current Company IP is owned or co-owned by the Borrower or any of its Subsidiaries by assignment, the assignment has been duly recorded with the U.S. Patent and Trademark Office.</w:t>
      </w:r>
    </w:p>
    <w:p>
      <w:pPr>
        <w:spacing w:after="0" w:line="158" w:lineRule="exact"/>
        <w:rPr>
          <w:rFonts w:ascii="Arial" w:cs="Arial" w:eastAsia="Arial" w:hAnsi="Arial"/>
          <w:sz w:val="19"/>
          <w:szCs w:val="19"/>
          <w:color w:val="auto"/>
        </w:rPr>
      </w:pPr>
    </w:p>
    <w:p>
      <w:pPr>
        <w:jc w:val="both"/>
        <w:ind w:firstLine="1128"/>
        <w:spacing w:after="0" w:line="238" w:lineRule="auto"/>
        <w:tabs>
          <w:tab w:leader="none" w:pos="1884" w:val="left"/>
        </w:tabs>
        <w:numPr>
          <w:ilvl w:val="0"/>
          <w:numId w:val="73"/>
        </w:numPr>
        <w:rPr>
          <w:rFonts w:ascii="Arial" w:cs="Arial" w:eastAsia="Arial" w:hAnsi="Arial"/>
          <w:sz w:val="19"/>
          <w:szCs w:val="19"/>
          <w:color w:val="auto"/>
        </w:rPr>
      </w:pPr>
      <w:r>
        <w:rPr>
          <w:rFonts w:ascii="Arial" w:cs="Arial" w:eastAsia="Arial" w:hAnsi="Arial"/>
          <w:sz w:val="19"/>
          <w:szCs w:val="19"/>
          <w:color w:val="auto"/>
        </w:rPr>
        <w:t>Except as set forth on Schedule 5.10(i) there are no pending or, to the knowledge of Borrower, threatened claims against Borrower or any of its Subsidiaries alleging (i) that any research, development, manufacture, production, use, commercialization, marketing, importing, storage, transport, offer for sale, distribution or sale of the Borrower Products in the United States infringes or violates (or in the past infringed or violated) the rights of any third parties in or to any Intellectual Property (“Third Party IP”) or constitutes a misappropriation of (or in the past constituted a misappropriation of) any Third Party IP, or (ii) that any Current Company IP is invalid or unenforceable.</w:t>
      </w:r>
    </w:p>
    <w:p>
      <w:pPr>
        <w:spacing w:after="0" w:line="161" w:lineRule="exact"/>
        <w:rPr>
          <w:rFonts w:ascii="Arial" w:cs="Arial" w:eastAsia="Arial" w:hAnsi="Arial"/>
          <w:sz w:val="19"/>
          <w:szCs w:val="19"/>
          <w:color w:val="auto"/>
        </w:rPr>
      </w:pPr>
    </w:p>
    <w:p>
      <w:pPr>
        <w:jc w:val="both"/>
        <w:ind w:firstLine="1128"/>
        <w:spacing w:after="0" w:line="278" w:lineRule="auto"/>
        <w:tabs>
          <w:tab w:leader="none" w:pos="1925" w:val="left"/>
        </w:tabs>
        <w:numPr>
          <w:ilvl w:val="0"/>
          <w:numId w:val="73"/>
        </w:numPr>
        <w:rPr>
          <w:rFonts w:ascii="Arial" w:cs="Arial" w:eastAsia="Arial" w:hAnsi="Arial"/>
          <w:sz w:val="17"/>
          <w:szCs w:val="17"/>
          <w:color w:val="auto"/>
        </w:rPr>
      </w:pPr>
      <w:r>
        <w:rPr>
          <w:rFonts w:ascii="Arial" w:cs="Arial" w:eastAsia="Arial" w:hAnsi="Arial"/>
          <w:sz w:val="17"/>
          <w:szCs w:val="17"/>
          <w:color w:val="auto"/>
        </w:rPr>
        <w:t>Except as set forth on Schedule 5.10(j), the manufacture, production, use, commercialization, marketing, importing, storage, transport, offer for sale, distribution or sale of the Borrower Products does not, to the knowledge of Borrower, infringe or violate (or in the past infringed or violated) any issued or registered Third Party IP (including any issued Patent within the Third Party IP) or constitute a misappropriation of (or in the past constituted a misappropriation of) any Third Party IP.</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307340</wp:posOffset>
            </wp:positionV>
            <wp:extent cx="6311265" cy="2222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940"/>
          </w:cols>
          <w:pgMar w:left="980" w:top="781" w:right="979" w:bottom="1440" w:gutter="0" w:footer="0" w:header="0"/>
        </w:sectPr>
      </w:pPr>
    </w:p>
    <w:bookmarkStart w:id="147" w:name="page148"/>
    <w:bookmarkEnd w:id="147"/>
    <w:p>
      <w:pPr>
        <w:jc w:val="both"/>
        <w:ind w:right="20" w:firstLine="1128"/>
        <w:spacing w:after="0" w:line="239" w:lineRule="auto"/>
        <w:tabs>
          <w:tab w:leader="none" w:pos="2158" w:val="left"/>
        </w:tabs>
        <w:numPr>
          <w:ilvl w:val="0"/>
          <w:numId w:val="74"/>
        </w:numPr>
        <w:rPr>
          <w:rFonts w:ascii="Arial" w:cs="Arial" w:eastAsia="Arial" w:hAnsi="Arial"/>
          <w:sz w:val="19"/>
          <w:szCs w:val="19"/>
          <w:color w:val="auto"/>
        </w:rPr>
      </w:pPr>
      <w:r>
        <w:rPr>
          <w:rFonts w:ascii="Arial" w:cs="Arial" w:eastAsia="Arial" w:hAnsi="Arial"/>
          <w:sz w:val="19"/>
          <w:szCs w:val="19"/>
          <w:color w:val="auto"/>
        </w:rPr>
        <w:t>Except as set forth on Schedule 5.10(k), there are no settlements, covenants not to sue, consents, judgments, orders or similar obligations which: (i) restrict the rights of the Borrower or any of its Subsidiaries to use any Intellectual Property relating to the research, development, manufacture, production, use, commercialization, marketing, importing, storage, transport, offer for sale, distribution or sale of the Borrower Products (in order to accommodate any Third Party IP or otherwise), or (ii) permit any third parties to use any Company IP.</w:t>
      </w:r>
    </w:p>
    <w:p>
      <w:pPr>
        <w:spacing w:after="0" w:line="161" w:lineRule="exact"/>
        <w:rPr>
          <w:rFonts w:ascii="Arial" w:cs="Arial" w:eastAsia="Arial" w:hAnsi="Arial"/>
          <w:sz w:val="19"/>
          <w:szCs w:val="19"/>
          <w:color w:val="auto"/>
        </w:rPr>
      </w:pPr>
    </w:p>
    <w:p>
      <w:pPr>
        <w:jc w:val="both"/>
        <w:ind w:right="20" w:firstLine="1128"/>
        <w:spacing w:after="0" w:line="244" w:lineRule="auto"/>
        <w:tabs>
          <w:tab w:leader="none" w:pos="1928" w:val="left"/>
        </w:tabs>
        <w:numPr>
          <w:ilvl w:val="0"/>
          <w:numId w:val="74"/>
        </w:numPr>
        <w:rPr>
          <w:rFonts w:ascii="Arial" w:cs="Arial" w:eastAsia="Arial" w:hAnsi="Arial"/>
          <w:sz w:val="19"/>
          <w:szCs w:val="19"/>
          <w:color w:val="auto"/>
        </w:rPr>
      </w:pPr>
      <w:r>
        <w:rPr>
          <w:rFonts w:ascii="Arial" w:cs="Arial" w:eastAsia="Arial" w:hAnsi="Arial"/>
          <w:sz w:val="19"/>
          <w:szCs w:val="19"/>
          <w:color w:val="auto"/>
        </w:rPr>
        <w:t>Except as set forth on Schedule 5.10(l), to the knowledge of Borrower (i) there is no, nor has there been any, infringement or violation by any Person of any of the Company IP or the rights therein, and (ii) there is no, nor has there been any, misappropriation by any Person of any of the Company IP or the subject matter thereof.</w:t>
      </w:r>
    </w:p>
    <w:p>
      <w:pPr>
        <w:spacing w:after="0" w:line="158" w:lineRule="exact"/>
        <w:rPr>
          <w:rFonts w:ascii="Arial" w:cs="Arial" w:eastAsia="Arial" w:hAnsi="Arial"/>
          <w:sz w:val="19"/>
          <w:szCs w:val="19"/>
          <w:color w:val="auto"/>
        </w:rPr>
      </w:pPr>
    </w:p>
    <w:p>
      <w:pPr>
        <w:jc w:val="both"/>
        <w:ind w:right="20" w:firstLine="1128"/>
        <w:spacing w:after="0" w:line="239" w:lineRule="auto"/>
        <w:tabs>
          <w:tab w:leader="none" w:pos="1913" w:val="left"/>
        </w:tabs>
        <w:numPr>
          <w:ilvl w:val="0"/>
          <w:numId w:val="74"/>
        </w:numPr>
        <w:rPr>
          <w:rFonts w:ascii="Arial" w:cs="Arial" w:eastAsia="Arial" w:hAnsi="Arial"/>
          <w:sz w:val="19"/>
          <w:szCs w:val="19"/>
          <w:color w:val="auto"/>
        </w:rPr>
      </w:pPr>
      <w:r>
        <w:rPr>
          <w:rFonts w:ascii="Arial" w:cs="Arial" w:eastAsia="Arial" w:hAnsi="Arial"/>
          <w:sz w:val="19"/>
          <w:szCs w:val="19"/>
          <w:color w:val="auto"/>
        </w:rPr>
        <w:t>The Borrower and each of its Subsidiaries has taken all commercially reasonable measures customary in the biopharmaceutical industry to protect the confidentiality and value of all trade secrets owned by the Borrower or any of its Subsidiaries or used or held for use by the Borrower or any of its Subsidiaries, in each case relating to the research, development, manufacture, production, use, commercialization, marketing, importing, storage, transport, offer for sale, distribution or sale of the Borrower Products.</w:t>
      </w:r>
    </w:p>
    <w:p>
      <w:pPr>
        <w:spacing w:after="0" w:line="161" w:lineRule="exact"/>
        <w:rPr>
          <w:rFonts w:ascii="Arial" w:cs="Arial" w:eastAsia="Arial" w:hAnsi="Arial"/>
          <w:sz w:val="19"/>
          <w:szCs w:val="19"/>
          <w:color w:val="auto"/>
        </w:rPr>
      </w:pPr>
    </w:p>
    <w:p>
      <w:pPr>
        <w:jc w:val="both"/>
        <w:ind w:firstLine="1128"/>
        <w:spacing w:after="0" w:line="265" w:lineRule="auto"/>
        <w:tabs>
          <w:tab w:leader="none" w:pos="1946" w:val="left"/>
        </w:tabs>
        <w:numPr>
          <w:ilvl w:val="0"/>
          <w:numId w:val="74"/>
        </w:numPr>
        <w:rPr>
          <w:rFonts w:ascii="Arial" w:cs="Arial" w:eastAsia="Arial" w:hAnsi="Arial"/>
          <w:sz w:val="18"/>
          <w:szCs w:val="18"/>
          <w:color w:val="auto"/>
        </w:rPr>
      </w:pPr>
      <w:r>
        <w:rPr>
          <w:rFonts w:ascii="Arial" w:cs="Arial" w:eastAsia="Arial" w:hAnsi="Arial"/>
          <w:sz w:val="18"/>
          <w:szCs w:val="18"/>
          <w:color w:val="auto"/>
        </w:rPr>
        <w:t>Except as set forth on Schedule 5.10(n), at the time of any shipment of Borrower Product in the United States occurring prior to the Closing Date, the units thereof so shipped complied with their relevant specifications and were manufactured in all material respects in accordance with current FDA Good Manufacturing Practices.</w:t>
      </w:r>
    </w:p>
    <w:p>
      <w:pPr>
        <w:spacing w:after="0" w:line="139" w:lineRule="exact"/>
        <w:rPr>
          <w:rFonts w:ascii="Arial" w:cs="Arial" w:eastAsia="Arial" w:hAnsi="Arial"/>
          <w:sz w:val="18"/>
          <w:szCs w:val="18"/>
          <w:color w:val="auto"/>
        </w:rPr>
      </w:pPr>
    </w:p>
    <w:p>
      <w:pPr>
        <w:jc w:val="both"/>
        <w:ind w:firstLine="1128"/>
        <w:spacing w:after="0" w:line="265" w:lineRule="auto"/>
        <w:tabs>
          <w:tab w:leader="none" w:pos="2030" w:val="left"/>
        </w:tabs>
        <w:numPr>
          <w:ilvl w:val="0"/>
          <w:numId w:val="74"/>
        </w:numPr>
        <w:rPr>
          <w:rFonts w:ascii="Arial" w:cs="Arial" w:eastAsia="Arial" w:hAnsi="Arial"/>
          <w:sz w:val="17"/>
          <w:szCs w:val="17"/>
          <w:color w:val="auto"/>
        </w:rPr>
      </w:pPr>
      <w:r>
        <w:rPr>
          <w:rFonts w:ascii="Arial" w:cs="Arial" w:eastAsia="Arial" w:hAnsi="Arial"/>
          <w:sz w:val="17"/>
          <w:szCs w:val="17"/>
          <w:color w:val="auto"/>
        </w:rPr>
        <w:t>Except as described on Schedule 5.10(o), Borrower has all material rights with respect to Intellectual Property necessary or material in the operation or conduct of Borrower’s business as currently conducted and proposed to be conducted by Borrower. Without limiting the generality of the foregoing, and in the case of Licenses, except for restrictions that are unenforceable under Division 9 of the UCC, Borrower has the right, to the extent required to operate Borrower’s business, to freely transfer, license or assign Intellectual Property necessary or material in the operation or conduct of Borrower’s business as currently conducted and proposed to be conducted by Borrower, without condition, restriction or payment of any kind (other than license payments in the ordinary course of business) to any third party, and Borrower owns or has the right to use, pursuant to valid licenses, all software development tools, library functions, compilers and all other third-party software and other items that are material to Borrower’s business and used in the design, development, promotion, sale, license, manufacture, import, export, use or distribution of Borrower Products that are material to Borrower’s business except customary covenants in inbound license agreements and equipment leases where Borrower is the licensee or lessee. Except as has been disclosed in the Perfection Certificate or pursuant to Section 7.1(d), Borrower is not a party to, nor is it bound by, any Restricted License.</w:t>
      </w:r>
    </w:p>
    <w:p>
      <w:pPr>
        <w:spacing w:after="0" w:line="145" w:lineRule="exact"/>
        <w:rPr>
          <w:sz w:val="20"/>
          <w:szCs w:val="20"/>
          <w:color w:val="auto"/>
        </w:rPr>
      </w:pPr>
    </w:p>
    <w:p>
      <w:pPr>
        <w:jc w:val="both"/>
        <w:ind w:right="20"/>
        <w:spacing w:after="0" w:line="239" w:lineRule="auto"/>
        <w:rPr>
          <w:sz w:val="20"/>
          <w:szCs w:val="20"/>
          <w:color w:val="auto"/>
        </w:rPr>
      </w:pPr>
      <w:r>
        <w:rPr>
          <w:rFonts w:ascii="Arial" w:cs="Arial" w:eastAsia="Arial" w:hAnsi="Arial"/>
          <w:sz w:val="19"/>
          <w:szCs w:val="19"/>
          <w:color w:val="auto"/>
        </w:rPr>
        <w:t>No material software or other materials used by Borrower or any of its Subsidiaries (or used in any Borrower Products or any Subsidiaries’ products) are subject to an open-source or similar license (including but not limited to the General Public License, Lesser General Public License, Mozilla Public License, or Affero License) (collectively, “Open Source Licenses”) in a manner that would cause such software or other materials to have to be (i) distributed to third parties at no charge or a minimal charge (royalty-free basis); (ii) licensed to third parties to modify, make derivative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307340</wp:posOffset>
            </wp:positionV>
            <wp:extent cx="6311265" cy="2222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940"/>
          </w:cols>
          <w:pgMar w:left="980" w:top="781" w:right="979" w:bottom="1440" w:gutter="0" w:footer="0" w:header="0"/>
        </w:sectPr>
      </w:pPr>
    </w:p>
    <w:bookmarkStart w:id="148" w:name="page149"/>
    <w:bookmarkEnd w:id="148"/>
    <w:p>
      <w:pPr>
        <w:ind w:right="20"/>
        <w:spacing w:after="0" w:line="256" w:lineRule="auto"/>
        <w:rPr>
          <w:sz w:val="20"/>
          <w:szCs w:val="20"/>
          <w:color w:val="auto"/>
        </w:rPr>
      </w:pPr>
      <w:r>
        <w:rPr>
          <w:rFonts w:ascii="Arial" w:cs="Arial" w:eastAsia="Arial" w:hAnsi="Arial"/>
          <w:sz w:val="19"/>
          <w:szCs w:val="19"/>
          <w:color w:val="auto"/>
        </w:rPr>
        <w:t>works based on, decompile, disassemble, or reverse engineer; or (iii) used in a manner that does could require disclosure or distribution in source code form.</w:t>
      </w:r>
    </w:p>
    <w:p>
      <w:pPr>
        <w:spacing w:after="0" w:line="147" w:lineRule="exact"/>
        <w:rPr>
          <w:sz w:val="20"/>
          <w:szCs w:val="20"/>
          <w:color w:val="auto"/>
        </w:rPr>
      </w:pPr>
    </w:p>
    <w:p>
      <w:pPr>
        <w:jc w:val="both"/>
        <w:ind w:left="500" w:firstLine="566"/>
        <w:spacing w:after="0" w:line="263" w:lineRule="auto"/>
        <w:rPr>
          <w:sz w:val="20"/>
          <w:szCs w:val="20"/>
          <w:color w:val="auto"/>
        </w:rPr>
      </w:pPr>
      <w:r>
        <w:rPr>
          <w:rFonts w:ascii="Arial" w:cs="Arial" w:eastAsia="Arial" w:hAnsi="Arial"/>
          <w:sz w:val="17"/>
          <w:szCs w:val="17"/>
          <w:color w:val="auto"/>
        </w:rPr>
        <w:t>5.11 Borrower Products. Except as described on Schedule 5.11 or in the most recently delivered Compliance Certificate in accordance with Section 7.1(d), no material Intellectual Property owned by Borrower or Borrower Product has been or is subject to any actual or, to the knowledge of Borrower, threatened in writing litigation, proceeding (including any proceeding in the United States Patent and Trademark Office or any corresponding foreign office or agency) or outstanding decree, order, judgment, settlement agreement or stipulation that restricts in any manner Borrower’s use, transfer or licensing thereof or that could reasonably be expected to affect the validity, use or enforceability thereof. Except as described in the most recently delivered Compliance Certificate in accordance with Section 7.1(d),there is no decree, order, judgment, agreement, stipulation, arbitral award or other provision entered into in connection with any litigation or proceeding that obligates Borrower to grant licenses or ownership interest in any future Intellectual Property related to the operation or conduct of the business of Borrower or Borrower Products. Except as described in the most recently delivered Compliance Certificate in accordance with Section 7.1(d), Borrower has not received any written notice or claim, or, to the knowledge of Borrower, oral notice or claim, challenging or questioning Borrower’s ownership in any Intellectual Property material to Borrower’s business (or written notice of any claim challenging or questioning the ownership in any licensed Intellectual Property material to Borrower’s business of the owner thereof) or suggesting that any third party has any claim of legal or beneficial ownership with respect thereto nor, to Borrower’s knowledge, is there a reasonable basis for any such claim. Neither Borrower’s use of its Intellectual Property material to Borrower’s business nor the production and sale of Borrower Products material to Borrower’s business infringes the Intellectual Property or other rights of others.</w:t>
      </w:r>
    </w:p>
    <w:p>
      <w:pPr>
        <w:spacing w:after="0" w:line="155" w:lineRule="exact"/>
        <w:rPr>
          <w:sz w:val="20"/>
          <w:szCs w:val="20"/>
          <w:color w:val="auto"/>
        </w:rPr>
      </w:pPr>
    </w:p>
    <w:p>
      <w:pPr>
        <w:jc w:val="both"/>
        <w:ind w:left="500" w:firstLine="566"/>
        <w:spacing w:after="0" w:line="238" w:lineRule="auto"/>
        <w:rPr>
          <w:sz w:val="20"/>
          <w:szCs w:val="20"/>
          <w:color w:val="auto"/>
        </w:rPr>
      </w:pPr>
      <w:r>
        <w:rPr>
          <w:rFonts w:ascii="Arial" w:cs="Arial" w:eastAsia="Arial" w:hAnsi="Arial"/>
          <w:sz w:val="19"/>
          <w:szCs w:val="19"/>
          <w:color w:val="auto"/>
        </w:rPr>
        <w:t>5.12 Financial Accounts. Exhibit D, as may be updated by the Borrower in a written notice provided to Agent after the Closing Date, is a true, correct and complete list of (a) all banks and other financial institutions at which Borrower or any Subsidiary maintains Deposit Accounts and (b) all institutions at which Borrower or any Subsidiary maintains an account holding Investment Property, and such exhibit correctly identifies the name, address and telephone number of each bank or other institution, the name in which the account is held, a description of the purpose of the account, and the complete account number therefor.</w:t>
      </w:r>
    </w:p>
    <w:p>
      <w:pPr>
        <w:spacing w:after="0" w:line="162" w:lineRule="exact"/>
        <w:rPr>
          <w:sz w:val="20"/>
          <w:szCs w:val="20"/>
          <w:color w:val="auto"/>
        </w:rPr>
      </w:pPr>
    </w:p>
    <w:p>
      <w:pPr>
        <w:jc w:val="both"/>
        <w:ind w:left="500" w:right="20" w:firstLine="566"/>
        <w:spacing w:after="0" w:line="244" w:lineRule="auto"/>
        <w:rPr>
          <w:sz w:val="20"/>
          <w:szCs w:val="20"/>
          <w:color w:val="auto"/>
        </w:rPr>
      </w:pPr>
      <w:r>
        <w:rPr>
          <w:rFonts w:ascii="Arial" w:cs="Arial" w:eastAsia="Arial" w:hAnsi="Arial"/>
          <w:sz w:val="19"/>
          <w:szCs w:val="19"/>
          <w:color w:val="auto"/>
        </w:rPr>
        <w:t>5.13 Employee Loans. Except for Permitted Investments, Borrower has no outstanding loans to any employee, officer or director of the Borrower nor has Borrower guaranteed the payment of any loan made to an employee, officer or director of the Borrower by a third party.</w:t>
      </w:r>
    </w:p>
    <w:p>
      <w:pPr>
        <w:spacing w:after="0" w:line="159" w:lineRule="exact"/>
        <w:rPr>
          <w:sz w:val="20"/>
          <w:szCs w:val="20"/>
          <w:color w:val="auto"/>
        </w:rPr>
      </w:pPr>
    </w:p>
    <w:p>
      <w:pPr>
        <w:jc w:val="both"/>
        <w:ind w:left="500" w:right="20" w:firstLine="566"/>
        <w:spacing w:after="0" w:line="244" w:lineRule="auto"/>
        <w:rPr>
          <w:sz w:val="20"/>
          <w:szCs w:val="20"/>
          <w:color w:val="auto"/>
        </w:rPr>
      </w:pPr>
      <w:r>
        <w:rPr>
          <w:rFonts w:ascii="Arial" w:cs="Arial" w:eastAsia="Arial" w:hAnsi="Arial"/>
          <w:sz w:val="19"/>
          <w:szCs w:val="19"/>
          <w:color w:val="auto"/>
        </w:rPr>
        <w:t>5.14 Capitalization and Subsidiaries. Borrower’s capitalization as of the Closing Date is set forth on Schedule 5.14 annexed hereto. Borrower does not own any stock, partnership interest or other securities of any Person, except for Permitted Investments.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307340</wp:posOffset>
            </wp:positionV>
            <wp:extent cx="6311265" cy="2222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940"/>
          </w:cols>
          <w:pgMar w:left="980" w:top="781" w:right="979" w:bottom="1440" w:gutter="0" w:footer="0" w:header="0"/>
        </w:sectPr>
      </w:pPr>
    </w:p>
    <w:bookmarkStart w:id="149" w:name="page150"/>
    <w:bookmarkEnd w:id="149"/>
    <w:p>
      <w:pPr>
        <w:jc w:val="both"/>
        <w:ind w:left="40" w:right="20"/>
        <w:spacing w:after="0" w:line="256" w:lineRule="auto"/>
        <w:rPr>
          <w:sz w:val="20"/>
          <w:szCs w:val="20"/>
          <w:color w:val="auto"/>
        </w:rPr>
      </w:pPr>
      <w:r>
        <w:rPr>
          <w:rFonts w:ascii="Arial" w:cs="Arial" w:eastAsia="Arial" w:hAnsi="Arial"/>
          <w:sz w:val="19"/>
          <w:szCs w:val="19"/>
          <w:color w:val="auto"/>
        </w:rPr>
        <w:t>Attached as Schedule 5.14, as may be updated by Borrower in a written notice provided after the Closing Date, is a true, correct and complete list of each Subsidiary.</w:t>
      </w:r>
    </w:p>
    <w:p>
      <w:pPr>
        <w:spacing w:after="0" w:line="141" w:lineRule="exact"/>
        <w:rPr>
          <w:sz w:val="20"/>
          <w:szCs w:val="20"/>
          <w:color w:val="auto"/>
        </w:rPr>
      </w:pPr>
    </w:p>
    <w:p>
      <w:pPr>
        <w:ind w:left="2420"/>
        <w:spacing w:after="0"/>
        <w:rPr>
          <w:sz w:val="20"/>
          <w:szCs w:val="20"/>
          <w:color w:val="auto"/>
        </w:rPr>
      </w:pPr>
      <w:r>
        <w:rPr>
          <w:rFonts w:ascii="Arial" w:cs="Arial" w:eastAsia="Arial" w:hAnsi="Arial"/>
          <w:sz w:val="19"/>
          <w:szCs w:val="19"/>
          <w:b w:val="1"/>
          <w:bCs w:val="1"/>
          <w:color w:val="auto"/>
        </w:rPr>
        <w:t xml:space="preserve">SECTION 6. </w:t>
      </w:r>
      <w:r>
        <w:rPr>
          <w:rFonts w:ascii="Arial" w:cs="Arial" w:eastAsia="Arial" w:hAnsi="Arial"/>
          <w:sz w:val="19"/>
          <w:szCs w:val="19"/>
          <w:b w:val="1"/>
          <w:bCs w:val="1"/>
          <w:u w:val="single" w:color="auto"/>
          <w:color w:val="auto"/>
        </w:rPr>
        <w:t>INSURANCE; INDEMNIFICATION</w:t>
      </w:r>
    </w:p>
    <w:p>
      <w:pPr>
        <w:spacing w:after="0" w:line="188" w:lineRule="exact"/>
        <w:rPr>
          <w:sz w:val="20"/>
          <w:szCs w:val="20"/>
          <w:color w:val="auto"/>
        </w:rPr>
      </w:pPr>
    </w:p>
    <w:p>
      <w:pPr>
        <w:jc w:val="both"/>
        <w:ind w:left="40" w:firstLine="566"/>
        <w:spacing w:after="0" w:line="263" w:lineRule="auto"/>
        <w:rPr>
          <w:sz w:val="20"/>
          <w:szCs w:val="20"/>
          <w:color w:val="auto"/>
        </w:rPr>
      </w:pPr>
      <w:r>
        <w:rPr>
          <w:rFonts w:ascii="Arial" w:cs="Arial" w:eastAsia="Arial" w:hAnsi="Arial"/>
          <w:sz w:val="17"/>
          <w:szCs w:val="17"/>
          <w:color w:val="auto"/>
        </w:rPr>
        <w:t>6.1 Coverage. Borrower shall cause to be carried and maintained commercial general liability insurance, on an occurrence form, against risks customarily insured against in Borrower’s line of business. Such risks shall include the risks of bodily injury, including death, property damage, personal injury, advertising injury, and contractual liability per the terms of the indemnification agreement found in Section 6.3. Borrower must maintain a minimum of $2,000,000 of commercial general liability insurance for each occurrence. Borrower has and agrees to maintain a minimum of $2,000,000 of directors’ and officers’ insurance for each occurrence and $5,000,000 in the aggregate. So long as there are any Secured Obligations (other than inchoate indemnity obligations and other obligations which are expressly stated to survive termination of this Agreement) outstanding, Borrower shall also cause to be carried and maintained insurance upon the Collateral, insuring against all risks of physical loss or damage howsoever caused, in an amount not less than the full replacement cost of the Collateral; provided that such insurance may be subject to standard exceptions and deductibles. If Borrower fails to obtain the insurance called for by this Section 6.1 or fails to pay any premium thereon or fails to pay any other amount which Borrower is obligated to pay under this Agreement or any other Loan Document or which may be required to preserve the Collateral, Agent may obtain such insurance or make such payment, and all amounts so paid by Agent are immediately due and payable, bearing interest at the then highest rate applicable to the Secured Obligations, and secured by the Collateral. Agent will make reasonable efforts to provide Borrower with notice of Agent obtaining such insurance at the time it is obtained or within a reasonable time thereafter. No payments by Agent are deemed an agreement to make similar payments in the future or Agent’s waiver of any Event of Default.</w:t>
      </w:r>
    </w:p>
    <w:p>
      <w:pPr>
        <w:spacing w:after="0" w:line="155" w:lineRule="exact"/>
        <w:rPr>
          <w:sz w:val="20"/>
          <w:szCs w:val="20"/>
          <w:color w:val="auto"/>
        </w:rPr>
      </w:pPr>
    </w:p>
    <w:p>
      <w:pPr>
        <w:jc w:val="both"/>
        <w:ind w:left="40" w:firstLine="566"/>
        <w:spacing w:after="0" w:line="265" w:lineRule="auto"/>
        <w:rPr>
          <w:sz w:val="20"/>
          <w:szCs w:val="20"/>
          <w:color w:val="auto"/>
        </w:rPr>
      </w:pPr>
      <w:r>
        <w:rPr>
          <w:rFonts w:ascii="Arial" w:cs="Arial" w:eastAsia="Arial" w:hAnsi="Arial"/>
          <w:sz w:val="17"/>
          <w:szCs w:val="17"/>
          <w:color w:val="auto"/>
        </w:rPr>
        <w:t>6.2 Certificates. Borrower shall deliver to Agent certificates of insurance that evidence Borrower’s compliance with its insurance obligations in Section 6.1 and the obligations contained in this Section 6.2. Borrower’s insurance certificate shall state Agent (shown as “Hercules Capital, Inc., as Agent”) is an additional insured for commercial general liability, a lenders loss payable for all risk property damage insurance, subject to the insurer’s approval, and a lenders loss payable for property insurance and additional insured for liability insurance for any future insurance that Borrower may acquire from such insurer. Attached to the certificates of insurance will be additional insured endorsements for liability and lender’s loss payable endorsements for all risk property damage insurance. All certificates of insurance will provide for a minimum of thirty (30) days advance written notice to Agent of cancellation (other than cancellation for non-payment of premiums, for which ten (10) days’ advance written notice shall be sufficient) or any other change adverse to Agent’s interests. Any failure of Agent to scrutinize such insurance certificates for compliance is not a waiver of any of Agent’s rights, all of which are reserved. Borrower shall provide Agent with copies of each insurance policy, and upon entering or amending any insurance policy required hereunder, Borrower shall provide Agent with copies of such</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460"/>
        <w:spacing w:after="0"/>
        <w:rPr>
          <w:sz w:val="20"/>
          <w:szCs w:val="20"/>
          <w:color w:val="auto"/>
        </w:rPr>
      </w:pPr>
      <w:r>
        <w:rPr>
          <w:rFonts w:ascii="Arial" w:cs="Arial" w:eastAsia="Arial" w:hAnsi="Arial"/>
          <w:sz w:val="19"/>
          <w:szCs w:val="19"/>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307340</wp:posOffset>
            </wp:positionV>
            <wp:extent cx="6311265" cy="2222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480"/>
          </w:cols>
          <w:pgMar w:left="1440" w:top="781" w:right="979" w:bottom="1440" w:gutter="0" w:footer="0" w:header="0"/>
        </w:sectPr>
      </w:pPr>
    </w:p>
    <w:bookmarkStart w:id="150" w:name="page151"/>
    <w:bookmarkEnd w:id="150"/>
    <w:p>
      <w:pPr>
        <w:ind w:left="40"/>
        <w:spacing w:after="0"/>
        <w:rPr>
          <w:sz w:val="20"/>
          <w:szCs w:val="20"/>
          <w:color w:val="auto"/>
        </w:rPr>
      </w:pPr>
      <w:r>
        <w:rPr>
          <w:rFonts w:ascii="Arial" w:cs="Arial" w:eastAsia="Arial" w:hAnsi="Arial"/>
          <w:sz w:val="19"/>
          <w:szCs w:val="19"/>
          <w:color w:val="auto"/>
        </w:rPr>
        <w:t>policies and shall promptly deliver to Agent updated insurance certificates with respect to such policies.</w:t>
      </w:r>
    </w:p>
    <w:p>
      <w:pPr>
        <w:spacing w:after="0" w:line="182" w:lineRule="exact"/>
        <w:rPr>
          <w:sz w:val="20"/>
          <w:szCs w:val="20"/>
          <w:color w:val="auto"/>
        </w:rPr>
      </w:pPr>
    </w:p>
    <w:p>
      <w:pPr>
        <w:jc w:val="both"/>
        <w:ind w:left="40" w:firstLine="566"/>
        <w:spacing w:after="0" w:line="248" w:lineRule="auto"/>
        <w:rPr>
          <w:sz w:val="20"/>
          <w:szCs w:val="20"/>
          <w:color w:val="auto"/>
        </w:rPr>
      </w:pPr>
      <w:r>
        <w:rPr>
          <w:rFonts w:ascii="Arial" w:cs="Arial" w:eastAsia="Arial" w:hAnsi="Arial"/>
          <w:sz w:val="18"/>
          <w:szCs w:val="18"/>
          <w:color w:val="auto"/>
        </w:rPr>
        <w:t>6.3 Indemnity. Borrower agrees to indemnify and hold Agent, the Lenders and their officers, directors, employees, agents, in-house attorneys, representatives and shareholders (each, an “Indemnified Person”) harmless from and against any and all claims, costs, expenses, damages and liabilities (including such claims, costs, expenses, damages and liabilities based on liability in tort, including strict liability in tort), including reasonable, documented, out-of-pocket attorneys’ fees and disbursements and other costs of investigation or defense (including those incurred upon any appeal) (collectively, “Liabilities”), that may be instituted or asserted against or incurred by such Indemnified Person as the result of credit having been extended, suspended or terminated under this Agreement and the other Loan Documents or the administration of such credit, or in connection with or arising out of the transactions contemplated hereunder and thereunder, or any actions or failures to act in connection therewith, or arising out of the disposition or utilization of the Collateral, excluding in all cases Liabilities to the extent resulting solely from any Indemnified Person’s gross negligence or willful misconduct. This Section 6.3 shall not apply with respect to Taxes other than any Taxes that represent losses, claims, damages, etc. arising from any non-Tax claim. In no event shall any Indemnified Person be liable on any theory of liability for any special, indirect, consequential or punitive damages (including any loss of profits, business or anticipated savings). This Section 6.3 shall survive the repayment of indebtedness under, and otherwise shall survive the expiration or other termination of, this Agreement.</w:t>
      </w:r>
    </w:p>
    <w:p>
      <w:pPr>
        <w:spacing w:after="0" w:line="158" w:lineRule="exact"/>
        <w:rPr>
          <w:sz w:val="20"/>
          <w:szCs w:val="20"/>
          <w:color w:val="auto"/>
        </w:rPr>
      </w:pPr>
    </w:p>
    <w:p>
      <w:pPr>
        <w:ind w:left="2600"/>
        <w:spacing w:after="0"/>
        <w:rPr>
          <w:sz w:val="20"/>
          <w:szCs w:val="20"/>
          <w:color w:val="auto"/>
        </w:rPr>
      </w:pPr>
      <w:r>
        <w:rPr>
          <w:rFonts w:ascii="Arial" w:cs="Arial" w:eastAsia="Arial" w:hAnsi="Arial"/>
          <w:sz w:val="19"/>
          <w:szCs w:val="19"/>
          <w:b w:val="1"/>
          <w:bCs w:val="1"/>
          <w:color w:val="auto"/>
        </w:rPr>
        <w:t xml:space="preserve">SECTION 7. </w:t>
      </w:r>
      <w:r>
        <w:rPr>
          <w:rFonts w:ascii="Arial" w:cs="Arial" w:eastAsia="Arial" w:hAnsi="Arial"/>
          <w:sz w:val="19"/>
          <w:szCs w:val="19"/>
          <w:b w:val="1"/>
          <w:bCs w:val="1"/>
          <w:u w:val="single" w:color="auto"/>
          <w:color w:val="auto"/>
        </w:rPr>
        <w:t>COVENANTS OF BORROWER</w:t>
      </w:r>
    </w:p>
    <w:p>
      <w:pPr>
        <w:spacing w:after="0" w:line="188" w:lineRule="exact"/>
        <w:rPr>
          <w:sz w:val="20"/>
          <w:szCs w:val="20"/>
          <w:color w:val="auto"/>
        </w:rPr>
      </w:pPr>
    </w:p>
    <w:p>
      <w:pPr>
        <w:ind w:left="100"/>
        <w:spacing w:after="0"/>
        <w:rPr>
          <w:sz w:val="20"/>
          <w:szCs w:val="20"/>
          <w:color w:val="auto"/>
        </w:rPr>
      </w:pPr>
      <w:r>
        <w:rPr>
          <w:rFonts w:ascii="Arial" w:cs="Arial" w:eastAsia="Arial" w:hAnsi="Arial"/>
          <w:sz w:val="19"/>
          <w:szCs w:val="19"/>
          <w:color w:val="auto"/>
        </w:rPr>
        <w:t>Borrower agrees as follows:</w:t>
      </w:r>
    </w:p>
    <w:p>
      <w:pPr>
        <w:spacing w:after="0" w:line="182" w:lineRule="exact"/>
        <w:rPr>
          <w:sz w:val="20"/>
          <w:szCs w:val="20"/>
          <w:color w:val="auto"/>
        </w:rPr>
      </w:pPr>
    </w:p>
    <w:p>
      <w:pPr>
        <w:jc w:val="both"/>
        <w:ind w:left="40" w:right="20" w:firstLine="566"/>
        <w:spacing w:after="0" w:line="256" w:lineRule="auto"/>
        <w:rPr>
          <w:sz w:val="20"/>
          <w:szCs w:val="20"/>
          <w:color w:val="auto"/>
        </w:rPr>
      </w:pPr>
      <w:r>
        <w:rPr>
          <w:rFonts w:ascii="Arial" w:cs="Arial" w:eastAsia="Arial" w:hAnsi="Arial"/>
          <w:sz w:val="19"/>
          <w:szCs w:val="19"/>
          <w:color w:val="auto"/>
        </w:rPr>
        <w:t>7.1 Financial Reports. Borrower shall furnish to Agent the financial statements and reports listed hereinafter (the “Financial Statements”):</w:t>
      </w:r>
    </w:p>
    <w:p>
      <w:pPr>
        <w:spacing w:after="0" w:line="147" w:lineRule="exact"/>
        <w:rPr>
          <w:sz w:val="20"/>
          <w:szCs w:val="20"/>
          <w:color w:val="auto"/>
        </w:rPr>
      </w:pPr>
    </w:p>
    <w:p>
      <w:pPr>
        <w:jc w:val="both"/>
        <w:ind w:left="100" w:firstLine="615"/>
        <w:spacing w:after="0" w:line="250" w:lineRule="auto"/>
        <w:tabs>
          <w:tab w:leader="none" w:pos="1473" w:val="left"/>
        </w:tabs>
        <w:numPr>
          <w:ilvl w:val="1"/>
          <w:numId w:val="75"/>
        </w:numPr>
        <w:rPr>
          <w:rFonts w:ascii="Arial" w:cs="Arial" w:eastAsia="Arial" w:hAnsi="Arial"/>
          <w:sz w:val="18"/>
          <w:szCs w:val="18"/>
          <w:color w:val="auto"/>
        </w:rPr>
      </w:pPr>
      <w:r>
        <w:rPr>
          <w:rFonts w:ascii="Arial" w:cs="Arial" w:eastAsia="Arial" w:hAnsi="Arial"/>
          <w:sz w:val="18"/>
          <w:szCs w:val="18"/>
          <w:color w:val="auto"/>
        </w:rPr>
        <w:t>as soon as practicable (and in any event within thirty (30) days) unless extended by Agent in connection with quarter-end closes) after the end of each month, unaudited interim and year-to-date financial statements as of the end of such month (prepared on a consolidated and consolidating basis, if applicable), including balance sheet and related statements of income and cash flows accompanied by a report detailing any material contingencies (including the commencement of any material litigation by or against Borrower) or any other occurrence that could reasonably be expected to have a Material Adverse Effect, all certified by Borrower’s Chief Executive Officer or Chief Financial Officer to the effect that they have been prepared in accordance with GAAP, except (i) for the absence of footnotes, (ii) that they are subject to normal year-end adjustments, and (iii) they do not contain certain non-cash items that are customarily included in quarterly and annual financial statements;</w:t>
      </w:r>
    </w:p>
    <w:p>
      <w:pPr>
        <w:spacing w:after="0" w:line="158" w:lineRule="exact"/>
        <w:rPr>
          <w:rFonts w:ascii="Arial" w:cs="Arial" w:eastAsia="Arial" w:hAnsi="Arial"/>
          <w:sz w:val="18"/>
          <w:szCs w:val="18"/>
          <w:color w:val="auto"/>
        </w:rPr>
      </w:pPr>
    </w:p>
    <w:p>
      <w:pPr>
        <w:jc w:val="both"/>
        <w:ind w:left="100" w:firstLine="568"/>
        <w:spacing w:after="0" w:line="244" w:lineRule="auto"/>
        <w:tabs>
          <w:tab w:leader="none" w:pos="1395" w:val="left"/>
        </w:tabs>
        <w:numPr>
          <w:ilvl w:val="0"/>
          <w:numId w:val="76"/>
        </w:numPr>
        <w:rPr>
          <w:rFonts w:ascii="Arial" w:cs="Arial" w:eastAsia="Arial" w:hAnsi="Arial"/>
          <w:sz w:val="19"/>
          <w:szCs w:val="19"/>
          <w:color w:val="auto"/>
        </w:rPr>
      </w:pPr>
      <w:r>
        <w:rPr>
          <w:rFonts w:ascii="Arial" w:cs="Arial" w:eastAsia="Arial" w:hAnsi="Arial"/>
          <w:sz w:val="19"/>
          <w:szCs w:val="19"/>
          <w:color w:val="auto"/>
        </w:rPr>
        <w:t>as soon as practicable (and in any event within forty-five (45) days) after the end of each calendar quarter, unaudited interim and year-to-date financial statements as of the end of such calendar quarter (prepared on a consolidated and consolidating basis,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460"/>
        <w:spacing w:after="0"/>
        <w:rPr>
          <w:sz w:val="20"/>
          <w:szCs w:val="20"/>
          <w:color w:val="auto"/>
        </w:rPr>
      </w:pPr>
      <w:r>
        <w:rPr>
          <w:rFonts w:ascii="Arial" w:cs="Arial" w:eastAsia="Arial" w:hAnsi="Arial"/>
          <w:sz w:val="19"/>
          <w:szCs w:val="19"/>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307340</wp:posOffset>
            </wp:positionV>
            <wp:extent cx="6311265" cy="2222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480"/>
          </w:cols>
          <w:pgMar w:left="1440" w:top="781" w:right="979" w:bottom="1440" w:gutter="0" w:footer="0" w:header="0"/>
        </w:sectPr>
      </w:pPr>
    </w:p>
    <w:bookmarkStart w:id="151" w:name="page152"/>
    <w:bookmarkEnd w:id="151"/>
    <w:p>
      <w:pPr>
        <w:jc w:val="both"/>
        <w:ind w:left="140" w:right="20"/>
        <w:spacing w:after="0" w:line="255" w:lineRule="auto"/>
        <w:rPr>
          <w:sz w:val="20"/>
          <w:szCs w:val="20"/>
          <w:color w:val="auto"/>
        </w:rPr>
      </w:pPr>
      <w:r>
        <w:rPr>
          <w:rFonts w:ascii="Arial" w:cs="Arial" w:eastAsia="Arial" w:hAnsi="Arial"/>
          <w:sz w:val="18"/>
          <w:szCs w:val="18"/>
          <w:color w:val="auto"/>
        </w:rPr>
        <w:t>if applicable), including balance sheet and related statements of income and cash flows accompanied by a report detailing any material contingencies (including the commencement of any material litigation by or against Borrower) or any other occurrence that could reasonably be expected to have a Material Adverse Effect, certified by Borrower’s Chief Executive Officer or Chief Financial Officer to the effect that they have been prepared in accordance with GAAP, except (i) for the absence of footnotes, and (ii) that they are subject to normal year-end adjustments;</w:t>
      </w:r>
    </w:p>
    <w:p>
      <w:pPr>
        <w:spacing w:after="0" w:line="150" w:lineRule="exact"/>
        <w:rPr>
          <w:sz w:val="20"/>
          <w:szCs w:val="20"/>
          <w:color w:val="auto"/>
        </w:rPr>
      </w:pPr>
    </w:p>
    <w:p>
      <w:pPr>
        <w:jc w:val="both"/>
        <w:ind w:left="140" w:firstLine="568"/>
        <w:spacing w:after="0" w:line="274" w:lineRule="auto"/>
        <w:tabs>
          <w:tab w:leader="none" w:pos="1673" w:val="left"/>
        </w:tabs>
        <w:numPr>
          <w:ilvl w:val="0"/>
          <w:numId w:val="77"/>
        </w:numPr>
        <w:rPr>
          <w:rFonts w:ascii="Arial" w:cs="Arial" w:eastAsia="Arial" w:hAnsi="Arial"/>
          <w:sz w:val="17"/>
          <w:szCs w:val="17"/>
          <w:color w:val="auto"/>
        </w:rPr>
      </w:pPr>
      <w:r>
        <w:rPr>
          <w:rFonts w:ascii="Arial" w:cs="Arial" w:eastAsia="Arial" w:hAnsi="Arial"/>
          <w:sz w:val="17"/>
          <w:szCs w:val="17"/>
          <w:color w:val="auto"/>
        </w:rPr>
        <w:t>as soon as practicable (and in any event within ninety (90) days) after the end of each fiscal year, unqualified audited financial statements as of the end of such year (prepared on a consolidated and consolidating basis, if applicable), including balance sheet and related statements of income and cash flows, and setting forth in comparative form the corresponding figures for the preceding fiscal year, certified by a firm of independent certified public accountants selected by Borrower and reasonably acceptable to Agent, accompanied by any management report from such accountants;</w:t>
      </w:r>
    </w:p>
    <w:p>
      <w:pPr>
        <w:spacing w:after="0" w:line="133" w:lineRule="exact"/>
        <w:rPr>
          <w:rFonts w:ascii="Arial" w:cs="Arial" w:eastAsia="Arial" w:hAnsi="Arial"/>
          <w:sz w:val="17"/>
          <w:szCs w:val="17"/>
          <w:color w:val="auto"/>
        </w:rPr>
      </w:pPr>
    </w:p>
    <w:p>
      <w:pPr>
        <w:ind w:left="140" w:right="20" w:firstLine="568"/>
        <w:spacing w:after="0" w:line="284" w:lineRule="auto"/>
        <w:tabs>
          <w:tab w:leader="none" w:pos="1515" w:val="left"/>
        </w:tabs>
        <w:numPr>
          <w:ilvl w:val="0"/>
          <w:numId w:val="77"/>
        </w:numPr>
        <w:rPr>
          <w:rFonts w:ascii="Arial" w:cs="Arial" w:eastAsia="Arial" w:hAnsi="Arial"/>
          <w:sz w:val="18"/>
          <w:szCs w:val="18"/>
          <w:color w:val="auto"/>
        </w:rPr>
      </w:pPr>
      <w:r>
        <w:rPr>
          <w:rFonts w:ascii="Arial" w:cs="Arial" w:eastAsia="Arial" w:hAnsi="Arial"/>
          <w:sz w:val="18"/>
          <w:szCs w:val="18"/>
          <w:color w:val="auto"/>
        </w:rPr>
        <w:t>as soon as practicable (and in any event within thirty (30) days unless extended by Agent in connection with quarter-end closes) after the end of each month, a Compliance Certificate in the form of Exhibit E;</w:t>
      </w:r>
    </w:p>
    <w:p>
      <w:pPr>
        <w:spacing w:after="0" w:line="123" w:lineRule="exact"/>
        <w:rPr>
          <w:rFonts w:ascii="Arial" w:cs="Arial" w:eastAsia="Arial" w:hAnsi="Arial"/>
          <w:sz w:val="18"/>
          <w:szCs w:val="18"/>
          <w:color w:val="auto"/>
        </w:rPr>
      </w:pPr>
    </w:p>
    <w:p>
      <w:pPr>
        <w:ind w:left="140" w:right="20" w:firstLine="568"/>
        <w:spacing w:after="0" w:line="315" w:lineRule="auto"/>
        <w:tabs>
          <w:tab w:leader="none" w:pos="1509" w:val="left"/>
        </w:tabs>
        <w:numPr>
          <w:ilvl w:val="0"/>
          <w:numId w:val="77"/>
        </w:numPr>
        <w:rPr>
          <w:rFonts w:ascii="Arial" w:cs="Arial" w:eastAsia="Arial" w:hAnsi="Arial"/>
          <w:sz w:val="17"/>
          <w:szCs w:val="17"/>
          <w:color w:val="auto"/>
        </w:rPr>
      </w:pPr>
      <w:r>
        <w:rPr>
          <w:rFonts w:ascii="Arial" w:cs="Arial" w:eastAsia="Arial" w:hAnsi="Arial"/>
          <w:sz w:val="17"/>
          <w:szCs w:val="17"/>
          <w:color w:val="auto"/>
        </w:rPr>
        <w:t>as soon as practicable (and in any event within thirty (30) days unless extended by Agent in connection with quarter-end closes) after the end of each month, a report showing agings of accounts receivable and accounts payable;</w:t>
      </w:r>
    </w:p>
    <w:p>
      <w:pPr>
        <w:spacing w:after="0" w:line="99" w:lineRule="exact"/>
        <w:rPr>
          <w:rFonts w:ascii="Arial" w:cs="Arial" w:eastAsia="Arial" w:hAnsi="Arial"/>
          <w:sz w:val="17"/>
          <w:szCs w:val="17"/>
          <w:color w:val="auto"/>
        </w:rPr>
      </w:pPr>
    </w:p>
    <w:p>
      <w:pPr>
        <w:jc w:val="both"/>
        <w:ind w:left="140" w:right="20" w:firstLine="568"/>
        <w:spacing w:after="0" w:line="239" w:lineRule="auto"/>
        <w:tabs>
          <w:tab w:leader="none" w:pos="1493" w:val="left"/>
        </w:tabs>
        <w:numPr>
          <w:ilvl w:val="0"/>
          <w:numId w:val="77"/>
        </w:numPr>
        <w:rPr>
          <w:rFonts w:ascii="Arial" w:cs="Arial" w:eastAsia="Arial" w:hAnsi="Arial"/>
          <w:sz w:val="19"/>
          <w:szCs w:val="19"/>
          <w:color w:val="auto"/>
        </w:rPr>
      </w:pPr>
      <w:r>
        <w:rPr>
          <w:rFonts w:ascii="Arial" w:cs="Arial" w:eastAsia="Arial" w:hAnsi="Arial"/>
          <w:sz w:val="19"/>
          <w:szCs w:val="19"/>
          <w:color w:val="auto"/>
        </w:rPr>
        <w:t>promptly and in any event within 5 days after the sending or filing thereof, as the case may be, copies of any proxy statements, financial statements or reports that Borrower has made generally available to holders of its Common Stock and copies of any regular, periodic and special reports or registration statements that Borrower files with the Securities and Exchange Commission or any governmental authority that may be substituted therefor, or any national securities exchange;</w:t>
      </w:r>
    </w:p>
    <w:p>
      <w:pPr>
        <w:spacing w:after="0" w:line="161" w:lineRule="exact"/>
        <w:rPr>
          <w:rFonts w:ascii="Arial" w:cs="Arial" w:eastAsia="Arial" w:hAnsi="Arial"/>
          <w:sz w:val="19"/>
          <w:szCs w:val="19"/>
          <w:color w:val="auto"/>
        </w:rPr>
      </w:pPr>
    </w:p>
    <w:p>
      <w:pPr>
        <w:ind w:left="1440" w:hanging="685"/>
        <w:spacing w:after="0"/>
        <w:tabs>
          <w:tab w:leader="none" w:pos="1440" w:val="left"/>
        </w:tabs>
        <w:numPr>
          <w:ilvl w:val="1"/>
          <w:numId w:val="77"/>
        </w:numPr>
        <w:rPr>
          <w:rFonts w:ascii="Arial" w:cs="Arial" w:eastAsia="Arial" w:hAnsi="Arial"/>
          <w:sz w:val="19"/>
          <w:szCs w:val="19"/>
          <w:color w:val="auto"/>
        </w:rPr>
      </w:pPr>
      <w:r>
        <w:rPr>
          <w:rFonts w:ascii="Arial" w:cs="Arial" w:eastAsia="Arial" w:hAnsi="Arial"/>
          <w:sz w:val="19"/>
          <w:szCs w:val="19"/>
          <w:color w:val="auto"/>
        </w:rPr>
        <w:t>[Rerserved];</w:t>
      </w:r>
    </w:p>
    <w:p>
      <w:pPr>
        <w:spacing w:after="0" w:line="182" w:lineRule="exact"/>
        <w:rPr>
          <w:sz w:val="20"/>
          <w:szCs w:val="20"/>
          <w:color w:val="auto"/>
        </w:rPr>
      </w:pPr>
    </w:p>
    <w:p>
      <w:pPr>
        <w:jc w:val="both"/>
        <w:ind w:left="140" w:firstLine="568"/>
        <w:spacing w:after="0" w:line="244" w:lineRule="auto"/>
        <w:tabs>
          <w:tab w:leader="none" w:pos="1418" w:val="left"/>
        </w:tabs>
        <w:numPr>
          <w:ilvl w:val="0"/>
          <w:numId w:val="78"/>
        </w:numPr>
        <w:rPr>
          <w:rFonts w:ascii="Arial" w:cs="Arial" w:eastAsia="Arial" w:hAnsi="Arial"/>
          <w:sz w:val="19"/>
          <w:szCs w:val="19"/>
          <w:color w:val="auto"/>
        </w:rPr>
      </w:pPr>
      <w:r>
        <w:rPr>
          <w:rFonts w:ascii="Arial" w:cs="Arial" w:eastAsia="Arial" w:hAnsi="Arial"/>
          <w:sz w:val="19"/>
          <w:szCs w:val="19"/>
          <w:color w:val="auto"/>
        </w:rPr>
        <w:t>financial and business projections promptly following their approval by Borrower’s board of directors, and in any event, within sixty (60) days after the end of Borrower’s fiscal year, as well as budgets, operating plans and other financial information reasonably requested by Agent; and</w:t>
      </w:r>
    </w:p>
    <w:p>
      <w:pPr>
        <w:spacing w:after="0" w:line="158" w:lineRule="exact"/>
        <w:rPr>
          <w:rFonts w:ascii="Arial" w:cs="Arial" w:eastAsia="Arial" w:hAnsi="Arial"/>
          <w:sz w:val="19"/>
          <w:szCs w:val="19"/>
          <w:color w:val="auto"/>
        </w:rPr>
      </w:pPr>
    </w:p>
    <w:p>
      <w:pPr>
        <w:jc w:val="both"/>
        <w:ind w:left="140" w:firstLine="568"/>
        <w:spacing w:after="0" w:line="265" w:lineRule="auto"/>
        <w:tabs>
          <w:tab w:leader="none" w:pos="1472"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prompt notice if Borrower or any Subsidiary has knowledge that Borrower, or any Subsidiary or Affiliate of Borrower, is listed on the OFAC Lists or (a) is convicted on, (b) pleads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to, (c) is indicted on, or (d) is arraigned and held over on charges involving money laundering or predicate crimes to money laundering.</w:t>
      </w:r>
    </w:p>
    <w:p>
      <w:pPr>
        <w:spacing w:after="0" w:line="140"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Borrower shall not (without the consent of Agent, such consent not to be unreasonably withheld or delayed), make any change in its (a) accounting policies or reporting practices, except as required by GAAP or (b) fiscal years or fiscal quarters, unless Borrower shall have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440"/>
        <w:spacing w:after="0"/>
        <w:rPr>
          <w:sz w:val="20"/>
          <w:szCs w:val="20"/>
          <w:color w:val="auto"/>
        </w:rPr>
      </w:pPr>
      <w:r>
        <w:rPr>
          <w:rFonts w:ascii="Arial" w:cs="Arial" w:eastAsia="Arial" w:hAnsi="Arial"/>
          <w:sz w:val="19"/>
          <w:szCs w:val="19"/>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307340</wp:posOffset>
            </wp:positionV>
            <wp:extent cx="6311265" cy="2222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520"/>
          </w:cols>
          <w:pgMar w:left="1400" w:top="781" w:right="979" w:bottom="1440" w:gutter="0" w:footer="0" w:header="0"/>
        </w:sectPr>
      </w:pPr>
    </w:p>
    <w:bookmarkStart w:id="152" w:name="page153"/>
    <w:bookmarkEnd w:id="152"/>
    <w:p>
      <w:pPr>
        <w:ind w:right="20"/>
        <w:spacing w:after="0" w:line="256" w:lineRule="auto"/>
        <w:rPr>
          <w:sz w:val="20"/>
          <w:szCs w:val="20"/>
          <w:color w:val="auto"/>
        </w:rPr>
      </w:pPr>
      <w:r>
        <w:rPr>
          <w:rFonts w:ascii="Arial" w:cs="Arial" w:eastAsia="Arial" w:hAnsi="Arial"/>
          <w:sz w:val="19"/>
          <w:szCs w:val="19"/>
          <w:color w:val="auto"/>
        </w:rPr>
        <w:t>notified Agent in writing within thirty (30) days in advance of such change. The fiscal year of Borrower shall end on December 31.</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executed Compliance Certificate, and all Financial Statements required to be delivered pursuant to clauses (a), (b),</w:t>
      </w:r>
    </w:p>
    <w:p>
      <w:pPr>
        <w:spacing w:after="0" w:line="21" w:lineRule="exact"/>
        <w:rPr>
          <w:sz w:val="20"/>
          <w:szCs w:val="20"/>
          <w:color w:val="auto"/>
        </w:rPr>
      </w:pPr>
    </w:p>
    <w:p>
      <w:pPr>
        <w:jc w:val="both"/>
        <w:ind w:right="20" w:firstLine="1"/>
        <w:spacing w:after="0" w:line="237" w:lineRule="auto"/>
        <w:tabs>
          <w:tab w:leader="none" w:pos="268" w:val="left"/>
        </w:tabs>
        <w:numPr>
          <w:ilvl w:val="0"/>
          <w:numId w:val="79"/>
        </w:numPr>
        <w:rPr>
          <w:rFonts w:ascii="Arial" w:cs="Arial" w:eastAsia="Arial" w:hAnsi="Arial"/>
          <w:sz w:val="19"/>
          <w:szCs w:val="19"/>
          <w:color w:val="auto"/>
        </w:rPr>
      </w:pPr>
      <w:r>
        <w:rPr>
          <w:rFonts w:ascii="Arial" w:cs="Arial" w:eastAsia="Arial" w:hAnsi="Arial"/>
          <w:sz w:val="19"/>
          <w:szCs w:val="19"/>
          <w:color w:val="auto"/>
        </w:rPr>
        <w:t>and (d) shall be sent via e-mail to financialstatements@htgc.com with a copy to legal@htgc.com and mdutra@htgc.com provided, that if e-mail is not available or sending such Financial Statements via e-mail is not possible, they shall be faxed to Agent at: (650) 473-9194, attention Account Manager: Axsome Therapeutics, Inc.</w:t>
      </w:r>
    </w:p>
    <w:p>
      <w:pPr>
        <w:spacing w:after="0" w:line="162" w:lineRule="exact"/>
        <w:rPr>
          <w:sz w:val="20"/>
          <w:szCs w:val="20"/>
          <w:color w:val="auto"/>
        </w:rPr>
      </w:pPr>
    </w:p>
    <w:p>
      <w:pPr>
        <w:jc w:val="both"/>
        <w:ind w:right="20"/>
        <w:spacing w:after="0" w:line="241" w:lineRule="auto"/>
        <w:rPr>
          <w:sz w:val="20"/>
          <w:szCs w:val="20"/>
          <w:color w:val="auto"/>
        </w:rPr>
      </w:pPr>
      <w:r>
        <w:rPr>
          <w:rFonts w:ascii="Arial" w:cs="Arial" w:eastAsia="Arial" w:hAnsi="Arial"/>
          <w:sz w:val="19"/>
          <w:szCs w:val="19"/>
          <w:color w:val="auto"/>
        </w:rPr>
        <w:t>Notwithstanding the foregoing, documents required to be delivered under Sections 7.1(a), (b), (c) or (f) pursuant to the terms hereof (to the extent any such documents are included in materials otherwise filed with the SEC) may be delivered electronically and if so delivered, shall be deemed to have been delivered on the date on which Borrower emails a link thereto to Agent.</w:t>
      </w:r>
    </w:p>
    <w:p>
      <w:pPr>
        <w:spacing w:after="0" w:line="160" w:lineRule="exact"/>
        <w:rPr>
          <w:sz w:val="20"/>
          <w:szCs w:val="20"/>
          <w:color w:val="auto"/>
        </w:rPr>
      </w:pPr>
    </w:p>
    <w:p>
      <w:pPr>
        <w:jc w:val="both"/>
        <w:ind w:left="80" w:firstLine="566"/>
        <w:spacing w:after="0" w:line="265" w:lineRule="auto"/>
        <w:rPr>
          <w:sz w:val="20"/>
          <w:szCs w:val="20"/>
          <w:color w:val="auto"/>
        </w:rPr>
      </w:pPr>
      <w:r>
        <w:rPr>
          <w:rFonts w:ascii="Arial" w:cs="Arial" w:eastAsia="Arial" w:hAnsi="Arial"/>
          <w:sz w:val="17"/>
          <w:szCs w:val="17"/>
          <w:color w:val="auto"/>
        </w:rPr>
        <w:t xml:space="preserve">7.2 Management Rights. Borrower shall permit any representative that Agent or the Lenders authorizes, including its attorneys and accountants, to inspect the Collateral and examine and make copies and abstracts of the books of account and records of Borrower at reasonable times and upon reasonable notice during normal business hours; </w:t>
      </w:r>
      <w:r>
        <w:rPr>
          <w:rFonts w:ascii="Arial" w:cs="Arial" w:eastAsia="Arial" w:hAnsi="Arial"/>
          <w:sz w:val="17"/>
          <w:szCs w:val="17"/>
          <w:u w:val="single" w:color="auto"/>
          <w:color w:val="auto"/>
        </w:rPr>
        <w:t>provided</w:t>
      </w:r>
      <w:r>
        <w:rPr>
          <w:rFonts w:ascii="Arial" w:cs="Arial" w:eastAsia="Arial" w:hAnsi="Arial"/>
          <w:sz w:val="17"/>
          <w:szCs w:val="17"/>
          <w:color w:val="auto"/>
        </w:rPr>
        <w:t>, however, that so long as no Event of Default has occurred and is continuing, such examinations shall be limited to no more often than twice per fiscal year. In addition, any such representative shall have the right to meet with management and officers of Borrower to discuss such books of account and records in connection with such examinations. In addition, Agent or the Lenders shall be entitled at reasonable times and intervals to consult with and advise the management and officers of Borrower concerning significant business issues affecting Borrower. Such consultations shall not unreasonably interfere with Borrower’s business operations. The parties intend that the rights granted Agent and the Lenders shall constitute “management rights” within the meaning of 29 C.F.R. Section 2510.3- 101(d)(3)(ii), but that any advice, recommendations or participation by Agent or the Lenders with respect to any business issues shall not be deemed to give Agent or the Lenders, nor be deemed an exercise by Agent or the Lenders of, control over Borrower’s management or policies.</w:t>
      </w:r>
    </w:p>
    <w:p>
      <w:pPr>
        <w:spacing w:after="0" w:line="145" w:lineRule="exact"/>
        <w:rPr>
          <w:sz w:val="20"/>
          <w:szCs w:val="20"/>
          <w:color w:val="auto"/>
        </w:rPr>
      </w:pPr>
    </w:p>
    <w:p>
      <w:pPr>
        <w:jc w:val="both"/>
        <w:ind w:left="80" w:right="20" w:firstLine="566"/>
        <w:spacing w:after="0" w:line="266" w:lineRule="auto"/>
        <w:rPr>
          <w:sz w:val="20"/>
          <w:szCs w:val="20"/>
          <w:color w:val="auto"/>
        </w:rPr>
      </w:pPr>
      <w:r>
        <w:rPr>
          <w:rFonts w:ascii="Arial" w:cs="Arial" w:eastAsia="Arial" w:hAnsi="Arial"/>
          <w:sz w:val="17"/>
          <w:szCs w:val="17"/>
          <w:color w:val="auto"/>
        </w:rPr>
        <w:t>7.3 Further Assurances. Borrower shall from time to time following Agent’s written request execute, deliver and file, alone or with Agent, any financing statements, security agreements, collateral assignments, notices, control agreements, or other documents to perfect, give the highest priority to Agent’s Lien on the Collateral (subject to Permitted Liens) or otherwise evidence Agent’s rights herein. Borrower shall from time to time procure any instruments or documents as may be reasonably requested by Agent, and take all further action that may be necessary, or that Agent may reasonably request, to perfect and protect the Liens granted hereby and thereby. In addition, and for such purposes only, Borrower hereby authorizes Agent to execute and deliver on behalf of Borrower and to file such financing statements (including an indication that the financing statement covers “all assets or all personal property” of Borrower in accordance with Section 9-504 of the UCC), collateral assignments, notices, control agreements, security agreements and other documents without the signature of Borrower either in Agent’s name or in the name of</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440"/>
        <w:spacing w:after="0"/>
        <w:rPr>
          <w:sz w:val="20"/>
          <w:szCs w:val="20"/>
          <w:color w:val="auto"/>
        </w:rPr>
      </w:pPr>
      <w:r>
        <w:rPr>
          <w:rFonts w:ascii="Arial" w:cs="Arial" w:eastAsia="Arial" w:hAnsi="Arial"/>
          <w:sz w:val="19"/>
          <w:szCs w:val="19"/>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307340</wp:posOffset>
            </wp:positionV>
            <wp:extent cx="6311265" cy="2222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520"/>
          </w:cols>
          <w:pgMar w:left="1400" w:top="781" w:right="979" w:bottom="1440" w:gutter="0" w:footer="0" w:header="0"/>
        </w:sectPr>
      </w:pPr>
    </w:p>
    <w:bookmarkStart w:id="153" w:name="page154"/>
    <w:bookmarkEnd w:id="153"/>
    <w:p>
      <w:pPr>
        <w:jc w:val="both"/>
        <w:ind w:left="40" w:right="20"/>
        <w:spacing w:after="0" w:line="315" w:lineRule="auto"/>
        <w:rPr>
          <w:sz w:val="20"/>
          <w:szCs w:val="20"/>
          <w:color w:val="auto"/>
        </w:rPr>
      </w:pPr>
      <w:r>
        <w:rPr>
          <w:rFonts w:ascii="Arial" w:cs="Arial" w:eastAsia="Arial" w:hAnsi="Arial"/>
          <w:sz w:val="17"/>
          <w:szCs w:val="17"/>
          <w:color w:val="auto"/>
        </w:rPr>
        <w:t>Agent as agent and attorney-in-fact for Borrower. Borrower shall protect and defend Borrower’s title to the Collateral and Agent’s Lien thereon against all Persons claiming any interest adverse to Borrower or Agent other than Permitted Liens.</w:t>
      </w:r>
    </w:p>
    <w:p>
      <w:pPr>
        <w:spacing w:after="0" w:line="100" w:lineRule="exact"/>
        <w:rPr>
          <w:sz w:val="20"/>
          <w:szCs w:val="20"/>
          <w:color w:val="auto"/>
        </w:rPr>
      </w:pPr>
    </w:p>
    <w:p>
      <w:pPr>
        <w:jc w:val="both"/>
        <w:ind w:left="40" w:firstLine="566"/>
        <w:spacing w:after="0" w:line="268" w:lineRule="auto"/>
        <w:rPr>
          <w:sz w:val="20"/>
          <w:szCs w:val="20"/>
          <w:color w:val="auto"/>
        </w:rPr>
      </w:pPr>
      <w:r>
        <w:rPr>
          <w:rFonts w:ascii="Arial" w:cs="Arial" w:eastAsia="Arial" w:hAnsi="Arial"/>
          <w:sz w:val="17"/>
          <w:szCs w:val="17"/>
          <w:color w:val="auto"/>
        </w:rPr>
        <w:t>7.4 Indebtedness. Borrower shall not create, incur, assume, guarantee or be or remain liable with respect to any Indebtedness, or permit any Subsidiary so to do, other than Permitted Indebtedness, or prepay any Indebtedness or take any actions which impose on Borrower an obligation to prepay any Indebtedness, except for (a) the conversion of Indebtedness into equity securities and the payment of cash in lieu of fractional shares in connection with such conversion, (b) payment and prepayment of purchase money Indebtedness and capital leases pursuant to its then applicable payment schedule, (c) prepayment by any Subsidiary of (i) inter-company Indebtedness owed by such Subsidiary to any Borrower, or (ii) if such Subsidiary is not a Borrower, intercompany Indebtedness owed by such Subsidiary to another Subsidiary that is not a Borrower or (d) as otherwise permitted hereunder or approved in writing by Agent.</w:t>
      </w:r>
    </w:p>
    <w:p>
      <w:pPr>
        <w:spacing w:after="0" w:line="140" w:lineRule="exact"/>
        <w:rPr>
          <w:sz w:val="20"/>
          <w:szCs w:val="20"/>
          <w:color w:val="auto"/>
        </w:rPr>
      </w:pPr>
    </w:p>
    <w:p>
      <w:pPr>
        <w:jc w:val="both"/>
        <w:ind w:left="40"/>
        <w:spacing w:after="0" w:line="264" w:lineRule="auto"/>
        <w:rPr>
          <w:sz w:val="20"/>
          <w:szCs w:val="20"/>
          <w:color w:val="auto"/>
        </w:rPr>
      </w:pPr>
      <w:r>
        <w:rPr>
          <w:rFonts w:ascii="Arial" w:cs="Arial" w:eastAsia="Arial" w:hAnsi="Arial"/>
          <w:sz w:val="17"/>
          <w:szCs w:val="17"/>
          <w:color w:val="auto"/>
        </w:rPr>
        <w:t xml:space="preserve">Notwithstanding anything to the contrary in the foregoing, the issuance of, performance of obligations under (including any payments of interest), and conversion, exchange, exercise, repurchase, redemption (including, for the avoidance of doubt, a required repurchase in connection with the redemption of Permitted Convertible Debt upon satisfaction of a condition related to the stock price of the Common Stock), settlement or early termination or cancellation of (whether in whole or in part and including by netting or set-off) (in each case, whether in cash, Common Stock, following a merger event or other change of the Common Stock, other securities or property), or the satisfaction of any condition that would permit or require any of the foregoing, any Permitted Convertible Debt shall not constitute a prepayment of Indebtedness by Borrower for the purposes of this Section 7.4;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principal payments in cash (other than cash in lieu of fractional shares) shall only be allowed if the Redemption Conditions are satisfied in respect of such payment and at all times after such payment;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further that, to the extent both (a) the aggregate amount of cash payable upon conversion or payment of any</w:t>
      </w:r>
      <w:r>
        <w:rPr>
          <w:rFonts w:ascii="Arial" w:cs="Arial" w:eastAsia="Arial" w:hAnsi="Arial"/>
          <w:sz w:val="17"/>
          <w:szCs w:val="17"/>
          <w:i w:val="1"/>
          <w:iCs w:val="1"/>
          <w:color w:val="auto"/>
        </w:rPr>
        <w:t xml:space="preserve"> </w:t>
      </w:r>
      <w:r>
        <w:rPr>
          <w:rFonts w:ascii="Arial" w:cs="Arial" w:eastAsia="Arial" w:hAnsi="Arial"/>
          <w:sz w:val="17"/>
          <w:szCs w:val="17"/>
          <w:color w:val="auto"/>
        </w:rPr>
        <w:t>Permitted Convertible Debt (excluding any required payment of interest with respect to such Permitted Convertible Debt and excluding any payment of cash in lieu of a fractional share due upon conversion thereof) exceeds the aggregate principal amount thereof and (b) such conversion or payment does not trigger or correspond to an exercise or early unwind or settlement of a corresponding portion of the Permitted Bond Hedge Transactions relating to such Permitted Convertible Debt (including, for the avoidance of doubt, the case where there is no Bond Hedge Transaction relating to such Permitted Convertible Debt), the payment of such excess cash shall not be permitted by the preceding sentence.</w:t>
      </w:r>
    </w:p>
    <w:p>
      <w:pPr>
        <w:spacing w:after="0" w:line="144" w:lineRule="exact"/>
        <w:rPr>
          <w:sz w:val="20"/>
          <w:szCs w:val="20"/>
          <w:color w:val="auto"/>
        </w:rPr>
      </w:pPr>
    </w:p>
    <w:p>
      <w:pPr>
        <w:jc w:val="both"/>
        <w:ind w:left="40"/>
        <w:spacing w:after="0" w:line="238" w:lineRule="auto"/>
        <w:rPr>
          <w:sz w:val="20"/>
          <w:szCs w:val="20"/>
          <w:color w:val="auto"/>
        </w:rPr>
      </w:pPr>
      <w:r>
        <w:rPr>
          <w:rFonts w:ascii="Arial" w:cs="Arial" w:eastAsia="Arial" w:hAnsi="Arial"/>
          <w:sz w:val="19"/>
          <w:szCs w:val="19"/>
          <w:color w:val="auto"/>
        </w:rPr>
        <w:t>Notwithstanding the foregoing, Borrower may repurchase, exchange or induce the conversion of Permitted Convertible Debt by delivery of shares of Common Stock and/or a different series of Permitted Convertible Debt and/or by payment of cash (in an amount that does not exceed the proceeds received by Borrower from the substantially concurrent issuance of Common Stock and/or Permitted Convertible Debt plus the net cash proceeds, if any, received by Borrower pursuant to the related exercise or early unwind or termination of the related Permitted Bond Hedge Transactions and Permitted Warrant Transactions, if</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460"/>
        <w:spacing w:after="0"/>
        <w:rPr>
          <w:sz w:val="20"/>
          <w:szCs w:val="20"/>
          <w:color w:val="auto"/>
        </w:rPr>
      </w:pPr>
      <w:r>
        <w:rPr>
          <w:rFonts w:ascii="Arial" w:cs="Arial" w:eastAsia="Arial" w:hAnsi="Arial"/>
          <w:sz w:val="19"/>
          <w:szCs w:val="19"/>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307340</wp:posOffset>
            </wp:positionV>
            <wp:extent cx="6311265" cy="2222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480"/>
          </w:cols>
          <w:pgMar w:left="1440" w:top="780" w:right="979" w:bottom="1440" w:gutter="0" w:footer="0" w:header="0"/>
        </w:sectPr>
      </w:pPr>
    </w:p>
    <w:bookmarkStart w:id="154" w:name="page155"/>
    <w:bookmarkEnd w:id="154"/>
    <w:p>
      <w:pPr>
        <w:jc w:val="both"/>
        <w:ind w:left="40"/>
        <w:spacing w:after="0" w:line="274" w:lineRule="auto"/>
        <w:rPr>
          <w:sz w:val="20"/>
          <w:szCs w:val="20"/>
          <w:color w:val="auto"/>
        </w:rPr>
      </w:pPr>
      <w:r>
        <w:rPr>
          <w:rFonts w:ascii="Arial" w:cs="Arial" w:eastAsia="Arial" w:hAnsi="Arial"/>
          <w:sz w:val="17"/>
          <w:szCs w:val="17"/>
          <w:color w:val="auto"/>
        </w:rPr>
        <w:t>any, pursuant to the immediately following proviso); provided that, substantially concurrently with, or a commercially reasonable period of time before or after, the related settlement date for the Permitted Convertible Debt that is so repurchased, exchanged or converted, Borrower shall exercise or unwind or terminate early (whether in cash, shares or any combination thereof) the portion of the Permitted Bond Hedge Transactions and Permitted Warrant Transactions, if any, corresponding to such Permitted Convertible Debt that are so repurchased, exchanged or converted.</w:t>
      </w:r>
    </w:p>
    <w:p>
      <w:pPr>
        <w:spacing w:after="0" w:line="134" w:lineRule="exact"/>
        <w:rPr>
          <w:sz w:val="20"/>
          <w:szCs w:val="20"/>
          <w:color w:val="auto"/>
        </w:rPr>
      </w:pPr>
    </w:p>
    <w:p>
      <w:pPr>
        <w:jc w:val="both"/>
        <w:ind w:left="40" w:firstLine="566"/>
        <w:spacing w:after="0" w:line="248" w:lineRule="auto"/>
        <w:rPr>
          <w:sz w:val="20"/>
          <w:szCs w:val="20"/>
          <w:color w:val="auto"/>
        </w:rPr>
      </w:pPr>
      <w:r>
        <w:rPr>
          <w:rFonts w:ascii="Arial" w:cs="Arial" w:eastAsia="Arial" w:hAnsi="Arial"/>
          <w:sz w:val="18"/>
          <w:szCs w:val="18"/>
          <w:color w:val="auto"/>
        </w:rPr>
        <w:t>7.5 Collateral. Borrower shall at all times keep the Collateral and all other property and assets used in Borrower’s business or in which Borrower now or hereafter holds any interest free and clear from any legal process or Liens whatsoever (except for Permitted Liens), and shall give Agent prompt written notice of any legal process affecting the Collateral, such other property and assets, or any Liens thereon, provided however, that the Collateral and such other property and assets may be subject to Permitted Liens . Borrower shall not enter into or suffer to exist or become effective any agreement that prohibits or limits the ability of any Borrower to create, incur, assume or suffer to exist any Lien upon any of its property (including Intellectual Property), whether now owned or hereafter acquired, to secure its obligations under the Loan Documents to which it is a party other than (a) this Agreement and the other Loan Documents, (b) any agreements governing any purchase money Liens or capital lease obligations otherwise permitted hereby (in which case, any prohibition or limitation shall only be effective against the assets financed thereby) and (c) customary restrictions on the assignment of leases, licenses and other agreements. Borrower shall cause its Subsidiaries to protect and defend such Subsidiary’s title to its assets from and against all Persons claiming any interest adverse to such Subsidiary, and Borrower shall cause its Subsidiaries at all times to keep such Subsidiary’s property and assets free and clear from any legal process or Liens whatsoever (except for Permitted Liens), and shall give Agent prompt written notice of any legal process affecting such Subsidiary’s assets.</w:t>
      </w:r>
    </w:p>
    <w:p>
      <w:pPr>
        <w:spacing w:after="0" w:line="164" w:lineRule="exact"/>
        <w:rPr>
          <w:sz w:val="20"/>
          <w:szCs w:val="20"/>
          <w:color w:val="auto"/>
        </w:rPr>
      </w:pPr>
    </w:p>
    <w:p>
      <w:pPr>
        <w:jc w:val="both"/>
        <w:ind w:left="40" w:right="20" w:firstLine="566"/>
        <w:spacing w:after="0" w:line="256" w:lineRule="auto"/>
        <w:rPr>
          <w:sz w:val="20"/>
          <w:szCs w:val="20"/>
          <w:color w:val="auto"/>
        </w:rPr>
      </w:pPr>
      <w:r>
        <w:rPr>
          <w:rFonts w:ascii="Arial" w:cs="Arial" w:eastAsia="Arial" w:hAnsi="Arial"/>
          <w:sz w:val="19"/>
          <w:szCs w:val="19"/>
          <w:color w:val="auto"/>
        </w:rPr>
        <w:t>7.6 Investments. Borrower shall not directly or indirectly acquire or own, or make any Investment in or to any Person, or permit any of its Subsidiaries to do so, other than Permitted Investments.</w:t>
      </w:r>
    </w:p>
    <w:p>
      <w:pPr>
        <w:spacing w:after="0" w:line="147" w:lineRule="exact"/>
        <w:rPr>
          <w:sz w:val="20"/>
          <w:szCs w:val="20"/>
          <w:color w:val="auto"/>
        </w:rPr>
      </w:pPr>
    </w:p>
    <w:p>
      <w:pPr>
        <w:jc w:val="both"/>
        <w:ind w:left="40"/>
        <w:spacing w:after="0" w:line="249" w:lineRule="auto"/>
        <w:rPr>
          <w:sz w:val="20"/>
          <w:szCs w:val="20"/>
          <w:color w:val="auto"/>
        </w:rPr>
      </w:pPr>
      <w:r>
        <w:rPr>
          <w:rFonts w:ascii="Arial" w:cs="Arial" w:eastAsia="Arial" w:hAnsi="Arial"/>
          <w:sz w:val="18"/>
          <w:szCs w:val="18"/>
          <w:color w:val="auto"/>
        </w:rPr>
        <w:t>Notwithstanding the foregoing, and for the avoidance of doubt, this Section 7.6 shall not prohibit the conversion by holders of (including any payment upon conversion, whether in cash, Common Stock or a combination thereof), or required payment of any principal or premium on (including, for the avoidance of doubt, in respect of a required repurchase in connection with the redemption of Permitted Convertible Debt upon satisfaction of a condition related to the stock price of the Common Stock) or required payment of any interest with respect to, any Permitted Convertible Debt in each case, in accordance with the terms of the indenture governing such Permitted Convertible Debt; provided that principal payments in cash (other than cash in lieu of fractional shares) shall only be allowed if the Redemption Conditions are satisfied in respect of such payment and at all times after such payment; provided further that, to the extent both (a) the aggregate amount of cash payable upon conversion or payment of any Permitted Convertible Debt (excluding any required payment of interest with respect to such Permitted Convertible Debt and excluding any payment of cash in lieu of a fractional share due upon conversion thereof) exceeds the</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460"/>
        <w:spacing w:after="0"/>
        <w:rPr>
          <w:sz w:val="20"/>
          <w:szCs w:val="20"/>
          <w:color w:val="auto"/>
        </w:rPr>
      </w:pPr>
      <w:r>
        <w:rPr>
          <w:rFonts w:ascii="Arial" w:cs="Arial" w:eastAsia="Arial" w:hAnsi="Arial"/>
          <w:sz w:val="19"/>
          <w:szCs w:val="19"/>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307340</wp:posOffset>
            </wp:positionV>
            <wp:extent cx="6311265" cy="2222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480"/>
          </w:cols>
          <w:pgMar w:left="1440" w:top="781" w:right="979" w:bottom="1440" w:gutter="0" w:footer="0" w:header="0"/>
        </w:sectPr>
      </w:pPr>
    </w:p>
    <w:bookmarkStart w:id="155" w:name="page156"/>
    <w:bookmarkEnd w:id="155"/>
    <w:p>
      <w:pPr>
        <w:jc w:val="both"/>
        <w:ind w:left="40" w:right="20"/>
        <w:spacing w:after="0" w:line="278" w:lineRule="auto"/>
        <w:rPr>
          <w:sz w:val="20"/>
          <w:szCs w:val="20"/>
          <w:color w:val="auto"/>
        </w:rPr>
      </w:pPr>
      <w:r>
        <w:rPr>
          <w:rFonts w:ascii="Arial" w:cs="Arial" w:eastAsia="Arial" w:hAnsi="Arial"/>
          <w:sz w:val="17"/>
          <w:szCs w:val="17"/>
          <w:color w:val="auto"/>
        </w:rPr>
        <w:t>aggregate principal amount thereof and (b) such conversion or payment does not trigger or correspond to an exercise or early unwind or settlement of a corresponding portion of the Bond Hedge Transactions relating to such Permitted Convertible Debt (including, for the avoidance of doubt, the case where there is no Bond Hedge Transaction relating to such Permitted Convertible Debt), the payment of such excess cash shall not be permitted by the preceding sentence.</w:t>
      </w:r>
    </w:p>
    <w:p>
      <w:pPr>
        <w:spacing w:after="0" w:line="132" w:lineRule="exact"/>
        <w:rPr>
          <w:sz w:val="20"/>
          <w:szCs w:val="20"/>
          <w:color w:val="auto"/>
        </w:rPr>
      </w:pPr>
    </w:p>
    <w:p>
      <w:pPr>
        <w:jc w:val="both"/>
        <w:ind w:left="40"/>
        <w:spacing w:after="0" w:line="266" w:lineRule="auto"/>
        <w:rPr>
          <w:sz w:val="20"/>
          <w:szCs w:val="20"/>
          <w:color w:val="auto"/>
        </w:rPr>
      </w:pPr>
      <w:r>
        <w:rPr>
          <w:rFonts w:ascii="Arial" w:cs="Arial" w:eastAsia="Arial" w:hAnsi="Arial"/>
          <w:sz w:val="17"/>
          <w:szCs w:val="17"/>
          <w:color w:val="auto"/>
        </w:rPr>
        <w:t>Notwithstanding the foregoing, Borrower may repurchase, exchange or induce the conversion of Permitted Convertible Debt by delivery of Common Stock and/or a different series of Permitted Convertible Debt and/or by payment of cash (in an amount that does not exceed the proceeds received by Borrower from the substantially concurrent issuance of Common Stock and/or Permitted Convertible Debt plus the net cash proceeds, if any, received by Borrower pursuant to the related exercise or early unwind or termination of the related Permitted Bond Hedge Transactions and Permitted Warrant Transactions, if any, pursuant to the immediately following proviso); provided that, substantially concurrently with, or a commercially reasonable period of time before or after, the related settlement date for the Permitted Convertible Debt that is so repurchased, exchanged or converted, Borrower shall exercise or unwind or terminate early (whether in cash, shares or any combination thereof) the portion of the Permitted Bond Hedge Transactions and Permitted Warrant Transactions, if any, corresponding to such Permitted Convertible Debt that are so repurchased, exchanged or converted.</w:t>
      </w:r>
    </w:p>
    <w:p>
      <w:pPr>
        <w:spacing w:after="0" w:line="144" w:lineRule="exact"/>
        <w:rPr>
          <w:sz w:val="20"/>
          <w:szCs w:val="20"/>
          <w:color w:val="auto"/>
        </w:rPr>
      </w:pPr>
    </w:p>
    <w:p>
      <w:pPr>
        <w:jc w:val="both"/>
        <w:ind w:left="40"/>
        <w:spacing w:after="0" w:line="264" w:lineRule="auto"/>
        <w:rPr>
          <w:sz w:val="20"/>
          <w:szCs w:val="20"/>
          <w:color w:val="auto"/>
        </w:rPr>
      </w:pPr>
      <w:r>
        <w:rPr>
          <w:rFonts w:ascii="Arial" w:cs="Arial" w:eastAsia="Arial" w:hAnsi="Arial"/>
          <w:sz w:val="17"/>
          <w:szCs w:val="17"/>
          <w:color w:val="auto"/>
        </w:rPr>
        <w:t xml:space="preserve">7.7 Distributions. Borrower shall not, and shall not allow any Subsidiary to, (a) repurchase or redeem any class of stock or other Equity Interest other than pursuant to employee, director or consultant repurchase plans or other similar agreements that are Permitted Investments or the conversion of any of its convertible securities pursuant to the terms of such convertible securities; provided, however, in each case the repurchase or redemption price does not exceed the original consideration paid for such stock or Equity Interest </w:t>
      </w:r>
      <w:r>
        <w:rPr>
          <w:rFonts w:ascii="Arial" w:cs="Arial" w:eastAsia="Arial" w:hAnsi="Arial"/>
          <w:sz w:val="17"/>
          <w:szCs w:val="17"/>
          <w:u w:val="single" w:color="auto"/>
          <w:color w:val="auto"/>
        </w:rPr>
        <w:t>unless required by the terms of such agreement or plan, or pursuant to a</w:t>
      </w:r>
      <w:r>
        <w:rPr>
          <w:rFonts w:ascii="Arial" w:cs="Arial" w:eastAsia="Arial" w:hAnsi="Arial"/>
          <w:sz w:val="17"/>
          <w:szCs w:val="17"/>
          <w:color w:val="auto"/>
        </w:rPr>
        <w:t xml:space="preserve"> </w:t>
      </w:r>
      <w:r>
        <w:rPr>
          <w:rFonts w:ascii="Arial" w:cs="Arial" w:eastAsia="Arial" w:hAnsi="Arial"/>
          <w:sz w:val="17"/>
          <w:szCs w:val="17"/>
          <w:u w:val="single" w:color="auto"/>
          <w:color w:val="auto"/>
        </w:rPr>
        <w:t>public repurchase of securities in compliance with the requirements of SEC Rule 10b-18</w:t>
      </w:r>
      <w:r>
        <w:rPr>
          <w:rFonts w:ascii="Arial" w:cs="Arial" w:eastAsia="Arial" w:hAnsi="Arial"/>
          <w:sz w:val="17"/>
          <w:szCs w:val="17"/>
          <w:color w:val="auto"/>
        </w:rPr>
        <w:t>, or (b) declare or pay any cash dividend or make any other cash distribution on any class of stock or other Equity Interest, except that a Subsidiary may pay dividends or make other distributions to Borrower or any Subsidiary of Borrower, or (c) except for Permitted Investments, lend money to any employees, officers or directors or guarantee the payment of any such loans granted by a third party in excess of $100,000 in the aggregate or (d) waive, release or forgive any Indebtedness owed by any employees, officers or directors in excess of $100,000 in the aggregate other than cancellation of Indebtedness in connection with the repurchase of Equity Interests permitted under clause (a) above. Notwithstanding the foregoing, Borrower may redeem or repurchase stock and other Equity Interests and may declare and pay dividends and make distributions in any amount, so long as the Redemption Conditions (as applied to such redemption, repurchase, dividend or distribution) are satisfied.</w:t>
      </w:r>
    </w:p>
    <w:p>
      <w:pPr>
        <w:spacing w:after="0" w:line="149" w:lineRule="exact"/>
        <w:rPr>
          <w:sz w:val="20"/>
          <w:szCs w:val="20"/>
          <w:color w:val="auto"/>
        </w:rPr>
      </w:pPr>
    </w:p>
    <w:p>
      <w:pPr>
        <w:jc w:val="both"/>
        <w:ind w:left="40" w:right="20"/>
        <w:spacing w:after="0" w:line="244" w:lineRule="auto"/>
        <w:rPr>
          <w:sz w:val="20"/>
          <w:szCs w:val="20"/>
          <w:color w:val="auto"/>
        </w:rPr>
      </w:pPr>
      <w:r>
        <w:rPr>
          <w:rFonts w:ascii="Arial" w:cs="Arial" w:eastAsia="Arial" w:hAnsi="Arial"/>
          <w:sz w:val="19"/>
          <w:szCs w:val="19"/>
          <w:color w:val="auto"/>
        </w:rPr>
        <w:t>Notwithstanding the foregoing, and for the avoidance of doubt, this Section 7.7 shall not prohibit the conversion by holders of (including any payment upon conversion, whether in cash, Common Stock or a combination thereof), or required payment of any principal or</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460"/>
        <w:spacing w:after="0"/>
        <w:rPr>
          <w:sz w:val="20"/>
          <w:szCs w:val="20"/>
          <w:color w:val="auto"/>
        </w:rPr>
      </w:pPr>
      <w:r>
        <w:rPr>
          <w:rFonts w:ascii="Arial" w:cs="Arial" w:eastAsia="Arial" w:hAnsi="Arial"/>
          <w:sz w:val="19"/>
          <w:szCs w:val="19"/>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307340</wp:posOffset>
            </wp:positionV>
            <wp:extent cx="6311265" cy="2222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480"/>
          </w:cols>
          <w:pgMar w:left="1440" w:top="781" w:right="979" w:bottom="1440" w:gutter="0" w:footer="0" w:header="0"/>
        </w:sectPr>
      </w:pPr>
    </w:p>
    <w:bookmarkStart w:id="156" w:name="page157"/>
    <w:bookmarkEnd w:id="156"/>
    <w:p>
      <w:pPr>
        <w:jc w:val="both"/>
        <w:ind w:left="40" w:right="20"/>
        <w:spacing w:after="0" w:line="265" w:lineRule="auto"/>
        <w:rPr>
          <w:sz w:val="20"/>
          <w:szCs w:val="20"/>
          <w:color w:val="auto"/>
        </w:rPr>
      </w:pPr>
      <w:r>
        <w:rPr>
          <w:rFonts w:ascii="Arial" w:cs="Arial" w:eastAsia="Arial" w:hAnsi="Arial"/>
          <w:sz w:val="17"/>
          <w:szCs w:val="17"/>
          <w:color w:val="auto"/>
        </w:rPr>
        <w:t>premium on (including, for the avoidance of doubt, in respect of a required repurchase in connection with the redemption of Permitted Convertible Debt upon satisfaction of a condition related to the stock price of the Common Stock) or required payment of any interest with respect to, any Permitted Convertible Debt in each case, in accordance with the terms of the indenture governing such Permitted Convertible Debt; provided that principal payments in cash (other than cash in lieu of fractional shares) shall only be allowed if the Redemption Conditions are satisfied in respect of such payment and at all times after such payment; provided further that, to the extent both (a) the aggregate amount of cash payable upon conversion or payment of any Permitted Convertible Debt (excluding any required payment of interest with respect to such Permitted Convertible Debt and excluding any payment of cash in lieu of a fractional share due upon conversion thereof) exceeds the aggregate principal amount thereof and (b) such conversion or payment does not trigger or correspond to an exercise or early unwind or settlement of a corresponding portion of the Bond Hedge Transactions relating to such Permitted Convertible Debt (including, for the avoidance of doubt, the case where there is no Bond Hedge Transaction relating to such Permitted Convertible Debt), the payment of such excess cash shall not be permitted by the preceding sentence.</w:t>
      </w:r>
    </w:p>
    <w:p>
      <w:pPr>
        <w:spacing w:after="0" w:line="145" w:lineRule="exact"/>
        <w:rPr>
          <w:sz w:val="20"/>
          <w:szCs w:val="20"/>
          <w:color w:val="auto"/>
        </w:rPr>
      </w:pPr>
    </w:p>
    <w:p>
      <w:pPr>
        <w:jc w:val="both"/>
        <w:ind w:left="40"/>
        <w:spacing w:after="0" w:line="266" w:lineRule="auto"/>
        <w:rPr>
          <w:sz w:val="20"/>
          <w:szCs w:val="20"/>
          <w:color w:val="auto"/>
        </w:rPr>
      </w:pPr>
      <w:r>
        <w:rPr>
          <w:rFonts w:ascii="Arial" w:cs="Arial" w:eastAsia="Arial" w:hAnsi="Arial"/>
          <w:sz w:val="17"/>
          <w:szCs w:val="17"/>
          <w:color w:val="auto"/>
        </w:rPr>
        <w:t>Notwithstanding the foregoing, Borrower may repurchase, exchange or induce the conversion of Permitted Convertible Debt by delivery of Common Stock and/or a different series of Permitted Convertible Debt and/or by payment of cash (in an amount that does not exceed the proceeds received by Borrower from the substantially concurrent issuance of Common Stock and/or Permitted Convertible Debt plus the net cash proceeds, if any, received by Borrower pursuant to the related exercise or early unwind or termination of the related Permitted Bond Hedge Transactions and Permitted Warrant Transactions, if any, pursuant to the immediately following proviso); provided that, substantially concurrently with, or a commercially reasonable period of time before or after, the related settlement date for the Permitted Convertible Debt that is so repurchased, exchanged or converted, Borrower shall exercise or unwind or terminate early (whether in cash, shares or any combination thereof) the portion of the Permitted Bond Hedge Transactions and Permitted Warrant Transactions, if any, corresponding to such Permitted Convertible Debt that are so repurchased, exchanged or converted.</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9"/>
          <w:szCs w:val="19"/>
          <w:color w:val="auto"/>
        </w:rPr>
        <w:t>Notwithstanding anything to the contrary set forth in this Section 7, and for the avoidance of doubt:</w:t>
      </w:r>
    </w:p>
    <w:p>
      <w:pPr>
        <w:spacing w:after="0" w:line="182" w:lineRule="exact"/>
        <w:rPr>
          <w:sz w:val="20"/>
          <w:szCs w:val="20"/>
          <w:color w:val="auto"/>
        </w:rPr>
      </w:pPr>
    </w:p>
    <w:p>
      <w:pPr>
        <w:ind w:left="660" w:right="20" w:firstLine="645"/>
        <w:spacing w:after="0" w:line="256" w:lineRule="auto"/>
        <w:tabs>
          <w:tab w:leader="none" w:pos="2269" w:val="left"/>
        </w:tabs>
        <w:numPr>
          <w:ilvl w:val="1"/>
          <w:numId w:val="80"/>
        </w:numPr>
        <w:rPr>
          <w:rFonts w:ascii="Arial" w:cs="Arial" w:eastAsia="Arial" w:hAnsi="Arial"/>
          <w:sz w:val="19"/>
          <w:szCs w:val="19"/>
          <w:color w:val="auto"/>
        </w:rPr>
      </w:pPr>
      <w:r>
        <w:rPr>
          <w:rFonts w:ascii="Arial" w:cs="Arial" w:eastAsia="Arial" w:hAnsi="Arial"/>
          <w:sz w:val="19"/>
          <w:szCs w:val="19"/>
          <w:color w:val="auto"/>
        </w:rPr>
        <w:t>Borrower may make any required payment of premium to a counterparty thereunder due in connection with entering into any Permitted Bond Hedge Transaction;</w:t>
      </w:r>
    </w:p>
    <w:p>
      <w:pPr>
        <w:spacing w:after="0" w:line="146" w:lineRule="exact"/>
        <w:rPr>
          <w:rFonts w:ascii="Arial" w:cs="Arial" w:eastAsia="Arial" w:hAnsi="Arial"/>
          <w:sz w:val="19"/>
          <w:szCs w:val="19"/>
          <w:color w:val="auto"/>
        </w:rPr>
      </w:pPr>
    </w:p>
    <w:p>
      <w:pPr>
        <w:jc w:val="both"/>
        <w:ind w:left="660" w:right="20" w:firstLine="574"/>
        <w:spacing w:after="0" w:line="239" w:lineRule="auto"/>
        <w:tabs>
          <w:tab w:leader="none" w:pos="2081" w:val="left"/>
        </w:tabs>
        <w:numPr>
          <w:ilvl w:val="0"/>
          <w:numId w:val="81"/>
        </w:numPr>
        <w:rPr>
          <w:rFonts w:ascii="Arial" w:cs="Arial" w:eastAsia="Arial" w:hAnsi="Arial"/>
          <w:sz w:val="19"/>
          <w:szCs w:val="19"/>
          <w:color w:val="auto"/>
        </w:rPr>
      </w:pPr>
      <w:r>
        <w:rPr>
          <w:rFonts w:ascii="Arial" w:cs="Arial" w:eastAsia="Arial" w:hAnsi="Arial"/>
          <w:sz w:val="19"/>
          <w:szCs w:val="19"/>
          <w:color w:val="auto"/>
        </w:rPr>
        <w:t>Borrower may make any payment in connection with any Permitted Warrant Transaction by (i) delivery of shares of the Borrower’s Common Stock (together with cash in lieu of fractional shares) upon net share settlement thereof, (ii) set-off, netting and/or payment of an early termination payment or other payment thereunder, in each case, in the Borrower’s Common Stock and (iii) solely to the extent the Borrower does not have the option of satisfying such payment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460"/>
        <w:spacing w:after="0"/>
        <w:rPr>
          <w:sz w:val="20"/>
          <w:szCs w:val="20"/>
          <w:color w:val="auto"/>
        </w:rPr>
      </w:pPr>
      <w:r>
        <w:rPr>
          <w:rFonts w:ascii="Arial" w:cs="Arial" w:eastAsia="Arial" w:hAnsi="Arial"/>
          <w:sz w:val="19"/>
          <w:szCs w:val="19"/>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307340</wp:posOffset>
            </wp:positionV>
            <wp:extent cx="6311265" cy="2222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480"/>
          </w:cols>
          <w:pgMar w:left="1440" w:top="780" w:right="979" w:bottom="1440" w:gutter="0" w:footer="0" w:header="0"/>
        </w:sectPr>
      </w:pPr>
    </w:p>
    <w:bookmarkStart w:id="157" w:name="page158"/>
    <w:bookmarkEnd w:id="157"/>
    <w:p>
      <w:pPr>
        <w:jc w:val="both"/>
        <w:ind w:left="660"/>
        <w:spacing w:after="0" w:line="251" w:lineRule="auto"/>
        <w:rPr>
          <w:sz w:val="20"/>
          <w:szCs w:val="20"/>
          <w:color w:val="auto"/>
        </w:rPr>
      </w:pPr>
      <w:r>
        <w:rPr>
          <w:rFonts w:ascii="Arial" w:cs="Arial" w:eastAsia="Arial" w:hAnsi="Arial"/>
          <w:sz w:val="18"/>
          <w:szCs w:val="18"/>
          <w:color w:val="auto"/>
        </w:rPr>
        <w:t>obligations through the delivery of shares of the Borrower’s Common Stock or is otherwise required to satisfy such payment obligations in cash, set-off, netting and/or payment of an early termination payment or other payment thereunder, in each case, in cash (it being understood and agreed that any payment made in cash in connection with Permitted Warrant Transactions by set-off, netting and/or payment of an early termination payment or similar payment thereunder, in each case, after using commercially reasonable efforts to satisfy such obligation (or the portion thereof remaining after giving effect to any netting or set-off against termination or similar payments under an applicable Permitted Bond Hedge Transaction) by delivery of shares of the Borrower’s Common Stock shall be deemed to be a payment obligation required to be satisfied in cash); and</w:t>
      </w:r>
    </w:p>
    <w:p>
      <w:pPr>
        <w:spacing w:after="0" w:line="155" w:lineRule="exact"/>
        <w:rPr>
          <w:sz w:val="20"/>
          <w:szCs w:val="20"/>
          <w:color w:val="auto"/>
        </w:rPr>
      </w:pPr>
    </w:p>
    <w:p>
      <w:pPr>
        <w:ind w:left="660" w:right="200" w:firstLine="574"/>
        <w:spacing w:after="0" w:line="256" w:lineRule="auto"/>
        <w:tabs>
          <w:tab w:leader="none" w:pos="1933" w:val="left"/>
        </w:tabs>
        <w:numPr>
          <w:ilvl w:val="0"/>
          <w:numId w:val="82"/>
        </w:numPr>
        <w:rPr>
          <w:rFonts w:ascii="Arial" w:cs="Arial" w:eastAsia="Arial" w:hAnsi="Arial"/>
          <w:sz w:val="19"/>
          <w:szCs w:val="19"/>
          <w:color w:val="auto"/>
        </w:rPr>
      </w:pPr>
      <w:r>
        <w:rPr>
          <w:rFonts w:ascii="Arial" w:cs="Arial" w:eastAsia="Arial" w:hAnsi="Arial"/>
          <w:sz w:val="19"/>
          <w:szCs w:val="19"/>
          <w:color w:val="auto"/>
        </w:rPr>
        <w:t>Borrower may acquire shares or other Equity Interests or cash or a combination thereof under the terms of any Permitted Bond Hedge Transaction or Permitted Warrant Transaction.</w:t>
      </w:r>
    </w:p>
    <w:p>
      <w:pPr>
        <w:spacing w:after="0" w:line="147" w:lineRule="exact"/>
        <w:rPr>
          <w:sz w:val="20"/>
          <w:szCs w:val="20"/>
          <w:color w:val="auto"/>
        </w:rPr>
      </w:pPr>
    </w:p>
    <w:p>
      <w:pPr>
        <w:jc w:val="both"/>
        <w:ind w:left="40" w:right="20" w:firstLine="566"/>
        <w:spacing w:after="0" w:line="244" w:lineRule="auto"/>
        <w:rPr>
          <w:sz w:val="20"/>
          <w:szCs w:val="20"/>
          <w:color w:val="auto"/>
        </w:rPr>
      </w:pPr>
      <w:r>
        <w:rPr>
          <w:rFonts w:ascii="Arial" w:cs="Arial" w:eastAsia="Arial" w:hAnsi="Arial"/>
          <w:sz w:val="19"/>
          <w:szCs w:val="19"/>
          <w:color w:val="auto"/>
        </w:rPr>
        <w:t>7.8 Transfers. Except for Permitted Transfers, Borrower shall not, and shall not allow any Subsidiary to, voluntarily or involuntarily transfer, sell, lease, license, lend or in any other manner convey any equitable, beneficial or legal interest in any material portion of its assets.</w:t>
      </w:r>
    </w:p>
    <w:p>
      <w:pPr>
        <w:spacing w:after="0" w:line="159" w:lineRule="exact"/>
        <w:rPr>
          <w:sz w:val="20"/>
          <w:szCs w:val="20"/>
          <w:color w:val="auto"/>
        </w:rPr>
      </w:pPr>
    </w:p>
    <w:p>
      <w:pPr>
        <w:jc w:val="both"/>
        <w:ind w:left="40" w:right="20" w:firstLine="566"/>
        <w:spacing w:after="0" w:line="241" w:lineRule="auto"/>
        <w:rPr>
          <w:sz w:val="20"/>
          <w:szCs w:val="20"/>
          <w:color w:val="auto"/>
        </w:rPr>
      </w:pPr>
      <w:r>
        <w:rPr>
          <w:rFonts w:ascii="Arial" w:cs="Arial" w:eastAsia="Arial" w:hAnsi="Arial"/>
          <w:sz w:val="19"/>
          <w:szCs w:val="19"/>
          <w:color w:val="auto"/>
        </w:rPr>
        <w:t>7.9 Mergers and Consolidations. Except for Permitted Acquisitions, Borrower shall not merge or consolidate, or permit any of its Subsidiaries to merge or consolidate, with or into any other business organization (other than mergers or consolidations of (a) a Subsidiary which is not a Borrower into another Subsidiary or into Borrower or (b) a Borrower into another Borrower).</w:t>
      </w:r>
    </w:p>
    <w:p>
      <w:pPr>
        <w:spacing w:after="0" w:line="160" w:lineRule="exact"/>
        <w:rPr>
          <w:sz w:val="20"/>
          <w:szCs w:val="20"/>
          <w:color w:val="auto"/>
        </w:rPr>
      </w:pPr>
    </w:p>
    <w:p>
      <w:pPr>
        <w:jc w:val="both"/>
        <w:ind w:left="40" w:right="20" w:firstLine="566"/>
        <w:spacing w:after="0" w:line="269" w:lineRule="auto"/>
        <w:rPr>
          <w:sz w:val="20"/>
          <w:szCs w:val="20"/>
          <w:color w:val="auto"/>
        </w:rPr>
      </w:pPr>
      <w:r>
        <w:rPr>
          <w:rFonts w:ascii="Arial" w:cs="Arial" w:eastAsia="Arial" w:hAnsi="Arial"/>
          <w:sz w:val="17"/>
          <w:szCs w:val="17"/>
          <w:color w:val="auto"/>
        </w:rPr>
        <w:t>7.10 Taxes. Borrower shall, and shall cause each of its Subsidiaries to, pay when due all material Taxes of any nature whatsoever now or hereafter imposed or assessed against Borrower or the Collateral or upon Borrower’s ownership, possession, use, operation or disposition thereof or upon Borrower’s rents, receipts or earnings arising therefrom. Borrower shall, and shall cause each of its Subsidiaries to, accurately file on or before the due date therefor (taking into account proper extensions) all federal and state income Tax returns and other material Tax returns required to be filed. Notwithstanding the foregoing, Borrower and its Subsidiaries may contest, in good faith and by appropriate proceedings diligently conducted, Taxes for which Borrower and its Subsidiaries maintain adequate reserves in accordance with GAAP.</w:t>
      </w:r>
    </w:p>
    <w:p>
      <w:pPr>
        <w:spacing w:after="0" w:line="141" w:lineRule="exact"/>
        <w:rPr>
          <w:sz w:val="20"/>
          <w:szCs w:val="20"/>
          <w:color w:val="auto"/>
        </w:rPr>
      </w:pPr>
    </w:p>
    <w:p>
      <w:pPr>
        <w:jc w:val="both"/>
        <w:ind w:left="40" w:right="20" w:firstLine="566"/>
        <w:spacing w:after="0" w:line="264" w:lineRule="auto"/>
        <w:rPr>
          <w:sz w:val="20"/>
          <w:szCs w:val="20"/>
          <w:color w:val="auto"/>
        </w:rPr>
      </w:pPr>
      <w:r>
        <w:rPr>
          <w:rFonts w:ascii="Arial" w:cs="Arial" w:eastAsia="Arial" w:hAnsi="Arial"/>
          <w:sz w:val="17"/>
          <w:szCs w:val="17"/>
          <w:color w:val="auto"/>
        </w:rPr>
        <w:t>7.11 Corporate Changes. Neither Borrower nor any Subsidiary shall change its corporate name, legal form or jurisdiction of formation without twenty (20) days’ prior written notice to Agent. Neither Borrower nor any Subsidiary shall suffer a Change in Control. Neither Borrower nor any Subsidiary shall relocate its chief executive office or its principal place of business unless: (i) it has provided prior written notice to Agent; and (ii) such relocation shall be within the continental United States of America. Neither Borrower nor any Subsidiary shall relocate any item of Collateral (other than</w:t>
      </w:r>
    </w:p>
    <w:p>
      <w:pPr>
        <w:spacing w:after="0" w:line="2" w:lineRule="exact"/>
        <w:rPr>
          <w:sz w:val="20"/>
          <w:szCs w:val="20"/>
          <w:color w:val="auto"/>
        </w:rPr>
      </w:pPr>
    </w:p>
    <w:p>
      <w:pPr>
        <w:ind w:left="40" w:hanging="5"/>
        <w:spacing w:after="0" w:line="239" w:lineRule="auto"/>
        <w:tabs>
          <w:tab w:leader="none" w:pos="327" w:val="left"/>
        </w:tabs>
        <w:numPr>
          <w:ilvl w:val="0"/>
          <w:numId w:val="83"/>
        </w:numPr>
        <w:rPr>
          <w:rFonts w:ascii="Arial" w:cs="Arial" w:eastAsia="Arial" w:hAnsi="Arial"/>
          <w:sz w:val="19"/>
          <w:szCs w:val="19"/>
          <w:color w:val="auto"/>
        </w:rPr>
      </w:pPr>
      <w:r>
        <w:rPr>
          <w:rFonts w:ascii="Arial" w:cs="Arial" w:eastAsia="Arial" w:hAnsi="Arial"/>
          <w:sz w:val="19"/>
          <w:szCs w:val="19"/>
          <w:color w:val="auto"/>
        </w:rPr>
        <w:t>sales of Inventory in the ordinary course of business and Permitted Transfers, (v) relocations of Equipment and other property having an aggregate value of up to $250,000 in any fiscal year, (w)</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460"/>
        <w:spacing w:after="0"/>
        <w:rPr>
          <w:sz w:val="20"/>
          <w:szCs w:val="20"/>
          <w:color w:val="auto"/>
        </w:rPr>
      </w:pPr>
      <w:r>
        <w:rPr>
          <w:rFonts w:ascii="Arial" w:cs="Arial" w:eastAsia="Arial" w:hAnsi="Arial"/>
          <w:sz w:val="19"/>
          <w:szCs w:val="19"/>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307340</wp:posOffset>
            </wp:positionV>
            <wp:extent cx="6311265" cy="2222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480"/>
          </w:cols>
          <w:pgMar w:left="1440" w:top="781" w:right="979" w:bottom="1440" w:gutter="0" w:footer="0" w:header="0"/>
        </w:sectPr>
      </w:pPr>
    </w:p>
    <w:bookmarkStart w:id="158" w:name="page159"/>
    <w:bookmarkEnd w:id="158"/>
    <w:p>
      <w:pPr>
        <w:jc w:val="both"/>
        <w:ind w:left="500" w:right="20"/>
        <w:spacing w:after="0" w:line="236" w:lineRule="auto"/>
        <w:rPr>
          <w:sz w:val="20"/>
          <w:szCs w:val="20"/>
          <w:color w:val="auto"/>
        </w:rPr>
      </w:pPr>
      <w:r>
        <w:rPr>
          <w:rFonts w:ascii="Arial" w:cs="Arial" w:eastAsia="Arial" w:hAnsi="Arial"/>
          <w:sz w:val="19"/>
          <w:szCs w:val="19"/>
          <w:color w:val="auto"/>
        </w:rPr>
        <w:t>relocations of Collateral from a location described on Exhibit B to another location described on Exhibit B, (x) locations of mobile equipment, including phones, tablets and computers with employees and consultants in the ordinary course of business, (y) locations where Collateral may be temporarily located for sales, testing or demonstration purposes in the ordinary course of business, (z) locations where biopharmaceutical compounds and therapeutic materials are located in the ordinary course of business in connection with clinical trials and development arrangements) unless (i) it has provided prompt written notice to Agent, (ii) such relocation is within the continental United States of America and, (iii) if such relocation is to a third party bailee, it has delivered a bailee agreement in form and substance reasonably acceptable to Agent.</w:t>
      </w:r>
    </w:p>
    <w:p>
      <w:pPr>
        <w:spacing w:after="0" w:line="168" w:lineRule="exact"/>
        <w:rPr>
          <w:sz w:val="20"/>
          <w:szCs w:val="20"/>
          <w:color w:val="auto"/>
        </w:rPr>
      </w:pPr>
    </w:p>
    <w:p>
      <w:pPr>
        <w:jc w:val="both"/>
        <w:ind w:left="500" w:firstLine="566"/>
        <w:spacing w:after="0" w:line="274" w:lineRule="auto"/>
        <w:rPr>
          <w:sz w:val="20"/>
          <w:szCs w:val="20"/>
          <w:color w:val="auto"/>
        </w:rPr>
      </w:pPr>
      <w:r>
        <w:rPr>
          <w:rFonts w:ascii="Arial" w:cs="Arial" w:eastAsia="Arial" w:hAnsi="Arial"/>
          <w:sz w:val="17"/>
          <w:szCs w:val="17"/>
          <w:color w:val="auto"/>
        </w:rPr>
        <w:t>7.12 Deposit Accounts. Neither Borrower nor any Subsidiary (other than Excluded Subsidiaries) shall maintain any Deposit Accounts, or accounts holding Investment Property, except with respect to which Agent has an Account Control Agreement; provided that no Account Control Agreement shall be required for Excluded Accounts. No Excluded Subsidiary shall maintain any Deposit Accounts, or accounts holding Investment Property holding more than Five Hundred Thousand Dollars ($500,000) in the aggregate for all such Accounts of all Excluded Subsidiaries at any time.</w:t>
      </w:r>
    </w:p>
    <w:p>
      <w:pPr>
        <w:spacing w:after="0" w:line="134" w:lineRule="exact"/>
        <w:rPr>
          <w:sz w:val="20"/>
          <w:szCs w:val="20"/>
          <w:color w:val="auto"/>
        </w:rPr>
      </w:pPr>
    </w:p>
    <w:p>
      <w:pPr>
        <w:jc w:val="both"/>
        <w:ind w:left="500" w:right="20" w:firstLine="566"/>
        <w:spacing w:after="0" w:line="253" w:lineRule="auto"/>
        <w:rPr>
          <w:sz w:val="20"/>
          <w:szCs w:val="20"/>
          <w:color w:val="auto"/>
        </w:rPr>
      </w:pPr>
      <w:r>
        <w:rPr>
          <w:rFonts w:ascii="Arial" w:cs="Arial" w:eastAsia="Arial" w:hAnsi="Arial"/>
          <w:sz w:val="18"/>
          <w:szCs w:val="18"/>
          <w:color w:val="auto"/>
        </w:rPr>
        <w:t>7.13 Borrower shall notify Agent of each Subsidiary formed or acquired subsequent to the Closing Date and, at within 20 days such formation or acquisition (including, without limitation, pursuant to a division), as applicable, unless otherwise approved in writing by Agent in its sole discretion, shall cause any such Subsidiary (other than Excluded Subsidiaries) to execute and deliver to Agent a Joinder Agreement. If at any time, the Excluded Subsidiary Condition is not satisfied, Borrower shall promptly cause one or more Subsidiaries to execute and deliver to Agent a Joinder Agreement such that, after giving effect to such Joinder Agreement, the Excluded Subsidiary Conditions is satisfied.</w:t>
      </w:r>
    </w:p>
    <w:p>
      <w:pPr>
        <w:spacing w:after="0" w:line="153" w:lineRule="exact"/>
        <w:rPr>
          <w:sz w:val="20"/>
          <w:szCs w:val="20"/>
          <w:color w:val="auto"/>
        </w:rPr>
      </w:pPr>
    </w:p>
    <w:p>
      <w:pPr>
        <w:jc w:val="both"/>
        <w:ind w:left="500" w:right="20" w:firstLine="566"/>
        <w:spacing w:after="0" w:line="244" w:lineRule="auto"/>
        <w:rPr>
          <w:sz w:val="20"/>
          <w:szCs w:val="20"/>
          <w:color w:val="auto"/>
        </w:rPr>
      </w:pPr>
      <w:r>
        <w:rPr>
          <w:rFonts w:ascii="Arial" w:cs="Arial" w:eastAsia="Arial" w:hAnsi="Arial"/>
          <w:sz w:val="19"/>
          <w:szCs w:val="19"/>
          <w:color w:val="auto"/>
        </w:rPr>
        <w:t>7.14 Excluded Subsidiaries. Borrower shall not permit the Excluded Subsidiaries to: (a) have outstanding liabilities in excess of $750,000 in the aggregate at any time, or (b) own any Intellectual Property material to the business of Borrower or Borrower and its Subsidiaries, taken as a whole.</w:t>
      </w:r>
    </w:p>
    <w:p>
      <w:pPr>
        <w:spacing w:after="0" w:line="159" w:lineRule="exact"/>
        <w:rPr>
          <w:sz w:val="20"/>
          <w:szCs w:val="20"/>
          <w:color w:val="auto"/>
        </w:rPr>
      </w:pPr>
    </w:p>
    <w:p>
      <w:pPr>
        <w:jc w:val="both"/>
        <w:ind w:left="500" w:right="20" w:firstLine="566"/>
        <w:spacing w:after="0" w:line="256" w:lineRule="auto"/>
        <w:rPr>
          <w:sz w:val="20"/>
          <w:szCs w:val="20"/>
          <w:color w:val="auto"/>
        </w:rPr>
      </w:pPr>
      <w:r>
        <w:rPr>
          <w:rFonts w:ascii="Arial" w:cs="Arial" w:eastAsia="Arial" w:hAnsi="Arial"/>
          <w:sz w:val="19"/>
          <w:szCs w:val="19"/>
          <w:color w:val="auto"/>
        </w:rPr>
        <w:t>7.15 Notification of Event of Default. Borrower shall notify Agent immediately of the occurrence of any Event of Default.</w:t>
      </w:r>
    </w:p>
    <w:p>
      <w:pPr>
        <w:spacing w:after="0" w:line="147" w:lineRule="exact"/>
        <w:rPr>
          <w:sz w:val="20"/>
          <w:szCs w:val="20"/>
          <w:color w:val="auto"/>
        </w:rPr>
      </w:pPr>
    </w:p>
    <w:p>
      <w:pPr>
        <w:jc w:val="both"/>
        <w:ind w:left="500" w:right="20" w:firstLine="566"/>
        <w:spacing w:after="0" w:line="256" w:lineRule="auto"/>
        <w:rPr>
          <w:sz w:val="20"/>
          <w:szCs w:val="20"/>
          <w:color w:val="auto"/>
        </w:rPr>
      </w:pPr>
      <w:r>
        <w:rPr>
          <w:rFonts w:ascii="Arial" w:cs="Arial" w:eastAsia="Arial" w:hAnsi="Arial"/>
          <w:sz w:val="19"/>
          <w:szCs w:val="19"/>
          <w:color w:val="auto"/>
        </w:rPr>
        <w:t>7.16 Regulatory and Product Notices. The Borrower shall promptly (but in any event within three (3) days) after the receipt or occurrence thereof notify Agent of:</w:t>
      </w:r>
    </w:p>
    <w:p>
      <w:pPr>
        <w:spacing w:after="0" w:line="147" w:lineRule="exact"/>
        <w:rPr>
          <w:sz w:val="20"/>
          <w:szCs w:val="20"/>
          <w:color w:val="auto"/>
        </w:rPr>
      </w:pPr>
    </w:p>
    <w:p>
      <w:pPr>
        <w:ind w:right="20" w:firstLine="1694"/>
        <w:spacing w:after="0" w:line="256" w:lineRule="auto"/>
        <w:tabs>
          <w:tab w:leader="none" w:pos="2347" w:val="left"/>
        </w:tabs>
        <w:numPr>
          <w:ilvl w:val="0"/>
          <w:numId w:val="84"/>
        </w:numPr>
        <w:rPr>
          <w:rFonts w:ascii="Arial" w:cs="Arial" w:eastAsia="Arial" w:hAnsi="Arial"/>
          <w:sz w:val="19"/>
          <w:szCs w:val="19"/>
          <w:color w:val="010000"/>
        </w:rPr>
      </w:pPr>
      <w:r>
        <w:rPr>
          <w:rFonts w:ascii="Arial" w:cs="Arial" w:eastAsia="Arial" w:hAnsi="Arial"/>
          <w:sz w:val="19"/>
          <w:szCs w:val="19"/>
          <w:color w:val="auto"/>
        </w:rPr>
        <w:t>any written notice received by Borrower or its Subsidiaries alleging potential or actual violations of any Public Health Law by Borrower or its Subsidiaries,</w:t>
      </w:r>
    </w:p>
    <w:p>
      <w:pPr>
        <w:spacing w:after="0" w:line="146" w:lineRule="exact"/>
        <w:rPr>
          <w:rFonts w:ascii="Arial" w:cs="Arial" w:eastAsia="Arial" w:hAnsi="Arial"/>
          <w:sz w:val="19"/>
          <w:szCs w:val="19"/>
          <w:color w:val="010000"/>
        </w:rPr>
      </w:pPr>
    </w:p>
    <w:p>
      <w:pPr>
        <w:ind w:right="20" w:firstLine="1694"/>
        <w:spacing w:after="0" w:line="256" w:lineRule="auto"/>
        <w:tabs>
          <w:tab w:leader="none" w:pos="2294" w:val="left"/>
        </w:tabs>
        <w:numPr>
          <w:ilvl w:val="0"/>
          <w:numId w:val="84"/>
        </w:numPr>
        <w:rPr>
          <w:rFonts w:ascii="Arial" w:cs="Arial" w:eastAsia="Arial" w:hAnsi="Arial"/>
          <w:sz w:val="19"/>
          <w:szCs w:val="19"/>
          <w:color w:val="010000"/>
        </w:rPr>
      </w:pPr>
      <w:r>
        <w:rPr>
          <w:rFonts w:ascii="Arial" w:cs="Arial" w:eastAsia="Arial" w:hAnsi="Arial"/>
          <w:sz w:val="19"/>
          <w:szCs w:val="19"/>
          <w:color w:val="auto"/>
        </w:rPr>
        <w:t>any written notice that the FDA (or international equivalent) is limiting, suspending or revoking any Registration (including, but not limited to, by the issuance of a clinical hold),</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307340</wp:posOffset>
            </wp:positionV>
            <wp:extent cx="6311265" cy="2222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940"/>
          </w:cols>
          <w:pgMar w:left="980" w:top="781" w:right="979" w:bottom="1440" w:gutter="0" w:footer="0" w:header="0"/>
        </w:sectPr>
      </w:pPr>
    </w:p>
    <w:bookmarkStart w:id="159" w:name="page160"/>
    <w:bookmarkEnd w:id="159"/>
    <w:p>
      <w:pPr>
        <w:ind w:left="2260" w:hanging="566"/>
        <w:spacing w:after="0"/>
        <w:tabs>
          <w:tab w:leader="none" w:pos="2260" w:val="left"/>
        </w:tabs>
        <w:numPr>
          <w:ilvl w:val="0"/>
          <w:numId w:val="85"/>
        </w:numPr>
        <w:rPr>
          <w:rFonts w:ascii="Arial" w:cs="Arial" w:eastAsia="Arial" w:hAnsi="Arial"/>
          <w:sz w:val="17"/>
          <w:szCs w:val="17"/>
          <w:color w:val="010000"/>
        </w:rPr>
      </w:pPr>
      <w:r>
        <w:rPr>
          <w:rFonts w:ascii="Arial" w:cs="Arial" w:eastAsia="Arial" w:hAnsi="Arial"/>
          <w:sz w:val="17"/>
          <w:szCs w:val="17"/>
          <w:color w:val="auto"/>
        </w:rPr>
        <w:t>any written notice that Borrower or its Subsidiaries has become subject to any Regulatory Action,</w:t>
      </w:r>
    </w:p>
    <w:p>
      <w:pPr>
        <w:spacing w:after="0" w:line="205" w:lineRule="exact"/>
        <w:rPr>
          <w:rFonts w:ascii="Arial" w:cs="Arial" w:eastAsia="Arial" w:hAnsi="Arial"/>
          <w:sz w:val="17"/>
          <w:szCs w:val="17"/>
          <w:color w:val="010000"/>
        </w:rPr>
      </w:pPr>
    </w:p>
    <w:p>
      <w:pPr>
        <w:ind w:right="20" w:firstLine="1694"/>
        <w:spacing w:after="0" w:line="256" w:lineRule="auto"/>
        <w:tabs>
          <w:tab w:leader="none" w:pos="2689" w:val="left"/>
        </w:tabs>
        <w:numPr>
          <w:ilvl w:val="0"/>
          <w:numId w:val="85"/>
        </w:numPr>
        <w:rPr>
          <w:rFonts w:ascii="Arial" w:cs="Arial" w:eastAsia="Arial" w:hAnsi="Arial"/>
          <w:sz w:val="19"/>
          <w:szCs w:val="19"/>
          <w:color w:val="010000"/>
        </w:rPr>
      </w:pPr>
      <w:r>
        <w:rPr>
          <w:rFonts w:ascii="Arial" w:cs="Arial" w:eastAsia="Arial" w:hAnsi="Arial"/>
          <w:sz w:val="19"/>
          <w:szCs w:val="19"/>
          <w:color w:val="auto"/>
        </w:rPr>
        <w:t>the exclusion or debarment from any governmental healthcare program or debarment or disqualification by FDA (or international equivalent) of Borrower or its Subsidiaries or its or their authorized officers,</w:t>
      </w:r>
    </w:p>
    <w:p>
      <w:pPr>
        <w:spacing w:after="0" w:line="146" w:lineRule="exact"/>
        <w:rPr>
          <w:rFonts w:ascii="Arial" w:cs="Arial" w:eastAsia="Arial" w:hAnsi="Arial"/>
          <w:sz w:val="19"/>
          <w:szCs w:val="19"/>
          <w:color w:val="010000"/>
        </w:rPr>
      </w:pPr>
    </w:p>
    <w:p>
      <w:pPr>
        <w:jc w:val="both"/>
        <w:ind w:right="20" w:firstLine="1694"/>
        <w:spacing w:after="0" w:line="244" w:lineRule="auto"/>
        <w:tabs>
          <w:tab w:leader="none" w:pos="2413" w:val="left"/>
        </w:tabs>
        <w:numPr>
          <w:ilvl w:val="0"/>
          <w:numId w:val="85"/>
        </w:numPr>
        <w:rPr>
          <w:rFonts w:ascii="Arial" w:cs="Arial" w:eastAsia="Arial" w:hAnsi="Arial"/>
          <w:sz w:val="19"/>
          <w:szCs w:val="19"/>
          <w:color w:val="010000"/>
        </w:rPr>
      </w:pPr>
      <w:r>
        <w:rPr>
          <w:rFonts w:ascii="Arial" w:cs="Arial" w:eastAsia="Arial" w:hAnsi="Arial"/>
          <w:sz w:val="19"/>
          <w:szCs w:val="19"/>
          <w:color w:val="auto"/>
        </w:rPr>
        <w:t>any notice that a Borrower or any Subsidiary, or any of their licensees or sublicensees (including licensees or sublicensees under any Material Agreement), is being investigated or is the subject of any allegation of potential or actual violations of any Federal Health Care Program Laws,</w:t>
      </w:r>
    </w:p>
    <w:p>
      <w:pPr>
        <w:spacing w:after="0" w:line="158" w:lineRule="exact"/>
        <w:rPr>
          <w:rFonts w:ascii="Arial" w:cs="Arial" w:eastAsia="Arial" w:hAnsi="Arial"/>
          <w:sz w:val="19"/>
          <w:szCs w:val="19"/>
          <w:color w:val="010000"/>
        </w:rPr>
      </w:pPr>
    </w:p>
    <w:p>
      <w:pPr>
        <w:jc w:val="both"/>
        <w:ind w:right="20" w:firstLine="1694"/>
        <w:spacing w:after="0" w:line="241" w:lineRule="auto"/>
        <w:tabs>
          <w:tab w:leader="none" w:pos="2442" w:val="left"/>
        </w:tabs>
        <w:numPr>
          <w:ilvl w:val="0"/>
          <w:numId w:val="85"/>
        </w:numPr>
        <w:rPr>
          <w:rFonts w:ascii="Arial" w:cs="Arial" w:eastAsia="Arial" w:hAnsi="Arial"/>
          <w:sz w:val="19"/>
          <w:szCs w:val="19"/>
          <w:color w:val="010000"/>
        </w:rPr>
      </w:pPr>
      <w:r>
        <w:rPr>
          <w:rFonts w:ascii="Arial" w:cs="Arial" w:eastAsia="Arial" w:hAnsi="Arial"/>
          <w:sz w:val="19"/>
          <w:szCs w:val="19"/>
          <w:color w:val="auto"/>
        </w:rPr>
        <w:t>any written notice that any product of Borrower or its Subsidiaries has been seized, withdrawn, recalled, detained, or subject to a suspension of manufacturing, or the commencement of any proceedings in the United States or any other jurisdiction seeking the withdrawal, recall, suspension, import detention, or seizure of any Borrower Product are pending or threatened in writing against Borrower or its Subsidiaries,</w:t>
      </w:r>
    </w:p>
    <w:p>
      <w:pPr>
        <w:spacing w:after="0" w:line="159" w:lineRule="exact"/>
        <w:rPr>
          <w:rFonts w:ascii="Arial" w:cs="Arial" w:eastAsia="Arial" w:hAnsi="Arial"/>
          <w:sz w:val="19"/>
          <w:szCs w:val="19"/>
          <w:color w:val="010000"/>
        </w:rPr>
      </w:pPr>
    </w:p>
    <w:p>
      <w:pPr>
        <w:ind w:right="20" w:firstLine="1694"/>
        <w:spacing w:after="0" w:line="256" w:lineRule="auto"/>
        <w:tabs>
          <w:tab w:leader="none" w:pos="2341" w:val="left"/>
        </w:tabs>
        <w:numPr>
          <w:ilvl w:val="0"/>
          <w:numId w:val="85"/>
        </w:numPr>
        <w:rPr>
          <w:rFonts w:ascii="Arial" w:cs="Arial" w:eastAsia="Arial" w:hAnsi="Arial"/>
          <w:sz w:val="19"/>
          <w:szCs w:val="19"/>
          <w:color w:val="010000"/>
        </w:rPr>
      </w:pPr>
      <w:r>
        <w:rPr>
          <w:rFonts w:ascii="Arial" w:cs="Arial" w:eastAsia="Arial" w:hAnsi="Arial"/>
          <w:sz w:val="19"/>
          <w:szCs w:val="19"/>
          <w:color w:val="auto"/>
        </w:rPr>
        <w:t>changing the scope of marketing authorization or the labeling of the products of Borrower and its Subsidiaries under any such Registration, or</w:t>
      </w:r>
    </w:p>
    <w:p>
      <w:pPr>
        <w:spacing w:after="0" w:line="146" w:lineRule="exact"/>
        <w:rPr>
          <w:rFonts w:ascii="Arial" w:cs="Arial" w:eastAsia="Arial" w:hAnsi="Arial"/>
          <w:sz w:val="19"/>
          <w:szCs w:val="19"/>
          <w:color w:val="010000"/>
        </w:rPr>
      </w:pPr>
    </w:p>
    <w:p>
      <w:pPr>
        <w:ind w:left="2260" w:hanging="566"/>
        <w:spacing w:after="0"/>
        <w:tabs>
          <w:tab w:leader="none" w:pos="2260" w:val="left"/>
        </w:tabs>
        <w:numPr>
          <w:ilvl w:val="0"/>
          <w:numId w:val="85"/>
        </w:numPr>
        <w:rPr>
          <w:rFonts w:ascii="Arial" w:cs="Arial" w:eastAsia="Arial" w:hAnsi="Arial"/>
          <w:sz w:val="19"/>
          <w:szCs w:val="19"/>
          <w:color w:val="010000"/>
        </w:rPr>
      </w:pPr>
      <w:r>
        <w:rPr>
          <w:rFonts w:ascii="Arial" w:cs="Arial" w:eastAsia="Arial" w:hAnsi="Arial"/>
          <w:sz w:val="19"/>
          <w:szCs w:val="19"/>
          <w:color w:val="auto"/>
        </w:rPr>
        <w:t>considering or implementing any other such regulatory action,</w:t>
      </w:r>
    </w:p>
    <w:p>
      <w:pPr>
        <w:spacing w:after="0" w:line="182" w:lineRule="exact"/>
        <w:rPr>
          <w:sz w:val="20"/>
          <w:szCs w:val="20"/>
          <w:color w:val="auto"/>
        </w:rPr>
      </w:pPr>
    </w:p>
    <w:p>
      <w:pPr>
        <w:ind w:right="20"/>
        <w:spacing w:after="0" w:line="256" w:lineRule="auto"/>
        <w:rPr>
          <w:sz w:val="20"/>
          <w:szCs w:val="20"/>
          <w:color w:val="auto"/>
        </w:rPr>
      </w:pPr>
      <w:r>
        <w:rPr>
          <w:rFonts w:ascii="Arial" w:cs="Arial" w:eastAsia="Arial" w:hAnsi="Arial"/>
          <w:sz w:val="19"/>
          <w:szCs w:val="19"/>
          <w:color w:val="auto"/>
        </w:rPr>
        <w:t>except, in each case of (i) through (viii) above, where such action would not reasonably be expected to have, either individually or in the aggregate, Material Regulatory Liabilities.</w:t>
      </w:r>
    </w:p>
    <w:p>
      <w:pPr>
        <w:spacing w:after="0" w:line="147" w:lineRule="exact"/>
        <w:rPr>
          <w:sz w:val="20"/>
          <w:szCs w:val="20"/>
          <w:color w:val="auto"/>
        </w:rPr>
      </w:pPr>
    </w:p>
    <w:p>
      <w:pPr>
        <w:jc w:val="both"/>
        <w:ind w:left="500" w:right="20" w:firstLine="566"/>
        <w:spacing w:after="0" w:line="241" w:lineRule="auto"/>
        <w:rPr>
          <w:sz w:val="20"/>
          <w:szCs w:val="20"/>
          <w:color w:val="auto"/>
        </w:rPr>
      </w:pPr>
      <w:r>
        <w:rPr>
          <w:rFonts w:ascii="Arial" w:cs="Arial" w:eastAsia="Arial" w:hAnsi="Arial"/>
          <w:sz w:val="19"/>
          <w:szCs w:val="19"/>
          <w:color w:val="auto"/>
        </w:rPr>
        <w:t>7.17 Use of Proceeds. Borrower agrees that the proceeds of the Loans shall be used solely to refinance existing indebtedness, to pay related fees and expenses in connection with this Agreement and for working capital and general corporate purposes. The proceeds of the Loans will not be used in violation of Anti-Corruption Laws or applicable Sanctions.</w:t>
      </w:r>
    </w:p>
    <w:p>
      <w:pPr>
        <w:spacing w:after="0" w:line="160" w:lineRule="exact"/>
        <w:rPr>
          <w:sz w:val="20"/>
          <w:szCs w:val="20"/>
          <w:color w:val="auto"/>
        </w:rPr>
      </w:pPr>
    </w:p>
    <w:p>
      <w:pPr>
        <w:jc w:val="both"/>
        <w:ind w:left="500" w:right="20" w:firstLine="566"/>
        <w:spacing w:after="0" w:line="244" w:lineRule="auto"/>
        <w:rPr>
          <w:sz w:val="20"/>
          <w:szCs w:val="20"/>
          <w:color w:val="auto"/>
        </w:rPr>
      </w:pPr>
      <w:r>
        <w:rPr>
          <w:rFonts w:ascii="Arial" w:cs="Arial" w:eastAsia="Arial" w:hAnsi="Arial"/>
          <w:sz w:val="19"/>
          <w:szCs w:val="19"/>
          <w:color w:val="auto"/>
        </w:rPr>
        <w:t>7.18 Material Agreement. The Borrower shall not, without the consent of the Agent, materially amend or terminate the Antecip License Agreement. The Borrower shall give prompt written notice to the Agent of entering into a Material Agreement or materially amending or terminating a Material Agreement.</w:t>
      </w:r>
    </w:p>
    <w:p>
      <w:pPr>
        <w:spacing w:after="0" w:line="159" w:lineRule="exact"/>
        <w:rPr>
          <w:sz w:val="20"/>
          <w:szCs w:val="20"/>
          <w:color w:val="auto"/>
        </w:rPr>
      </w:pPr>
    </w:p>
    <w:p>
      <w:pPr>
        <w:ind w:left="1060"/>
        <w:spacing w:after="0"/>
        <w:tabs>
          <w:tab w:leader="none" w:pos="1740" w:val="left"/>
        </w:tabs>
        <w:rPr>
          <w:sz w:val="20"/>
          <w:szCs w:val="20"/>
          <w:color w:val="auto"/>
        </w:rPr>
      </w:pPr>
      <w:r>
        <w:rPr>
          <w:rFonts w:ascii="Arial" w:cs="Arial" w:eastAsia="Arial" w:hAnsi="Arial"/>
          <w:sz w:val="19"/>
          <w:szCs w:val="19"/>
          <w:color w:val="auto"/>
        </w:rPr>
        <w:t>7.19</w:t>
      </w:r>
      <w:r>
        <w:rPr>
          <w:sz w:val="20"/>
          <w:szCs w:val="20"/>
          <w:color w:val="auto"/>
        </w:rPr>
        <w:tab/>
      </w:r>
      <w:r>
        <w:rPr>
          <w:rFonts w:ascii="Arial" w:cs="Arial" w:eastAsia="Arial" w:hAnsi="Arial"/>
          <w:sz w:val="17"/>
          <w:szCs w:val="17"/>
          <w:color w:val="auto"/>
        </w:rPr>
        <w:t>Compliance with Laws.</w:t>
      </w:r>
    </w:p>
    <w:p>
      <w:pPr>
        <w:spacing w:after="0" w:line="182" w:lineRule="exact"/>
        <w:rPr>
          <w:sz w:val="20"/>
          <w:szCs w:val="20"/>
          <w:color w:val="auto"/>
        </w:rPr>
      </w:pPr>
    </w:p>
    <w:p>
      <w:pPr>
        <w:jc w:val="both"/>
        <w:ind w:left="500" w:firstLine="1132"/>
        <w:spacing w:after="0" w:line="274" w:lineRule="auto"/>
        <w:rPr>
          <w:sz w:val="20"/>
          <w:szCs w:val="20"/>
          <w:color w:val="auto"/>
        </w:rPr>
      </w:pPr>
      <w:r>
        <w:rPr>
          <w:rFonts w:ascii="Arial" w:cs="Arial" w:eastAsia="Arial" w:hAnsi="Arial"/>
          <w:sz w:val="17"/>
          <w:szCs w:val="17"/>
          <w:color w:val="auto"/>
        </w:rPr>
        <w:t>Borrower shall maintain, and shall cause its Subsidiaries to maintain, compliance in all material respects with all applicable laws, rules or regulations (including any law, rule or regulation with respect to the making or brokering of loans or financial accommodations), and shall, or cause its Subsidiaries to, obtain and maintain all required governmental authorizations, approvals, licenses, franchises, permits or registrations reasonably necessary in connection with the conduct of Borrower’s business except where a failure to do so could not reasonably be expected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307340</wp:posOffset>
            </wp:positionV>
            <wp:extent cx="6311265" cy="2222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940"/>
          </w:cols>
          <w:pgMar w:left="980" w:top="781" w:right="979" w:bottom="1440" w:gutter="0" w:footer="0" w:header="0"/>
        </w:sectPr>
      </w:pPr>
    </w:p>
    <w:bookmarkStart w:id="160" w:name="page161"/>
    <w:bookmarkEnd w:id="160"/>
    <w:p>
      <w:pPr>
        <w:jc w:val="both"/>
        <w:ind w:left="80" w:firstLine="1132"/>
        <w:spacing w:after="0" w:line="250" w:lineRule="auto"/>
        <w:rPr>
          <w:sz w:val="20"/>
          <w:szCs w:val="20"/>
          <w:color w:val="auto"/>
        </w:rPr>
      </w:pPr>
      <w:r>
        <w:rPr>
          <w:rFonts w:ascii="Arial" w:cs="Arial" w:eastAsia="Arial" w:hAnsi="Arial"/>
          <w:sz w:val="18"/>
          <w:szCs w:val="18"/>
          <w:color w:val="auto"/>
        </w:rPr>
        <w:t>Neither Borrower nor any of its Subsidiaries shall, nor shall Borrower or any of its Subsidiaries permit any Affiliate controlled by Borrower to, directly or indirectly, knowingly enter into any documents, instruments, agreements or contracts with any Person listed on the OFAC Lists. Neither Borrower nor any of its Subsidiaries shall, nor shall Borrower or any of its Subsidiaries, permit any Affiliate controlled by Borrower to, directly or indirectly, (i) conduct any business or engage in any transaction or dealing with any Blocked Person, including, without limitation, the making or receiving of any contribution of funds, goods or services to or for the benefit of any Blocked Person, (ii) deal in, or otherwise engage in any transaction relating to, any property or interests in property blocked pursuant to Executive Order No. 13224 or any similar executive order or other Anti-Terrorism Law, or (iii) engage in or conspire to engage in any transaction that evades or avoids, or has the purpose of evading or avoiding, or attempts to violate, any of the prohibitions set forth in Executive Order No. 13224 or other Anti-Terrorism Law.</w:t>
      </w:r>
    </w:p>
    <w:p>
      <w:pPr>
        <w:spacing w:after="0" w:line="155" w:lineRule="exact"/>
        <w:rPr>
          <w:sz w:val="20"/>
          <w:szCs w:val="20"/>
          <w:color w:val="auto"/>
        </w:rPr>
      </w:pPr>
    </w:p>
    <w:p>
      <w:pPr>
        <w:jc w:val="both"/>
        <w:ind w:right="20" w:firstLine="1132"/>
        <w:spacing w:after="0" w:line="239" w:lineRule="auto"/>
        <w:rPr>
          <w:sz w:val="20"/>
          <w:szCs w:val="20"/>
          <w:color w:val="auto"/>
        </w:rPr>
      </w:pPr>
      <w:r>
        <w:rPr>
          <w:rFonts w:ascii="Arial" w:cs="Arial" w:eastAsia="Arial" w:hAnsi="Arial"/>
          <w:sz w:val="19"/>
          <w:szCs w:val="19"/>
          <w:color w:val="auto"/>
        </w:rPr>
        <w:t>Borrower has implemented and maintains in effect policies and procedures designed to ensure compliance by the Borrower, its Subsidiaries and their respective directors, officers, employees and agents with Anti-Corruption Laws and applicable Sanctions, and Borrower, its Subsidiaries and their respective officers and employees and to the knowledge of Borrower its directors and agents, are in compliance with Anti-Corruption Laws and applicable Sanctions in all material respects.</w:t>
      </w:r>
    </w:p>
    <w:p>
      <w:pPr>
        <w:spacing w:after="0" w:line="162" w:lineRule="exact"/>
        <w:rPr>
          <w:sz w:val="20"/>
          <w:szCs w:val="20"/>
          <w:color w:val="auto"/>
        </w:rPr>
      </w:pPr>
    </w:p>
    <w:p>
      <w:pPr>
        <w:jc w:val="both"/>
        <w:ind w:right="20" w:firstLine="1132"/>
        <w:spacing w:after="0" w:line="258" w:lineRule="auto"/>
        <w:rPr>
          <w:sz w:val="20"/>
          <w:szCs w:val="20"/>
          <w:color w:val="auto"/>
        </w:rPr>
      </w:pPr>
      <w:r>
        <w:rPr>
          <w:rFonts w:ascii="Arial" w:cs="Arial" w:eastAsia="Arial" w:hAnsi="Arial"/>
          <w:sz w:val="18"/>
          <w:szCs w:val="18"/>
          <w:color w:val="auto"/>
        </w:rPr>
        <w:t>None of Borrower, any of its Subsidiaries or any of their respective directors, officers or employees, or to the knowledge of Borrower, any agent for Borrower or its Subsidiaries that will act in any capacity in connection with or benefit from the credit facility established hereby, is a Sanctioned Person. No Loan, use of proceeds or other transaction contemplated by this Agreement will violate Anti-Corruption Laws or applicable Sanctions.</w:t>
      </w:r>
    </w:p>
    <w:p>
      <w:pPr>
        <w:spacing w:after="0" w:line="147"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9"/>
          <w:szCs w:val="19"/>
          <w:color w:val="auto"/>
        </w:rPr>
        <w:t>7.20</w:t>
      </w:r>
      <w:r>
        <w:rPr>
          <w:sz w:val="20"/>
          <w:szCs w:val="20"/>
          <w:color w:val="auto"/>
        </w:rPr>
        <w:tab/>
      </w:r>
      <w:r>
        <w:rPr>
          <w:rFonts w:ascii="Arial" w:cs="Arial" w:eastAsia="Arial" w:hAnsi="Arial"/>
          <w:sz w:val="17"/>
          <w:szCs w:val="17"/>
          <w:color w:val="auto"/>
        </w:rPr>
        <w:t>Financial Covenants.</w:t>
      </w:r>
    </w:p>
    <w:p>
      <w:pPr>
        <w:spacing w:after="0" w:line="182" w:lineRule="exact"/>
        <w:rPr>
          <w:sz w:val="20"/>
          <w:szCs w:val="20"/>
          <w:color w:val="auto"/>
        </w:rPr>
      </w:pPr>
    </w:p>
    <w:p>
      <w:pPr>
        <w:ind w:left="1380" w:hanging="672"/>
        <w:spacing w:after="0"/>
        <w:tabs>
          <w:tab w:leader="none" w:pos="1380" w:val="left"/>
        </w:tabs>
        <w:numPr>
          <w:ilvl w:val="0"/>
          <w:numId w:val="86"/>
        </w:numPr>
        <w:rPr>
          <w:rFonts w:ascii="Arial" w:cs="Arial" w:eastAsia="Arial" w:hAnsi="Arial"/>
          <w:sz w:val="19"/>
          <w:szCs w:val="19"/>
          <w:color w:val="auto"/>
        </w:rPr>
      </w:pPr>
      <w:r>
        <w:rPr>
          <w:rFonts w:ascii="Arial" w:cs="Arial" w:eastAsia="Arial" w:hAnsi="Arial"/>
          <w:sz w:val="19"/>
          <w:szCs w:val="19"/>
          <w:color w:val="auto"/>
        </w:rPr>
        <w:t>Minimum Cash.</w:t>
      </w:r>
    </w:p>
    <w:p>
      <w:pPr>
        <w:spacing w:after="0" w:line="182" w:lineRule="exact"/>
        <w:rPr>
          <w:rFonts w:ascii="Arial" w:cs="Arial" w:eastAsia="Arial" w:hAnsi="Arial"/>
          <w:sz w:val="19"/>
          <w:szCs w:val="19"/>
          <w:color w:val="auto"/>
        </w:rPr>
      </w:pPr>
    </w:p>
    <w:p>
      <w:pPr>
        <w:jc w:val="both"/>
        <w:ind w:left="700" w:firstLine="574"/>
        <w:spacing w:after="0" w:line="244" w:lineRule="auto"/>
        <w:tabs>
          <w:tab w:leader="none" w:pos="2049" w:val="left"/>
        </w:tabs>
        <w:numPr>
          <w:ilvl w:val="1"/>
          <w:numId w:val="86"/>
        </w:numPr>
        <w:rPr>
          <w:rFonts w:ascii="Arial" w:cs="Arial" w:eastAsia="Arial" w:hAnsi="Arial"/>
          <w:sz w:val="19"/>
          <w:szCs w:val="19"/>
          <w:color w:val="auto"/>
        </w:rPr>
      </w:pPr>
      <w:r>
        <w:rPr>
          <w:rFonts w:ascii="Arial" w:cs="Arial" w:eastAsia="Arial" w:hAnsi="Arial"/>
          <w:sz w:val="19"/>
          <w:szCs w:val="19"/>
          <w:color w:val="auto"/>
        </w:rPr>
        <w:t xml:space="preserve">If the Initial Minimum Cash Test Date has occurred, Borrower shall thereafter maintain Qualified Cash in an amount greater than or equal to the sum of Fifteen Million Dollars ($15,000,000) </w:t>
      </w:r>
      <w:r>
        <w:rPr>
          <w:rFonts w:ascii="Arial" w:cs="Arial" w:eastAsia="Arial" w:hAnsi="Arial"/>
          <w:sz w:val="19"/>
          <w:szCs w:val="19"/>
          <w:i w:val="1"/>
          <w:iCs w:val="1"/>
          <w:color w:val="auto"/>
        </w:rPr>
        <w:t>plus</w:t>
      </w:r>
      <w:r>
        <w:rPr>
          <w:rFonts w:ascii="Arial" w:cs="Arial" w:eastAsia="Arial" w:hAnsi="Arial"/>
          <w:sz w:val="19"/>
          <w:szCs w:val="19"/>
          <w:color w:val="auto"/>
        </w:rPr>
        <w:t xml:space="preserve"> the Qualified Cash A/P Amount at all times.</w:t>
      </w:r>
    </w:p>
    <w:p>
      <w:pPr>
        <w:spacing w:after="0" w:line="158" w:lineRule="exact"/>
        <w:rPr>
          <w:rFonts w:ascii="Arial" w:cs="Arial" w:eastAsia="Arial" w:hAnsi="Arial"/>
          <w:sz w:val="19"/>
          <w:szCs w:val="19"/>
          <w:color w:val="auto"/>
        </w:rPr>
      </w:pPr>
    </w:p>
    <w:p>
      <w:pPr>
        <w:jc w:val="both"/>
        <w:ind w:left="700" w:right="20" w:firstLine="574"/>
        <w:spacing w:after="0" w:line="241" w:lineRule="auto"/>
        <w:tabs>
          <w:tab w:leader="none" w:pos="2007" w:val="left"/>
        </w:tabs>
        <w:numPr>
          <w:ilvl w:val="1"/>
          <w:numId w:val="86"/>
        </w:numPr>
        <w:rPr>
          <w:rFonts w:ascii="Arial" w:cs="Arial" w:eastAsia="Arial" w:hAnsi="Arial"/>
          <w:sz w:val="19"/>
          <w:szCs w:val="19"/>
          <w:color w:val="auto"/>
        </w:rPr>
      </w:pPr>
      <w:r>
        <w:rPr>
          <w:rFonts w:ascii="Arial" w:cs="Arial" w:eastAsia="Arial" w:hAnsi="Arial"/>
          <w:sz w:val="19"/>
          <w:szCs w:val="19"/>
          <w:color w:val="auto"/>
        </w:rPr>
        <w:t>If Borrower makes any payment in respect to the last sentence of the first paragraph of Section 7.7 or makes any other cash payment in respect of Permitted Convertible Debt, subject to satisfaction of the Redemption Conditions, Borrower shall, at all times thereafter, maintain Qualified Cash in the amount required by the defined term “Redemption Conditions”.</w:t>
      </w:r>
    </w:p>
    <w:p>
      <w:pPr>
        <w:spacing w:after="0" w:line="159" w:lineRule="exact"/>
        <w:rPr>
          <w:rFonts w:ascii="Arial" w:cs="Arial" w:eastAsia="Arial" w:hAnsi="Arial"/>
          <w:sz w:val="19"/>
          <w:szCs w:val="19"/>
          <w:color w:val="auto"/>
        </w:rPr>
      </w:pPr>
    </w:p>
    <w:p>
      <w:pPr>
        <w:jc w:val="both"/>
        <w:ind w:left="140" w:firstLine="568"/>
        <w:spacing w:after="0" w:line="244" w:lineRule="auto"/>
        <w:tabs>
          <w:tab w:leader="none" w:pos="1676" w:val="left"/>
        </w:tabs>
        <w:numPr>
          <w:ilvl w:val="0"/>
          <w:numId w:val="86"/>
        </w:numPr>
        <w:rPr>
          <w:rFonts w:ascii="Arial" w:cs="Arial" w:eastAsia="Arial" w:hAnsi="Arial"/>
          <w:sz w:val="19"/>
          <w:szCs w:val="19"/>
          <w:color w:val="auto"/>
        </w:rPr>
      </w:pPr>
      <w:r>
        <w:rPr>
          <w:rFonts w:ascii="Arial" w:cs="Arial" w:eastAsia="Arial" w:hAnsi="Arial"/>
          <w:sz w:val="19"/>
          <w:szCs w:val="19"/>
          <w:color w:val="auto"/>
        </w:rPr>
        <w:t>Performance Covenant. If the Initial Performance Covenant Test Date has occurred, Borrower shall thereafter satisfy either of (i) Performance Covenant A or Performance Covenant B, tested at all times, or (ii) Performance Covenant C, tested quarterly.</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440"/>
        <w:spacing w:after="0"/>
        <w:rPr>
          <w:sz w:val="20"/>
          <w:szCs w:val="20"/>
          <w:color w:val="auto"/>
        </w:rPr>
      </w:pPr>
      <w:r>
        <w:rPr>
          <w:rFonts w:ascii="Arial" w:cs="Arial" w:eastAsia="Arial" w:hAnsi="Arial"/>
          <w:sz w:val="19"/>
          <w:szCs w:val="19"/>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307340</wp:posOffset>
            </wp:positionV>
            <wp:extent cx="6311265" cy="2222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520"/>
          </w:cols>
          <w:pgMar w:left="1400" w:top="781" w:right="979" w:bottom="1440" w:gutter="0" w:footer="0" w:header="0"/>
        </w:sectPr>
      </w:pPr>
    </w:p>
    <w:bookmarkStart w:id="161" w:name="page162"/>
    <w:bookmarkEnd w:id="161"/>
    <w:p>
      <w:pPr>
        <w:jc w:val="both"/>
        <w:ind w:left="40" w:firstLine="566"/>
        <w:spacing w:after="0" w:line="262" w:lineRule="auto"/>
        <w:rPr>
          <w:sz w:val="20"/>
          <w:szCs w:val="20"/>
          <w:color w:val="auto"/>
        </w:rPr>
      </w:pPr>
      <w:r>
        <w:rPr>
          <w:rFonts w:ascii="Arial" w:cs="Arial" w:eastAsia="Arial" w:hAnsi="Arial"/>
          <w:sz w:val="17"/>
          <w:szCs w:val="17"/>
          <w:color w:val="auto"/>
        </w:rPr>
        <w:t>7.21 Intellectual Property. Each Borrower shall (i) protect, defend and maintain the validity and enforceability of its Intellectual Property that is material to the conduct of Borrower’s business; (ii) promptly advise Agent in writing of material infringements of its Intellectual Property; and (iii) not allow any Intellectual Property material to Borrowers’ business to be abandoned, forfeited or dedicated to the public without Agent’s written consent. If a Borrower (a) obtains any Patent, registered Trademark, registered Copyright, registered mask work, or any pending application for any of the foregoing, whether as owner, licensee or otherwise, or (b) applies for any Patent or the registration of any Trademark, then such Borrower shall concurrently with the delivery of the next Compliance Certificate required under Section 7.1(d), provide written notice thereof to Agent and shall execute such intellectual property security agreements and other documents and take such other actions as Agent may request in its good faith business judgment to perfect and maintain a first priority perfected security interest in favor of Agent in such property. If a Borrower decides to register any Copyrights or mask works in the United States Copyright Office, such Borrower shall: (x) provide Agent with at least fifteen (15) days prior written notice of such Borrower’s intent to register such Copyrights or mask works together with a copy of the application it intends to file with the United States Copyright Office (excluding exhibits thereto); (y) execute an intellectual property security agreement and such other documents and take such other actions as Agent may request in its good faith business judgment to perfect and maintain a first priority perfected security interest in favor of Agent in the Copyrights or mask works intended to be registered with the United States Copyright Office; and (z) record such intellectual property security agreement with the United States Copyright Office contemporaneously with filing the Copyright or mask work application(s) with the United States Copyright Office. Except as set forth in the most recently delivered Compliance Certificate in accordance with Section 7.1(d), provide to Agent (x) copies of all applications that it files for Patents or for the registration of Trademarks, Copyrights or mask works, or (y) evidence that it has acquired any registered Trademarks, in each case, together with evidence of the recording of the intellectual property security agreement required for Agent to perfect and maintain a first priority perfected security interest in such property. Borrower shall, together with the delivery of the next Compliance Certificate referred to in Section 7.01(d), provide written notice to Agent of entering into or becoming bound by any Restricted License (other than over-the-counter software that is commercially available to the public). Borrower shall use its commercially reasonable efforts take such steps as Agent reasonably requests to obtain the consent of, or waiver by, any person whose consent or waiver is necessary for (1) any Restricted License to be deemed “Collateral” and for Agent to have a security interest in it that might otherwise be restricted or prohibited by law or by the terms of any such Restricted License, whether now existing or entered into in the future, and (2) Agent to have the ability in the event of a liquidation of any Collateral to dispose of such Collateral in accordance with Agent’s rights and remedies under this Agreement and the other Loan Documents.</w:t>
      </w:r>
    </w:p>
    <w:p>
      <w:pPr>
        <w:spacing w:after="0" w:line="367" w:lineRule="exact"/>
        <w:rPr>
          <w:sz w:val="20"/>
          <w:szCs w:val="20"/>
          <w:color w:val="auto"/>
        </w:rPr>
      </w:pPr>
    </w:p>
    <w:p>
      <w:pPr>
        <w:jc w:val="both"/>
        <w:ind w:left="40" w:right="20" w:firstLine="566"/>
        <w:spacing w:after="0" w:line="256" w:lineRule="auto"/>
        <w:rPr>
          <w:sz w:val="20"/>
          <w:szCs w:val="20"/>
          <w:color w:val="auto"/>
        </w:rPr>
      </w:pPr>
      <w:r>
        <w:rPr>
          <w:rFonts w:ascii="Arial" w:cs="Arial" w:eastAsia="Arial" w:hAnsi="Arial"/>
          <w:sz w:val="19"/>
          <w:szCs w:val="19"/>
          <w:color w:val="auto"/>
        </w:rPr>
        <w:t>7.22 Transactions with Affiliates. Borrower shall not and shall not permit any Subsidiary to, directly or indirectly, enter into or permit to exist any transaction of any kind with any Affiliate of</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460"/>
        <w:spacing w:after="0"/>
        <w:rPr>
          <w:sz w:val="20"/>
          <w:szCs w:val="20"/>
          <w:color w:val="auto"/>
        </w:rPr>
      </w:pPr>
      <w:r>
        <w:rPr>
          <w:rFonts w:ascii="Arial" w:cs="Arial" w:eastAsia="Arial" w:hAnsi="Arial"/>
          <w:sz w:val="19"/>
          <w:szCs w:val="19"/>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307340</wp:posOffset>
            </wp:positionV>
            <wp:extent cx="6311265" cy="2222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480"/>
          </w:cols>
          <w:pgMar w:left="1440" w:top="781" w:right="979" w:bottom="1440" w:gutter="0" w:footer="0" w:header="0"/>
        </w:sectPr>
      </w:pPr>
    </w:p>
    <w:bookmarkStart w:id="162" w:name="page163"/>
    <w:bookmarkEnd w:id="162"/>
    <w:p>
      <w:pPr>
        <w:jc w:val="both"/>
        <w:ind w:left="40"/>
        <w:spacing w:after="0" w:line="267" w:lineRule="auto"/>
        <w:rPr>
          <w:sz w:val="20"/>
          <w:szCs w:val="20"/>
          <w:color w:val="auto"/>
        </w:rPr>
      </w:pPr>
      <w:r>
        <w:rPr>
          <w:rFonts w:ascii="Arial" w:cs="Arial" w:eastAsia="Arial" w:hAnsi="Arial"/>
          <w:sz w:val="17"/>
          <w:szCs w:val="17"/>
          <w:color w:val="auto"/>
        </w:rPr>
        <w:t>Borrower or such Subsidiary except for (a) transactions on terms that are not less favorable to Borrower or such Subsidiary, as the case may be, than those that might be obtained in an arm’s length transaction from a Person who is not an Affiliate of Borrower or such Subsidiary, (b) transactions between or among the Borrowers not involving any other Affiliate, (c) any Permitted Investment, (d) any Permitted Indebtedness, (e) any Distributions permitted by Section 7.7, (f) any Permitted Transfers, (g) to the extend approved by the Borrower’s board of directors, the payment of reasonable fees to directors of Borrower who are not employees of Borrower or any Subsidiary, and compensation and employee benefit arrangements paid to, and indemnities provided for the benefit of, directors, officers or employees of Borrower or its Subsidiaries in the ordinary course of business, and (h) any contribution to the capital of Borrower or any purchase of Equity Interests of Borrower, in each case solely to the extent such transaction does not cause a Change in Control to occur.</w:t>
      </w:r>
    </w:p>
    <w:p>
      <w:pPr>
        <w:spacing w:after="0" w:line="135" w:lineRule="exact"/>
        <w:rPr>
          <w:sz w:val="20"/>
          <w:szCs w:val="20"/>
          <w:color w:val="auto"/>
        </w:rPr>
      </w:pPr>
    </w:p>
    <w:p>
      <w:pPr>
        <w:ind w:left="3100"/>
        <w:spacing w:after="0"/>
        <w:rPr>
          <w:sz w:val="20"/>
          <w:szCs w:val="20"/>
          <w:color w:val="auto"/>
        </w:rPr>
      </w:pPr>
      <w:r>
        <w:rPr>
          <w:rFonts w:ascii="Arial" w:cs="Arial" w:eastAsia="Arial" w:hAnsi="Arial"/>
          <w:sz w:val="19"/>
          <w:szCs w:val="19"/>
          <w:b w:val="1"/>
          <w:bCs w:val="1"/>
          <w:color w:val="auto"/>
        </w:rPr>
        <w:t xml:space="preserve">SECTION 8. </w:t>
      </w:r>
      <w:r>
        <w:rPr>
          <w:rFonts w:ascii="Arial" w:cs="Arial" w:eastAsia="Arial" w:hAnsi="Arial"/>
          <w:sz w:val="19"/>
          <w:szCs w:val="19"/>
          <w:b w:val="1"/>
          <w:bCs w:val="1"/>
          <w:u w:val="single" w:color="auto"/>
          <w:color w:val="auto"/>
        </w:rPr>
        <w:t>RIGHT TO INVEST</w:t>
      </w:r>
    </w:p>
    <w:p>
      <w:pPr>
        <w:spacing w:after="0" w:line="188" w:lineRule="exact"/>
        <w:rPr>
          <w:sz w:val="20"/>
          <w:szCs w:val="20"/>
          <w:color w:val="auto"/>
        </w:rPr>
      </w:pPr>
    </w:p>
    <w:p>
      <w:pPr>
        <w:jc w:val="both"/>
        <w:ind w:left="40" w:firstLine="566"/>
        <w:spacing w:after="0" w:line="264" w:lineRule="auto"/>
        <w:rPr>
          <w:sz w:val="20"/>
          <w:szCs w:val="20"/>
          <w:color w:val="auto"/>
        </w:rPr>
      </w:pPr>
      <w:r>
        <w:rPr>
          <w:rFonts w:ascii="Arial" w:cs="Arial" w:eastAsia="Arial" w:hAnsi="Arial"/>
          <w:sz w:val="17"/>
          <w:szCs w:val="17"/>
          <w:color w:val="auto"/>
        </w:rPr>
        <w:t>8.1 Borrower shall provide (or in the case of a Subsequent Financing that is a registered offering, the Borrower shall use its commercially reasonable efforts to provide) the Lenders or their permitted assignees or nominees, designated as such in writing to Borrower, the opportunity, in their discretion, to participate in each Subsequent Financing in an amount of up to Five Million Dollars ($5,000,000), in the aggregate for all Lenders and their permitted assignees or nominees, in such Subsequent Financing on substantially the same terms, conditions and pricing afforded to other investors participating in such Subsequent Financing. If the Lenders (or their permitted assignees or nominees) elect to participate in any Subsequent Financing, the Lenders (or their permitted assignees or nominees, as applicable) participating in such Subsequent Financing agree to become a party to the agreements executed by the other investors participating in such Subsequent Financing, including with respect to obligations of confidentiality or as may otherwise be required by the Securities Act of 1933, as amended, and the rules and regulations promulgated by the Securities and Exchange Commission thereunder. Borrower, or an investment bank or underwriter engaged on Borrower’s behalf, shall provide the Lenders or their permitted assignees or nominees at least three (3) Business Days’ written notice of any planned Subsequent Financing and the opportunity to exercise the right to invest under this Section 8.1 with respect to any such Subsequent Financing. This Section 8.1, and all rights and obligations hereunder, shall terminate upon the earliest to occur of (a) termination of this Agreement or (b) such time that the Lenders or their permitted assignees or nominees have purchased $5,000,000 of Borrower’s Equity Interests in the aggregate in Subsequent Financings.</w:t>
      </w:r>
    </w:p>
    <w:p>
      <w:pPr>
        <w:spacing w:after="0" w:line="138" w:lineRule="exact"/>
        <w:rPr>
          <w:sz w:val="20"/>
          <w:szCs w:val="20"/>
          <w:color w:val="auto"/>
        </w:rPr>
      </w:pPr>
    </w:p>
    <w:p>
      <w:pPr>
        <w:ind w:left="2940"/>
        <w:spacing w:after="0"/>
        <w:rPr>
          <w:sz w:val="20"/>
          <w:szCs w:val="20"/>
          <w:color w:val="auto"/>
        </w:rPr>
      </w:pPr>
      <w:r>
        <w:rPr>
          <w:rFonts w:ascii="Arial" w:cs="Arial" w:eastAsia="Arial" w:hAnsi="Arial"/>
          <w:sz w:val="19"/>
          <w:szCs w:val="19"/>
          <w:b w:val="1"/>
          <w:bCs w:val="1"/>
          <w:color w:val="auto"/>
        </w:rPr>
        <w:t xml:space="preserve">SECTION 9. </w:t>
      </w:r>
      <w:r>
        <w:rPr>
          <w:rFonts w:ascii="Arial" w:cs="Arial" w:eastAsia="Arial" w:hAnsi="Arial"/>
          <w:sz w:val="19"/>
          <w:szCs w:val="19"/>
          <w:b w:val="1"/>
          <w:bCs w:val="1"/>
          <w:u w:val="single" w:color="auto"/>
          <w:color w:val="auto"/>
        </w:rPr>
        <w:t>EVENTS OF DEFAULT</w:t>
      </w:r>
    </w:p>
    <w:p>
      <w:pPr>
        <w:spacing w:after="0" w:line="188" w:lineRule="exact"/>
        <w:rPr>
          <w:sz w:val="20"/>
          <w:szCs w:val="20"/>
          <w:color w:val="auto"/>
        </w:rPr>
      </w:pPr>
    </w:p>
    <w:p>
      <w:pPr>
        <w:ind w:left="100"/>
        <w:spacing w:after="0"/>
        <w:rPr>
          <w:sz w:val="20"/>
          <w:szCs w:val="20"/>
          <w:color w:val="auto"/>
        </w:rPr>
      </w:pPr>
      <w:r>
        <w:rPr>
          <w:rFonts w:ascii="Arial" w:cs="Arial" w:eastAsia="Arial" w:hAnsi="Arial"/>
          <w:sz w:val="19"/>
          <w:szCs w:val="19"/>
          <w:color w:val="auto"/>
        </w:rPr>
        <w:t>The occurrence of any one or more of the following events shall be an Event of Default:</w:t>
      </w:r>
    </w:p>
    <w:p>
      <w:pPr>
        <w:spacing w:after="0" w:line="182" w:lineRule="exact"/>
        <w:rPr>
          <w:sz w:val="20"/>
          <w:szCs w:val="20"/>
          <w:color w:val="auto"/>
        </w:rPr>
      </w:pPr>
    </w:p>
    <w:p>
      <w:pPr>
        <w:jc w:val="both"/>
        <w:ind w:left="40" w:right="20" w:firstLine="566"/>
        <w:spacing w:after="0" w:line="239" w:lineRule="auto"/>
        <w:rPr>
          <w:sz w:val="20"/>
          <w:szCs w:val="20"/>
          <w:color w:val="auto"/>
        </w:rPr>
      </w:pPr>
      <w:r>
        <w:rPr>
          <w:rFonts w:ascii="Arial" w:cs="Arial" w:eastAsia="Arial" w:hAnsi="Arial"/>
          <w:sz w:val="19"/>
          <w:szCs w:val="19"/>
          <w:color w:val="auto"/>
        </w:rPr>
        <w:t>9.1 Payments. Borrower fails to pay any amount due under this Agreement or any of the other Loan Documents (other than the Warrant) on the due date; provided, however, that an Event of Default shall not occur on account of a failure to pay due solely to an administrative or operational error of Agent or the Lenders or Borrower’s bank if Borrower had the funds to make the payment when due and makes the payment within three (3) Business Days following Borrower’s knowledge of such failure to pay; or</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460"/>
        <w:spacing w:after="0"/>
        <w:rPr>
          <w:sz w:val="20"/>
          <w:szCs w:val="20"/>
          <w:color w:val="auto"/>
        </w:rPr>
      </w:pPr>
      <w:r>
        <w:rPr>
          <w:rFonts w:ascii="Arial" w:cs="Arial" w:eastAsia="Arial" w:hAnsi="Arial"/>
          <w:sz w:val="19"/>
          <w:szCs w:val="19"/>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307340</wp:posOffset>
            </wp:positionV>
            <wp:extent cx="6311265" cy="2222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480"/>
          </w:cols>
          <w:pgMar w:left="1440" w:top="781" w:right="979" w:bottom="1440" w:gutter="0" w:footer="0" w:header="0"/>
        </w:sectPr>
      </w:pPr>
    </w:p>
    <w:bookmarkStart w:id="163" w:name="page164"/>
    <w:bookmarkEnd w:id="163"/>
    <w:p>
      <w:pPr>
        <w:ind w:left="40" w:firstLine="566"/>
        <w:spacing w:after="0" w:line="270" w:lineRule="auto"/>
        <w:rPr>
          <w:sz w:val="20"/>
          <w:szCs w:val="20"/>
          <w:color w:val="auto"/>
        </w:rPr>
      </w:pPr>
      <w:r>
        <w:rPr>
          <w:rFonts w:ascii="Arial" w:cs="Arial" w:eastAsia="Arial" w:hAnsi="Arial"/>
          <w:sz w:val="17"/>
          <w:szCs w:val="17"/>
          <w:color w:val="auto"/>
        </w:rPr>
        <w:t>9.2 Covenants. Borrower breaches or defaults in the performance of any covenant or Secured Obligation under this Agreement, or any of the other Loan Documents or any other agreement among Borrower, Agent and the Lenders, and</w:t>
      </w:r>
    </w:p>
    <w:p>
      <w:pPr>
        <w:spacing w:after="0" w:line="1" w:lineRule="exact"/>
        <w:rPr>
          <w:sz w:val="20"/>
          <w:szCs w:val="20"/>
          <w:color w:val="auto"/>
        </w:rPr>
      </w:pPr>
    </w:p>
    <w:p>
      <w:pPr>
        <w:jc w:val="both"/>
        <w:ind w:left="40" w:right="20" w:hanging="9"/>
        <w:spacing w:after="0" w:line="235" w:lineRule="auto"/>
        <w:tabs>
          <w:tab w:leader="none" w:pos="310" w:val="left"/>
        </w:tabs>
        <w:numPr>
          <w:ilvl w:val="0"/>
          <w:numId w:val="87"/>
        </w:numPr>
        <w:rPr>
          <w:rFonts w:ascii="Arial" w:cs="Arial" w:eastAsia="Arial" w:hAnsi="Arial"/>
          <w:sz w:val="19"/>
          <w:szCs w:val="19"/>
          <w:color w:val="auto"/>
        </w:rPr>
      </w:pPr>
      <w:r>
        <w:rPr>
          <w:rFonts w:ascii="Arial" w:cs="Arial" w:eastAsia="Arial" w:hAnsi="Arial"/>
          <w:sz w:val="19"/>
          <w:szCs w:val="19"/>
          <w:color w:val="auto"/>
        </w:rPr>
        <w:t>with respect to a default under any covenant under this Agreement (other than under Sections 4.4, 6, 7.4, 7.5, 7.6, 7.7, 7.8, 7.9, 7.15, 7.17, 7.18, 7.19, 7.20. 7.21 and 7.22), any other Loan Document, or any other agreement among Borrower, Agent and the Lenders, such default continues for more than ten (10) days after the earlier of the date on which (i) Agent or the Lenders has given notice of such default to Borrower and (ii) Borrower has actual knowledge of such default or (b) with respect to a default under any of Sections 4.4, 6, 7.4, 7.5, 7.6, 7.7, 7.8, 7.9, 7.15, 7.17, 7.18, 7.19, 7.20. 7.21 and 7.22, the occurrence of such default; or</w:t>
      </w:r>
    </w:p>
    <w:p>
      <w:pPr>
        <w:spacing w:after="0" w:line="162" w:lineRule="exact"/>
        <w:rPr>
          <w:sz w:val="20"/>
          <w:szCs w:val="20"/>
          <w:color w:val="auto"/>
        </w:rPr>
      </w:pPr>
    </w:p>
    <w:p>
      <w:pPr>
        <w:jc w:val="both"/>
        <w:ind w:left="40" w:firstLine="566"/>
        <w:spacing w:after="0" w:line="239" w:lineRule="auto"/>
        <w:rPr>
          <w:sz w:val="20"/>
          <w:szCs w:val="20"/>
          <w:color w:val="auto"/>
        </w:rPr>
      </w:pPr>
      <w:r>
        <w:rPr>
          <w:rFonts w:ascii="Arial" w:cs="Arial" w:eastAsia="Arial" w:hAnsi="Arial"/>
          <w:sz w:val="19"/>
          <w:szCs w:val="19"/>
          <w:color w:val="auto"/>
        </w:rPr>
        <w:t>9.3 Material Adverse Effect. A circumstance has occurred that could reasonably be expected to have a Material Adverse Effect; provided that, solely for purposes of this Section 9.3, the occurrence of any of the following, in and of itself, shall not constitute a Material Adverse Effect: (a) failure to achieve the AXS-05 Milestone, (b) failure to achieve the AXS-07 Milestone, or (c) adverse results or delays in any nonclinical or clinical trial, (d) the denial, delay or limitation of approval of the FDA with respect to any drug.</w:t>
      </w:r>
    </w:p>
    <w:p>
      <w:pPr>
        <w:spacing w:after="0" w:line="162" w:lineRule="exact"/>
        <w:rPr>
          <w:sz w:val="20"/>
          <w:szCs w:val="20"/>
          <w:color w:val="auto"/>
        </w:rPr>
      </w:pPr>
    </w:p>
    <w:p>
      <w:pPr>
        <w:jc w:val="both"/>
        <w:ind w:left="40" w:right="20" w:firstLine="566"/>
        <w:spacing w:after="0" w:line="256" w:lineRule="auto"/>
        <w:rPr>
          <w:sz w:val="20"/>
          <w:szCs w:val="20"/>
          <w:color w:val="auto"/>
        </w:rPr>
      </w:pPr>
      <w:r>
        <w:rPr>
          <w:rFonts w:ascii="Arial" w:cs="Arial" w:eastAsia="Arial" w:hAnsi="Arial"/>
          <w:sz w:val="19"/>
          <w:szCs w:val="19"/>
          <w:color w:val="auto"/>
        </w:rPr>
        <w:t>9.4 Representations. Any representation or warranty made by Borrower in any Loan Document or in the Warrant shall have been false or misleading in any material respect when made or when deemed made; or</w:t>
      </w:r>
    </w:p>
    <w:p>
      <w:pPr>
        <w:spacing w:after="0" w:line="147" w:lineRule="exact"/>
        <w:rPr>
          <w:sz w:val="20"/>
          <w:szCs w:val="20"/>
          <w:color w:val="auto"/>
        </w:rPr>
      </w:pPr>
    </w:p>
    <w:p>
      <w:pPr>
        <w:jc w:val="both"/>
        <w:ind w:left="40" w:firstLine="566"/>
        <w:spacing w:after="0" w:line="270" w:lineRule="auto"/>
        <w:rPr>
          <w:sz w:val="20"/>
          <w:szCs w:val="20"/>
          <w:color w:val="auto"/>
        </w:rPr>
      </w:pPr>
      <w:r>
        <w:rPr>
          <w:rFonts w:ascii="Arial" w:cs="Arial" w:eastAsia="Arial" w:hAnsi="Arial"/>
          <w:sz w:val="17"/>
          <w:szCs w:val="17"/>
          <w:color w:val="auto"/>
        </w:rPr>
        <w:t>9.5 Insolvency. Borrower (A) (i) shall make an assignment for the benefit of creditors; or (ii) shall be unable to pay its debts as they become due, or be unable to pay or perform under the Loan Documents, or shall become insolvent; or</w:t>
      </w:r>
    </w:p>
    <w:p>
      <w:pPr>
        <w:spacing w:after="0" w:line="1" w:lineRule="exact"/>
        <w:rPr>
          <w:sz w:val="20"/>
          <w:szCs w:val="20"/>
          <w:color w:val="auto"/>
        </w:rPr>
      </w:pPr>
    </w:p>
    <w:p>
      <w:pPr>
        <w:jc w:val="both"/>
        <w:ind w:left="40" w:hanging="9"/>
        <w:spacing w:after="0" w:line="262" w:lineRule="auto"/>
        <w:tabs>
          <w:tab w:leader="none" w:pos="386" w:val="left"/>
        </w:tabs>
        <w:numPr>
          <w:ilvl w:val="0"/>
          <w:numId w:val="88"/>
        </w:numPr>
        <w:rPr>
          <w:rFonts w:ascii="Arial" w:cs="Arial" w:eastAsia="Arial" w:hAnsi="Arial"/>
          <w:sz w:val="17"/>
          <w:szCs w:val="17"/>
          <w:color w:val="auto"/>
        </w:rPr>
      </w:pPr>
      <w:r>
        <w:rPr>
          <w:rFonts w:ascii="Arial" w:cs="Arial" w:eastAsia="Arial" w:hAnsi="Arial"/>
          <w:sz w:val="17"/>
          <w:szCs w:val="17"/>
          <w:color w:val="auto"/>
        </w:rPr>
        <w:t>shall file a voluntary petition in bankruptcy; or (iv) shall file any petition, answer, or document seeking for itself any reorganization, arrangement, composition, readjustment, liquidation, dissolution or similar relief under any present or future statute, law or regulation pertinent to such circumstances; or (v) shall seek or consent to or acquiesce in the appointment of any trustee, receiver, or liquidator of Borrower or of all or any substantial part (i.e., 33-1/3% or more) of the assets or property of Borrower; or (vi) shall cease its operations of its business as its business has normally been conducted, or terminate substantially all of its employees; or (vii) Borrower or its directors or majority stockholders shall take any action initiating any of the foregoing actions described in clauses (i) through (vi); or (B) either (i) forty-five (45) days shall have expired after the commencement of an involuntary action against Borrower seeking reorganization, arrangement, composition, readjustment, liquidation, dissolution or similar relief under any present or future statute, law or regulation, without such action being dismissed or all orders or proceedings thereunder affecting the operations or the business of Borrower being stayed; or (ii) a stay of any such order or proceedings shall thereafter be set aside and the action setting it aside shall not be timely appealed; or (iii) Borrower shall file any answer admitting or not contesting the material allegations of a petition filed against Borrower in any such proceedings; or (iv) the court in which such proceedings are pending shall enter a decree or order granting the relief sought in any such proceedings; or (v) forty-five (45) days shall have expired after the appointment, without the consent or acquiescence of Borrower, of any trustee, receiver or liquidator of Borrower or of all or any substantial part of the properties of Borrower without such appointment being vacated; or</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460"/>
        <w:spacing w:after="0"/>
        <w:rPr>
          <w:sz w:val="20"/>
          <w:szCs w:val="20"/>
          <w:color w:val="auto"/>
        </w:rPr>
      </w:pPr>
      <w:r>
        <w:rPr>
          <w:rFonts w:ascii="Arial" w:cs="Arial" w:eastAsia="Arial" w:hAnsi="Arial"/>
          <w:sz w:val="19"/>
          <w:szCs w:val="19"/>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307340</wp:posOffset>
            </wp:positionV>
            <wp:extent cx="6311265" cy="2222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480"/>
          </w:cols>
          <w:pgMar w:left="1440" w:top="781" w:right="979" w:bottom="1440" w:gutter="0" w:footer="0" w:header="0"/>
        </w:sectPr>
      </w:pPr>
    </w:p>
    <w:bookmarkStart w:id="164" w:name="page165"/>
    <w:bookmarkEnd w:id="164"/>
    <w:p>
      <w:pPr>
        <w:jc w:val="both"/>
        <w:ind w:left="40" w:firstLine="566"/>
        <w:spacing w:after="0" w:line="237" w:lineRule="auto"/>
        <w:rPr>
          <w:sz w:val="20"/>
          <w:szCs w:val="20"/>
          <w:color w:val="auto"/>
        </w:rPr>
      </w:pPr>
      <w:r>
        <w:rPr>
          <w:rFonts w:ascii="Arial" w:cs="Arial" w:eastAsia="Arial" w:hAnsi="Arial"/>
          <w:sz w:val="19"/>
          <w:szCs w:val="19"/>
          <w:color w:val="auto"/>
        </w:rPr>
        <w:t>9.6 Attachments; Judgments. Any portion of Borrower’s assets is attached or seized, or a levy is filed against any such assets, or a judgment or judgments is/are entered for the payment of money (not covered by independent third party insurance as to which liability has not been rejected by such insurance carrier), individually or in the aggregate, of at least $500,000, or Borrower is enjoined or in any way prevented by court order from conducting any part of its business as its business has normally been conducted and such attachment, seizure, levy, judgment or injunction is not, within fifteen (15) days after the occurrence thereof, satisfied, discharged, paid or stayed (whether through the posting of a bond or otherwise); or</w:t>
      </w:r>
    </w:p>
    <w:p>
      <w:pPr>
        <w:spacing w:after="0" w:line="164" w:lineRule="exact"/>
        <w:rPr>
          <w:sz w:val="20"/>
          <w:szCs w:val="20"/>
          <w:color w:val="auto"/>
        </w:rPr>
      </w:pPr>
    </w:p>
    <w:p>
      <w:pPr>
        <w:ind w:left="600"/>
        <w:spacing w:after="0"/>
        <w:tabs>
          <w:tab w:leader="none" w:pos="1280" w:val="left"/>
        </w:tabs>
        <w:rPr>
          <w:sz w:val="20"/>
          <w:szCs w:val="20"/>
          <w:color w:val="auto"/>
        </w:rPr>
      </w:pPr>
      <w:r>
        <w:rPr>
          <w:rFonts w:ascii="Arial" w:cs="Arial" w:eastAsia="Arial" w:hAnsi="Arial"/>
          <w:sz w:val="19"/>
          <w:szCs w:val="19"/>
          <w:color w:val="auto"/>
        </w:rPr>
        <w:t>9.7</w:t>
      </w:r>
      <w:r>
        <w:rPr>
          <w:sz w:val="20"/>
          <w:szCs w:val="20"/>
          <w:color w:val="auto"/>
        </w:rPr>
        <w:tab/>
      </w:r>
      <w:r>
        <w:rPr>
          <w:rFonts w:ascii="Arial" w:cs="Arial" w:eastAsia="Arial" w:hAnsi="Arial"/>
          <w:sz w:val="17"/>
          <w:szCs w:val="17"/>
          <w:color w:val="auto"/>
        </w:rPr>
        <w:t>Other Obligations.</w:t>
      </w:r>
    </w:p>
    <w:p>
      <w:pPr>
        <w:spacing w:after="0" w:line="182" w:lineRule="exact"/>
        <w:rPr>
          <w:sz w:val="20"/>
          <w:szCs w:val="20"/>
          <w:color w:val="auto"/>
        </w:rPr>
      </w:pPr>
    </w:p>
    <w:p>
      <w:pPr>
        <w:jc w:val="both"/>
        <w:ind w:left="100" w:firstLine="568"/>
        <w:spacing w:after="0" w:line="244" w:lineRule="auto"/>
        <w:tabs>
          <w:tab w:leader="none" w:pos="1452" w:val="left"/>
        </w:tabs>
        <w:numPr>
          <w:ilvl w:val="0"/>
          <w:numId w:val="89"/>
        </w:numPr>
        <w:rPr>
          <w:rFonts w:ascii="Arial" w:cs="Arial" w:eastAsia="Arial" w:hAnsi="Arial"/>
          <w:sz w:val="19"/>
          <w:szCs w:val="19"/>
          <w:color w:val="auto"/>
        </w:rPr>
      </w:pPr>
      <w:r>
        <w:rPr>
          <w:rFonts w:ascii="Arial" w:cs="Arial" w:eastAsia="Arial" w:hAnsi="Arial"/>
          <w:sz w:val="19"/>
          <w:szCs w:val="19"/>
          <w:color w:val="auto"/>
        </w:rPr>
        <w:t>The occurrence of any default in the payment of any Indebtedness under any agreement or obligation of Borrower involving Indebtedness in excess of $1,000,000, beyond the period of grace if any, provided in the instrument or agreement under which such Indebtedness was created; or</w:t>
      </w:r>
    </w:p>
    <w:p>
      <w:pPr>
        <w:spacing w:after="0" w:line="158" w:lineRule="exact"/>
        <w:rPr>
          <w:rFonts w:ascii="Arial" w:cs="Arial" w:eastAsia="Arial" w:hAnsi="Arial"/>
          <w:sz w:val="19"/>
          <w:szCs w:val="19"/>
          <w:color w:val="auto"/>
        </w:rPr>
      </w:pPr>
    </w:p>
    <w:p>
      <w:pPr>
        <w:jc w:val="both"/>
        <w:ind w:left="100" w:right="20" w:firstLine="568"/>
        <w:spacing w:after="0" w:line="265" w:lineRule="auto"/>
        <w:tabs>
          <w:tab w:leader="none" w:pos="1556"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There is, under any agreement to which Borrower is a party with a third party or parties, any default resulting in a right by such third party or parties, whether or not exercised, to accelerate the maturity of any Indebtedness in an amount individually or in the aggregate in excess of One Million Dollars ($1,000,000); or</w:t>
      </w:r>
    </w:p>
    <w:p>
      <w:pPr>
        <w:spacing w:after="0" w:line="139" w:lineRule="exact"/>
        <w:rPr>
          <w:rFonts w:ascii="Arial" w:cs="Arial" w:eastAsia="Arial" w:hAnsi="Arial"/>
          <w:sz w:val="18"/>
          <w:szCs w:val="18"/>
          <w:color w:val="auto"/>
        </w:rPr>
      </w:pPr>
    </w:p>
    <w:p>
      <w:pPr>
        <w:jc w:val="both"/>
        <w:ind w:left="100" w:firstLine="568"/>
        <w:spacing w:after="0" w:line="255" w:lineRule="auto"/>
        <w:tabs>
          <w:tab w:leader="none" w:pos="1443"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occurrence of any early payment is required or unwinding or termination occurs with respect to any Permitted Bond Hedge Transaction or Permitted Warrant Transaction, or any condition giving rise to the foregoing is met, in each case, with respect to which Borrower or its Affiliate is the “affected party” or “defaulting party” under the terms of such Permitted Bond Hedge Transaction or Permitted Warrant Transaction, if a Material Adverse Effect could reasonably be expected to result from such default, early payment, unwinding or termination; or</w:t>
      </w:r>
    </w:p>
    <w:p>
      <w:pPr>
        <w:spacing w:after="0" w:line="150" w:lineRule="exact"/>
        <w:rPr>
          <w:rFonts w:ascii="Arial" w:cs="Arial" w:eastAsia="Arial" w:hAnsi="Arial"/>
          <w:sz w:val="18"/>
          <w:szCs w:val="18"/>
          <w:color w:val="auto"/>
        </w:rPr>
      </w:pPr>
    </w:p>
    <w:p>
      <w:pPr>
        <w:jc w:val="both"/>
        <w:ind w:left="100" w:right="20" w:firstLine="568"/>
        <w:spacing w:after="0" w:line="241" w:lineRule="auto"/>
        <w:tabs>
          <w:tab w:leader="none" w:pos="1508" w:val="left"/>
        </w:tabs>
        <w:numPr>
          <w:ilvl w:val="0"/>
          <w:numId w:val="89"/>
        </w:numPr>
        <w:rPr>
          <w:rFonts w:ascii="Arial" w:cs="Arial" w:eastAsia="Arial" w:hAnsi="Arial"/>
          <w:sz w:val="19"/>
          <w:szCs w:val="19"/>
          <w:color w:val="auto"/>
        </w:rPr>
      </w:pPr>
      <w:r>
        <w:rPr>
          <w:rFonts w:ascii="Arial" w:cs="Arial" w:eastAsia="Arial" w:hAnsi="Arial"/>
          <w:sz w:val="19"/>
          <w:szCs w:val="19"/>
          <w:color w:val="auto"/>
        </w:rPr>
        <w:t>The occurrence of any default under, (i) subject to the Antecip Direct Agreement, the Antecip License Agreement that permits the counterparty thereto to terminate such agreement or (ii) any other Material Agreement that permits the counterparty thereto to terminate such Material Agreement or accelerate payments in excess of $5,000,000 owed thereunder.</w:t>
      </w:r>
    </w:p>
    <w:p>
      <w:pPr>
        <w:spacing w:after="0" w:line="160" w:lineRule="exact"/>
        <w:rPr>
          <w:sz w:val="20"/>
          <w:szCs w:val="20"/>
          <w:color w:val="auto"/>
        </w:rPr>
      </w:pPr>
    </w:p>
    <w:p>
      <w:pPr>
        <w:jc w:val="both"/>
        <w:ind w:left="40" w:right="20" w:firstLine="566"/>
        <w:spacing w:after="0" w:line="239" w:lineRule="auto"/>
        <w:rPr>
          <w:sz w:val="20"/>
          <w:szCs w:val="20"/>
          <w:color w:val="auto"/>
        </w:rPr>
      </w:pPr>
      <w:r>
        <w:rPr>
          <w:rFonts w:ascii="Arial" w:cs="Arial" w:eastAsia="Arial" w:hAnsi="Arial"/>
          <w:sz w:val="19"/>
          <w:szCs w:val="19"/>
          <w:color w:val="auto"/>
        </w:rPr>
        <w:t>9.8 Stop Trade. At any time, an SEC stop trade order or NASDAQ market trading suspension of the Common Stock shall be in effect for five (5) consecutive days or five (5) days during a period of ten (10) consecutive days, excluding in all cases a suspension of all trading on a public market; provided that Borrower shall not have been able to cure such trading suspension within thirty (30) days of the notice thereof or list the Common Stock on another public market within sixty (60) days of such notice.</w:t>
      </w:r>
    </w:p>
    <w:p>
      <w:pPr>
        <w:spacing w:after="0" w:line="156" w:lineRule="exact"/>
        <w:rPr>
          <w:sz w:val="20"/>
          <w:szCs w:val="20"/>
          <w:color w:val="auto"/>
        </w:rPr>
      </w:pPr>
    </w:p>
    <w:p>
      <w:pPr>
        <w:ind w:left="3380"/>
        <w:spacing w:after="0"/>
        <w:rPr>
          <w:sz w:val="20"/>
          <w:szCs w:val="20"/>
          <w:color w:val="auto"/>
        </w:rPr>
      </w:pPr>
      <w:r>
        <w:rPr>
          <w:rFonts w:ascii="Arial" w:cs="Arial" w:eastAsia="Arial" w:hAnsi="Arial"/>
          <w:sz w:val="19"/>
          <w:szCs w:val="19"/>
          <w:b w:val="1"/>
          <w:bCs w:val="1"/>
          <w:color w:val="auto"/>
        </w:rPr>
        <w:t xml:space="preserve">SECTION 10. </w:t>
      </w:r>
      <w:r>
        <w:rPr>
          <w:rFonts w:ascii="Arial" w:cs="Arial" w:eastAsia="Arial" w:hAnsi="Arial"/>
          <w:sz w:val="19"/>
          <w:szCs w:val="19"/>
          <w:b w:val="1"/>
          <w:bCs w:val="1"/>
          <w:u w:val="single" w:color="auto"/>
          <w:color w:val="auto"/>
        </w:rPr>
        <w:t>REMEDIES</w:t>
      </w:r>
    </w:p>
    <w:p>
      <w:pPr>
        <w:spacing w:after="0" w:line="188" w:lineRule="exact"/>
        <w:rPr>
          <w:sz w:val="20"/>
          <w:szCs w:val="20"/>
          <w:color w:val="auto"/>
        </w:rPr>
      </w:pPr>
    </w:p>
    <w:p>
      <w:pPr>
        <w:jc w:val="both"/>
        <w:ind w:left="40" w:right="20" w:firstLine="566"/>
        <w:spacing w:after="0" w:line="256" w:lineRule="auto"/>
        <w:rPr>
          <w:sz w:val="20"/>
          <w:szCs w:val="20"/>
          <w:color w:val="auto"/>
        </w:rPr>
      </w:pPr>
      <w:r>
        <w:rPr>
          <w:rFonts w:ascii="Arial" w:cs="Arial" w:eastAsia="Arial" w:hAnsi="Arial"/>
          <w:sz w:val="19"/>
          <w:szCs w:val="19"/>
          <w:color w:val="auto"/>
        </w:rPr>
        <w:t>10.1 General. Upon the occurrence and during the continuation of any one or more Events of Default, Agent may, and at the direction of the Required Lenders shall,</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460"/>
        <w:spacing w:after="0"/>
        <w:rPr>
          <w:sz w:val="20"/>
          <w:szCs w:val="20"/>
          <w:color w:val="auto"/>
        </w:rPr>
      </w:pPr>
      <w:r>
        <w:rPr>
          <w:rFonts w:ascii="Arial" w:cs="Arial" w:eastAsia="Arial" w:hAnsi="Arial"/>
          <w:sz w:val="19"/>
          <w:szCs w:val="19"/>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307340</wp:posOffset>
            </wp:positionV>
            <wp:extent cx="6311265" cy="2222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480"/>
          </w:cols>
          <w:pgMar w:left="1440" w:top="781" w:right="979" w:bottom="1440" w:gutter="0" w:footer="0" w:header="0"/>
        </w:sectPr>
      </w:pPr>
    </w:p>
    <w:bookmarkStart w:id="165" w:name="page166"/>
    <w:bookmarkEnd w:id="165"/>
    <w:p>
      <w:pPr>
        <w:jc w:val="both"/>
        <w:ind w:left="40"/>
        <w:spacing w:after="0" w:line="262" w:lineRule="auto"/>
        <w:rPr>
          <w:sz w:val="20"/>
          <w:szCs w:val="20"/>
          <w:color w:val="auto"/>
        </w:rPr>
      </w:pPr>
      <w:r>
        <w:rPr>
          <w:rFonts w:ascii="Arial" w:cs="Arial" w:eastAsia="Arial" w:hAnsi="Arial"/>
          <w:sz w:val="17"/>
          <w:szCs w:val="17"/>
          <w:color w:val="auto"/>
        </w:rPr>
        <w:t>accelerate and demand payment of all or any part of the Secured Obligations together with a Prepayment Charge and declare them to be immediately due and payable (provided, that upon the occurrence of an Event of Default of the type described in Section 9.5, all of the Secured Obligations (including, without limitation, the Prepayment Charge and the End of Term Charge) shall automatically be accelerated and made due and payable, in each case without any further notice or act). Borrower hereby irrevocably appoints Agent as its lawful attorney-in-fact to: (a) exercisable following the occurrence and during the continuation of an Event of Default, (i) sign Borrower’s name on any invoice or bill of lading for any account or drafts against account debtors; (ii) demand, collect, sue, and give releases to any account debtor for monies due, settle and adjust disputes and claims about the accounts directly with account debtors, and compromise, prosecute, or defend any action, claim, case, or proceeding about any Collateral (including filing a claim or voting a claim in any bankruptcy case in Agent’s or Borrower’s name, as Agent may elect); (iii) make, settle, and adjust all claims under Borrower’s insurance policies; (iv) pay, contest or settle any Lien, charge, encumbrance, security interest, or other claim in or to the Collateral, or any judgment based thereon, or otherwise take any action to terminate or discharge the same; (v) transfer the Collateral into the name of Agent or a third party as the UCC permits; and (vi) receive, open and dispose of mail addressed to Borrower; and (b) regardless of whether an Event of Default has occurred, (i) endorse Borrower’s name on any checks, payment instruments, or other forms of payment or security; and (ii) notify all account debtors to pay Agent directly. Borrower hereby appoints Agent as its lawful attorney-in-fact to sign Borrower’s name on any documents necessary to perfect or continue the perfection of Agent’s security interest in the Collateral regardless of whether an Event of Default has occurred until all Secured Obligations (other than any inchoate indemnity obligations and any other obligations which, by their terms, are to survive the termination of this Agreement) have been satisfied in full and the Loan Documents (other than the Warrant) have been terminated. Agent’s foregoing appointment as Borrower’s attorney in fact, and all of Agent’s rights and powers, coupled with an interest, are irrevocable until all Secured Obligations (other than any inchoate indemnity obligations and any other obligations which, by their terms, are to survive the termination of this Agreement) have been fully repaid and performed and the Loan Documents (other than the Warrant) have been terminated. Agent may, and at the direction of the Required Lenders shall, exercise all rights and remedies with respect to the Collateral under the Loan Documents or otherwise available to it under the UCC and other applicable law, including the right to release, hold, sell, lease, liquidate, collect, realize upon, or otherwise dispose of all or any part of the Collateral and the right to occupy, utilize, process and commingle the Collateral. All Agent’s rights and remedies shall be cumulative and not exclusive.</w:t>
      </w:r>
    </w:p>
    <w:p>
      <w:pPr>
        <w:spacing w:after="0" w:line="157" w:lineRule="exact"/>
        <w:rPr>
          <w:sz w:val="20"/>
          <w:szCs w:val="20"/>
          <w:color w:val="auto"/>
        </w:rPr>
      </w:pPr>
    </w:p>
    <w:p>
      <w:pPr>
        <w:jc w:val="both"/>
        <w:ind w:left="40" w:firstLine="566"/>
        <w:spacing w:after="0" w:line="241" w:lineRule="auto"/>
        <w:rPr>
          <w:sz w:val="20"/>
          <w:szCs w:val="20"/>
          <w:color w:val="auto"/>
        </w:rPr>
      </w:pPr>
      <w:r>
        <w:rPr>
          <w:rFonts w:ascii="Arial" w:cs="Arial" w:eastAsia="Arial" w:hAnsi="Arial"/>
          <w:sz w:val="19"/>
          <w:szCs w:val="19"/>
          <w:color w:val="auto"/>
        </w:rPr>
        <w:t>10.2 Collection; Foreclosure. Upon the occurrence and during the continuance of any Event of Default, Agent may, and at the direction of the Required Lenders shall, at any time or from time to time, apply, collect, liquidate, sell in one or more sales, lease or otherwise dispose of, any or all of the Collateral, in its then condition or following any commercially reasonable preparation or processing, in such order as Agent may elect. Any</w:t>
      </w:r>
    </w:p>
    <w:p>
      <w:pPr>
        <w:spacing w:after="0" w:line="160" w:lineRule="exact"/>
        <w:rPr>
          <w:sz w:val="20"/>
          <w:szCs w:val="20"/>
          <w:color w:val="auto"/>
        </w:rPr>
      </w:pPr>
    </w:p>
    <w:p>
      <w:pPr>
        <w:jc w:val="both"/>
        <w:ind w:left="40" w:right="20"/>
        <w:spacing w:after="0" w:line="244" w:lineRule="auto"/>
        <w:rPr>
          <w:sz w:val="20"/>
          <w:szCs w:val="20"/>
          <w:color w:val="auto"/>
        </w:rPr>
      </w:pPr>
      <w:r>
        <w:rPr>
          <w:rFonts w:ascii="Arial" w:cs="Arial" w:eastAsia="Arial" w:hAnsi="Arial"/>
          <w:sz w:val="19"/>
          <w:szCs w:val="19"/>
          <w:color w:val="auto"/>
        </w:rPr>
        <w:t>such sale may be made either at public or private sale at its place of business or elsewhere. Borrower agrees that any such public or private sale may occur upon ten (10) calendar days’ prior written notice to Borrower. Agent may require Borrower to assemble the Collateral</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460"/>
        <w:spacing w:after="0"/>
        <w:rPr>
          <w:sz w:val="20"/>
          <w:szCs w:val="20"/>
          <w:color w:val="auto"/>
        </w:rPr>
      </w:pPr>
      <w:r>
        <w:rPr>
          <w:rFonts w:ascii="Arial" w:cs="Arial" w:eastAsia="Arial" w:hAnsi="Arial"/>
          <w:sz w:val="19"/>
          <w:szCs w:val="19"/>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307340</wp:posOffset>
            </wp:positionV>
            <wp:extent cx="6311265" cy="2222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480"/>
          </w:cols>
          <w:pgMar w:left="1440" w:top="781" w:right="979" w:bottom="1440" w:gutter="0" w:footer="0" w:header="0"/>
        </w:sectPr>
      </w:pPr>
    </w:p>
    <w:bookmarkStart w:id="166" w:name="page167"/>
    <w:bookmarkEnd w:id="166"/>
    <w:p>
      <w:pPr>
        <w:jc w:val="both"/>
        <w:ind w:left="500"/>
        <w:spacing w:after="0" w:line="244" w:lineRule="auto"/>
        <w:rPr>
          <w:sz w:val="20"/>
          <w:szCs w:val="20"/>
          <w:color w:val="auto"/>
        </w:rPr>
      </w:pPr>
      <w:r>
        <w:rPr>
          <w:rFonts w:ascii="Arial" w:cs="Arial" w:eastAsia="Arial" w:hAnsi="Arial"/>
          <w:sz w:val="19"/>
          <w:szCs w:val="19"/>
          <w:color w:val="auto"/>
        </w:rPr>
        <w:t>and make it available to Agent at a place designated by Agent that is reasonably convenient to Agent and Borrower. The proceeds of any sale, disposition or other realization upon all or any part of the Collateral shall be applied by Agent in the following order of priorities:</w:t>
      </w:r>
    </w:p>
    <w:p>
      <w:pPr>
        <w:spacing w:after="0" w:line="159" w:lineRule="exact"/>
        <w:rPr>
          <w:sz w:val="20"/>
          <w:szCs w:val="20"/>
          <w:color w:val="auto"/>
        </w:rPr>
      </w:pPr>
    </w:p>
    <w:p>
      <w:pPr>
        <w:jc w:val="both"/>
        <w:ind w:left="1120" w:right="20"/>
        <w:spacing w:after="0" w:line="256" w:lineRule="auto"/>
        <w:rPr>
          <w:sz w:val="20"/>
          <w:szCs w:val="20"/>
          <w:color w:val="auto"/>
        </w:rPr>
      </w:pPr>
      <w:r>
        <w:rPr>
          <w:rFonts w:ascii="Arial" w:cs="Arial" w:eastAsia="Arial" w:hAnsi="Arial"/>
          <w:sz w:val="19"/>
          <w:szCs w:val="19"/>
          <w:color w:val="auto"/>
        </w:rPr>
        <w:t>First, to Agent and the Lenders in an amount sufficient to pay in full Agent’s and the Lenders’ reasonable costs and professionals’ and advisors’ fees and expenses as described in Section 11.12;</w:t>
      </w:r>
    </w:p>
    <w:p>
      <w:pPr>
        <w:spacing w:after="0" w:line="53" w:lineRule="exact"/>
        <w:rPr>
          <w:sz w:val="20"/>
          <w:szCs w:val="20"/>
          <w:color w:val="auto"/>
        </w:rPr>
      </w:pPr>
    </w:p>
    <w:p>
      <w:pPr>
        <w:jc w:val="both"/>
        <w:ind w:left="1120"/>
        <w:spacing w:after="0" w:line="244" w:lineRule="auto"/>
        <w:rPr>
          <w:sz w:val="20"/>
          <w:szCs w:val="20"/>
          <w:color w:val="auto"/>
        </w:rPr>
      </w:pPr>
      <w:r>
        <w:rPr>
          <w:rFonts w:ascii="Arial" w:cs="Arial" w:eastAsia="Arial" w:hAnsi="Arial"/>
          <w:sz w:val="19"/>
          <w:szCs w:val="19"/>
          <w:color w:val="auto"/>
        </w:rPr>
        <w:t>Second, to the Lenders in an amount equal to the then unpaid amount of the Secured Obligations (including principal, interest, and the Default Rate interest), in such order and priority as Agent may choose in its sole discretion; and</w:t>
      </w:r>
    </w:p>
    <w:p>
      <w:pPr>
        <w:spacing w:after="0" w:line="65" w:lineRule="exact"/>
        <w:rPr>
          <w:sz w:val="20"/>
          <w:szCs w:val="20"/>
          <w:color w:val="auto"/>
        </w:rPr>
      </w:pPr>
    </w:p>
    <w:p>
      <w:pPr>
        <w:jc w:val="both"/>
        <w:ind w:left="1120" w:right="20"/>
        <w:spacing w:after="0" w:line="244" w:lineRule="auto"/>
        <w:rPr>
          <w:sz w:val="20"/>
          <w:szCs w:val="20"/>
          <w:color w:val="auto"/>
        </w:rPr>
      </w:pPr>
      <w:r>
        <w:rPr>
          <w:rFonts w:ascii="Arial" w:cs="Arial" w:eastAsia="Arial" w:hAnsi="Arial"/>
          <w:sz w:val="19"/>
          <w:szCs w:val="19"/>
          <w:color w:val="auto"/>
        </w:rPr>
        <w:t>Finally, after the full and final payment in Cash of all of the Secured Obligations (other than inchoate obligations), to any creditor holding a junior Lien on the Collateral, or to Borrower or its representatives or as a court of competent jurisdiction may direct.</w:t>
      </w:r>
    </w:p>
    <w:p>
      <w:pPr>
        <w:spacing w:after="0" w:line="65" w:lineRule="exact"/>
        <w:rPr>
          <w:sz w:val="20"/>
          <w:szCs w:val="20"/>
          <w:color w:val="auto"/>
        </w:rPr>
      </w:pPr>
    </w:p>
    <w:p>
      <w:pPr>
        <w:ind w:right="20"/>
        <w:spacing w:after="0" w:line="256" w:lineRule="auto"/>
        <w:rPr>
          <w:sz w:val="20"/>
          <w:szCs w:val="20"/>
          <w:color w:val="auto"/>
        </w:rPr>
      </w:pPr>
      <w:r>
        <w:rPr>
          <w:rFonts w:ascii="Arial" w:cs="Arial" w:eastAsia="Arial" w:hAnsi="Arial"/>
          <w:sz w:val="19"/>
          <w:szCs w:val="19"/>
          <w:color w:val="auto"/>
        </w:rPr>
        <w:t>Agent shall be deemed to have acted reasonably in the custody, preservation and disposition of any of the Collateral if it complies with the obligations of a secured party under the UCC.</w:t>
      </w:r>
    </w:p>
    <w:p>
      <w:pPr>
        <w:spacing w:after="0" w:line="147" w:lineRule="exact"/>
        <w:rPr>
          <w:sz w:val="20"/>
          <w:szCs w:val="20"/>
          <w:color w:val="auto"/>
        </w:rPr>
      </w:pPr>
    </w:p>
    <w:p>
      <w:pPr>
        <w:jc w:val="both"/>
        <w:ind w:left="500" w:right="20" w:firstLine="566"/>
        <w:spacing w:after="0" w:line="284" w:lineRule="auto"/>
        <w:rPr>
          <w:sz w:val="20"/>
          <w:szCs w:val="20"/>
          <w:color w:val="auto"/>
        </w:rPr>
      </w:pPr>
      <w:r>
        <w:rPr>
          <w:rFonts w:ascii="Arial" w:cs="Arial" w:eastAsia="Arial" w:hAnsi="Arial"/>
          <w:sz w:val="18"/>
          <w:szCs w:val="18"/>
          <w:color w:val="auto"/>
        </w:rPr>
        <w:t>10.3 No Waiver. Agent shall be under no obligation to marshal any of the Collateral for the benefit of Borrower or any other Person, and Borrower expressly waives all rights, if any, to require Agent to marshal any Collateral.</w:t>
      </w:r>
    </w:p>
    <w:p>
      <w:pPr>
        <w:spacing w:after="0" w:line="123" w:lineRule="exact"/>
        <w:rPr>
          <w:sz w:val="20"/>
          <w:szCs w:val="20"/>
          <w:color w:val="auto"/>
        </w:rPr>
      </w:pPr>
    </w:p>
    <w:p>
      <w:pPr>
        <w:jc w:val="both"/>
        <w:ind w:left="500" w:right="20" w:firstLine="566"/>
        <w:spacing w:after="0" w:line="241" w:lineRule="auto"/>
        <w:rPr>
          <w:sz w:val="20"/>
          <w:szCs w:val="20"/>
          <w:color w:val="auto"/>
        </w:rPr>
      </w:pPr>
      <w:r>
        <w:rPr>
          <w:rFonts w:ascii="Arial" w:cs="Arial" w:eastAsia="Arial" w:hAnsi="Arial"/>
          <w:sz w:val="19"/>
          <w:szCs w:val="19"/>
          <w:color w:val="auto"/>
        </w:rPr>
        <w:t>10.4 Cumulative Remedies. The rights, powers and remedies of Agent hereunder shall be in addition to all rights, powers and remedies given by statute or rule of law and are cumulative. The exercise of any one or more of the rights, powers and remedies provided herein shall not be construed as a waiver of or election of remedies with respect to any other rights, powers and remedies of Agent.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 xml:space="preserve">SECTION 11. </w:t>
      </w:r>
      <w:r>
        <w:rPr>
          <w:rFonts w:ascii="Arial" w:cs="Arial" w:eastAsia="Arial" w:hAnsi="Arial"/>
          <w:sz w:val="19"/>
          <w:szCs w:val="19"/>
          <w:b w:val="1"/>
          <w:bCs w:val="1"/>
          <w:u w:val="single" w:color="auto"/>
          <w:color w:val="auto"/>
        </w:rPr>
        <w:t>MISCELLANEOUS</w:t>
      </w:r>
    </w:p>
    <w:p>
      <w:pPr>
        <w:spacing w:after="0" w:line="188" w:lineRule="exact"/>
        <w:rPr>
          <w:sz w:val="20"/>
          <w:szCs w:val="20"/>
          <w:color w:val="auto"/>
        </w:rPr>
      </w:pPr>
    </w:p>
    <w:p>
      <w:pPr>
        <w:jc w:val="both"/>
        <w:ind w:left="500" w:right="20" w:firstLine="566"/>
        <w:spacing w:after="0" w:line="258" w:lineRule="auto"/>
        <w:rPr>
          <w:sz w:val="20"/>
          <w:szCs w:val="20"/>
          <w:color w:val="auto"/>
        </w:rPr>
      </w:pPr>
      <w:r>
        <w:rPr>
          <w:rFonts w:ascii="Arial" w:cs="Arial" w:eastAsia="Arial" w:hAnsi="Arial"/>
          <w:sz w:val="18"/>
          <w:szCs w:val="18"/>
          <w:color w:val="auto"/>
        </w:rPr>
        <w:t>11.1 Severability. Whenever possible, each provision of this Agreement shall be interpreted in such manner as to be effective and valid under applicable law, but if any provision of this Agreement shall be prohibited by or invalid under such law, such provision shall be ineffective only to the extent and duration of such prohibition or invalidity, without invalidating the remainder of such provision or the remaining provisions of this Agreement.</w:t>
      </w:r>
    </w:p>
    <w:p>
      <w:pPr>
        <w:spacing w:after="0" w:line="147" w:lineRule="exact"/>
        <w:rPr>
          <w:sz w:val="20"/>
          <w:szCs w:val="20"/>
          <w:color w:val="auto"/>
        </w:rPr>
      </w:pPr>
    </w:p>
    <w:p>
      <w:pPr>
        <w:jc w:val="both"/>
        <w:ind w:left="500" w:right="20" w:firstLine="566"/>
        <w:spacing w:after="0" w:line="238" w:lineRule="auto"/>
        <w:rPr>
          <w:sz w:val="20"/>
          <w:szCs w:val="20"/>
          <w:color w:val="auto"/>
        </w:rPr>
      </w:pPr>
      <w:r>
        <w:rPr>
          <w:rFonts w:ascii="Arial" w:cs="Arial" w:eastAsia="Arial" w:hAnsi="Arial"/>
          <w:sz w:val="19"/>
          <w:szCs w:val="19"/>
          <w:color w:val="auto"/>
        </w:rPr>
        <w:t>11.2 Notice. Except as otherwise provided herein, any notice, demand, request, consent, approval, declaration, service of process or other communication (including the delivery of Financial Statements) that is required, contemplated, or permitted under the Loan Documents or with respect to the subject matter hereof shall be in writing, and shall be deemed to have been validly served, given, delivered, and received upon the earlier of: (i) the day of transmission by electronic mail or hand delivery or delivery by an overnight express service or overnight mail delivery service; or (ii) the third calendar day after deposit</w:t>
      </w:r>
    </w:p>
    <w:p>
      <w:pPr>
        <w:spacing w:after="0" w:line="162" w:lineRule="exact"/>
        <w:rPr>
          <w:sz w:val="20"/>
          <w:szCs w:val="20"/>
          <w:color w:val="auto"/>
        </w:rPr>
      </w:pPr>
    </w:p>
    <w:p>
      <w:pPr>
        <w:jc w:val="both"/>
        <w:ind w:left="500" w:right="20"/>
        <w:spacing w:after="0" w:line="256" w:lineRule="auto"/>
        <w:rPr>
          <w:sz w:val="20"/>
          <w:szCs w:val="20"/>
          <w:color w:val="auto"/>
        </w:rPr>
      </w:pPr>
      <w:r>
        <w:rPr>
          <w:rFonts w:ascii="Arial" w:cs="Arial" w:eastAsia="Arial" w:hAnsi="Arial"/>
          <w:sz w:val="19"/>
          <w:szCs w:val="19"/>
          <w:color w:val="auto"/>
        </w:rPr>
        <w:t>in the United States of America mails, with proper first class postage prepaid, in each case addressed to the party to be notified as follows: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307340</wp:posOffset>
            </wp:positionV>
            <wp:extent cx="6311265" cy="2222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940"/>
          </w:cols>
          <w:pgMar w:left="980" w:top="781" w:right="979" w:bottom="1440" w:gutter="0" w:footer="0" w:header="0"/>
        </w:sectPr>
      </w:pPr>
    </w:p>
    <w:bookmarkStart w:id="167" w:name="page168"/>
    <w:bookmarkEnd w:id="167"/>
    <w:p>
      <w:pPr>
        <w:ind w:left="1200" w:hanging="532"/>
        <w:spacing w:after="0"/>
        <w:tabs>
          <w:tab w:leader="none" w:pos="1200" w:val="left"/>
        </w:tabs>
        <w:numPr>
          <w:ilvl w:val="0"/>
          <w:numId w:val="90"/>
        </w:numPr>
        <w:rPr>
          <w:rFonts w:ascii="Arial" w:cs="Arial" w:eastAsia="Arial" w:hAnsi="Arial"/>
          <w:sz w:val="19"/>
          <w:szCs w:val="19"/>
          <w:color w:val="auto"/>
        </w:rPr>
      </w:pPr>
      <w:r>
        <w:rPr>
          <w:rFonts w:ascii="Arial" w:cs="Arial" w:eastAsia="Arial" w:hAnsi="Arial"/>
          <w:sz w:val="19"/>
          <w:szCs w:val="19"/>
          <w:color w:val="auto"/>
        </w:rPr>
        <w:t>If to Agent:</w:t>
      </w:r>
    </w:p>
    <w:p>
      <w:pPr>
        <w:spacing w:after="0" w:line="182" w:lineRule="exact"/>
        <w:rPr>
          <w:sz w:val="20"/>
          <w:szCs w:val="20"/>
          <w:color w:val="auto"/>
        </w:rPr>
      </w:pPr>
    </w:p>
    <w:p>
      <w:pPr>
        <w:ind w:left="1240"/>
        <w:spacing w:after="0"/>
        <w:rPr>
          <w:sz w:val="20"/>
          <w:szCs w:val="20"/>
          <w:color w:val="auto"/>
        </w:rPr>
      </w:pPr>
      <w:r>
        <w:rPr>
          <w:rFonts w:ascii="Arial" w:cs="Arial" w:eastAsia="Arial" w:hAnsi="Arial"/>
          <w:sz w:val="19"/>
          <w:szCs w:val="19"/>
          <w:color w:val="auto"/>
        </w:rPr>
        <w:t>HERCULES CAPITAL, INC.</w:t>
      </w:r>
    </w:p>
    <w:p>
      <w:pPr>
        <w:spacing w:after="0" w:line="3" w:lineRule="exact"/>
        <w:rPr>
          <w:sz w:val="20"/>
          <w:szCs w:val="20"/>
          <w:color w:val="auto"/>
        </w:rPr>
      </w:pPr>
    </w:p>
    <w:p>
      <w:pPr>
        <w:ind w:left="1240"/>
        <w:spacing w:after="0"/>
        <w:rPr>
          <w:sz w:val="20"/>
          <w:szCs w:val="20"/>
          <w:color w:val="auto"/>
        </w:rPr>
      </w:pPr>
      <w:r>
        <w:rPr>
          <w:rFonts w:ascii="Arial" w:cs="Arial" w:eastAsia="Arial" w:hAnsi="Arial"/>
          <w:sz w:val="19"/>
          <w:szCs w:val="19"/>
          <w:color w:val="auto"/>
        </w:rPr>
        <w:t>Legal Department</w:t>
      </w:r>
    </w:p>
    <w:p>
      <w:pPr>
        <w:ind w:left="1240"/>
        <w:spacing w:after="0" w:line="233" w:lineRule="auto"/>
        <w:rPr>
          <w:sz w:val="20"/>
          <w:szCs w:val="20"/>
          <w:color w:val="auto"/>
        </w:rPr>
      </w:pPr>
      <w:r>
        <w:rPr>
          <w:rFonts w:ascii="Arial" w:cs="Arial" w:eastAsia="Arial" w:hAnsi="Arial"/>
          <w:sz w:val="19"/>
          <w:szCs w:val="19"/>
          <w:color w:val="auto"/>
        </w:rPr>
        <w:t>Attention: Chief Legal Officer and Michael Dutra</w:t>
      </w:r>
    </w:p>
    <w:p>
      <w:pPr>
        <w:ind w:left="1240"/>
        <w:spacing w:after="0" w:line="233" w:lineRule="auto"/>
        <w:rPr>
          <w:sz w:val="20"/>
          <w:szCs w:val="20"/>
          <w:color w:val="auto"/>
        </w:rPr>
      </w:pPr>
      <w:r>
        <w:rPr>
          <w:rFonts w:ascii="Arial" w:cs="Arial" w:eastAsia="Arial" w:hAnsi="Arial"/>
          <w:sz w:val="19"/>
          <w:szCs w:val="19"/>
          <w:color w:val="auto"/>
        </w:rPr>
        <w:t>400 Hamilton Avenue, Suite 310</w:t>
      </w:r>
    </w:p>
    <w:p>
      <w:pPr>
        <w:ind w:left="1240"/>
        <w:spacing w:after="0" w:line="233" w:lineRule="auto"/>
        <w:rPr>
          <w:sz w:val="20"/>
          <w:szCs w:val="20"/>
          <w:color w:val="auto"/>
        </w:rPr>
      </w:pPr>
      <w:r>
        <w:rPr>
          <w:rFonts w:ascii="Arial" w:cs="Arial" w:eastAsia="Arial" w:hAnsi="Arial"/>
          <w:sz w:val="19"/>
          <w:szCs w:val="19"/>
          <w:color w:val="auto"/>
        </w:rPr>
        <w:t>Palo Alto, CA 94301</w:t>
      </w:r>
    </w:p>
    <w:p>
      <w:pPr>
        <w:ind w:left="1240"/>
        <w:spacing w:after="0" w:line="233" w:lineRule="auto"/>
        <w:rPr>
          <w:sz w:val="20"/>
          <w:szCs w:val="20"/>
          <w:color w:val="auto"/>
        </w:rPr>
      </w:pPr>
      <w:r>
        <w:rPr>
          <w:rFonts w:ascii="Arial" w:cs="Arial" w:eastAsia="Arial" w:hAnsi="Arial"/>
          <w:sz w:val="19"/>
          <w:szCs w:val="19"/>
          <w:color w:val="auto"/>
        </w:rPr>
        <w:t>email: legal@htgc.com and mdutra@htgc.com</w:t>
      </w:r>
    </w:p>
    <w:p>
      <w:pPr>
        <w:ind w:left="1240"/>
        <w:spacing w:after="0"/>
        <w:rPr>
          <w:sz w:val="20"/>
          <w:szCs w:val="20"/>
          <w:color w:val="auto"/>
        </w:rPr>
      </w:pPr>
      <w:r>
        <w:rPr>
          <w:rFonts w:ascii="Arial" w:cs="Arial" w:eastAsia="Arial" w:hAnsi="Arial"/>
          <w:sz w:val="19"/>
          <w:szCs w:val="19"/>
          <w:color w:val="auto"/>
        </w:rPr>
        <w:t>Telephone: 650-289-3060</w:t>
      </w:r>
    </w:p>
    <w:p>
      <w:pPr>
        <w:spacing w:after="0" w:line="166" w:lineRule="exact"/>
        <w:rPr>
          <w:sz w:val="20"/>
          <w:szCs w:val="20"/>
          <w:color w:val="auto"/>
        </w:rPr>
      </w:pPr>
    </w:p>
    <w:p>
      <w:pPr>
        <w:ind w:left="1220" w:hanging="552"/>
        <w:spacing w:after="0"/>
        <w:tabs>
          <w:tab w:leader="none" w:pos="1220" w:val="left"/>
        </w:tabs>
        <w:numPr>
          <w:ilvl w:val="0"/>
          <w:numId w:val="91"/>
        </w:numPr>
        <w:rPr>
          <w:rFonts w:ascii="Arial" w:cs="Arial" w:eastAsia="Arial" w:hAnsi="Arial"/>
          <w:sz w:val="19"/>
          <w:szCs w:val="19"/>
          <w:color w:val="auto"/>
        </w:rPr>
      </w:pPr>
      <w:r>
        <w:rPr>
          <w:rFonts w:ascii="Arial" w:cs="Arial" w:eastAsia="Arial" w:hAnsi="Arial"/>
          <w:sz w:val="19"/>
          <w:szCs w:val="19"/>
          <w:color w:val="auto"/>
        </w:rPr>
        <w:t>If to the Lenders:</w:t>
      </w:r>
    </w:p>
    <w:p>
      <w:pPr>
        <w:spacing w:after="0" w:line="182" w:lineRule="exact"/>
        <w:rPr>
          <w:rFonts w:ascii="Arial" w:cs="Arial" w:eastAsia="Arial" w:hAnsi="Arial"/>
          <w:sz w:val="19"/>
          <w:szCs w:val="19"/>
          <w:color w:val="auto"/>
        </w:rPr>
      </w:pPr>
    </w:p>
    <w:p>
      <w:pPr>
        <w:ind w:left="1240" w:right="5980"/>
        <w:spacing w:after="0" w:line="241" w:lineRule="auto"/>
        <w:rPr>
          <w:rFonts w:ascii="Arial" w:cs="Arial" w:eastAsia="Arial" w:hAnsi="Arial"/>
          <w:sz w:val="19"/>
          <w:szCs w:val="19"/>
          <w:color w:val="auto"/>
        </w:rPr>
      </w:pPr>
      <w:r>
        <w:rPr>
          <w:rFonts w:ascii="Arial" w:cs="Arial" w:eastAsia="Arial" w:hAnsi="Arial"/>
          <w:sz w:val="19"/>
          <w:szCs w:val="19"/>
          <w:color w:val="auto"/>
        </w:rPr>
        <w:t>HERCULES CAPITAL, INC. Legal Department</w:t>
      </w:r>
    </w:p>
    <w:p>
      <w:pPr>
        <w:spacing w:after="0" w:line="1" w:lineRule="exact"/>
        <w:rPr>
          <w:rFonts w:ascii="Arial" w:cs="Arial" w:eastAsia="Arial" w:hAnsi="Arial"/>
          <w:sz w:val="19"/>
          <w:szCs w:val="19"/>
          <w:color w:val="auto"/>
        </w:rPr>
      </w:pPr>
    </w:p>
    <w:p>
      <w:pPr>
        <w:ind w:left="1240" w:right="4440"/>
        <w:spacing w:after="0" w:line="233" w:lineRule="auto"/>
        <w:rPr>
          <w:rFonts w:ascii="Arial" w:cs="Arial" w:eastAsia="Arial" w:hAnsi="Arial"/>
          <w:sz w:val="19"/>
          <w:szCs w:val="19"/>
          <w:color w:val="auto"/>
        </w:rPr>
      </w:pPr>
      <w:r>
        <w:rPr>
          <w:rFonts w:ascii="Arial" w:cs="Arial" w:eastAsia="Arial" w:hAnsi="Arial"/>
          <w:sz w:val="19"/>
          <w:szCs w:val="19"/>
          <w:color w:val="auto"/>
        </w:rPr>
        <w:t>Attention: Chief Legal Officer and Michael Dutra 400 Hamilton Avenue, Suite 310</w:t>
      </w:r>
    </w:p>
    <w:p>
      <w:pPr>
        <w:ind w:left="1240"/>
        <w:spacing w:after="0" w:line="233" w:lineRule="auto"/>
        <w:rPr>
          <w:rFonts w:ascii="Arial" w:cs="Arial" w:eastAsia="Arial" w:hAnsi="Arial"/>
          <w:sz w:val="19"/>
          <w:szCs w:val="19"/>
          <w:color w:val="auto"/>
        </w:rPr>
      </w:pPr>
      <w:r>
        <w:rPr>
          <w:rFonts w:ascii="Arial" w:cs="Arial" w:eastAsia="Arial" w:hAnsi="Arial"/>
          <w:sz w:val="19"/>
          <w:szCs w:val="19"/>
          <w:color w:val="auto"/>
        </w:rPr>
        <w:t>Palo Alto, CA 94301</w:t>
      </w:r>
    </w:p>
    <w:p>
      <w:pPr>
        <w:ind w:left="1240"/>
        <w:spacing w:after="0" w:line="233" w:lineRule="auto"/>
        <w:rPr>
          <w:rFonts w:ascii="Arial" w:cs="Arial" w:eastAsia="Arial" w:hAnsi="Arial"/>
          <w:sz w:val="19"/>
          <w:szCs w:val="19"/>
          <w:color w:val="auto"/>
        </w:rPr>
      </w:pPr>
      <w:r>
        <w:rPr>
          <w:rFonts w:ascii="Arial" w:cs="Arial" w:eastAsia="Arial" w:hAnsi="Arial"/>
          <w:sz w:val="19"/>
          <w:szCs w:val="19"/>
          <w:color w:val="auto"/>
        </w:rPr>
        <w:t>email: legal@htgc.com and mdutra@htgc.com</w:t>
      </w:r>
    </w:p>
    <w:p>
      <w:pPr>
        <w:ind w:left="1240"/>
        <w:spacing w:after="0"/>
        <w:rPr>
          <w:rFonts w:ascii="Arial" w:cs="Arial" w:eastAsia="Arial" w:hAnsi="Arial"/>
          <w:sz w:val="19"/>
          <w:szCs w:val="19"/>
          <w:color w:val="auto"/>
        </w:rPr>
      </w:pPr>
      <w:r>
        <w:rPr>
          <w:rFonts w:ascii="Arial" w:cs="Arial" w:eastAsia="Arial" w:hAnsi="Arial"/>
          <w:sz w:val="19"/>
          <w:szCs w:val="19"/>
          <w:color w:val="auto"/>
        </w:rPr>
        <w:t>Telephone: 650-289-3060</w:t>
      </w:r>
    </w:p>
    <w:p>
      <w:pPr>
        <w:spacing w:after="0" w:line="166" w:lineRule="exact"/>
        <w:rPr>
          <w:rFonts w:ascii="Arial" w:cs="Arial" w:eastAsia="Arial" w:hAnsi="Arial"/>
          <w:sz w:val="19"/>
          <w:szCs w:val="19"/>
          <w:color w:val="auto"/>
        </w:rPr>
      </w:pPr>
    </w:p>
    <w:p>
      <w:pPr>
        <w:ind w:left="1260" w:hanging="592"/>
        <w:spacing w:after="0"/>
        <w:tabs>
          <w:tab w:leader="none" w:pos="1260" w:val="left"/>
        </w:tabs>
        <w:numPr>
          <w:ilvl w:val="0"/>
          <w:numId w:val="91"/>
        </w:numPr>
        <w:rPr>
          <w:rFonts w:ascii="Arial" w:cs="Arial" w:eastAsia="Arial" w:hAnsi="Arial"/>
          <w:sz w:val="19"/>
          <w:szCs w:val="19"/>
          <w:color w:val="auto"/>
        </w:rPr>
      </w:pPr>
      <w:r>
        <w:rPr>
          <w:rFonts w:ascii="Arial" w:cs="Arial" w:eastAsia="Arial" w:hAnsi="Arial"/>
          <w:sz w:val="19"/>
          <w:szCs w:val="19"/>
          <w:color w:val="auto"/>
        </w:rPr>
        <w:t>If to Borrower:</w:t>
      </w:r>
    </w:p>
    <w:p>
      <w:pPr>
        <w:spacing w:after="0" w:line="182" w:lineRule="exact"/>
        <w:rPr>
          <w:sz w:val="20"/>
          <w:szCs w:val="20"/>
          <w:color w:val="auto"/>
        </w:rPr>
      </w:pPr>
    </w:p>
    <w:p>
      <w:pPr>
        <w:ind w:left="1240"/>
        <w:spacing w:after="0"/>
        <w:rPr>
          <w:sz w:val="20"/>
          <w:szCs w:val="20"/>
          <w:color w:val="auto"/>
        </w:rPr>
      </w:pPr>
      <w:r>
        <w:rPr>
          <w:rFonts w:ascii="Arial" w:cs="Arial" w:eastAsia="Arial" w:hAnsi="Arial"/>
          <w:sz w:val="19"/>
          <w:szCs w:val="19"/>
          <w:color w:val="auto"/>
        </w:rPr>
        <w:t>22 Cortlandt Street, 16th Floor</w:t>
      </w:r>
    </w:p>
    <w:p>
      <w:pPr>
        <w:spacing w:after="0" w:line="3" w:lineRule="exact"/>
        <w:rPr>
          <w:sz w:val="20"/>
          <w:szCs w:val="20"/>
          <w:color w:val="auto"/>
        </w:rPr>
      </w:pPr>
    </w:p>
    <w:p>
      <w:pPr>
        <w:ind w:left="1240"/>
        <w:spacing w:after="0"/>
        <w:rPr>
          <w:sz w:val="20"/>
          <w:szCs w:val="20"/>
          <w:color w:val="auto"/>
        </w:rPr>
      </w:pPr>
      <w:r>
        <w:rPr>
          <w:rFonts w:ascii="Arial" w:cs="Arial" w:eastAsia="Arial" w:hAnsi="Arial"/>
          <w:sz w:val="19"/>
          <w:szCs w:val="19"/>
          <w:color w:val="auto"/>
        </w:rPr>
        <w:t>New York, NY, 10007</w:t>
      </w:r>
    </w:p>
    <w:p>
      <w:pPr>
        <w:ind w:left="1240"/>
        <w:spacing w:after="0" w:line="233" w:lineRule="auto"/>
        <w:rPr>
          <w:sz w:val="20"/>
          <w:szCs w:val="20"/>
          <w:color w:val="auto"/>
        </w:rPr>
      </w:pPr>
      <w:r>
        <w:rPr>
          <w:rFonts w:ascii="Arial" w:cs="Arial" w:eastAsia="Arial" w:hAnsi="Arial"/>
          <w:sz w:val="19"/>
          <w:szCs w:val="19"/>
          <w:color w:val="auto"/>
        </w:rPr>
        <w:t>Attention: Nick Pizzie, Chief Financial Officer</w:t>
      </w:r>
    </w:p>
    <w:p>
      <w:pPr>
        <w:ind w:left="1240"/>
        <w:spacing w:after="0" w:line="233" w:lineRule="auto"/>
        <w:rPr>
          <w:sz w:val="20"/>
          <w:szCs w:val="20"/>
          <w:color w:val="auto"/>
        </w:rPr>
      </w:pPr>
      <w:r>
        <w:rPr>
          <w:rFonts w:ascii="Arial" w:cs="Arial" w:eastAsia="Arial" w:hAnsi="Arial"/>
          <w:sz w:val="19"/>
          <w:szCs w:val="19"/>
          <w:color w:val="auto"/>
        </w:rPr>
        <w:t>email: npizzie@axsome.com</w:t>
      </w:r>
    </w:p>
    <w:p>
      <w:pPr>
        <w:ind w:left="1240"/>
        <w:spacing w:after="0"/>
        <w:rPr>
          <w:sz w:val="20"/>
          <w:szCs w:val="20"/>
          <w:color w:val="auto"/>
        </w:rPr>
      </w:pPr>
      <w:r>
        <w:rPr>
          <w:rFonts w:ascii="Arial" w:cs="Arial" w:eastAsia="Arial" w:hAnsi="Arial"/>
          <w:sz w:val="19"/>
          <w:szCs w:val="19"/>
          <w:color w:val="auto"/>
        </w:rPr>
        <w:t>Telephone: +1-646-844-6270</w:t>
      </w:r>
    </w:p>
    <w:p>
      <w:pPr>
        <w:spacing w:after="0" w:line="190" w:lineRule="exact"/>
        <w:rPr>
          <w:sz w:val="20"/>
          <w:szCs w:val="20"/>
          <w:color w:val="auto"/>
        </w:rPr>
      </w:pPr>
    </w:p>
    <w:p>
      <w:pPr>
        <w:ind w:left="100"/>
        <w:spacing w:after="0"/>
        <w:rPr>
          <w:sz w:val="20"/>
          <w:szCs w:val="20"/>
          <w:color w:val="auto"/>
        </w:rPr>
      </w:pPr>
      <w:r>
        <w:rPr>
          <w:rFonts w:ascii="Arial" w:cs="Arial" w:eastAsia="Arial" w:hAnsi="Arial"/>
          <w:sz w:val="19"/>
          <w:szCs w:val="19"/>
          <w:color w:val="auto"/>
        </w:rPr>
        <w:t>or to such other address as each party may designate for itself by like notice.</w:t>
      </w:r>
    </w:p>
    <w:p>
      <w:pPr>
        <w:spacing w:after="0" w:line="182" w:lineRule="exact"/>
        <w:rPr>
          <w:sz w:val="20"/>
          <w:szCs w:val="20"/>
          <w:color w:val="auto"/>
        </w:rPr>
      </w:pPr>
    </w:p>
    <w:p>
      <w:pPr>
        <w:ind w:left="600"/>
        <w:spacing w:after="0"/>
        <w:tabs>
          <w:tab w:leader="none" w:pos="1280" w:val="left"/>
        </w:tabs>
        <w:rPr>
          <w:sz w:val="20"/>
          <w:szCs w:val="20"/>
          <w:color w:val="auto"/>
        </w:rPr>
      </w:pPr>
      <w:r>
        <w:rPr>
          <w:rFonts w:ascii="Arial" w:cs="Arial" w:eastAsia="Arial" w:hAnsi="Arial"/>
          <w:sz w:val="19"/>
          <w:szCs w:val="19"/>
          <w:color w:val="auto"/>
        </w:rPr>
        <w:t>11.3</w:t>
      </w:r>
      <w:r>
        <w:rPr>
          <w:sz w:val="20"/>
          <w:szCs w:val="20"/>
          <w:color w:val="auto"/>
        </w:rPr>
        <w:tab/>
      </w:r>
      <w:r>
        <w:rPr>
          <w:rFonts w:ascii="Arial" w:cs="Arial" w:eastAsia="Arial" w:hAnsi="Arial"/>
          <w:sz w:val="17"/>
          <w:szCs w:val="17"/>
          <w:color w:val="auto"/>
        </w:rPr>
        <w:t>Entire Agreement; Amendments.</w:t>
      </w:r>
    </w:p>
    <w:p>
      <w:pPr>
        <w:spacing w:after="0" w:line="182" w:lineRule="exact"/>
        <w:rPr>
          <w:sz w:val="20"/>
          <w:szCs w:val="20"/>
          <w:color w:val="auto"/>
        </w:rPr>
      </w:pPr>
    </w:p>
    <w:p>
      <w:pPr>
        <w:jc w:val="both"/>
        <w:ind w:left="100" w:firstLine="568"/>
        <w:spacing w:after="0" w:line="255" w:lineRule="auto"/>
        <w:tabs>
          <w:tab w:leader="none" w:pos="1412"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This Agreement and the other Loan Documents constitute the entire agreement and understanding of the parties hereto in respect of the subject matter hereof and thereof, and supersede and replace in their entirety any prior proposals, term sheets, non-disclosure or confidentiality agreements, letters, negotiations or other documents or agreements, whether written or oral, with respect to the subject matter hereof or thereof (including Agent’s revised proposal letter dated September 2, 2020 and the Non-Disclosure Agreement).</w:t>
      </w:r>
    </w:p>
    <w:p>
      <w:pPr>
        <w:spacing w:after="0" w:line="150" w:lineRule="exact"/>
        <w:rPr>
          <w:rFonts w:ascii="Arial" w:cs="Arial" w:eastAsia="Arial" w:hAnsi="Arial"/>
          <w:sz w:val="18"/>
          <w:szCs w:val="18"/>
          <w:color w:val="auto"/>
        </w:rPr>
      </w:pPr>
    </w:p>
    <w:p>
      <w:pPr>
        <w:jc w:val="both"/>
        <w:ind w:left="100" w:firstLine="568"/>
        <w:spacing w:after="0" w:line="252" w:lineRule="auto"/>
        <w:tabs>
          <w:tab w:leader="none" w:pos="1602" w:val="left"/>
        </w:tabs>
        <w:numPr>
          <w:ilvl w:val="0"/>
          <w:numId w:val="92"/>
        </w:numPr>
        <w:rPr>
          <w:rFonts w:ascii="Arial" w:cs="Arial" w:eastAsia="Arial" w:hAnsi="Arial"/>
          <w:sz w:val="18"/>
          <w:szCs w:val="18"/>
          <w:color w:val="auto"/>
        </w:rPr>
      </w:pPr>
      <w:r>
        <w:rPr>
          <w:rFonts w:ascii="Arial" w:cs="Arial" w:eastAsia="Arial" w:hAnsi="Arial"/>
          <w:sz w:val="18"/>
          <w:szCs w:val="18"/>
          <w:color w:val="auto"/>
        </w:rPr>
        <w:t>Neither this Agreement, any other Loan Document (other than the Warrant which is subject to the amendment provisions therein), nor any terms hereof or thereof may be amended, supplemented or modified except in accordance with the provisions of this Section 11.3(b). The Required Lenders and Borrower party to the relevant Loan Document may, or, with the written consent of the Required Lenders, the Agent and the Borrower party to the relevant Loan Document may, from time to time, (i) enter into written amendments, supplements or modifications hereto and to the other Loan Documents for the purpose of adding any provisions to this Agreement or the other Loan Documents or changing in any manner the rights of the Lenders or of the Borrower hereunder or</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480"/>
        <w:spacing w:after="0"/>
        <w:rPr>
          <w:sz w:val="20"/>
          <w:szCs w:val="20"/>
          <w:color w:val="auto"/>
        </w:rPr>
      </w:pPr>
      <w:r>
        <w:rPr>
          <w:rFonts w:ascii="Arial" w:cs="Arial" w:eastAsia="Arial" w:hAnsi="Arial"/>
          <w:sz w:val="19"/>
          <w:szCs w:val="19"/>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307340</wp:posOffset>
            </wp:positionV>
            <wp:extent cx="6311265" cy="2222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480"/>
          </w:cols>
          <w:pgMar w:left="1440" w:top="781" w:right="979" w:bottom="1440" w:gutter="0" w:footer="0" w:header="0"/>
        </w:sectPr>
      </w:pPr>
    </w:p>
    <w:bookmarkStart w:id="168" w:name="page169"/>
    <w:bookmarkEnd w:id="168"/>
    <w:p>
      <w:pPr>
        <w:jc w:val="both"/>
        <w:ind w:left="100"/>
        <w:spacing w:after="0" w:line="264" w:lineRule="auto"/>
        <w:rPr>
          <w:sz w:val="20"/>
          <w:szCs w:val="20"/>
          <w:color w:val="auto"/>
        </w:rPr>
      </w:pPr>
      <w:r>
        <w:rPr>
          <w:rFonts w:ascii="Arial" w:cs="Arial" w:eastAsia="Arial" w:hAnsi="Arial"/>
          <w:sz w:val="17"/>
          <w:szCs w:val="17"/>
          <w:color w:val="auto"/>
        </w:rPr>
        <w:t>thereunder or (ii) waive, on such terms and conditions as the Required Lenders or the Agent, as the case may be, may specify in such instrument, any of the requirements of this Agreement or the other Loan Documents or any default or Event of Default and its consequences; provided, however, that no such waiver and no such amendment, supplement or modification shall (A) forgive the principal amount or extend the final scheduled date of maturity of any Loan, extend the scheduled date of any amortization payment in respect of any Term Loan, reduce the stated rate of any interest (or fee payable hereunder) or extend the scheduled date of any payment thereof, in each case without the written consent of each Lender directly affected thereby; (B) eliminate or reduce the voting rights of any Lender under this Section 11.3(b) without the written consent of such Lender; (C) reduce any percentage specified in the definition of Required Lenders, consent to the assignment or transfer by the Borrower of any of its rights and obligations under this Agreement and the other Loan Documents, release all or substantially all of the Collateral or release a Borrower from its obligations under the Loan Documents, in each case without the written consent of all Lenders; or (D) amend, modify or waive any provision of Section 11.18 or Addendum 3 without the written consent of the Agent. Any such waiver and any such amendment, supplement or modification shall apply equally to each Lender and shall be binding upon Borrower, the Lender, the Agent and all future holders of the Loans. Notwithstanding the foregoing, the Warrant may be amended in accordance with its terms, and this Section 11.3(b) shall not apply to such amendments.</w:t>
      </w:r>
    </w:p>
    <w:p>
      <w:pPr>
        <w:spacing w:after="0" w:line="147" w:lineRule="exact"/>
        <w:rPr>
          <w:sz w:val="20"/>
          <w:szCs w:val="20"/>
          <w:color w:val="auto"/>
        </w:rPr>
      </w:pPr>
    </w:p>
    <w:p>
      <w:pPr>
        <w:jc w:val="both"/>
        <w:ind w:left="40" w:firstLine="566"/>
        <w:spacing w:after="0" w:line="241" w:lineRule="auto"/>
        <w:rPr>
          <w:sz w:val="20"/>
          <w:szCs w:val="20"/>
          <w:color w:val="auto"/>
        </w:rPr>
      </w:pPr>
      <w:r>
        <w:rPr>
          <w:rFonts w:ascii="Arial" w:cs="Arial" w:eastAsia="Arial" w:hAnsi="Arial"/>
          <w:sz w:val="19"/>
          <w:szCs w:val="19"/>
          <w:color w:val="auto"/>
        </w:rPr>
        <w:t>11.4 No Strict Construction. 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provisions of this Agreement.</w:t>
      </w:r>
    </w:p>
    <w:p>
      <w:pPr>
        <w:spacing w:after="0" w:line="160" w:lineRule="exact"/>
        <w:rPr>
          <w:sz w:val="20"/>
          <w:szCs w:val="20"/>
          <w:color w:val="auto"/>
        </w:rPr>
      </w:pPr>
    </w:p>
    <w:p>
      <w:pPr>
        <w:jc w:val="both"/>
        <w:ind w:left="40" w:right="20" w:firstLine="566"/>
        <w:spacing w:after="0" w:line="253" w:lineRule="auto"/>
        <w:rPr>
          <w:sz w:val="20"/>
          <w:szCs w:val="20"/>
          <w:color w:val="auto"/>
        </w:rPr>
      </w:pPr>
      <w:r>
        <w:rPr>
          <w:rFonts w:ascii="Arial" w:cs="Arial" w:eastAsia="Arial" w:hAnsi="Arial"/>
          <w:sz w:val="18"/>
          <w:szCs w:val="18"/>
          <w:color w:val="auto"/>
        </w:rPr>
        <w:t>11.5 No Waiver. The powers conferred upon Agent and the Lenders by this Agreement are solely to protect its rights hereunder and under the other Loan Documents and its interest in the Collateral and shall not impose any duty upon Agent or the Lenders to exercise any such powers. No omission or delay by Agent or the Lenders at any time to enforce any right or remedy reserved to it, or to require performance of any of the terms, covenants or provisions hereof by Borrower at any time designated, shall be a waiver of any such right or remedy to which Agent or the Lenders is entitled, nor shall it in any way affect the right of Agent or the Lenders to enforce such provisions thereafter.</w:t>
      </w:r>
    </w:p>
    <w:p>
      <w:pPr>
        <w:spacing w:after="0" w:line="153" w:lineRule="exact"/>
        <w:rPr>
          <w:sz w:val="20"/>
          <w:szCs w:val="20"/>
          <w:color w:val="auto"/>
        </w:rPr>
      </w:pPr>
    </w:p>
    <w:p>
      <w:pPr>
        <w:jc w:val="both"/>
        <w:ind w:left="40" w:right="20" w:firstLine="566"/>
        <w:spacing w:after="0" w:line="241" w:lineRule="auto"/>
        <w:rPr>
          <w:sz w:val="20"/>
          <w:szCs w:val="20"/>
          <w:color w:val="auto"/>
        </w:rPr>
      </w:pPr>
      <w:r>
        <w:rPr>
          <w:rFonts w:ascii="Arial" w:cs="Arial" w:eastAsia="Arial" w:hAnsi="Arial"/>
          <w:sz w:val="19"/>
          <w:szCs w:val="19"/>
          <w:color w:val="auto"/>
        </w:rPr>
        <w:t>11.6 Survival. All agreements, representations and warranties contained in this Agreement and the other Loan Documents or in any document delivered pursuant hereto or thereto shall be for the benefit of Agent and the Lenders and shall survive the execution and delivery of this Agreement. Sections 6.3, 11.15 and 11.18 shall survive the termination of this Agreement.</w:t>
      </w:r>
    </w:p>
    <w:p>
      <w:pPr>
        <w:spacing w:after="0" w:line="160" w:lineRule="exact"/>
        <w:rPr>
          <w:sz w:val="20"/>
          <w:szCs w:val="20"/>
          <w:color w:val="auto"/>
        </w:rPr>
      </w:pPr>
    </w:p>
    <w:p>
      <w:pPr>
        <w:jc w:val="both"/>
        <w:ind w:left="40" w:right="20" w:firstLine="566"/>
        <w:spacing w:after="0" w:line="287" w:lineRule="auto"/>
        <w:rPr>
          <w:sz w:val="20"/>
          <w:szCs w:val="20"/>
          <w:color w:val="auto"/>
        </w:rPr>
      </w:pPr>
      <w:r>
        <w:rPr>
          <w:rFonts w:ascii="Arial" w:cs="Arial" w:eastAsia="Arial" w:hAnsi="Arial"/>
          <w:sz w:val="17"/>
          <w:szCs w:val="17"/>
          <w:color w:val="auto"/>
        </w:rPr>
        <w:t>11.7 Successors and Assigns. The provisions of this Agreement and the other Loan Documents shall inure to the benefit of and be binding on Borrower and its permitted assigns (if any). Borrower shall not assign its obligations under this Agreement or any of the other Loan Documents (other than the Warrant which may be assigned in accordance</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460"/>
        <w:spacing w:after="0"/>
        <w:rPr>
          <w:sz w:val="20"/>
          <w:szCs w:val="20"/>
          <w:color w:val="auto"/>
        </w:rPr>
      </w:pPr>
      <w:r>
        <w:rPr>
          <w:rFonts w:ascii="Arial" w:cs="Arial" w:eastAsia="Arial" w:hAnsi="Arial"/>
          <w:sz w:val="19"/>
          <w:szCs w:val="19"/>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307340</wp:posOffset>
            </wp:positionV>
            <wp:extent cx="6311265" cy="2222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480"/>
          </w:cols>
          <w:pgMar w:left="1440" w:top="781" w:right="979" w:bottom="1440" w:gutter="0" w:footer="0" w:header="0"/>
        </w:sectPr>
      </w:pPr>
    </w:p>
    <w:bookmarkStart w:id="169" w:name="page170"/>
    <w:bookmarkEnd w:id="169"/>
    <w:p>
      <w:pPr>
        <w:jc w:val="both"/>
        <w:ind w:left="40"/>
        <w:spacing w:after="0" w:line="262" w:lineRule="auto"/>
        <w:rPr>
          <w:sz w:val="20"/>
          <w:szCs w:val="20"/>
          <w:color w:val="auto"/>
        </w:rPr>
      </w:pPr>
      <w:r>
        <w:rPr>
          <w:rFonts w:ascii="Arial" w:cs="Arial" w:eastAsia="Arial" w:hAnsi="Arial"/>
          <w:sz w:val="17"/>
          <w:szCs w:val="17"/>
          <w:color w:val="auto"/>
        </w:rPr>
        <w:t>with its terms) without Agent’s express prior written consent, and any such attempted assignment shall be void and of no effect. Agent and the Lenders may assign, transfer, or endorse its rights hereunder and under the other Loan Documents without prior notice to Borrower (provided that any assignment, transfer or endorsement of the Warrant shall be subject to the terms thereof), and all of such rights shall inure to the benefit of Agent’s and the Lenders’ successors and assigns; provided that as long as no Event of Default has occurred and is continuing, neither Agent nor any Lender may assign, transfer or endorse its rights hereunder or under the Loan Documents to any party that is a direct competitor of Borrower or any “vulture fund” “distressed debt fund” or similar entity (in each case, as reasonably determined by Agent in good faith), it being acknowledged that in all cases, any transfer to an Affiliate of any Lender or Agent shall be allowed. Notwithstanding the foregoing, (x) in connection with any assignment by a Lender as a result of a forced divestiture at the request of any regulatory agency, the restrictions set forth herein shall not apply and Agent and the Lenders may assign, transfer or indorse its rights hereunder and under the other Loan Documents to any Person or party (provided that any assignment, transfer or endorsement of the Warrant shall be subject to the terms thereof) and (y) in connection with a Lender’s own financing or securitization transactions, the restrictions set forth herein shall not apply and Agent and the Lenders may assign, transfer or indorse its rights hereunder and under the other Loan Documents to any Person or party providing such financing or formed to undertake such securitization transaction and any transferee of such Person or party upon the occurrence of a default, event of default or similar occurrence with respect to such financing or securitization transaction (provided that any assignment, transfer or endorsement of the Warrant shall be subject to the terms thereof); provided that no such sale, transfer, pledge or assignment under this clause (y) shall release such Lender from any of its obligations hereunder or substitute any such Person or party for such Lender as a party hereto until Agent shall have received and accepted an effective assignment agreement from such Person or party in form satisfactory to Agent executed, delivered and fully completed by the applicable parties thereto, and shall have received such other information regarding such assignee as Agent reasonably shall require. The Agent, acting solely for this purpose as an agent of the Borrower, shall maintain at one of its offices in the United States a register for the recordation of the names and addresses of the Lender(s), and the Term Commitments of, and principal amounts (and stated interest) of the Loans owing to, each Lender pursuant to the terms hereof from time to time (the “Register”). The entries in the Register shall be conclusive absent manifest error, and the Borrower, the Agent and the Lender(s) shall treat each Person whose name is recorded in the Register pursuant to the terms hereof as a Lender hereunder for all purposes of this Agreement. The Register shall be available for inspection by the Borrower and any Lender, at any reasonable time and from time to time upon reasonable prior notice.</w:t>
      </w:r>
    </w:p>
    <w:p>
      <w:pPr>
        <w:spacing w:after="0" w:line="156" w:lineRule="exact"/>
        <w:rPr>
          <w:sz w:val="20"/>
          <w:szCs w:val="20"/>
          <w:color w:val="auto"/>
        </w:rPr>
      </w:pPr>
    </w:p>
    <w:p>
      <w:pPr>
        <w:jc w:val="both"/>
        <w:ind w:left="40" w:right="20" w:firstLine="566"/>
        <w:spacing w:after="0" w:line="238" w:lineRule="auto"/>
        <w:rPr>
          <w:sz w:val="20"/>
          <w:szCs w:val="20"/>
          <w:color w:val="auto"/>
        </w:rPr>
      </w:pPr>
      <w:r>
        <w:rPr>
          <w:rFonts w:ascii="Arial" w:cs="Arial" w:eastAsia="Arial" w:hAnsi="Arial"/>
          <w:sz w:val="19"/>
          <w:szCs w:val="19"/>
          <w:color w:val="auto"/>
        </w:rPr>
        <w:t>11.8 Participations.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“Participant Register”); provided that no Lender shall have any obligation to disclose all or any portion of the Participant Register (including the identity of any participant or any information relating to a participant's interest in any commitments, loans, its other</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460"/>
        <w:spacing w:after="0"/>
        <w:rPr>
          <w:sz w:val="20"/>
          <w:szCs w:val="20"/>
          <w:color w:val="auto"/>
        </w:rPr>
      </w:pPr>
      <w:r>
        <w:rPr>
          <w:rFonts w:ascii="Arial" w:cs="Arial" w:eastAsia="Arial" w:hAnsi="Arial"/>
          <w:sz w:val="19"/>
          <w:szCs w:val="19"/>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307340</wp:posOffset>
            </wp:positionV>
            <wp:extent cx="6311265" cy="2222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480"/>
          </w:cols>
          <w:pgMar w:left="1440" w:top="781" w:right="979" w:bottom="1440" w:gutter="0" w:footer="0" w:header="0"/>
        </w:sectPr>
      </w:pPr>
    </w:p>
    <w:bookmarkStart w:id="170" w:name="page171"/>
    <w:bookmarkEnd w:id="170"/>
    <w:p>
      <w:pPr>
        <w:jc w:val="both"/>
        <w:ind w:left="40"/>
        <w:spacing w:after="0" w:line="265" w:lineRule="auto"/>
        <w:rPr>
          <w:sz w:val="20"/>
          <w:szCs w:val="20"/>
          <w:color w:val="auto"/>
        </w:rPr>
      </w:pPr>
      <w:r>
        <w:rPr>
          <w:rFonts w:ascii="Arial" w:cs="Arial" w:eastAsia="Arial" w:hAnsi="Arial"/>
          <w:sz w:val="17"/>
          <w:szCs w:val="17"/>
          <w:color w:val="auto"/>
        </w:rPr>
        <w:t>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Agent (in its capacity as Agent) shall have no responsibility for maintaining a Participant Register. Borrower agrees that each participant shall be entitled to the benefits of the provisions in Addendum 1 attached hereto (subject to the requirements and limitations therein, including the requirements under Section 7 of Addendum 1 attached hereto (it being understood that the documentation required under Section 7 of Addendum 1 attached hereto shall be delivered to the participating Lender)) to the same extent as if it were a Lender and had acquired its interest by assignment pursuant to Section 11.7; provided that such participant shall not be entitled to receive any greater payment under Addendum 1 attached hereto, with respect to any participation, than its participating Lender would have been entitled to receive, except to the extent such entitlement to receive a greater payment results from a change in law that occurs after the participant acquired the applicable participation.</w:t>
      </w:r>
    </w:p>
    <w:p>
      <w:pPr>
        <w:spacing w:after="0" w:line="142" w:lineRule="exact"/>
        <w:rPr>
          <w:sz w:val="20"/>
          <w:szCs w:val="20"/>
          <w:color w:val="auto"/>
        </w:rPr>
      </w:pPr>
    </w:p>
    <w:p>
      <w:pPr>
        <w:jc w:val="both"/>
        <w:ind w:left="40" w:right="20" w:firstLine="566"/>
        <w:spacing w:after="0" w:line="238" w:lineRule="auto"/>
        <w:rPr>
          <w:sz w:val="20"/>
          <w:szCs w:val="20"/>
          <w:color w:val="auto"/>
        </w:rPr>
      </w:pPr>
      <w:r>
        <w:rPr>
          <w:rFonts w:ascii="Arial" w:cs="Arial" w:eastAsia="Arial" w:hAnsi="Arial"/>
          <w:sz w:val="19"/>
          <w:szCs w:val="19"/>
          <w:color w:val="auto"/>
        </w:rPr>
        <w:t>11.9 Governing Law. This Agreement and the other Loan Documents have been negotiated and delivered to Agent and the Lenders in the State of California, and shall have been accepted by Agent and the Lenders in the State of California. Payment to Agent and the Lenders by Borrower of the Secured Obligations is due in the State of California. This Agreement and the other Loan Documents shall be governed by, and construed and enforced in accordance with, the laws of the State of California, excluding conflict of laws principles that would cause the application of laws of any other jurisdiction.</w:t>
      </w:r>
    </w:p>
    <w:p>
      <w:pPr>
        <w:spacing w:after="0" w:line="162" w:lineRule="exact"/>
        <w:rPr>
          <w:sz w:val="20"/>
          <w:szCs w:val="20"/>
          <w:color w:val="auto"/>
        </w:rPr>
      </w:pPr>
    </w:p>
    <w:p>
      <w:pPr>
        <w:jc w:val="both"/>
        <w:ind w:left="40" w:firstLine="566"/>
        <w:spacing w:after="0" w:line="266" w:lineRule="auto"/>
        <w:rPr>
          <w:sz w:val="20"/>
          <w:szCs w:val="20"/>
          <w:color w:val="auto"/>
        </w:rPr>
      </w:pPr>
      <w:r>
        <w:rPr>
          <w:rFonts w:ascii="Arial" w:cs="Arial" w:eastAsia="Arial" w:hAnsi="Arial"/>
          <w:sz w:val="17"/>
          <w:szCs w:val="17"/>
          <w:color w:val="auto"/>
        </w:rPr>
        <w:t>11.10 Consent to Jurisdiction and Venue. All judicial proceedings (to the extent that the reference requirement of Section 11.11 is not applicable) arising in or under or related to this Agreement or any of the other Loan Documents may be brought in any state or federal court located in the State of California. By execution and delivery of this Agreement, each party hereto generally and unconditionally: (a) consents to nonexclusive personal jurisdiction in Santa Clara County, State of California; (b) waives any objection as to jurisdiction or venue in Santa Clara County, State of California; (c) agrees not to assert any defense based on lack of jurisdiction or venue in the aforesaid courts; and (d) irrevocably agrees to be bound by any judgment rendered thereby in connection with this Agreement or the other Loan Documents. Service of process on any party hereto in any action arising out of or relating to this Agreement shall be effective if given in accordance with the requirements for notice set forth in Section 11.2, and shall be deemed effective and received as set forth in Section 11.2. Nothing herein shall affect the right to serve process in any other manner permitted by law or shall limit the right of either party to bring proceedings in the courts of any other jurisdiction.</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460"/>
        <w:spacing w:after="0"/>
        <w:rPr>
          <w:sz w:val="20"/>
          <w:szCs w:val="20"/>
          <w:color w:val="auto"/>
        </w:rPr>
      </w:pPr>
      <w:r>
        <w:rPr>
          <w:rFonts w:ascii="Arial" w:cs="Arial" w:eastAsia="Arial" w:hAnsi="Arial"/>
          <w:sz w:val="19"/>
          <w:szCs w:val="19"/>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307340</wp:posOffset>
            </wp:positionV>
            <wp:extent cx="6311265" cy="2222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480"/>
          </w:cols>
          <w:pgMar w:left="1440" w:top="781" w:right="979" w:bottom="1440" w:gutter="0" w:footer="0" w:header="0"/>
        </w:sectPr>
      </w:pPr>
    </w:p>
    <w:bookmarkStart w:id="171" w:name="page172"/>
    <w:bookmarkEnd w:id="171"/>
    <w:p>
      <w:pPr>
        <w:ind w:left="600"/>
        <w:spacing w:after="0"/>
        <w:tabs>
          <w:tab w:leader="none" w:pos="1280" w:val="left"/>
        </w:tabs>
        <w:rPr>
          <w:sz w:val="20"/>
          <w:szCs w:val="20"/>
          <w:color w:val="auto"/>
        </w:rPr>
      </w:pPr>
      <w:r>
        <w:rPr>
          <w:rFonts w:ascii="Arial" w:cs="Arial" w:eastAsia="Arial" w:hAnsi="Arial"/>
          <w:sz w:val="19"/>
          <w:szCs w:val="19"/>
          <w:color w:val="auto"/>
        </w:rPr>
        <w:t>11.11</w:t>
      </w:r>
      <w:r>
        <w:rPr>
          <w:sz w:val="20"/>
          <w:szCs w:val="20"/>
          <w:color w:val="auto"/>
        </w:rPr>
        <w:tab/>
      </w:r>
      <w:r>
        <w:rPr>
          <w:rFonts w:ascii="Arial" w:cs="Arial" w:eastAsia="Arial" w:hAnsi="Arial"/>
          <w:sz w:val="17"/>
          <w:szCs w:val="17"/>
          <w:color w:val="auto"/>
        </w:rPr>
        <w:t>Mutual Waiver of Jury Trial / Judicial Reference.</w:t>
      </w:r>
    </w:p>
    <w:p>
      <w:pPr>
        <w:spacing w:after="0" w:line="182" w:lineRule="exact"/>
        <w:rPr>
          <w:sz w:val="20"/>
          <w:szCs w:val="20"/>
          <w:color w:val="auto"/>
        </w:rPr>
      </w:pPr>
    </w:p>
    <w:p>
      <w:pPr>
        <w:jc w:val="both"/>
        <w:ind w:left="100" w:right="20" w:firstLine="568"/>
        <w:spacing w:after="0" w:line="267" w:lineRule="auto"/>
        <w:tabs>
          <w:tab w:leader="none" w:pos="1727" w:val="left"/>
        </w:tabs>
        <w:numPr>
          <w:ilvl w:val="0"/>
          <w:numId w:val="93"/>
        </w:numPr>
        <w:rPr>
          <w:rFonts w:ascii="Arial" w:cs="Arial" w:eastAsia="Arial" w:hAnsi="Arial"/>
          <w:sz w:val="17"/>
          <w:szCs w:val="17"/>
          <w:color w:val="auto"/>
        </w:rPr>
      </w:pPr>
      <w:r>
        <w:rPr>
          <w:rFonts w:ascii="Arial" w:cs="Arial" w:eastAsia="Arial" w:hAnsi="Arial"/>
          <w:sz w:val="17"/>
          <w:szCs w:val="17"/>
          <w:color w:val="auto"/>
        </w:rPr>
        <w:t>Because disputes arising in connection with complex financial transactions are most quickly and economically resolved by an experienced and expert Person and the parties wish applicable state and federal laws to apply (rather than arbitration rules), the parties desire that their disputes be resolved by a judge applying such applicable laws.</w:t>
      </w:r>
    </w:p>
    <w:p>
      <w:pPr>
        <w:jc w:val="both"/>
        <w:ind w:left="100" w:right="20" w:firstLine="60"/>
        <w:spacing w:after="0" w:line="248" w:lineRule="auto"/>
        <w:rPr>
          <w:rFonts w:ascii="Arial" w:cs="Arial" w:eastAsia="Arial" w:hAnsi="Arial"/>
          <w:sz w:val="17"/>
          <w:szCs w:val="17"/>
          <w:color w:val="auto"/>
        </w:rPr>
      </w:pPr>
      <w:r>
        <w:rPr>
          <w:rFonts w:ascii="Arial" w:cs="Arial" w:eastAsia="Arial" w:hAnsi="Arial"/>
          <w:sz w:val="18"/>
          <w:szCs w:val="18"/>
          <w:color w:val="auto"/>
        </w:rPr>
        <w:t>EACH OF BORROWER, AGENT AND THE LENDERS SPECIFICALLY WAIVES ANY RIGHT IT MAY HAVE TO TRIAL BY JURY OF ANY CAUSE OF ACTION, CLAIM, CROSS-CLAIM, COUNTERCLAIM, THIRD PARTY CLAIM OR ANY OTHER CLAIM (COLLECTIVELY, “CLAIMS”) ASSERTED BY BORROWER AGAINST AGENT, THE LENDERS OR THEIR RESPECTIVE ASSIGNEE OR BY AGENT, THE LENDERS OR THEIR RESPECTIVE ASSIGNEE AGAINST BORROWER. This waiver extends to all such Claims, including Claims that involve Persons other than Agent, Borrower and the Lenders; Claims that arise out of or are in any way connected to the relationship among Borrower, Agent and the Lenders; and any Claims for damages, breach of contract, tort, specific performance, or any equitable or legal relief of any kind, arising out of this Agreement, any other Loan Document.</w:t>
      </w:r>
    </w:p>
    <w:p>
      <w:pPr>
        <w:spacing w:after="0" w:line="159" w:lineRule="exact"/>
        <w:rPr>
          <w:rFonts w:ascii="Arial" w:cs="Arial" w:eastAsia="Arial" w:hAnsi="Arial"/>
          <w:sz w:val="17"/>
          <w:szCs w:val="17"/>
          <w:color w:val="auto"/>
        </w:rPr>
      </w:pPr>
    </w:p>
    <w:p>
      <w:pPr>
        <w:jc w:val="both"/>
        <w:ind w:left="100" w:firstLine="568"/>
        <w:spacing w:after="0" w:line="239" w:lineRule="auto"/>
        <w:tabs>
          <w:tab w:leader="none" w:pos="1391" w:val="left"/>
        </w:tabs>
        <w:numPr>
          <w:ilvl w:val="0"/>
          <w:numId w:val="93"/>
        </w:numPr>
        <w:rPr>
          <w:rFonts w:ascii="Arial" w:cs="Arial" w:eastAsia="Arial" w:hAnsi="Arial"/>
          <w:sz w:val="19"/>
          <w:szCs w:val="19"/>
          <w:color w:val="auto"/>
        </w:rPr>
      </w:pPr>
      <w:r>
        <w:rPr>
          <w:rFonts w:ascii="Arial" w:cs="Arial" w:eastAsia="Arial" w:hAnsi="Arial"/>
          <w:sz w:val="19"/>
          <w:szCs w:val="19"/>
          <w:color w:val="auto"/>
        </w:rPr>
        <w:t>If the waiver of jury trial set forth in Section 11.11(a) is ineffective or unenforceable, the parties agree that all Claims shall be resolved by reference to a private judge sitting without a jury, pursuant to Code of Civil Procedure Section 638, before a mutually acceptable referee or, if the parties cannot agree, a referee selected by the Presiding Judge of the Santa Clara County, California. Such proceeding shall be conducted in Santa Clara County, California, with California rules of evidence and discovery applicable to such proceeding.</w:t>
      </w:r>
    </w:p>
    <w:p>
      <w:pPr>
        <w:spacing w:after="0" w:line="161" w:lineRule="exact"/>
        <w:rPr>
          <w:rFonts w:ascii="Arial" w:cs="Arial" w:eastAsia="Arial" w:hAnsi="Arial"/>
          <w:sz w:val="19"/>
          <w:szCs w:val="19"/>
          <w:color w:val="auto"/>
        </w:rPr>
      </w:pPr>
    </w:p>
    <w:p>
      <w:pPr>
        <w:jc w:val="both"/>
        <w:ind w:left="100" w:right="20" w:firstLine="568"/>
        <w:spacing w:after="0" w:line="287" w:lineRule="auto"/>
        <w:tabs>
          <w:tab w:leader="none" w:pos="1351" w:val="left"/>
        </w:tabs>
        <w:numPr>
          <w:ilvl w:val="0"/>
          <w:numId w:val="93"/>
        </w:numPr>
        <w:rPr>
          <w:rFonts w:ascii="Arial" w:cs="Arial" w:eastAsia="Arial" w:hAnsi="Arial"/>
          <w:sz w:val="17"/>
          <w:szCs w:val="17"/>
          <w:color w:val="auto"/>
        </w:rPr>
      </w:pPr>
      <w:r>
        <w:rPr>
          <w:rFonts w:ascii="Arial" w:cs="Arial" w:eastAsia="Arial" w:hAnsi="Arial"/>
          <w:sz w:val="17"/>
          <w:szCs w:val="17"/>
          <w:color w:val="auto"/>
        </w:rPr>
        <w:t>In the event Claims are to be resolved by judicial reference, either party may seek from a court identified in Section 11.10, any prejudgment order, writ or other relief and have such prejudgment order, writ or other relief enforced to the fullest extent permitted by law notwithstanding that all Claims are otherwise subject to resolution by judicial reference.</w:t>
      </w:r>
    </w:p>
    <w:p>
      <w:pPr>
        <w:spacing w:after="0" w:line="124" w:lineRule="exact"/>
        <w:rPr>
          <w:sz w:val="20"/>
          <w:szCs w:val="20"/>
          <w:color w:val="auto"/>
        </w:rPr>
      </w:pPr>
    </w:p>
    <w:p>
      <w:pPr>
        <w:jc w:val="both"/>
        <w:ind w:left="40" w:right="20" w:firstLine="566"/>
        <w:spacing w:after="0" w:line="266" w:lineRule="auto"/>
        <w:rPr>
          <w:sz w:val="20"/>
          <w:szCs w:val="20"/>
          <w:color w:val="auto"/>
        </w:rPr>
      </w:pPr>
      <w:r>
        <w:rPr>
          <w:rFonts w:ascii="Arial" w:cs="Arial" w:eastAsia="Arial" w:hAnsi="Arial"/>
          <w:sz w:val="17"/>
          <w:szCs w:val="17"/>
          <w:color w:val="auto"/>
        </w:rPr>
        <w:t>11.12 Professional Fees. Borrower promises to pay Agent’s and the Lenders’ reasonable, documented out-of-pocket fees and expenses necessary to finalize the loan documentation, including but not limited to reasonable, documented attorneys’ fees, UCC searches, filing costs, and other miscellaneous expenses. In addition, Borrower promises to pay any and all reasonable, documented out-of-pocket attorneys’ and other professionals’ fees and expenses incurred by Agent after the Closing Date in connection with or related to: (a) the Loan; (b) the administration, collection, or enforcement of the Loan; (c) the amendment or modification of the Loan Documents; (d) any waiver, consent, release, or termination under the Loan Documents; (e) the protection, preservation, audit, field exam, sale, lease, liquidation, or disposition of Collateral or the exercise of remedies with respect to the Collateral; (f) any legal, litigation, administrative, arbitration, or out of court proceeding in connection with or related to Borrower or the Collateral, and any appeal or review thereof; and (g) any bankruptcy, restructuring, reorganization, assignment for the benefit of creditors, workout, foreclosure, or other action related to Borrower, the Collateral, the Loan Documents, including representing Agent or the Lenders in any adversary</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460"/>
        <w:spacing w:after="0"/>
        <w:rPr>
          <w:sz w:val="20"/>
          <w:szCs w:val="20"/>
          <w:color w:val="auto"/>
        </w:rPr>
      </w:pPr>
      <w:r>
        <w:rPr>
          <w:rFonts w:ascii="Arial" w:cs="Arial" w:eastAsia="Arial" w:hAnsi="Arial"/>
          <w:sz w:val="19"/>
          <w:szCs w:val="19"/>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307340</wp:posOffset>
            </wp:positionV>
            <wp:extent cx="6311265" cy="2222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480"/>
          </w:cols>
          <w:pgMar w:left="1440" w:top="781" w:right="979" w:bottom="1440" w:gutter="0" w:footer="0" w:header="0"/>
        </w:sectPr>
      </w:pPr>
    </w:p>
    <w:bookmarkStart w:id="172" w:name="page173"/>
    <w:bookmarkEnd w:id="172"/>
    <w:p>
      <w:pPr>
        <w:jc w:val="both"/>
        <w:ind w:left="40" w:right="20"/>
        <w:spacing w:after="0" w:line="256" w:lineRule="auto"/>
        <w:rPr>
          <w:sz w:val="20"/>
          <w:szCs w:val="20"/>
          <w:color w:val="auto"/>
        </w:rPr>
      </w:pPr>
      <w:r>
        <w:rPr>
          <w:rFonts w:ascii="Arial" w:cs="Arial" w:eastAsia="Arial" w:hAnsi="Arial"/>
          <w:sz w:val="19"/>
          <w:szCs w:val="19"/>
          <w:color w:val="auto"/>
        </w:rPr>
        <w:t>proceeding or contested matter commenced or continued by or on behalf of Borrower’s estate, and any appeal or review thereof.</w:t>
      </w:r>
    </w:p>
    <w:p>
      <w:pPr>
        <w:spacing w:after="0" w:line="147" w:lineRule="exact"/>
        <w:rPr>
          <w:sz w:val="20"/>
          <w:szCs w:val="20"/>
          <w:color w:val="auto"/>
        </w:rPr>
      </w:pPr>
    </w:p>
    <w:p>
      <w:pPr>
        <w:jc w:val="both"/>
        <w:ind w:left="40" w:firstLine="566"/>
        <w:spacing w:after="0" w:line="262" w:lineRule="auto"/>
        <w:rPr>
          <w:sz w:val="20"/>
          <w:szCs w:val="20"/>
          <w:color w:val="auto"/>
        </w:rPr>
      </w:pPr>
      <w:r>
        <w:rPr>
          <w:rFonts w:ascii="Arial" w:cs="Arial" w:eastAsia="Arial" w:hAnsi="Arial"/>
          <w:sz w:val="17"/>
          <w:szCs w:val="17"/>
          <w:color w:val="auto"/>
        </w:rPr>
        <w:t>11.13 Confidentiality. Agent and the Lenders acknowledge that certain items of Collateral and information provided to Agent and the Lenders by Borrower, including items provided in connection with the Non-Disclosure Agreement, are confidential and proprietary information of Borrower, if and to the extent such information either (x) is marked as confidential by Borrower at the time of disclosure, or (y) should reasonably be understood to be confidential (the “Confidential Information”). Accordingly, Agent and the Lenders agree that any Confidential Information it may obtain in the course of acquiring, administering, or perfecting Agent’s security interest in the Collateral shall not be disclosed to any other Person or entity in any manner whatsoever, in whole or in part, without the prior written consent of Borrower, except that Agent and the Lenders may disclose any such information: (a) to its Affiliates and its partners, investors, lenders, directors, officers, employees, agents, advisors, counsel, accountants, counsel, representative and other professional advisors if Agent or the Lenders in their sole discretion determines that any such party should have access to such information in connection with such party’s responsibilities in connection with the Loan or this Agreement and; provided that such recipient of such Confidential Information either (i) agrees to be bound by the confidentiality provisions of this paragraph or</w:t>
      </w:r>
    </w:p>
    <w:p>
      <w:pPr>
        <w:spacing w:after="0" w:line="2" w:lineRule="exact"/>
        <w:rPr>
          <w:sz w:val="20"/>
          <w:szCs w:val="20"/>
          <w:color w:val="auto"/>
        </w:rPr>
      </w:pPr>
    </w:p>
    <w:p>
      <w:pPr>
        <w:jc w:val="both"/>
        <w:ind w:left="40" w:hanging="9"/>
        <w:spacing w:after="0" w:line="262" w:lineRule="auto"/>
        <w:tabs>
          <w:tab w:leader="none" w:pos="376" w:val="left"/>
        </w:tabs>
        <w:numPr>
          <w:ilvl w:val="0"/>
          <w:numId w:val="94"/>
        </w:numPr>
        <w:rPr>
          <w:rFonts w:ascii="Arial" w:cs="Arial" w:eastAsia="Arial" w:hAnsi="Arial"/>
          <w:sz w:val="17"/>
          <w:szCs w:val="17"/>
          <w:color w:val="auto"/>
        </w:rPr>
      </w:pPr>
      <w:r>
        <w:rPr>
          <w:rFonts w:ascii="Arial" w:cs="Arial" w:eastAsia="Arial" w:hAnsi="Arial"/>
          <w:sz w:val="17"/>
          <w:szCs w:val="17"/>
          <w:color w:val="auto"/>
        </w:rPr>
        <w:t>is otherwise subject to confidentiality restrictions that reasonably protect against the disclosure of Confidential Information; (b) if such information is generally available to the public through no fault of Agent or any Lender ; (c) if required or appropriate in any report, statement or testimony submitted to any governmental authority having or claiming to have jurisdiction over Agent or the Lenders and any rating agency; (d) if required or appropriate in response to any summons or subpoena or in connection with any litigation, to the extent permitted or deemed advisable by Agent’s or the Lenders’ counsel; (e) to comply with any legal requirement or law applicable to Agent or the Lenders or demanded by any governmental authority; (f) to the extent reasonably necessary in connection with the exercise of, or preparing to exercise, or the enforcement of, or preparing to enforce, any right or remedy under any Loan Document (including Agent’s sale, lease, or other disposition of Collateral after default), or any action or proceeding relating to any Loan Document; (g) to any participant or assignee of Agent or the Lenders or any prospective participant or assignee, provided, that such participant or assignee or prospective participant or assignee is subject to confidentiality restrictions no less stringent than this Section 11.13 and in any event that reasonably protect against the disclosure of Confidential Information; (h) otherwise to the extent consisting of general portfolio information that does not identify Borrower; or (i) otherwise with the prior consent of Borrower; provided, that any disclosure made in violation of this Agreement shall not affect the obligations of Borrower or any of its Affiliates or any guarantor under this Agreement or the other Loan Documents. Agent’s and the Lenders’ obligations under this Section 11.13 shall supersede all of their respective obligations under the Non-Disclosure Agreement.</w:t>
      </w:r>
    </w:p>
    <w:p>
      <w:pPr>
        <w:spacing w:after="0" w:line="154" w:lineRule="exact"/>
        <w:rPr>
          <w:sz w:val="20"/>
          <w:szCs w:val="20"/>
          <w:color w:val="auto"/>
        </w:rPr>
      </w:pPr>
    </w:p>
    <w:p>
      <w:pPr>
        <w:jc w:val="both"/>
        <w:ind w:left="40" w:firstLine="566"/>
        <w:spacing w:after="0" w:line="244" w:lineRule="auto"/>
        <w:rPr>
          <w:sz w:val="20"/>
          <w:szCs w:val="20"/>
          <w:color w:val="auto"/>
        </w:rPr>
      </w:pPr>
      <w:r>
        <w:rPr>
          <w:rFonts w:ascii="Arial" w:cs="Arial" w:eastAsia="Arial" w:hAnsi="Arial"/>
          <w:sz w:val="19"/>
          <w:szCs w:val="19"/>
          <w:color w:val="auto"/>
        </w:rPr>
        <w:t>11.14 Assignment of Rights. Borrower acknowledges and understands that Agent or the Lenders may, subject to Section 11.7, sell and assign all or part of its interest hereunder and under the Loan Documents (other than the Warrant which is subject to any</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460"/>
        <w:spacing w:after="0"/>
        <w:rPr>
          <w:sz w:val="20"/>
          <w:szCs w:val="20"/>
          <w:color w:val="auto"/>
        </w:rPr>
      </w:pPr>
      <w:r>
        <w:rPr>
          <w:rFonts w:ascii="Arial" w:cs="Arial" w:eastAsia="Arial" w:hAnsi="Arial"/>
          <w:sz w:val="19"/>
          <w:szCs w:val="19"/>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307340</wp:posOffset>
            </wp:positionV>
            <wp:extent cx="6311265" cy="2222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480"/>
          </w:cols>
          <w:pgMar w:left="1440" w:top="780" w:right="979" w:bottom="1440" w:gutter="0" w:footer="0" w:header="0"/>
        </w:sectPr>
      </w:pPr>
    </w:p>
    <w:bookmarkStart w:id="173" w:name="page174"/>
    <w:bookmarkEnd w:id="173"/>
    <w:p>
      <w:pPr>
        <w:jc w:val="both"/>
        <w:ind w:left="40"/>
        <w:spacing w:after="0" w:line="250" w:lineRule="auto"/>
        <w:rPr>
          <w:sz w:val="20"/>
          <w:szCs w:val="20"/>
          <w:color w:val="auto"/>
        </w:rPr>
      </w:pPr>
      <w:r>
        <w:rPr>
          <w:rFonts w:ascii="Arial" w:cs="Arial" w:eastAsia="Arial" w:hAnsi="Arial"/>
          <w:sz w:val="18"/>
          <w:szCs w:val="18"/>
          <w:color w:val="auto"/>
        </w:rPr>
        <w:t>assignment, transfer or endorsement provisions therein) to any Person or entity (an “Assignee”). After such assignment the term “Agent” or “Lender” as used in the Loan Documents (other than the Warrant which is subject to any assignment, transfer or endorsement provisions therein) shall mean and include such Assignee, and such Assignee shall be vested with all rights, powers and remedies of Agent and the Lenders hereunder with respect to the interest so assigned; but with respect to any such interest not so transferred, Agent and the Lenders shall retain all rights, powers and remedies hereby given. No such assignment by Agent or the Lenders shall relieve Borrower of any of its obligations hereunder. the Lenders agrees that in the event of any transfer by it of the promissory note(s) (if any), it will endorse thereon a notation as to the portion of the principal of the promissory note(s), which shall have been paid at the time of such transfer and as to the date to which interest shall have been last paid thereon.</w:t>
      </w:r>
    </w:p>
    <w:p>
      <w:pPr>
        <w:spacing w:after="0" w:line="158" w:lineRule="exact"/>
        <w:rPr>
          <w:sz w:val="20"/>
          <w:szCs w:val="20"/>
          <w:color w:val="auto"/>
        </w:rPr>
      </w:pPr>
    </w:p>
    <w:p>
      <w:pPr>
        <w:jc w:val="both"/>
        <w:ind w:left="40" w:firstLine="566"/>
        <w:spacing w:after="0" w:line="249" w:lineRule="auto"/>
        <w:rPr>
          <w:sz w:val="20"/>
          <w:szCs w:val="20"/>
          <w:color w:val="auto"/>
        </w:rPr>
      </w:pPr>
      <w:r>
        <w:rPr>
          <w:rFonts w:ascii="Arial" w:cs="Arial" w:eastAsia="Arial" w:hAnsi="Arial"/>
          <w:sz w:val="18"/>
          <w:szCs w:val="18"/>
          <w:color w:val="auto"/>
        </w:rPr>
        <w:t>11.15 Revival of Secured Obligations. This Agreement and the Loan Documents shall remain in full force and effect and continue to be effective if any petition is filed by or against Borrower for liquidation or reorganization, if Borrower becomes insolvent or makes an assignment for the benefit of creditors, if a receiver or trustee is appointed for all or any significant part of Borrower’s assets, or if any payment or transfer of Collateral is recovered from Agent or the Lenders. The Loan Documents and the Secured Obligations and Collateral security shall continue to be effective, or shall be revived or reinstated, as the case may be, if at any time payment and performance of the Secured Obligations or any transfer of Collateral to Agent, or any part thereof is rescinded, avoided or avoidable, reduced in amount, or must otherwise be restored or returned by, or is recovered from, Agent, the Lenders or by any obligee of the Secured Obligations, whether as a “voidable preference,” “fraudulent conveyance,” or otherwise, all as though such payment, performance, or transfer of Collateral had not been made. In the event that any payment, or any part thereof, is rescinded, reduced, avoided, avoidable, restored, returned, or recovered, the Loan Documents and the Secured Obligations shall be deemed, without any further action or documentation, to have been revived and reinstated except to the extent of the full, final, and indefeasible payment to Agent or the Lenders in Cash.</w:t>
      </w:r>
    </w:p>
    <w:p>
      <w:pPr>
        <w:spacing w:after="0" w:line="156" w:lineRule="exact"/>
        <w:rPr>
          <w:sz w:val="20"/>
          <w:szCs w:val="20"/>
          <w:color w:val="auto"/>
        </w:rPr>
      </w:pPr>
    </w:p>
    <w:p>
      <w:pPr>
        <w:jc w:val="both"/>
        <w:ind w:left="40" w:right="20" w:firstLine="566"/>
        <w:spacing w:after="0" w:line="287" w:lineRule="auto"/>
        <w:rPr>
          <w:sz w:val="20"/>
          <w:szCs w:val="20"/>
          <w:color w:val="auto"/>
        </w:rPr>
      </w:pPr>
      <w:r>
        <w:rPr>
          <w:rFonts w:ascii="Arial" w:cs="Arial" w:eastAsia="Arial" w:hAnsi="Arial"/>
          <w:sz w:val="17"/>
          <w:szCs w:val="17"/>
          <w:color w:val="auto"/>
        </w:rPr>
        <w:t>11.16 Counterparts. This Agreement and any amendments, waivers, consents or supplements hereto may be executed in any number of counterparts, and by different parties hereto in separate counterparts, each of which when so delivered shall be deemed an original, but all of which counterparts shall constitute but one and the same instrument.</w:t>
      </w:r>
    </w:p>
    <w:p>
      <w:pPr>
        <w:spacing w:after="0" w:line="124" w:lineRule="exact"/>
        <w:rPr>
          <w:sz w:val="20"/>
          <w:szCs w:val="20"/>
          <w:color w:val="auto"/>
        </w:rPr>
      </w:pPr>
    </w:p>
    <w:p>
      <w:pPr>
        <w:jc w:val="both"/>
        <w:ind w:left="40" w:right="20" w:firstLine="566"/>
        <w:spacing w:after="0" w:line="258" w:lineRule="auto"/>
        <w:rPr>
          <w:sz w:val="20"/>
          <w:szCs w:val="20"/>
          <w:color w:val="auto"/>
        </w:rPr>
      </w:pPr>
      <w:r>
        <w:rPr>
          <w:rFonts w:ascii="Arial" w:cs="Arial" w:eastAsia="Arial" w:hAnsi="Arial"/>
          <w:sz w:val="18"/>
          <w:szCs w:val="18"/>
          <w:color w:val="auto"/>
        </w:rPr>
        <w:t>11.17 No Third-Party Beneficiaries. No provisions of the Loan Documents are intended, nor will be interpreted, to provide or create any third-party beneficiary rights or any other rights of any kind in any Person other than Agent, the Lenders and Borrower unless specifically provided otherwise herein, and, except as otherwise so provided, all provisions of the Loan Documents will be personal and solely among Agent, the Lenders and the Borrower.</w:t>
      </w:r>
    </w:p>
    <w:p>
      <w:pPr>
        <w:spacing w:after="0" w:line="147" w:lineRule="exact"/>
        <w:rPr>
          <w:sz w:val="20"/>
          <w:szCs w:val="20"/>
          <w:color w:val="auto"/>
        </w:rPr>
      </w:pPr>
    </w:p>
    <w:p>
      <w:pPr>
        <w:jc w:val="both"/>
        <w:ind w:left="40" w:right="20" w:firstLine="566"/>
        <w:spacing w:after="0" w:line="315" w:lineRule="auto"/>
        <w:rPr>
          <w:sz w:val="20"/>
          <w:szCs w:val="20"/>
          <w:color w:val="auto"/>
        </w:rPr>
      </w:pPr>
      <w:r>
        <w:rPr>
          <w:rFonts w:ascii="Arial" w:cs="Arial" w:eastAsia="Arial" w:hAnsi="Arial"/>
          <w:sz w:val="17"/>
          <w:szCs w:val="17"/>
          <w:color w:val="auto"/>
        </w:rPr>
        <w:t>11.18 Agency. Agent and each Lender hereby agree to the terms and conditions set forth on Addendum 3 attached hereto. Borrower acknowledges and agrees to the terms and conditions set forth on Addendum 3 attached hereto.</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460"/>
        <w:spacing w:after="0"/>
        <w:rPr>
          <w:sz w:val="20"/>
          <w:szCs w:val="20"/>
          <w:color w:val="auto"/>
        </w:rPr>
      </w:pPr>
      <w:r>
        <w:rPr>
          <w:rFonts w:ascii="Arial" w:cs="Arial" w:eastAsia="Arial" w:hAnsi="Arial"/>
          <w:sz w:val="19"/>
          <w:szCs w:val="19"/>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307340</wp:posOffset>
            </wp:positionV>
            <wp:extent cx="6311265" cy="2222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480"/>
          </w:cols>
          <w:pgMar w:left="1440" w:top="781" w:right="979" w:bottom="1440" w:gutter="0" w:footer="0" w:header="0"/>
        </w:sectPr>
      </w:pPr>
    </w:p>
    <w:bookmarkStart w:id="174" w:name="page175"/>
    <w:bookmarkEnd w:id="174"/>
    <w:p>
      <w:pPr>
        <w:jc w:val="both"/>
        <w:ind w:left="40" w:right="20" w:firstLine="566"/>
        <w:spacing w:after="0" w:line="266" w:lineRule="auto"/>
        <w:rPr>
          <w:sz w:val="20"/>
          <w:szCs w:val="20"/>
          <w:color w:val="auto"/>
        </w:rPr>
      </w:pPr>
      <w:r>
        <w:rPr>
          <w:rFonts w:ascii="Arial" w:cs="Arial" w:eastAsia="Arial" w:hAnsi="Arial"/>
          <w:sz w:val="17"/>
          <w:szCs w:val="17"/>
          <w:color w:val="auto"/>
        </w:rPr>
        <w:t>11.19 Publicity. None of the parties hereto nor any of its respective member businesses and Affiliates shall, without the other parties’ prior written consent (which shall not be unreasonably withheld or delayed), publicize or use (a) the other party's name (including a brief description of the relationship among the parties hereto), logo or hyperlink to such other parties’ web site, separately or together, in written and oral presentations, advertising, promotional and marketing materials, client lists, public relations materials or on its web site (together, the "Publicity Materials"); (b) the names of officers of such other parties in the Publicity Materials; and (c) such other parties’ name, trademarks, servicemarks in any news or press release concerning such party; provided however, notwithstanding anything to the contrary herein, no such consent shall be required (i) to the extent necessary to comply with the requests of any regulators, legal requirements or laws applicable to such party, pursuant to any listing agreement with any national securities exchange (so long as such party provides prior notice to the other party hereto to the extent reasonably practicable) and (ii) to comply with Section 11.13.</w:t>
      </w:r>
    </w:p>
    <w:p>
      <w:pPr>
        <w:spacing w:after="0" w:line="144" w:lineRule="exact"/>
        <w:rPr>
          <w:sz w:val="20"/>
          <w:szCs w:val="20"/>
          <w:color w:val="auto"/>
        </w:rPr>
      </w:pPr>
    </w:p>
    <w:p>
      <w:pPr>
        <w:jc w:val="both"/>
        <w:ind w:left="40" w:firstLine="566"/>
        <w:spacing w:after="0" w:line="250" w:lineRule="auto"/>
        <w:rPr>
          <w:sz w:val="20"/>
          <w:szCs w:val="20"/>
          <w:color w:val="auto"/>
        </w:rPr>
      </w:pPr>
      <w:r>
        <w:rPr>
          <w:rFonts w:ascii="Arial" w:cs="Arial" w:eastAsia="Arial" w:hAnsi="Arial"/>
          <w:sz w:val="18"/>
          <w:szCs w:val="18"/>
          <w:color w:val="auto"/>
        </w:rPr>
        <w:t>11.20 Electronic Execution of Certain Other Documents. The words “execution,” “execute”, “signed,” “signature,” and words of like import in or related to any document to be signed in connection with this Agreement and the transactions contemplated hereby (including without limitation assignments, assumptions, amendments, waivers and consents) shall be deemed to include electronic signatures, the electronic matching of assignment terms and contract formations on electronic platforms approved by the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California Uniform Electronic Transaction Act, or any other similar state laws based on the Uniform Electronic Transactions Act.</w:t>
      </w:r>
    </w:p>
    <w:p>
      <w:pPr>
        <w:spacing w:after="0" w:line="158" w:lineRule="exact"/>
        <w:rPr>
          <w:sz w:val="20"/>
          <w:szCs w:val="20"/>
          <w:color w:val="auto"/>
        </w:rPr>
      </w:pPr>
    </w:p>
    <w:p>
      <w:pPr>
        <w:ind w:left="3300"/>
        <w:spacing w:after="0"/>
        <w:rPr>
          <w:sz w:val="20"/>
          <w:szCs w:val="20"/>
          <w:color w:val="auto"/>
        </w:rPr>
      </w:pPr>
      <w:r>
        <w:rPr>
          <w:rFonts w:ascii="Arial" w:cs="Arial" w:eastAsia="Arial" w:hAnsi="Arial"/>
          <w:sz w:val="19"/>
          <w:szCs w:val="19"/>
          <w:color w:val="auto"/>
        </w:rPr>
        <w:t>(SIGNATURES TO FOLLOW)</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460"/>
        <w:spacing w:after="0"/>
        <w:rPr>
          <w:sz w:val="20"/>
          <w:szCs w:val="20"/>
          <w:color w:val="auto"/>
        </w:rPr>
      </w:pPr>
      <w:r>
        <w:rPr>
          <w:rFonts w:ascii="Arial" w:cs="Arial" w:eastAsia="Arial" w:hAnsi="Arial"/>
          <w:sz w:val="19"/>
          <w:szCs w:val="19"/>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307340</wp:posOffset>
            </wp:positionV>
            <wp:extent cx="6311265" cy="2222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480"/>
          </w:cols>
          <w:pgMar w:left="1440" w:top="781" w:right="979" w:bottom="1440" w:gutter="0" w:footer="0" w:header="0"/>
        </w:sectPr>
      </w:pPr>
    </w:p>
    <w:bookmarkStart w:id="175" w:name="page176"/>
    <w:bookmarkEnd w:id="175"/>
    <w:p>
      <w:pPr>
        <w:ind w:firstLine="566"/>
        <w:spacing w:after="0" w:line="256" w:lineRule="auto"/>
        <w:rPr>
          <w:sz w:val="20"/>
          <w:szCs w:val="20"/>
          <w:color w:val="auto"/>
        </w:rPr>
      </w:pPr>
      <w:r>
        <w:rPr>
          <w:rFonts w:ascii="Arial" w:cs="Arial" w:eastAsia="Arial" w:hAnsi="Arial"/>
          <w:sz w:val="19"/>
          <w:szCs w:val="19"/>
          <w:color w:val="auto"/>
        </w:rPr>
        <w:t>IN WITNESS WHEREOF, Borrower, Agent and the Lenders have duly executed and delivered this Loan and Security Agreement as of the day and year first above written.</w:t>
      </w:r>
    </w:p>
    <w:p>
      <w:pPr>
        <w:spacing w:after="0" w:line="159" w:lineRule="exact"/>
        <w:rPr>
          <w:sz w:val="20"/>
          <w:szCs w:val="20"/>
          <w:color w:val="auto"/>
        </w:rPr>
      </w:pPr>
    </w:p>
    <w:p>
      <w:pPr>
        <w:ind w:left="4980"/>
        <w:spacing w:after="0"/>
        <w:rPr>
          <w:sz w:val="20"/>
          <w:szCs w:val="20"/>
          <w:color w:val="auto"/>
        </w:rPr>
      </w:pPr>
      <w:r>
        <w:rPr>
          <w:rFonts w:ascii="Arial" w:cs="Arial" w:eastAsia="Arial" w:hAnsi="Arial"/>
          <w:sz w:val="19"/>
          <w:szCs w:val="19"/>
          <w:color w:val="auto"/>
        </w:rPr>
        <w:t>BORROWER:</w:t>
      </w:r>
    </w:p>
    <w:p>
      <w:pPr>
        <w:spacing w:after="0" w:line="206" w:lineRule="exact"/>
        <w:rPr>
          <w:sz w:val="20"/>
          <w:szCs w:val="20"/>
          <w:color w:val="auto"/>
        </w:rPr>
      </w:pPr>
    </w:p>
    <w:p>
      <w:pPr>
        <w:ind w:left="4980"/>
        <w:spacing w:after="0"/>
        <w:rPr>
          <w:sz w:val="20"/>
          <w:szCs w:val="20"/>
          <w:color w:val="auto"/>
        </w:rPr>
      </w:pPr>
      <w:r>
        <w:rPr>
          <w:rFonts w:ascii="Arial" w:cs="Arial" w:eastAsia="Arial" w:hAnsi="Arial"/>
          <w:sz w:val="19"/>
          <w:szCs w:val="19"/>
          <w:color w:val="auto"/>
        </w:rPr>
        <w:t>AXSOME THERAPEUTICS, INC.</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060" w:type="dxa"/>
            <w:vAlign w:val="bottom"/>
          </w:tcPr>
          <w:p>
            <w:pPr>
              <w:ind w:left="4980"/>
              <w:spacing w:after="0"/>
              <w:rPr>
                <w:sz w:val="20"/>
                <w:szCs w:val="20"/>
                <w:color w:val="auto"/>
              </w:rPr>
            </w:pPr>
            <w:r>
              <w:rPr>
                <w:rFonts w:ascii="Arial" w:cs="Arial" w:eastAsia="Arial" w:hAnsi="Arial"/>
                <w:sz w:val="19"/>
                <w:szCs w:val="19"/>
                <w:color w:val="auto"/>
              </w:rPr>
              <w:t>Signature:</w:t>
            </w:r>
          </w:p>
        </w:tc>
        <w:tc>
          <w:tcPr>
            <w:tcW w:w="386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Herriot Tabuteau, M.D.</w:t>
            </w:r>
          </w:p>
        </w:tc>
      </w:tr>
      <w:tr>
        <w:trPr>
          <w:trHeight w:val="425"/>
        </w:trPr>
        <w:tc>
          <w:tcPr>
            <w:tcW w:w="6060" w:type="dxa"/>
            <w:vAlign w:val="bottom"/>
          </w:tcPr>
          <w:p>
            <w:pPr>
              <w:ind w:left="4980"/>
              <w:spacing w:after="0"/>
              <w:rPr>
                <w:sz w:val="20"/>
                <w:szCs w:val="20"/>
                <w:color w:val="auto"/>
              </w:rPr>
            </w:pPr>
            <w:r>
              <w:rPr>
                <w:rFonts w:ascii="Arial" w:cs="Arial" w:eastAsia="Arial" w:hAnsi="Arial"/>
                <w:sz w:val="19"/>
                <w:szCs w:val="19"/>
                <w:color w:val="auto"/>
              </w:rPr>
              <w:t>Print Name:</w:t>
            </w:r>
          </w:p>
        </w:tc>
        <w:tc>
          <w:tcPr>
            <w:tcW w:w="3860" w:type="dxa"/>
            <w:vAlign w:val="bottom"/>
          </w:tcPr>
          <w:p>
            <w:pPr>
              <w:spacing w:after="0"/>
              <w:rPr>
                <w:sz w:val="20"/>
                <w:szCs w:val="20"/>
                <w:color w:val="auto"/>
              </w:rPr>
            </w:pPr>
            <w:r>
              <w:rPr>
                <w:rFonts w:ascii="Arial" w:cs="Arial" w:eastAsia="Arial" w:hAnsi="Arial"/>
                <w:sz w:val="19"/>
                <w:szCs w:val="19"/>
                <w:color w:val="auto"/>
              </w:rPr>
              <w:t>Herriot Tabuteau, M.D.</w:t>
            </w:r>
          </w:p>
        </w:tc>
      </w:tr>
      <w:tr>
        <w:trPr>
          <w:trHeight w:val="424"/>
        </w:trPr>
        <w:tc>
          <w:tcPr>
            <w:tcW w:w="6060" w:type="dxa"/>
            <w:vAlign w:val="bottom"/>
          </w:tcPr>
          <w:p>
            <w:pPr>
              <w:ind w:left="4980"/>
              <w:spacing w:after="0"/>
              <w:rPr>
                <w:sz w:val="20"/>
                <w:szCs w:val="20"/>
                <w:color w:val="auto"/>
              </w:rPr>
            </w:pPr>
            <w:r>
              <w:rPr>
                <w:rFonts w:ascii="Arial" w:cs="Arial" w:eastAsia="Arial" w:hAnsi="Arial"/>
                <w:sz w:val="19"/>
                <w:szCs w:val="19"/>
                <w:color w:val="auto"/>
              </w:rPr>
              <w:t>Title:</w:t>
            </w:r>
          </w:p>
        </w:tc>
        <w:tc>
          <w:tcPr>
            <w:tcW w:w="3860" w:type="dxa"/>
            <w:vAlign w:val="bottom"/>
          </w:tcPr>
          <w:p>
            <w:pPr>
              <w:spacing w:after="0"/>
              <w:rPr>
                <w:sz w:val="20"/>
                <w:szCs w:val="20"/>
                <w:color w:val="auto"/>
              </w:rPr>
            </w:pPr>
            <w:r>
              <w:rPr>
                <w:rFonts w:ascii="Arial" w:cs="Arial" w:eastAsia="Arial" w:hAnsi="Arial"/>
                <w:sz w:val="19"/>
                <w:szCs w:val="19"/>
                <w:color w:val="auto"/>
              </w:rPr>
              <w:t>President and Chief Executive Officer</w:t>
            </w:r>
          </w:p>
        </w:tc>
      </w:tr>
      <w:tr>
        <w:trPr>
          <w:trHeight w:val="424"/>
        </w:trPr>
        <w:tc>
          <w:tcPr>
            <w:tcW w:w="6060" w:type="dxa"/>
            <w:vAlign w:val="bottom"/>
          </w:tcPr>
          <w:p>
            <w:pPr>
              <w:spacing w:after="0"/>
              <w:rPr>
                <w:sz w:val="20"/>
                <w:szCs w:val="20"/>
                <w:color w:val="auto"/>
              </w:rPr>
            </w:pPr>
            <w:r>
              <w:rPr>
                <w:rFonts w:ascii="Arial" w:cs="Arial" w:eastAsia="Arial" w:hAnsi="Arial"/>
                <w:sz w:val="19"/>
                <w:szCs w:val="19"/>
                <w:color w:val="auto"/>
              </w:rPr>
              <w:t>Accepted in Palo Alto, California:</w:t>
            </w:r>
          </w:p>
        </w:tc>
        <w:tc>
          <w:tcPr>
            <w:tcW w:w="3860" w:type="dxa"/>
            <w:vAlign w:val="bottom"/>
          </w:tcPr>
          <w:p>
            <w:pPr>
              <w:spacing w:after="0"/>
              <w:rPr>
                <w:sz w:val="24"/>
                <w:szCs w:val="24"/>
                <w:color w:val="auto"/>
              </w:rPr>
            </w:pPr>
          </w:p>
        </w:tc>
      </w:tr>
      <w:tr>
        <w:trPr>
          <w:trHeight w:val="424"/>
        </w:trPr>
        <w:tc>
          <w:tcPr>
            <w:tcW w:w="6060" w:type="dxa"/>
            <w:vAlign w:val="bottom"/>
          </w:tcPr>
          <w:p>
            <w:pPr>
              <w:ind w:left="4980"/>
              <w:spacing w:after="0"/>
              <w:rPr>
                <w:sz w:val="20"/>
                <w:szCs w:val="20"/>
                <w:color w:val="auto"/>
              </w:rPr>
            </w:pPr>
            <w:r>
              <w:rPr>
                <w:rFonts w:ascii="Arial" w:cs="Arial" w:eastAsia="Arial" w:hAnsi="Arial"/>
                <w:sz w:val="19"/>
                <w:szCs w:val="19"/>
                <w:color w:val="auto"/>
              </w:rPr>
              <w:t>AGENT:</w:t>
            </w:r>
          </w:p>
        </w:tc>
        <w:tc>
          <w:tcPr>
            <w:tcW w:w="3860" w:type="dxa"/>
            <w:vAlign w:val="bottom"/>
          </w:tcPr>
          <w:p>
            <w:pPr>
              <w:spacing w:after="0"/>
              <w:rPr>
                <w:sz w:val="24"/>
                <w:szCs w:val="24"/>
                <w:color w:val="auto"/>
              </w:rPr>
            </w:pPr>
          </w:p>
        </w:tc>
      </w:tr>
      <w:tr>
        <w:trPr>
          <w:trHeight w:val="424"/>
        </w:trPr>
        <w:tc>
          <w:tcPr>
            <w:tcW w:w="9920" w:type="dxa"/>
            <w:vAlign w:val="bottom"/>
            <w:gridSpan w:val="2"/>
          </w:tcPr>
          <w:p>
            <w:pPr>
              <w:ind w:left="4980"/>
              <w:spacing w:after="0"/>
              <w:rPr>
                <w:sz w:val="20"/>
                <w:szCs w:val="20"/>
                <w:color w:val="auto"/>
              </w:rPr>
            </w:pPr>
            <w:r>
              <w:rPr>
                <w:rFonts w:ascii="Arial" w:cs="Arial" w:eastAsia="Arial" w:hAnsi="Arial"/>
                <w:sz w:val="19"/>
                <w:szCs w:val="19"/>
                <w:color w:val="auto"/>
              </w:rPr>
              <w:t>HERCULES CAPITAL, INC.</w:t>
            </w:r>
          </w:p>
        </w:tc>
      </w:tr>
      <w:tr>
        <w:trPr>
          <w:trHeight w:val="416"/>
        </w:trPr>
        <w:tc>
          <w:tcPr>
            <w:tcW w:w="6060" w:type="dxa"/>
            <w:vAlign w:val="bottom"/>
          </w:tcPr>
          <w:p>
            <w:pPr>
              <w:ind w:left="4980"/>
              <w:spacing w:after="0"/>
              <w:rPr>
                <w:sz w:val="20"/>
                <w:szCs w:val="20"/>
                <w:color w:val="auto"/>
              </w:rPr>
            </w:pPr>
            <w:r>
              <w:rPr>
                <w:rFonts w:ascii="Arial" w:cs="Arial" w:eastAsia="Arial" w:hAnsi="Arial"/>
                <w:sz w:val="19"/>
                <w:szCs w:val="19"/>
                <w:color w:val="auto"/>
              </w:rPr>
              <w:t>Signature:</w:t>
            </w:r>
          </w:p>
        </w:tc>
        <w:tc>
          <w:tcPr>
            <w:tcW w:w="386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Jennifer Choe</w:t>
            </w:r>
          </w:p>
        </w:tc>
      </w:tr>
      <w:tr>
        <w:trPr>
          <w:trHeight w:val="425"/>
        </w:trPr>
        <w:tc>
          <w:tcPr>
            <w:tcW w:w="6060" w:type="dxa"/>
            <w:vAlign w:val="bottom"/>
          </w:tcPr>
          <w:p>
            <w:pPr>
              <w:ind w:left="4980"/>
              <w:spacing w:after="0"/>
              <w:rPr>
                <w:sz w:val="20"/>
                <w:szCs w:val="20"/>
                <w:color w:val="auto"/>
              </w:rPr>
            </w:pPr>
            <w:r>
              <w:rPr>
                <w:rFonts w:ascii="Arial" w:cs="Arial" w:eastAsia="Arial" w:hAnsi="Arial"/>
                <w:sz w:val="19"/>
                <w:szCs w:val="19"/>
                <w:color w:val="auto"/>
              </w:rPr>
              <w:t>Print Name:</w:t>
            </w:r>
          </w:p>
        </w:tc>
        <w:tc>
          <w:tcPr>
            <w:tcW w:w="3860" w:type="dxa"/>
            <w:vAlign w:val="bottom"/>
          </w:tcPr>
          <w:p>
            <w:pPr>
              <w:spacing w:after="0"/>
              <w:rPr>
                <w:sz w:val="20"/>
                <w:szCs w:val="20"/>
                <w:color w:val="auto"/>
              </w:rPr>
            </w:pPr>
            <w:r>
              <w:rPr>
                <w:rFonts w:ascii="Arial" w:cs="Arial" w:eastAsia="Arial" w:hAnsi="Arial"/>
                <w:sz w:val="19"/>
                <w:szCs w:val="19"/>
                <w:color w:val="auto"/>
              </w:rPr>
              <w:t>Jennifer Choe</w:t>
            </w:r>
          </w:p>
        </w:tc>
      </w:tr>
      <w:tr>
        <w:trPr>
          <w:trHeight w:val="424"/>
        </w:trPr>
        <w:tc>
          <w:tcPr>
            <w:tcW w:w="6060" w:type="dxa"/>
            <w:vAlign w:val="bottom"/>
          </w:tcPr>
          <w:p>
            <w:pPr>
              <w:ind w:left="4980"/>
              <w:spacing w:after="0"/>
              <w:rPr>
                <w:sz w:val="20"/>
                <w:szCs w:val="20"/>
                <w:color w:val="auto"/>
              </w:rPr>
            </w:pPr>
            <w:r>
              <w:rPr>
                <w:rFonts w:ascii="Arial" w:cs="Arial" w:eastAsia="Arial" w:hAnsi="Arial"/>
                <w:sz w:val="19"/>
                <w:szCs w:val="19"/>
                <w:color w:val="auto"/>
              </w:rPr>
              <w:t>Title:</w:t>
            </w:r>
          </w:p>
        </w:tc>
        <w:tc>
          <w:tcPr>
            <w:tcW w:w="3860" w:type="dxa"/>
            <w:vAlign w:val="bottom"/>
          </w:tcPr>
          <w:p>
            <w:pPr>
              <w:spacing w:after="0"/>
              <w:rPr>
                <w:sz w:val="20"/>
                <w:szCs w:val="20"/>
                <w:color w:val="auto"/>
              </w:rPr>
            </w:pPr>
            <w:r>
              <w:rPr>
                <w:rFonts w:ascii="Arial" w:cs="Arial" w:eastAsia="Arial" w:hAnsi="Arial"/>
                <w:sz w:val="19"/>
                <w:szCs w:val="19"/>
                <w:color w:val="auto"/>
              </w:rPr>
              <w:t>Associate General Counsel</w:t>
            </w:r>
          </w:p>
        </w:tc>
      </w:tr>
      <w:tr>
        <w:trPr>
          <w:trHeight w:val="424"/>
        </w:trPr>
        <w:tc>
          <w:tcPr>
            <w:tcW w:w="6060" w:type="dxa"/>
            <w:vAlign w:val="bottom"/>
          </w:tcPr>
          <w:p>
            <w:pPr>
              <w:ind w:left="4980"/>
              <w:spacing w:after="0"/>
              <w:rPr>
                <w:sz w:val="20"/>
                <w:szCs w:val="20"/>
                <w:color w:val="auto"/>
              </w:rPr>
            </w:pPr>
            <w:r>
              <w:rPr>
                <w:rFonts w:ascii="Arial" w:cs="Arial" w:eastAsia="Arial" w:hAnsi="Arial"/>
                <w:sz w:val="19"/>
                <w:szCs w:val="19"/>
                <w:b w:val="1"/>
                <w:bCs w:val="1"/>
                <w:color w:val="auto"/>
              </w:rPr>
              <w:t>LENDERS:</w:t>
            </w:r>
          </w:p>
        </w:tc>
        <w:tc>
          <w:tcPr>
            <w:tcW w:w="3860" w:type="dxa"/>
            <w:vAlign w:val="bottom"/>
          </w:tcPr>
          <w:p>
            <w:pPr>
              <w:spacing w:after="0"/>
              <w:rPr>
                <w:sz w:val="24"/>
                <w:szCs w:val="24"/>
                <w:color w:val="auto"/>
              </w:rPr>
            </w:pPr>
          </w:p>
        </w:tc>
      </w:tr>
      <w:tr>
        <w:trPr>
          <w:trHeight w:val="424"/>
        </w:trPr>
        <w:tc>
          <w:tcPr>
            <w:tcW w:w="9920" w:type="dxa"/>
            <w:vAlign w:val="bottom"/>
            <w:gridSpan w:val="2"/>
          </w:tcPr>
          <w:p>
            <w:pPr>
              <w:ind w:left="4980"/>
              <w:spacing w:after="0"/>
              <w:rPr>
                <w:sz w:val="20"/>
                <w:szCs w:val="20"/>
                <w:color w:val="auto"/>
              </w:rPr>
            </w:pPr>
            <w:r>
              <w:rPr>
                <w:rFonts w:ascii="Arial" w:cs="Arial" w:eastAsia="Arial" w:hAnsi="Arial"/>
                <w:sz w:val="19"/>
                <w:szCs w:val="19"/>
                <w:color w:val="auto"/>
              </w:rPr>
              <w:t>HERCULES CAPITAL, INC.</w:t>
            </w:r>
          </w:p>
        </w:tc>
      </w:tr>
      <w:tr>
        <w:trPr>
          <w:trHeight w:val="416"/>
        </w:trPr>
        <w:tc>
          <w:tcPr>
            <w:tcW w:w="6060" w:type="dxa"/>
            <w:vAlign w:val="bottom"/>
          </w:tcPr>
          <w:p>
            <w:pPr>
              <w:ind w:left="4980"/>
              <w:spacing w:after="0"/>
              <w:rPr>
                <w:sz w:val="20"/>
                <w:szCs w:val="20"/>
                <w:color w:val="auto"/>
              </w:rPr>
            </w:pPr>
            <w:r>
              <w:rPr>
                <w:rFonts w:ascii="Arial" w:cs="Arial" w:eastAsia="Arial" w:hAnsi="Arial"/>
                <w:sz w:val="19"/>
                <w:szCs w:val="19"/>
                <w:color w:val="auto"/>
              </w:rPr>
              <w:t>Signature:</w:t>
            </w:r>
          </w:p>
        </w:tc>
        <w:tc>
          <w:tcPr>
            <w:tcW w:w="386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Jennifer Choe</w:t>
            </w:r>
          </w:p>
        </w:tc>
      </w:tr>
      <w:tr>
        <w:trPr>
          <w:trHeight w:val="425"/>
        </w:trPr>
        <w:tc>
          <w:tcPr>
            <w:tcW w:w="6060" w:type="dxa"/>
            <w:vAlign w:val="bottom"/>
          </w:tcPr>
          <w:p>
            <w:pPr>
              <w:ind w:left="4980"/>
              <w:spacing w:after="0"/>
              <w:rPr>
                <w:sz w:val="20"/>
                <w:szCs w:val="20"/>
                <w:color w:val="auto"/>
              </w:rPr>
            </w:pPr>
            <w:r>
              <w:rPr>
                <w:rFonts w:ascii="Arial" w:cs="Arial" w:eastAsia="Arial" w:hAnsi="Arial"/>
                <w:sz w:val="19"/>
                <w:szCs w:val="19"/>
                <w:color w:val="auto"/>
              </w:rPr>
              <w:t>Print Name:</w:t>
            </w:r>
          </w:p>
        </w:tc>
        <w:tc>
          <w:tcPr>
            <w:tcW w:w="3860" w:type="dxa"/>
            <w:vAlign w:val="bottom"/>
          </w:tcPr>
          <w:p>
            <w:pPr>
              <w:spacing w:after="0"/>
              <w:rPr>
                <w:sz w:val="20"/>
                <w:szCs w:val="20"/>
                <w:color w:val="auto"/>
              </w:rPr>
            </w:pPr>
            <w:r>
              <w:rPr>
                <w:rFonts w:ascii="Arial" w:cs="Arial" w:eastAsia="Arial" w:hAnsi="Arial"/>
                <w:sz w:val="19"/>
                <w:szCs w:val="19"/>
                <w:color w:val="auto"/>
              </w:rPr>
              <w:t>Jennifer Choe</w:t>
            </w:r>
          </w:p>
        </w:tc>
      </w:tr>
      <w:tr>
        <w:trPr>
          <w:trHeight w:val="424"/>
        </w:trPr>
        <w:tc>
          <w:tcPr>
            <w:tcW w:w="6060" w:type="dxa"/>
            <w:vAlign w:val="bottom"/>
          </w:tcPr>
          <w:p>
            <w:pPr>
              <w:ind w:left="4980"/>
              <w:spacing w:after="0"/>
              <w:rPr>
                <w:sz w:val="20"/>
                <w:szCs w:val="20"/>
                <w:color w:val="auto"/>
              </w:rPr>
            </w:pPr>
            <w:r>
              <w:rPr>
                <w:rFonts w:ascii="Arial" w:cs="Arial" w:eastAsia="Arial" w:hAnsi="Arial"/>
                <w:sz w:val="19"/>
                <w:szCs w:val="19"/>
                <w:color w:val="auto"/>
              </w:rPr>
              <w:t>Title:</w:t>
            </w:r>
          </w:p>
        </w:tc>
        <w:tc>
          <w:tcPr>
            <w:tcW w:w="3860" w:type="dxa"/>
            <w:vAlign w:val="bottom"/>
          </w:tcPr>
          <w:p>
            <w:pPr>
              <w:spacing w:after="0"/>
              <w:rPr>
                <w:sz w:val="20"/>
                <w:szCs w:val="20"/>
                <w:color w:val="auto"/>
              </w:rPr>
            </w:pPr>
            <w:r>
              <w:rPr>
                <w:rFonts w:ascii="Arial" w:cs="Arial" w:eastAsia="Arial" w:hAnsi="Arial"/>
                <w:sz w:val="19"/>
                <w:szCs w:val="19"/>
                <w:color w:val="auto"/>
              </w:rPr>
              <w:t>Associate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307340</wp:posOffset>
            </wp:positionV>
            <wp:extent cx="6311265" cy="2222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920"/>
          </w:cols>
          <w:pgMar w:left="980" w:top="781" w:right="999" w:bottom="1440" w:gutter="0" w:footer="0" w:header="0"/>
        </w:sectPr>
      </w:pPr>
    </w:p>
    <w:bookmarkStart w:id="176" w:name="page177"/>
    <w:bookmarkEnd w:id="176"/>
    <w:p>
      <w:pPr>
        <w:spacing w:after="0"/>
        <w:rPr>
          <w:sz w:val="20"/>
          <w:szCs w:val="20"/>
          <w:color w:val="auto"/>
        </w:rPr>
      </w:pPr>
      <w:r>
        <w:rPr>
          <w:rFonts w:ascii="Arial" w:cs="Arial" w:eastAsia="Arial" w:hAnsi="Arial"/>
          <w:sz w:val="16"/>
          <w:szCs w:val="16"/>
          <w:color w:val="auto"/>
        </w:rPr>
        <w:t>Table of Addenda, Exhibits and Schedules</w:t>
      </w:r>
    </w:p>
    <w:p>
      <w:pPr>
        <w:sectPr>
          <w:pgSz w:w="11900" w:h="16838" w:orient="portrait"/>
          <w:cols w:equalWidth="0" w:num="1">
            <w:col w:w="9720"/>
          </w:cols>
          <w:pgMar w:left="980" w:top="781" w:right="119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Addendum 1:</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Taxes; Increased Costs</w:t>
      </w:r>
    </w:p>
    <w:p>
      <w:pPr>
        <w:spacing w:after="0" w:line="211" w:lineRule="exact"/>
        <w:rPr>
          <w:sz w:val="20"/>
          <w:szCs w:val="20"/>
          <w:color w:val="auto"/>
        </w:rPr>
      </w:pPr>
    </w:p>
    <w:p>
      <w:pPr>
        <w:sectPr>
          <w:pgSz w:w="11900" w:h="16838" w:orient="portrait"/>
          <w:cols w:equalWidth="0" w:num="2">
            <w:col w:w="1040" w:space="260"/>
            <w:col w:w="8420"/>
          </w:cols>
          <w:pgMar w:left="980" w:top="781" w:right="1199"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Addendum 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[Reserved]</w:t>
      </w:r>
    </w:p>
    <w:p>
      <w:pPr>
        <w:spacing w:after="0" w:line="200" w:lineRule="exact"/>
        <w:rPr>
          <w:sz w:val="20"/>
          <w:szCs w:val="20"/>
          <w:color w:val="auto"/>
        </w:rPr>
      </w:pPr>
    </w:p>
    <w:p>
      <w:pPr>
        <w:sectPr>
          <w:pgSz w:w="11900" w:h="16838" w:orient="portrait"/>
          <w:cols w:equalWidth="0" w:num="2">
            <w:col w:w="1040" w:space="260"/>
            <w:col w:w="8420"/>
          </w:cols>
          <w:pgMar w:left="980" w:top="781" w:right="1199"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Addendum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Agent and Lender Terms</w:t>
      </w:r>
    </w:p>
    <w:p>
      <w:pPr>
        <w:spacing w:after="0" w:line="211" w:lineRule="exact"/>
        <w:rPr>
          <w:sz w:val="20"/>
          <w:szCs w:val="20"/>
          <w:color w:val="auto"/>
        </w:rPr>
      </w:pPr>
    </w:p>
    <w:p>
      <w:pPr>
        <w:sectPr>
          <w:pgSz w:w="11900" w:h="16838" w:orient="portrait"/>
          <w:cols w:equalWidth="0" w:num="2">
            <w:col w:w="1040" w:space="260"/>
            <w:col w:w="8420"/>
          </w:cols>
          <w:pgMar w:left="980" w:top="781" w:right="1199"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Exhibit 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Advance Request</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Attachment to Advance Request</w:t>
      </w:r>
    </w:p>
    <w:p>
      <w:pPr>
        <w:spacing w:after="0" w:line="189" w:lineRule="exact"/>
        <w:rPr>
          <w:sz w:val="20"/>
          <w:szCs w:val="20"/>
          <w:color w:val="auto"/>
        </w:rPr>
      </w:pPr>
    </w:p>
    <w:p>
      <w:pPr>
        <w:sectPr>
          <w:pgSz w:w="11900" w:h="16838" w:orient="portrait"/>
          <w:cols w:equalWidth="0" w:num="2">
            <w:col w:w="800" w:space="500"/>
            <w:col w:w="8420"/>
          </w:cols>
          <w:pgMar w:left="980" w:top="781" w:right="1199" w:bottom="1440" w:gutter="0" w:footer="0" w:header="0"/>
          <w:type w:val="continuous"/>
        </w:sectPr>
      </w:pPr>
    </w:p>
    <w:p>
      <w:pPr>
        <w:spacing w:after="0"/>
        <w:rPr>
          <w:sz w:val="20"/>
          <w:szCs w:val="20"/>
          <w:color w:val="auto"/>
        </w:rPr>
      </w:pPr>
      <w:r>
        <w:rPr>
          <w:rFonts w:ascii="Arial" w:cs="Arial" w:eastAsia="Arial" w:hAnsi="Arial"/>
          <w:sz w:val="18"/>
          <w:szCs w:val="18"/>
          <w:color w:val="auto"/>
        </w:rPr>
        <w:t>Exhibit 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Name, Locations, and Other Information for Borrower</w:t>
      </w:r>
    </w:p>
    <w:p>
      <w:pPr>
        <w:spacing w:after="0" w:line="205" w:lineRule="exact"/>
        <w:rPr>
          <w:sz w:val="20"/>
          <w:szCs w:val="20"/>
          <w:color w:val="auto"/>
        </w:rPr>
      </w:pPr>
    </w:p>
    <w:p>
      <w:pPr>
        <w:sectPr>
          <w:pgSz w:w="11900" w:h="16838" w:orient="portrait"/>
          <w:cols w:equalWidth="0" w:num="2">
            <w:col w:w="780" w:space="520"/>
            <w:col w:w="8420"/>
          </w:cols>
          <w:pgMar w:left="980" w:top="781" w:right="1199" w:bottom="1440" w:gutter="0" w:footer="0" w:header="0"/>
          <w:type w:val="continuous"/>
        </w:sectPr>
      </w:pPr>
    </w:p>
    <w:p>
      <w:pPr>
        <w:spacing w:after="0"/>
        <w:rPr>
          <w:sz w:val="20"/>
          <w:szCs w:val="20"/>
          <w:color w:val="auto"/>
        </w:rPr>
      </w:pPr>
      <w:r>
        <w:rPr>
          <w:rFonts w:ascii="Arial" w:cs="Arial" w:eastAsia="Arial" w:hAnsi="Arial"/>
          <w:sz w:val="18"/>
          <w:szCs w:val="18"/>
          <w:color w:val="auto"/>
        </w:rPr>
        <w:t>Exhibit 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Borrower’s Patents, Trademarks, Copyrights and Licenses</w:t>
      </w:r>
    </w:p>
    <w:p>
      <w:pPr>
        <w:spacing w:after="0" w:line="205" w:lineRule="exact"/>
        <w:rPr>
          <w:sz w:val="20"/>
          <w:szCs w:val="20"/>
          <w:color w:val="auto"/>
        </w:rPr>
      </w:pPr>
    </w:p>
    <w:p>
      <w:pPr>
        <w:sectPr>
          <w:pgSz w:w="11900" w:h="16838" w:orient="portrait"/>
          <w:cols w:equalWidth="0" w:num="2">
            <w:col w:w="780" w:space="520"/>
            <w:col w:w="8420"/>
          </w:cols>
          <w:pgMar w:left="980" w:top="781" w:right="1199" w:bottom="1440" w:gutter="0" w:footer="0" w:header="0"/>
          <w:type w:val="continuous"/>
        </w:sectPr>
      </w:pPr>
    </w:p>
    <w:p>
      <w:pPr>
        <w:spacing w:after="0"/>
        <w:rPr>
          <w:sz w:val="20"/>
          <w:szCs w:val="20"/>
          <w:color w:val="auto"/>
        </w:rPr>
      </w:pPr>
      <w:r>
        <w:rPr>
          <w:rFonts w:ascii="Arial" w:cs="Arial" w:eastAsia="Arial" w:hAnsi="Arial"/>
          <w:sz w:val="18"/>
          <w:szCs w:val="18"/>
          <w:color w:val="auto"/>
        </w:rPr>
        <w:t>Exhibit 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Borrower’s Deposit Accounts and Investment Accounts</w:t>
      </w:r>
    </w:p>
    <w:p>
      <w:pPr>
        <w:spacing w:after="0" w:line="205" w:lineRule="exact"/>
        <w:rPr>
          <w:sz w:val="20"/>
          <w:szCs w:val="20"/>
          <w:color w:val="auto"/>
        </w:rPr>
      </w:pPr>
    </w:p>
    <w:p>
      <w:pPr>
        <w:sectPr>
          <w:pgSz w:w="11900" w:h="16838" w:orient="portrait"/>
          <w:cols w:equalWidth="0" w:num="2">
            <w:col w:w="800" w:space="500"/>
            <w:col w:w="8420"/>
          </w:cols>
          <w:pgMar w:left="980" w:top="781" w:right="1199" w:bottom="1440" w:gutter="0" w:footer="0" w:header="0"/>
          <w:type w:val="continuous"/>
        </w:sectPr>
      </w:pPr>
    </w:p>
    <w:p>
      <w:pPr>
        <w:spacing w:after="0"/>
        <w:rPr>
          <w:sz w:val="20"/>
          <w:szCs w:val="20"/>
          <w:color w:val="auto"/>
        </w:rPr>
      </w:pPr>
      <w:r>
        <w:rPr>
          <w:rFonts w:ascii="Arial" w:cs="Arial" w:eastAsia="Arial" w:hAnsi="Arial"/>
          <w:sz w:val="18"/>
          <w:szCs w:val="18"/>
          <w:color w:val="auto"/>
        </w:rPr>
        <w:t>Exhibit 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Compliance Certificate</w:t>
      </w:r>
    </w:p>
    <w:p>
      <w:pPr>
        <w:spacing w:after="0" w:line="205" w:lineRule="exact"/>
        <w:rPr>
          <w:sz w:val="20"/>
          <w:szCs w:val="20"/>
          <w:color w:val="auto"/>
        </w:rPr>
      </w:pPr>
    </w:p>
    <w:p>
      <w:pPr>
        <w:sectPr>
          <w:pgSz w:w="11900" w:h="16838" w:orient="portrait"/>
          <w:cols w:equalWidth="0" w:num="2">
            <w:col w:w="780" w:space="520"/>
            <w:col w:w="8420"/>
          </w:cols>
          <w:pgMar w:left="980" w:top="781" w:right="1199" w:bottom="1440" w:gutter="0" w:footer="0" w:header="0"/>
          <w:type w:val="continuous"/>
        </w:sectPr>
      </w:pPr>
    </w:p>
    <w:p>
      <w:pPr>
        <w:spacing w:after="0"/>
        <w:rPr>
          <w:sz w:val="20"/>
          <w:szCs w:val="20"/>
          <w:color w:val="auto"/>
        </w:rPr>
      </w:pPr>
      <w:r>
        <w:rPr>
          <w:rFonts w:ascii="Arial" w:cs="Arial" w:eastAsia="Arial" w:hAnsi="Arial"/>
          <w:sz w:val="18"/>
          <w:szCs w:val="18"/>
          <w:color w:val="auto"/>
        </w:rPr>
        <w:t>Exhibit 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Joinder Agreement</w:t>
      </w:r>
    </w:p>
    <w:p>
      <w:pPr>
        <w:spacing w:after="0" w:line="205" w:lineRule="exact"/>
        <w:rPr>
          <w:sz w:val="20"/>
          <w:szCs w:val="20"/>
          <w:color w:val="auto"/>
        </w:rPr>
      </w:pPr>
    </w:p>
    <w:p>
      <w:pPr>
        <w:sectPr>
          <w:pgSz w:w="11900" w:h="16838" w:orient="portrait"/>
          <w:cols w:equalWidth="0" w:num="2">
            <w:col w:w="760" w:space="540"/>
            <w:col w:w="8420"/>
          </w:cols>
          <w:pgMar w:left="980" w:top="781" w:right="1199" w:bottom="1440" w:gutter="0" w:footer="0" w:header="0"/>
          <w:type w:val="continuous"/>
        </w:sectPr>
      </w:pPr>
    </w:p>
    <w:p>
      <w:pPr>
        <w:spacing w:after="0"/>
        <w:rPr>
          <w:sz w:val="20"/>
          <w:szCs w:val="20"/>
          <w:color w:val="auto"/>
        </w:rPr>
      </w:pPr>
      <w:r>
        <w:rPr>
          <w:rFonts w:ascii="Arial" w:cs="Arial" w:eastAsia="Arial" w:hAnsi="Arial"/>
          <w:sz w:val="18"/>
          <w:szCs w:val="18"/>
          <w:color w:val="auto"/>
        </w:rPr>
        <w:t>Exhibit 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[Reserved]</w:t>
      </w:r>
    </w:p>
    <w:p>
      <w:pPr>
        <w:spacing w:after="0" w:line="205" w:lineRule="exact"/>
        <w:rPr>
          <w:sz w:val="20"/>
          <w:szCs w:val="20"/>
          <w:color w:val="auto"/>
        </w:rPr>
      </w:pPr>
    </w:p>
    <w:p>
      <w:pPr>
        <w:sectPr>
          <w:pgSz w:w="11900" w:h="16838" w:orient="portrait"/>
          <w:cols w:equalWidth="0" w:num="2">
            <w:col w:w="800" w:space="500"/>
            <w:col w:w="8420"/>
          </w:cols>
          <w:pgMar w:left="980" w:top="781" w:right="1199" w:bottom="1440" w:gutter="0" w:footer="0" w:header="0"/>
          <w:type w:val="continuous"/>
        </w:sectPr>
      </w:pPr>
    </w:p>
    <w:p>
      <w:pPr>
        <w:spacing w:after="0"/>
        <w:rPr>
          <w:sz w:val="20"/>
          <w:szCs w:val="20"/>
          <w:color w:val="auto"/>
        </w:rPr>
      </w:pPr>
      <w:r>
        <w:rPr>
          <w:rFonts w:ascii="Arial" w:cs="Arial" w:eastAsia="Arial" w:hAnsi="Arial"/>
          <w:sz w:val="18"/>
          <w:szCs w:val="18"/>
          <w:color w:val="auto"/>
        </w:rPr>
        <w:t>Exhibit 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ACH Debit Authorization Agreement</w:t>
      </w:r>
    </w:p>
    <w:p>
      <w:pPr>
        <w:spacing w:after="0" w:line="205" w:lineRule="exact"/>
        <w:rPr>
          <w:sz w:val="20"/>
          <w:szCs w:val="20"/>
          <w:color w:val="auto"/>
        </w:rPr>
      </w:pPr>
    </w:p>
    <w:p>
      <w:pPr>
        <w:sectPr>
          <w:pgSz w:w="11900" w:h="16838" w:orient="portrait"/>
          <w:cols w:equalWidth="0" w:num="2">
            <w:col w:w="800" w:space="500"/>
            <w:col w:w="8420"/>
          </w:cols>
          <w:pgMar w:left="980" w:top="781" w:right="1199" w:bottom="1440" w:gutter="0" w:footer="0" w:header="0"/>
          <w:type w:val="continuous"/>
        </w:sectPr>
      </w:pPr>
    </w:p>
    <w:p>
      <w:pPr>
        <w:spacing w:after="0"/>
        <w:rPr>
          <w:sz w:val="20"/>
          <w:szCs w:val="20"/>
          <w:color w:val="auto"/>
        </w:rPr>
      </w:pPr>
      <w:r>
        <w:rPr>
          <w:rFonts w:ascii="Arial" w:cs="Arial" w:eastAsia="Arial" w:hAnsi="Arial"/>
          <w:sz w:val="18"/>
          <w:szCs w:val="18"/>
          <w:color w:val="auto"/>
        </w:rPr>
        <w:t>Exhibit 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[Reserved]</w:t>
      </w:r>
    </w:p>
    <w:p>
      <w:pPr>
        <w:spacing w:after="0" w:line="205" w:lineRule="exact"/>
        <w:rPr>
          <w:sz w:val="20"/>
          <w:szCs w:val="20"/>
          <w:color w:val="auto"/>
        </w:rPr>
      </w:pPr>
    </w:p>
    <w:p>
      <w:pPr>
        <w:sectPr>
          <w:pgSz w:w="11900" w:h="16838" w:orient="portrait"/>
          <w:cols w:equalWidth="0" w:num="2">
            <w:col w:w="720" w:space="580"/>
            <w:col w:w="8420"/>
          </w:cols>
          <w:pgMar w:left="980" w:top="781" w:right="1199" w:bottom="1440" w:gutter="0" w:footer="0" w:header="0"/>
          <w:type w:val="continuous"/>
        </w:sectPr>
      </w:pPr>
    </w:p>
    <w:p>
      <w:pPr>
        <w:spacing w:after="0"/>
        <w:rPr>
          <w:sz w:val="20"/>
          <w:szCs w:val="20"/>
          <w:color w:val="auto"/>
        </w:rPr>
      </w:pPr>
      <w:r>
        <w:rPr>
          <w:rFonts w:ascii="Arial" w:cs="Arial" w:eastAsia="Arial" w:hAnsi="Arial"/>
          <w:sz w:val="17"/>
          <w:szCs w:val="17"/>
          <w:color w:val="auto"/>
        </w:rPr>
        <w:t>Exhibit J-1:</w:t>
      </w:r>
    </w:p>
    <w:p>
      <w:pPr>
        <w:spacing w:after="0" w:line="20" w:lineRule="exact"/>
        <w:rPr>
          <w:sz w:val="20"/>
          <w:szCs w:val="20"/>
          <w:color w:val="auto"/>
        </w:rPr>
      </w:pPr>
      <w:r>
        <w:rPr>
          <w:sz w:val="20"/>
          <w:szCs w:val="20"/>
          <w:color w:val="auto"/>
        </w:rPr>
        <w:br w:type="column"/>
      </w:r>
    </w:p>
    <w:p>
      <w:pPr>
        <w:ind w:right="280"/>
        <w:spacing w:after="0" w:line="256" w:lineRule="auto"/>
        <w:rPr>
          <w:sz w:val="20"/>
          <w:szCs w:val="20"/>
          <w:color w:val="auto"/>
        </w:rPr>
      </w:pPr>
      <w:r>
        <w:rPr>
          <w:rFonts w:ascii="Arial" w:cs="Arial" w:eastAsia="Arial" w:hAnsi="Arial"/>
          <w:sz w:val="19"/>
          <w:szCs w:val="19"/>
          <w:color w:val="auto"/>
        </w:rPr>
        <w:t>Form of U.S. Tax Compliance Certificate (For Foreign Lenders That Are Not Partnerships For U.S. Federal Income Tax Purposes)</w:t>
      </w:r>
    </w:p>
    <w:p>
      <w:pPr>
        <w:spacing w:after="0" w:line="147" w:lineRule="exact"/>
        <w:rPr>
          <w:sz w:val="20"/>
          <w:szCs w:val="20"/>
          <w:color w:val="auto"/>
        </w:rPr>
      </w:pPr>
    </w:p>
    <w:p>
      <w:pPr>
        <w:sectPr>
          <w:pgSz w:w="11900" w:h="16838" w:orient="portrait"/>
          <w:cols w:equalWidth="0" w:num="2">
            <w:col w:w="880" w:space="420"/>
            <w:col w:w="8420"/>
          </w:cols>
          <w:pgMar w:left="980" w:top="781" w:right="1199" w:bottom="1440" w:gutter="0" w:footer="0" w:header="0"/>
          <w:type w:val="continuous"/>
        </w:sectPr>
      </w:pPr>
    </w:p>
    <w:p>
      <w:pPr>
        <w:spacing w:after="0"/>
        <w:rPr>
          <w:sz w:val="20"/>
          <w:szCs w:val="20"/>
          <w:color w:val="auto"/>
        </w:rPr>
      </w:pPr>
      <w:r>
        <w:rPr>
          <w:rFonts w:ascii="Arial" w:cs="Arial" w:eastAsia="Arial" w:hAnsi="Arial"/>
          <w:sz w:val="17"/>
          <w:szCs w:val="17"/>
          <w:color w:val="auto"/>
        </w:rPr>
        <w:t>Exhibit J-2:</w:t>
      </w:r>
    </w:p>
    <w:p>
      <w:pPr>
        <w:spacing w:after="0" w:line="20" w:lineRule="exact"/>
        <w:rPr>
          <w:sz w:val="20"/>
          <w:szCs w:val="20"/>
          <w:color w:val="auto"/>
        </w:rPr>
      </w:pPr>
      <w:r>
        <w:rPr>
          <w:sz w:val="20"/>
          <w:szCs w:val="20"/>
          <w:color w:val="auto"/>
        </w:rPr>
        <w:br w:type="column"/>
      </w:r>
    </w:p>
    <w:p>
      <w:pPr>
        <w:spacing w:after="0" w:line="256" w:lineRule="auto"/>
        <w:rPr>
          <w:sz w:val="20"/>
          <w:szCs w:val="20"/>
          <w:color w:val="auto"/>
        </w:rPr>
      </w:pPr>
      <w:r>
        <w:rPr>
          <w:rFonts w:ascii="Arial" w:cs="Arial" w:eastAsia="Arial" w:hAnsi="Arial"/>
          <w:sz w:val="19"/>
          <w:szCs w:val="19"/>
          <w:color w:val="auto"/>
        </w:rPr>
        <w:t>Form of U.S. Tax Compliance Certificate (For Foreign Participants That Are Not Partnerships For U.S. Federal Income Tax Purposes)</w:t>
      </w:r>
    </w:p>
    <w:p>
      <w:pPr>
        <w:spacing w:after="0" w:line="147" w:lineRule="exact"/>
        <w:rPr>
          <w:sz w:val="20"/>
          <w:szCs w:val="20"/>
          <w:color w:val="auto"/>
        </w:rPr>
      </w:pPr>
    </w:p>
    <w:p>
      <w:pPr>
        <w:sectPr>
          <w:pgSz w:w="11900" w:h="16838" w:orient="portrait"/>
          <w:cols w:equalWidth="0" w:num="2">
            <w:col w:w="880" w:space="420"/>
            <w:col w:w="8420"/>
          </w:cols>
          <w:pgMar w:left="980" w:top="781" w:right="1199" w:bottom="1440" w:gutter="0" w:footer="0" w:header="0"/>
          <w:type w:val="continuous"/>
        </w:sectPr>
      </w:pPr>
    </w:p>
    <w:p>
      <w:pPr>
        <w:spacing w:after="0"/>
        <w:rPr>
          <w:sz w:val="20"/>
          <w:szCs w:val="20"/>
          <w:color w:val="auto"/>
        </w:rPr>
      </w:pPr>
      <w:r>
        <w:rPr>
          <w:rFonts w:ascii="Arial" w:cs="Arial" w:eastAsia="Arial" w:hAnsi="Arial"/>
          <w:sz w:val="17"/>
          <w:szCs w:val="17"/>
          <w:color w:val="auto"/>
        </w:rPr>
        <w:t>Exhibit J-3:</w:t>
      </w:r>
    </w:p>
    <w:p>
      <w:pPr>
        <w:spacing w:after="0" w:line="20" w:lineRule="exact"/>
        <w:rPr>
          <w:sz w:val="20"/>
          <w:szCs w:val="20"/>
          <w:color w:val="auto"/>
        </w:rPr>
      </w:pPr>
      <w:r>
        <w:rPr>
          <w:sz w:val="20"/>
          <w:szCs w:val="20"/>
          <w:color w:val="auto"/>
        </w:rPr>
        <w:br w:type="column"/>
      </w:r>
    </w:p>
    <w:p>
      <w:pPr>
        <w:ind w:right="340"/>
        <w:spacing w:after="0" w:line="256" w:lineRule="auto"/>
        <w:rPr>
          <w:sz w:val="20"/>
          <w:szCs w:val="20"/>
          <w:color w:val="auto"/>
        </w:rPr>
      </w:pPr>
      <w:r>
        <w:rPr>
          <w:rFonts w:ascii="Arial" w:cs="Arial" w:eastAsia="Arial" w:hAnsi="Arial"/>
          <w:sz w:val="19"/>
          <w:szCs w:val="19"/>
          <w:color w:val="auto"/>
        </w:rPr>
        <w:t>Form of U.S. Tax Compliance Certificate (For Foreign Participants That Are Partnerships For U.S. Federal Income Tax Purposes)</w:t>
      </w:r>
    </w:p>
    <w:p>
      <w:pPr>
        <w:spacing w:after="0" w:line="147" w:lineRule="exact"/>
        <w:rPr>
          <w:sz w:val="20"/>
          <w:szCs w:val="20"/>
          <w:color w:val="auto"/>
        </w:rPr>
      </w:pPr>
    </w:p>
    <w:p>
      <w:pPr>
        <w:sectPr>
          <w:pgSz w:w="11900" w:h="16838" w:orient="portrait"/>
          <w:cols w:equalWidth="0" w:num="2">
            <w:col w:w="880" w:space="420"/>
            <w:col w:w="8420"/>
          </w:cols>
          <w:pgMar w:left="980" w:top="781" w:right="1199" w:bottom="1440" w:gutter="0" w:footer="0" w:header="0"/>
          <w:type w:val="continuous"/>
        </w:sectPr>
      </w:pPr>
    </w:p>
    <w:p>
      <w:pPr>
        <w:spacing w:after="0"/>
        <w:rPr>
          <w:sz w:val="20"/>
          <w:szCs w:val="20"/>
          <w:color w:val="auto"/>
        </w:rPr>
      </w:pPr>
      <w:r>
        <w:rPr>
          <w:rFonts w:ascii="Arial" w:cs="Arial" w:eastAsia="Arial" w:hAnsi="Arial"/>
          <w:sz w:val="17"/>
          <w:szCs w:val="17"/>
          <w:color w:val="auto"/>
        </w:rPr>
        <w:t>Exhibit J-4:</w:t>
      </w:r>
    </w:p>
    <w:p>
      <w:pPr>
        <w:spacing w:after="0" w:line="20" w:lineRule="exact"/>
        <w:rPr>
          <w:sz w:val="20"/>
          <w:szCs w:val="20"/>
          <w:color w:val="auto"/>
        </w:rPr>
      </w:pPr>
      <w:r>
        <w:rPr>
          <w:sz w:val="20"/>
          <w:szCs w:val="20"/>
          <w:color w:val="auto"/>
        </w:rPr>
        <w:br w:type="column"/>
      </w:r>
    </w:p>
    <w:p>
      <w:pPr>
        <w:spacing w:after="0" w:line="256" w:lineRule="auto"/>
        <w:rPr>
          <w:sz w:val="20"/>
          <w:szCs w:val="20"/>
          <w:color w:val="auto"/>
        </w:rPr>
      </w:pPr>
      <w:r>
        <w:rPr>
          <w:rFonts w:ascii="Arial" w:cs="Arial" w:eastAsia="Arial" w:hAnsi="Arial"/>
          <w:sz w:val="19"/>
          <w:szCs w:val="19"/>
          <w:color w:val="auto"/>
        </w:rPr>
        <w:t>Form of U.S. Tax Compliance Certificate (For Foreign Lenders That Are Partnerships For U.S. Federal Income Tax Purposes)</w:t>
      </w:r>
    </w:p>
    <w:p>
      <w:pPr>
        <w:spacing w:after="0" w:line="182" w:lineRule="exact"/>
        <w:rPr>
          <w:sz w:val="20"/>
          <w:szCs w:val="20"/>
          <w:color w:val="auto"/>
        </w:rPr>
      </w:pPr>
    </w:p>
    <w:p>
      <w:pPr>
        <w:sectPr>
          <w:pgSz w:w="11900" w:h="16838" w:orient="portrait"/>
          <w:cols w:equalWidth="0" w:num="2">
            <w:col w:w="880" w:space="420"/>
            <w:col w:w="8420"/>
          </w:cols>
          <w:pgMar w:left="980" w:top="781" w:right="1199" w:bottom="1440" w:gutter="0" w:footer="0" w:header="0"/>
          <w:type w:val="continuous"/>
        </w:sectPr>
      </w:pPr>
    </w:p>
    <w:p>
      <w:pPr>
        <w:spacing w:after="0" w:line="289" w:lineRule="auto"/>
        <w:rPr>
          <w:sz w:val="20"/>
          <w:szCs w:val="20"/>
          <w:color w:val="auto"/>
        </w:rPr>
      </w:pPr>
      <w:r>
        <w:rPr>
          <w:rFonts w:ascii="Arial" w:cs="Arial" w:eastAsia="Arial" w:hAnsi="Arial"/>
          <w:sz w:val="16"/>
          <w:szCs w:val="16"/>
          <w:color w:val="auto"/>
        </w:rPr>
        <w:t>Schedule 1.1 Schedule 1 Schedule 1A Schedule 1B Schedule 1C Schedule 5.3 Schedule 5.8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Commitments</w:t>
      </w:r>
    </w:p>
    <w:p>
      <w:pPr>
        <w:spacing w:after="0" w:line="3" w:lineRule="exact"/>
        <w:rPr>
          <w:sz w:val="20"/>
          <w:szCs w:val="20"/>
          <w:color w:val="auto"/>
        </w:rPr>
      </w:pPr>
    </w:p>
    <w:p>
      <w:pPr>
        <w:spacing w:after="0"/>
        <w:rPr>
          <w:sz w:val="20"/>
          <w:szCs w:val="20"/>
          <w:color w:val="auto"/>
        </w:rPr>
      </w:pPr>
      <w:r>
        <w:rPr>
          <w:rFonts w:ascii="Arial" w:cs="Arial" w:eastAsia="Arial" w:hAnsi="Arial"/>
          <w:sz w:val="19"/>
          <w:szCs w:val="19"/>
          <w:color w:val="auto"/>
        </w:rPr>
        <w:t>Subsidiaries</w:t>
      </w:r>
    </w:p>
    <w:p>
      <w:pPr>
        <w:spacing w:after="0"/>
        <w:rPr>
          <w:sz w:val="20"/>
          <w:szCs w:val="20"/>
          <w:color w:val="auto"/>
        </w:rPr>
      </w:pPr>
      <w:r>
        <w:rPr>
          <w:rFonts w:ascii="Arial" w:cs="Arial" w:eastAsia="Arial" w:hAnsi="Arial"/>
          <w:sz w:val="17"/>
          <w:szCs w:val="17"/>
          <w:color w:val="auto"/>
        </w:rPr>
        <w:t>Existing Permitted Indebtedness</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Existing Permitted Investments</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Existing Permitted Liens</w:t>
      </w:r>
    </w:p>
    <w:p>
      <w:pPr>
        <w:spacing w:after="0" w:line="233" w:lineRule="auto"/>
        <w:rPr>
          <w:sz w:val="20"/>
          <w:szCs w:val="20"/>
          <w:color w:val="auto"/>
        </w:rPr>
      </w:pPr>
      <w:r>
        <w:rPr>
          <w:rFonts w:ascii="Arial" w:cs="Arial" w:eastAsia="Arial" w:hAnsi="Arial"/>
          <w:sz w:val="19"/>
          <w:szCs w:val="19"/>
          <w:color w:val="auto"/>
        </w:rPr>
        <w:t>Consents, Etc.</w:t>
      </w:r>
    </w:p>
    <w:p>
      <w:pPr>
        <w:spacing w:after="0"/>
        <w:rPr>
          <w:sz w:val="20"/>
          <w:szCs w:val="20"/>
          <w:color w:val="auto"/>
        </w:rPr>
      </w:pPr>
      <w:r>
        <w:rPr>
          <w:rFonts w:ascii="Arial" w:cs="Arial" w:eastAsia="Arial" w:hAnsi="Arial"/>
          <w:sz w:val="19"/>
          <w:szCs w:val="19"/>
          <w:color w:val="auto"/>
        </w:rPr>
        <w:t>Tax Matters</w:t>
      </w:r>
    </w:p>
    <w:p>
      <w:pPr>
        <w:spacing w:after="0" w:line="243" w:lineRule="exact"/>
        <w:rPr>
          <w:sz w:val="20"/>
          <w:szCs w:val="20"/>
          <w:color w:val="auto"/>
        </w:rPr>
      </w:pPr>
    </w:p>
    <w:p>
      <w:pPr>
        <w:sectPr>
          <w:pgSz w:w="11900" w:h="16838" w:orient="portrait"/>
          <w:cols w:equalWidth="0" w:num="2">
            <w:col w:w="980" w:space="660"/>
            <w:col w:w="8080"/>
          </w:cols>
          <w:pgMar w:left="980" w:top="781" w:right="1199" w:bottom="1440" w:gutter="0" w:footer="0" w:header="0"/>
          <w:type w:val="continuous"/>
        </w:sectPr>
      </w:pPr>
    </w:p>
    <w:p>
      <w:pPr>
        <w:spacing w:after="0" w:line="200" w:lineRule="exact"/>
        <w:rPr>
          <w:sz w:val="20"/>
          <w:szCs w:val="20"/>
          <w:color w:val="auto"/>
        </w:rPr>
      </w:pPr>
    </w:p>
    <w:p>
      <w:pPr>
        <w:spacing w:after="0" w:line="313"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321945</wp:posOffset>
            </wp:positionV>
            <wp:extent cx="6311265" cy="2222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720"/>
          </w:cols>
          <w:pgMar w:left="980" w:top="781" w:right="1199" w:bottom="1440" w:gutter="0" w:footer="0" w:header="0"/>
          <w:type w:val="continuous"/>
        </w:sectPr>
      </w:pPr>
    </w:p>
    <w:bookmarkStart w:id="177" w:name="page178"/>
    <w:bookmarkEnd w:id="177"/>
    <w:p>
      <w:pPr>
        <w:spacing w:after="0" w:line="283" w:lineRule="auto"/>
        <w:rPr>
          <w:sz w:val="20"/>
          <w:szCs w:val="20"/>
          <w:color w:val="auto"/>
        </w:rPr>
      </w:pPr>
      <w:r>
        <w:rPr>
          <w:rFonts w:ascii="Arial" w:cs="Arial" w:eastAsia="Arial" w:hAnsi="Arial"/>
          <w:sz w:val="16"/>
          <w:szCs w:val="16"/>
          <w:color w:val="auto"/>
        </w:rPr>
        <w:t>Schedule 5.9 Schedule 5.10(a) Schedule 5.10(d) Schedule 5.10(f) Schedule 5.10(i) Schedule 5.10(j) Schedule 5.10(k) Schedule 5.10(l) Schedule 5.10(n) Schedule 5.10(o) Schedule 5.11 Schedule 5.14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Intellectual Property Claims</w:t>
      </w:r>
    </w:p>
    <w:p>
      <w:pPr>
        <w:spacing w:after="0" w:line="3" w:lineRule="exact"/>
        <w:rPr>
          <w:sz w:val="20"/>
          <w:szCs w:val="20"/>
          <w:color w:val="auto"/>
        </w:rPr>
      </w:pPr>
    </w:p>
    <w:p>
      <w:pPr>
        <w:spacing w:after="0"/>
        <w:rPr>
          <w:sz w:val="20"/>
          <w:szCs w:val="20"/>
          <w:color w:val="auto"/>
        </w:rPr>
      </w:pPr>
      <w:r>
        <w:rPr>
          <w:rFonts w:ascii="Arial" w:cs="Arial" w:eastAsia="Arial" w:hAnsi="Arial"/>
          <w:sz w:val="19"/>
          <w:szCs w:val="19"/>
          <w:color w:val="auto"/>
        </w:rPr>
        <w:t>Current Company IP</w:t>
      </w:r>
    </w:p>
    <w:p>
      <w:pPr>
        <w:spacing w:after="0" w:line="233" w:lineRule="auto"/>
        <w:rPr>
          <w:sz w:val="20"/>
          <w:szCs w:val="20"/>
          <w:color w:val="auto"/>
        </w:rPr>
      </w:pPr>
      <w:r>
        <w:rPr>
          <w:rFonts w:ascii="Arial" w:cs="Arial" w:eastAsia="Arial" w:hAnsi="Arial"/>
          <w:sz w:val="19"/>
          <w:szCs w:val="19"/>
          <w:color w:val="auto"/>
        </w:rPr>
        <w:t>Matters Relating to current Material Agreements</w:t>
      </w:r>
    </w:p>
    <w:p>
      <w:pPr>
        <w:spacing w:after="0"/>
        <w:rPr>
          <w:sz w:val="20"/>
          <w:szCs w:val="20"/>
          <w:color w:val="auto"/>
        </w:rPr>
      </w:pPr>
      <w:r>
        <w:rPr>
          <w:rFonts w:ascii="Arial" w:cs="Arial" w:eastAsia="Arial" w:hAnsi="Arial"/>
          <w:sz w:val="17"/>
          <w:szCs w:val="17"/>
          <w:color w:val="auto"/>
        </w:rPr>
        <w:t>Enforceability, Entitlement and Exploitation of Current Company IP</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Claims of Infringement on Third Party IP By Current Company IP</w:t>
      </w:r>
    </w:p>
    <w:p>
      <w:pPr>
        <w:spacing w:after="0" w:line="238" w:lineRule="auto"/>
        <w:rPr>
          <w:sz w:val="20"/>
          <w:szCs w:val="20"/>
          <w:color w:val="auto"/>
        </w:rPr>
      </w:pPr>
      <w:r>
        <w:rPr>
          <w:rFonts w:ascii="Arial" w:cs="Arial" w:eastAsia="Arial" w:hAnsi="Arial"/>
          <w:sz w:val="19"/>
          <w:szCs w:val="19"/>
          <w:color w:val="auto"/>
        </w:rPr>
        <w:t>Infringement on Third Party IP By Current Company IP</w:t>
      </w:r>
    </w:p>
    <w:p>
      <w:pPr>
        <w:spacing w:after="0" w:line="233" w:lineRule="auto"/>
        <w:rPr>
          <w:sz w:val="20"/>
          <w:szCs w:val="20"/>
          <w:color w:val="auto"/>
        </w:rPr>
      </w:pPr>
      <w:r>
        <w:rPr>
          <w:rFonts w:ascii="Arial" w:cs="Arial" w:eastAsia="Arial" w:hAnsi="Arial"/>
          <w:sz w:val="19"/>
          <w:szCs w:val="19"/>
          <w:color w:val="auto"/>
        </w:rPr>
        <w:t>Obligations Relating to Company IP</w:t>
      </w:r>
    </w:p>
    <w:p>
      <w:pPr>
        <w:spacing w:after="0" w:line="234" w:lineRule="auto"/>
        <w:rPr>
          <w:sz w:val="20"/>
          <w:szCs w:val="20"/>
          <w:color w:val="auto"/>
        </w:rPr>
      </w:pPr>
      <w:r>
        <w:rPr>
          <w:rFonts w:ascii="Arial" w:cs="Arial" w:eastAsia="Arial" w:hAnsi="Arial"/>
          <w:sz w:val="19"/>
          <w:szCs w:val="19"/>
          <w:color w:val="auto"/>
        </w:rPr>
        <w:t>Third Party Infringements of Company IP</w:t>
      </w:r>
    </w:p>
    <w:p>
      <w:pPr>
        <w:spacing w:after="0" w:line="233" w:lineRule="auto"/>
        <w:rPr>
          <w:sz w:val="20"/>
          <w:szCs w:val="20"/>
          <w:color w:val="auto"/>
        </w:rPr>
      </w:pPr>
      <w:r>
        <w:rPr>
          <w:rFonts w:ascii="Arial" w:cs="Arial" w:eastAsia="Arial" w:hAnsi="Arial"/>
          <w:sz w:val="19"/>
          <w:szCs w:val="19"/>
          <w:color w:val="auto"/>
        </w:rPr>
        <w:t>FDA Good Manufacturing Practices Compliance Matters</w:t>
      </w:r>
    </w:p>
    <w:p>
      <w:pPr>
        <w:spacing w:after="0" w:line="233" w:lineRule="auto"/>
        <w:rPr>
          <w:sz w:val="20"/>
          <w:szCs w:val="20"/>
          <w:color w:val="auto"/>
        </w:rPr>
      </w:pPr>
      <w:r>
        <w:rPr>
          <w:rFonts w:ascii="Arial" w:cs="Arial" w:eastAsia="Arial" w:hAnsi="Arial"/>
          <w:sz w:val="19"/>
          <w:szCs w:val="19"/>
          <w:color w:val="auto"/>
        </w:rPr>
        <w:t>Intellectual Property</w:t>
      </w:r>
    </w:p>
    <w:p>
      <w:pPr>
        <w:spacing w:after="0" w:line="233" w:lineRule="auto"/>
        <w:rPr>
          <w:sz w:val="20"/>
          <w:szCs w:val="20"/>
          <w:color w:val="auto"/>
        </w:rPr>
      </w:pPr>
      <w:r>
        <w:rPr>
          <w:rFonts w:ascii="Arial" w:cs="Arial" w:eastAsia="Arial" w:hAnsi="Arial"/>
          <w:sz w:val="19"/>
          <w:szCs w:val="19"/>
          <w:color w:val="auto"/>
        </w:rPr>
        <w:t>Borrower Products</w:t>
      </w:r>
    </w:p>
    <w:p>
      <w:pPr>
        <w:spacing w:after="0"/>
        <w:rPr>
          <w:sz w:val="20"/>
          <w:szCs w:val="20"/>
          <w:color w:val="auto"/>
        </w:rPr>
      </w:pPr>
      <w:r>
        <w:rPr>
          <w:rFonts w:ascii="Arial" w:cs="Arial" w:eastAsia="Arial" w:hAnsi="Arial"/>
          <w:sz w:val="19"/>
          <w:szCs w:val="19"/>
          <w:color w:val="auto"/>
        </w:rPr>
        <w:t>Capitalization</w:t>
      </w:r>
    </w:p>
    <w:p>
      <w:pPr>
        <w:spacing w:after="0" w:line="234" w:lineRule="exact"/>
        <w:rPr>
          <w:sz w:val="20"/>
          <w:szCs w:val="20"/>
          <w:color w:val="auto"/>
        </w:rPr>
      </w:pPr>
    </w:p>
    <w:p>
      <w:pPr>
        <w:sectPr>
          <w:pgSz w:w="11900" w:h="16838" w:orient="portrait"/>
          <w:cols w:equalWidth="0" w:num="2">
            <w:col w:w="1280" w:space="360"/>
            <w:col w:w="7839"/>
          </w:cols>
          <w:pgMar w:left="980" w:top="792" w:right="1440"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321945</wp:posOffset>
            </wp:positionV>
            <wp:extent cx="6311265" cy="2222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479"/>
          </w:cols>
          <w:pgMar w:left="980" w:top="792" w:right="1440" w:bottom="1440" w:gutter="0" w:footer="0" w:header="0"/>
          <w:type w:val="continuous"/>
        </w:sectPr>
      </w:pPr>
    </w:p>
    <w:bookmarkStart w:id="178" w:name="page179"/>
    <w:bookmarkEnd w:id="178"/>
    <w:p>
      <w:pPr>
        <w:jc w:val="center"/>
        <w:ind w:right="70"/>
        <w:spacing w:after="0"/>
        <w:rPr>
          <w:sz w:val="20"/>
          <w:szCs w:val="20"/>
          <w:color w:val="auto"/>
        </w:rPr>
      </w:pPr>
      <w:r>
        <w:rPr>
          <w:rFonts w:ascii="Arial" w:cs="Arial" w:eastAsia="Arial" w:hAnsi="Arial"/>
          <w:sz w:val="19"/>
          <w:szCs w:val="19"/>
          <w:b w:val="1"/>
          <w:bCs w:val="1"/>
          <w:color w:val="auto"/>
        </w:rPr>
        <w:t>ADDENDUM 1 to LOAN AND SECURITY AGREEMENT</w:t>
      </w:r>
    </w:p>
    <w:p>
      <w:pPr>
        <w:spacing w:after="0" w:line="182" w:lineRule="exact"/>
        <w:rPr>
          <w:sz w:val="20"/>
          <w:szCs w:val="20"/>
          <w:color w:val="auto"/>
        </w:rPr>
      </w:pPr>
    </w:p>
    <w:p>
      <w:pPr>
        <w:jc w:val="center"/>
        <w:ind w:right="70"/>
        <w:spacing w:after="0"/>
        <w:rPr>
          <w:sz w:val="20"/>
          <w:szCs w:val="20"/>
          <w:color w:val="auto"/>
        </w:rPr>
      </w:pPr>
      <w:r>
        <w:rPr>
          <w:rFonts w:ascii="Arial" w:cs="Arial" w:eastAsia="Arial" w:hAnsi="Arial"/>
          <w:sz w:val="19"/>
          <w:szCs w:val="19"/>
          <w:b w:val="1"/>
          <w:bCs w:val="1"/>
          <w:color w:val="auto"/>
        </w:rPr>
        <w:t>TAXES; INCREASED COSTS</w:t>
      </w:r>
    </w:p>
    <w:p>
      <w:pPr>
        <w:spacing w:after="0" w:line="182" w:lineRule="exact"/>
        <w:rPr>
          <w:sz w:val="20"/>
          <w:szCs w:val="20"/>
          <w:color w:val="auto"/>
        </w:rPr>
      </w:pPr>
    </w:p>
    <w:p>
      <w:pPr>
        <w:ind w:left="330" w:hanging="330"/>
        <w:spacing w:after="0"/>
        <w:tabs>
          <w:tab w:leader="none" w:pos="330" w:val="left"/>
        </w:tabs>
        <w:numPr>
          <w:ilvl w:val="0"/>
          <w:numId w:val="95"/>
        </w:numPr>
        <w:rPr>
          <w:rFonts w:ascii="Arial" w:cs="Arial" w:eastAsia="Arial" w:hAnsi="Arial"/>
          <w:sz w:val="19"/>
          <w:szCs w:val="19"/>
          <w:color w:val="auto"/>
        </w:rPr>
      </w:pPr>
      <w:r>
        <w:rPr>
          <w:rFonts w:ascii="Arial" w:cs="Arial" w:eastAsia="Arial" w:hAnsi="Arial"/>
          <w:sz w:val="19"/>
          <w:szCs w:val="19"/>
          <w:b w:val="1"/>
          <w:bCs w:val="1"/>
          <w:color w:val="auto"/>
        </w:rPr>
        <w:t>Defined Terms</w:t>
      </w:r>
      <w:r>
        <w:rPr>
          <w:rFonts w:ascii="Arial" w:cs="Arial" w:eastAsia="Arial" w:hAnsi="Arial"/>
          <w:sz w:val="19"/>
          <w:szCs w:val="19"/>
          <w:color w:val="auto"/>
        </w:rPr>
        <w:t>. For purposes of this Addendum 1:</w:t>
      </w:r>
    </w:p>
    <w:p>
      <w:pPr>
        <w:spacing w:after="0" w:line="182" w:lineRule="exact"/>
        <w:rPr>
          <w:rFonts w:ascii="Arial" w:cs="Arial" w:eastAsia="Arial" w:hAnsi="Arial"/>
          <w:sz w:val="19"/>
          <w:szCs w:val="19"/>
          <w:color w:val="auto"/>
        </w:rPr>
      </w:pPr>
    </w:p>
    <w:p>
      <w:pPr>
        <w:ind w:left="850" w:hanging="284"/>
        <w:spacing w:after="0" w:line="263" w:lineRule="auto"/>
        <w:tabs>
          <w:tab w:leader="none" w:pos="839" w:val="left"/>
        </w:tabs>
        <w:numPr>
          <w:ilvl w:val="1"/>
          <w:numId w:val="9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Connection Income Taxes</w:t>
      </w:r>
      <w:r>
        <w:rPr>
          <w:rFonts w:ascii="Arial" w:cs="Arial" w:eastAsia="Arial" w:hAnsi="Arial"/>
          <w:sz w:val="19"/>
          <w:szCs w:val="19"/>
          <w:color w:val="auto"/>
        </w:rPr>
        <w:t>” means Other Connection Taxes that are imposed on or measured by net income (however denominated) or that are franchise Taxes or branch profits Taxes.</w:t>
      </w:r>
    </w:p>
    <w:p>
      <w:pPr>
        <w:spacing w:after="0" w:line="134" w:lineRule="exact"/>
        <w:rPr>
          <w:rFonts w:ascii="Arial" w:cs="Arial" w:eastAsia="Arial" w:hAnsi="Arial"/>
          <w:sz w:val="19"/>
          <w:szCs w:val="19"/>
          <w:color w:val="auto"/>
        </w:rPr>
      </w:pPr>
    </w:p>
    <w:p>
      <w:pPr>
        <w:jc w:val="both"/>
        <w:ind w:left="850" w:hanging="284"/>
        <w:spacing w:after="0" w:line="262" w:lineRule="auto"/>
        <w:tabs>
          <w:tab w:leader="none" w:pos="909" w:val="left"/>
        </w:tabs>
        <w:numPr>
          <w:ilvl w:val="1"/>
          <w:numId w:val="9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Excluded Taxes</w:t>
      </w:r>
      <w:r>
        <w:rPr>
          <w:rFonts w:ascii="Arial" w:cs="Arial" w:eastAsia="Arial" w:hAnsi="Arial"/>
          <w:sz w:val="17"/>
          <w:szCs w:val="17"/>
          <w:color w:val="auto"/>
        </w:rPr>
        <w:t>” means any of the following Taxes imposed on or with respect to a Recipient or required to be withheld or deducted from a payment to a Recipient, (i) Taxes imposed on or measured by net income (however denominated), franchise Taxes, and branch profits Taxes, in each case, (A) imposed as a result of such Recipient being organized under the laws of, or having its principal office or, in the case of any Lender, its applicable lending office located in, the jurisdiction imposing such Tax (or any political subdivision thereof) or (B) that are Other Connection Taxes, (ii) in the case of a Lender, U.S. federal withholding Taxes imposed on amounts payable to or for the account of such Lender with respect to an applicable interest in a Loan or Term Commitment pursuant to a law in effect on the date on which (A) such Lender acquires such interest in the Loan or Term Commitment or (B) such Lender changes its lending office, except in each case to the extent that, pursuant to Section 2 or Section 4 of this Addendum 1, amounts with respect to such Taxes were payable either to such Lender’s assignor immediately before such Lender became a party hereto or to such Lender immediately before it changed its lending office, (iii) Taxes attributable to such Recipient’s failure to comply with Section 7 of this Addendum 1 and (iv) any withholding Taxes imposed under</w:t>
      </w:r>
    </w:p>
    <w:p>
      <w:pPr>
        <w:spacing w:after="0" w:line="7" w:lineRule="exact"/>
        <w:rPr>
          <w:rFonts w:ascii="Arial" w:cs="Arial" w:eastAsia="Arial" w:hAnsi="Arial"/>
          <w:sz w:val="17"/>
          <w:szCs w:val="17"/>
          <w:color w:val="auto"/>
        </w:rPr>
      </w:pPr>
    </w:p>
    <w:p>
      <w:pPr>
        <w:ind w:left="850"/>
        <w:spacing w:after="0"/>
        <w:rPr>
          <w:rFonts w:ascii="Arial" w:cs="Arial" w:eastAsia="Arial" w:hAnsi="Arial"/>
          <w:sz w:val="17"/>
          <w:szCs w:val="17"/>
          <w:color w:val="auto"/>
        </w:rPr>
      </w:pPr>
      <w:r>
        <w:rPr>
          <w:rFonts w:ascii="Arial" w:cs="Arial" w:eastAsia="Arial" w:hAnsi="Arial"/>
          <w:sz w:val="19"/>
          <w:szCs w:val="19"/>
          <w:color w:val="auto"/>
        </w:rPr>
        <w:t>FATCA.</w:t>
      </w:r>
    </w:p>
    <w:p>
      <w:pPr>
        <w:spacing w:after="0" w:line="160" w:lineRule="exact"/>
        <w:rPr>
          <w:rFonts w:ascii="Arial" w:cs="Arial" w:eastAsia="Arial" w:hAnsi="Arial"/>
          <w:sz w:val="17"/>
          <w:szCs w:val="17"/>
          <w:color w:val="auto"/>
        </w:rPr>
      </w:pPr>
    </w:p>
    <w:p>
      <w:pPr>
        <w:jc w:val="both"/>
        <w:ind w:left="850" w:right="20" w:hanging="284"/>
        <w:spacing w:after="0" w:line="276" w:lineRule="auto"/>
        <w:tabs>
          <w:tab w:leader="none" w:pos="910" w:val="left"/>
        </w:tabs>
        <w:numPr>
          <w:ilvl w:val="1"/>
          <w:numId w:val="9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FATCA</w:t>
      </w:r>
      <w:r>
        <w:rPr>
          <w:rFonts w:ascii="Arial" w:cs="Arial" w:eastAsia="Arial" w:hAnsi="Arial"/>
          <w:sz w:val="17"/>
          <w:szCs w:val="17"/>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25" w:lineRule="exact"/>
        <w:rPr>
          <w:rFonts w:ascii="Arial" w:cs="Arial" w:eastAsia="Arial" w:hAnsi="Arial"/>
          <w:sz w:val="17"/>
          <w:szCs w:val="17"/>
          <w:color w:val="auto"/>
        </w:rPr>
      </w:pPr>
    </w:p>
    <w:p>
      <w:pPr>
        <w:ind w:left="850" w:hanging="284"/>
        <w:spacing w:after="0"/>
        <w:tabs>
          <w:tab w:leader="none" w:pos="850" w:val="left"/>
        </w:tabs>
        <w:numPr>
          <w:ilvl w:val="1"/>
          <w:numId w:val="9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Foreign Lender</w:t>
      </w:r>
      <w:r>
        <w:rPr>
          <w:rFonts w:ascii="Arial" w:cs="Arial" w:eastAsia="Arial" w:hAnsi="Arial"/>
          <w:sz w:val="19"/>
          <w:szCs w:val="19"/>
          <w:color w:val="auto"/>
        </w:rPr>
        <w:t>” means a Lender that is not a U.S. Person.</w:t>
      </w:r>
    </w:p>
    <w:p>
      <w:pPr>
        <w:spacing w:after="0" w:line="182" w:lineRule="exact"/>
        <w:rPr>
          <w:rFonts w:ascii="Arial" w:cs="Arial" w:eastAsia="Arial" w:hAnsi="Arial"/>
          <w:sz w:val="19"/>
          <w:szCs w:val="19"/>
          <w:color w:val="auto"/>
        </w:rPr>
      </w:pPr>
    </w:p>
    <w:p>
      <w:pPr>
        <w:jc w:val="both"/>
        <w:ind w:left="850" w:right="20" w:hanging="284"/>
        <w:spacing w:after="0" w:line="248" w:lineRule="auto"/>
        <w:tabs>
          <w:tab w:leader="none" w:pos="863" w:val="left"/>
        </w:tabs>
        <w:numPr>
          <w:ilvl w:val="1"/>
          <w:numId w:val="9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Indemnified Taxes</w:t>
      </w:r>
      <w:r>
        <w:rPr>
          <w:rFonts w:ascii="Arial" w:cs="Arial" w:eastAsia="Arial" w:hAnsi="Arial"/>
          <w:sz w:val="19"/>
          <w:szCs w:val="19"/>
          <w:color w:val="auto"/>
        </w:rPr>
        <w:t>” means (i) Taxes, other than Excluded Taxes, imposed on or with respect to any payment made by or on account of any obligation of the Borrower under any Loan Document and (ii) to the extent not otherwise described in clause (i), Other Taxes.</w:t>
      </w:r>
    </w:p>
    <w:p>
      <w:pPr>
        <w:spacing w:after="0" w:line="147" w:lineRule="exact"/>
        <w:rPr>
          <w:rFonts w:ascii="Arial" w:cs="Arial" w:eastAsia="Arial" w:hAnsi="Arial"/>
          <w:sz w:val="19"/>
          <w:szCs w:val="19"/>
          <w:color w:val="auto"/>
        </w:rPr>
      </w:pPr>
    </w:p>
    <w:p>
      <w:pPr>
        <w:jc w:val="both"/>
        <w:ind w:left="850" w:hanging="284"/>
        <w:spacing w:after="0" w:line="268" w:lineRule="auto"/>
        <w:tabs>
          <w:tab w:leader="none" w:pos="866" w:val="left"/>
        </w:tabs>
        <w:numPr>
          <w:ilvl w:val="1"/>
          <w:numId w:val="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Connection Taxes</w:t>
      </w:r>
      <w:r>
        <w:rPr>
          <w:rFonts w:ascii="Arial" w:cs="Arial" w:eastAsia="Arial" w:hAnsi="Arial"/>
          <w:sz w:val="18"/>
          <w:szCs w:val="18"/>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70"/>
        <w:spacing w:after="0"/>
        <w:rPr>
          <w:sz w:val="20"/>
          <w:szCs w:val="20"/>
          <w:color w:val="auto"/>
        </w:rPr>
      </w:pPr>
      <w:r>
        <w:rPr>
          <w:rFonts w:ascii="Arial" w:cs="Arial" w:eastAsia="Arial" w:hAnsi="Arial"/>
          <w:sz w:val="19"/>
          <w:szCs w:val="19"/>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307340</wp:posOffset>
            </wp:positionV>
            <wp:extent cx="6311265" cy="2222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870"/>
          </w:cols>
          <w:pgMar w:left="1050" w:top="775" w:right="979" w:bottom="1440" w:gutter="0" w:footer="0" w:header="0"/>
        </w:sectPr>
      </w:pPr>
    </w:p>
    <w:bookmarkStart w:id="179" w:name="page180"/>
    <w:bookmarkEnd w:id="179"/>
    <w:p>
      <w:pPr>
        <w:ind w:left="570" w:right="20"/>
        <w:spacing w:after="0" w:line="256" w:lineRule="auto"/>
        <w:rPr>
          <w:sz w:val="20"/>
          <w:szCs w:val="20"/>
          <w:color w:val="auto"/>
        </w:rPr>
      </w:pPr>
      <w:r>
        <w:rPr>
          <w:rFonts w:ascii="Arial" w:cs="Arial" w:eastAsia="Arial" w:hAnsi="Arial"/>
          <w:sz w:val="19"/>
          <w:szCs w:val="19"/>
          <w:color w:val="auto"/>
        </w:rPr>
        <w:t>payments under, received or perfected a security interest under, engaged in any other transaction pursuant to or enforced any Loan Document, or sold or assigned an interest in any Loan or Loan Document).</w:t>
      </w:r>
    </w:p>
    <w:p>
      <w:pPr>
        <w:spacing w:after="0" w:line="141" w:lineRule="exact"/>
        <w:rPr>
          <w:sz w:val="20"/>
          <w:szCs w:val="20"/>
          <w:color w:val="auto"/>
        </w:rPr>
      </w:pPr>
    </w:p>
    <w:p>
      <w:pPr>
        <w:jc w:val="both"/>
        <w:ind w:left="850" w:right="20" w:hanging="284"/>
        <w:spacing w:after="0" w:line="261" w:lineRule="auto"/>
        <w:tabs>
          <w:tab w:leader="none" w:pos="874" w:val="left"/>
        </w:tabs>
        <w:numPr>
          <w:ilvl w:val="2"/>
          <w:numId w:val="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Taxes</w:t>
      </w:r>
      <w:r>
        <w:rPr>
          <w:rFonts w:ascii="Arial" w:cs="Arial" w:eastAsia="Arial" w:hAnsi="Arial"/>
          <w:sz w:val="18"/>
          <w:szCs w:val="18"/>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w:t>
      </w:r>
    </w:p>
    <w:p>
      <w:pPr>
        <w:spacing w:after="0" w:line="137" w:lineRule="exact"/>
        <w:rPr>
          <w:rFonts w:ascii="Arial" w:cs="Arial" w:eastAsia="Arial" w:hAnsi="Arial"/>
          <w:sz w:val="18"/>
          <w:szCs w:val="18"/>
          <w:color w:val="auto"/>
        </w:rPr>
      </w:pPr>
    </w:p>
    <w:p>
      <w:pPr>
        <w:ind w:left="850" w:hanging="284"/>
        <w:spacing w:after="0"/>
        <w:tabs>
          <w:tab w:leader="none" w:pos="850" w:val="left"/>
        </w:tabs>
        <w:numPr>
          <w:ilvl w:val="2"/>
          <w:numId w:val="9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Recipient</w:t>
      </w:r>
      <w:r>
        <w:rPr>
          <w:rFonts w:ascii="Arial" w:cs="Arial" w:eastAsia="Arial" w:hAnsi="Arial"/>
          <w:sz w:val="19"/>
          <w:szCs w:val="19"/>
          <w:color w:val="auto"/>
        </w:rPr>
        <w:t>” means the Agent or any Lender, as applicable.</w:t>
      </w:r>
    </w:p>
    <w:p>
      <w:pPr>
        <w:spacing w:after="0" w:line="182" w:lineRule="exact"/>
        <w:rPr>
          <w:rFonts w:ascii="Arial" w:cs="Arial" w:eastAsia="Arial" w:hAnsi="Arial"/>
          <w:sz w:val="19"/>
          <w:szCs w:val="19"/>
          <w:color w:val="auto"/>
        </w:rPr>
      </w:pPr>
    </w:p>
    <w:p>
      <w:pPr>
        <w:ind w:left="850" w:hanging="284"/>
        <w:spacing w:after="0"/>
        <w:tabs>
          <w:tab w:leader="none" w:pos="850" w:val="left"/>
        </w:tabs>
        <w:numPr>
          <w:ilvl w:val="2"/>
          <w:numId w:val="9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Withholding Agent</w:t>
      </w:r>
      <w:r>
        <w:rPr>
          <w:rFonts w:ascii="Arial" w:cs="Arial" w:eastAsia="Arial" w:hAnsi="Arial"/>
          <w:sz w:val="19"/>
          <w:szCs w:val="19"/>
          <w:color w:val="auto"/>
        </w:rPr>
        <w:t>” means the Borrower and the Agent.</w:t>
      </w:r>
    </w:p>
    <w:p>
      <w:pPr>
        <w:spacing w:after="0" w:line="182" w:lineRule="exact"/>
        <w:rPr>
          <w:rFonts w:ascii="Arial" w:cs="Arial" w:eastAsia="Arial" w:hAnsi="Arial"/>
          <w:sz w:val="19"/>
          <w:szCs w:val="19"/>
          <w:color w:val="auto"/>
        </w:rPr>
      </w:pPr>
    </w:p>
    <w:p>
      <w:pPr>
        <w:jc w:val="both"/>
        <w:ind w:left="290" w:hanging="290"/>
        <w:spacing w:after="0" w:line="251" w:lineRule="auto"/>
        <w:tabs>
          <w:tab w:leader="none" w:pos="384" w:val="left"/>
        </w:tabs>
        <w:numPr>
          <w:ilvl w:val="0"/>
          <w:numId w:val="97"/>
        </w:numPr>
        <w:rPr>
          <w:rFonts w:ascii="Arial" w:cs="Arial" w:eastAsia="Arial" w:hAnsi="Arial"/>
          <w:sz w:val="18"/>
          <w:szCs w:val="18"/>
          <w:color w:val="auto"/>
        </w:rPr>
      </w:pPr>
      <w:r>
        <w:rPr>
          <w:rFonts w:ascii="Arial" w:cs="Arial" w:eastAsia="Arial" w:hAnsi="Arial"/>
          <w:sz w:val="18"/>
          <w:szCs w:val="18"/>
          <w:b w:val="1"/>
          <w:bCs w:val="1"/>
          <w:color w:val="auto"/>
        </w:rPr>
        <w:t>Payments Free of Taxes</w:t>
      </w:r>
      <w:r>
        <w:rPr>
          <w:rFonts w:ascii="Arial" w:cs="Arial" w:eastAsia="Arial" w:hAnsi="Arial"/>
          <w:sz w:val="18"/>
          <w:szCs w:val="18"/>
          <w:color w:val="auto"/>
        </w:rPr>
        <w:t>. Any and all payments by or on account of any obligation of the Borrower under any Loan</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 (other than the Warrant)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Borrower shall be increased as necessary so that after such deduction or withholding has been made (including such deductions and withholdings applicable to additional sums payable under this Section 2 or Section 4 of this Addendum 1) the applicable Recipient receives an amount equal to the sum it would have received had no such deduction or withholding been made.</w:t>
      </w:r>
    </w:p>
    <w:p>
      <w:pPr>
        <w:spacing w:after="0" w:line="146" w:lineRule="exact"/>
        <w:rPr>
          <w:rFonts w:ascii="Arial" w:cs="Arial" w:eastAsia="Arial" w:hAnsi="Arial"/>
          <w:sz w:val="18"/>
          <w:szCs w:val="18"/>
          <w:color w:val="auto"/>
        </w:rPr>
      </w:pPr>
    </w:p>
    <w:p>
      <w:pPr>
        <w:ind w:left="290" w:right="20" w:hanging="290"/>
        <w:spacing w:after="0" w:line="291" w:lineRule="auto"/>
        <w:tabs>
          <w:tab w:leader="none" w:pos="290" w:val="left"/>
        </w:tabs>
        <w:numPr>
          <w:ilvl w:val="0"/>
          <w:numId w:val="97"/>
        </w:numPr>
        <w:rPr>
          <w:rFonts w:ascii="Arial" w:cs="Arial" w:eastAsia="Arial" w:hAnsi="Arial"/>
          <w:sz w:val="18"/>
          <w:szCs w:val="18"/>
          <w:color w:val="auto"/>
        </w:rPr>
      </w:pPr>
      <w:r>
        <w:rPr>
          <w:rFonts w:ascii="Arial" w:cs="Arial" w:eastAsia="Arial" w:hAnsi="Arial"/>
          <w:sz w:val="18"/>
          <w:szCs w:val="18"/>
          <w:b w:val="1"/>
          <w:bCs w:val="1"/>
          <w:color w:val="auto"/>
        </w:rPr>
        <w:t>Payment of Other Taxes by Borrower</w:t>
      </w:r>
      <w:r>
        <w:rPr>
          <w:rFonts w:ascii="Arial" w:cs="Arial" w:eastAsia="Arial" w:hAnsi="Arial"/>
          <w:sz w:val="18"/>
          <w:szCs w:val="18"/>
          <w:color w:val="auto"/>
        </w:rPr>
        <w:t>. The Borrower shall timely pay to the relevant governmental authority in accordance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applicable law, or at the option of the Agent timely reimburse it for the payment of, any Other Taxes.</w:t>
      </w:r>
    </w:p>
    <w:p>
      <w:pPr>
        <w:spacing w:after="0" w:line="111" w:lineRule="exact"/>
        <w:rPr>
          <w:rFonts w:ascii="Arial" w:cs="Arial" w:eastAsia="Arial" w:hAnsi="Arial"/>
          <w:sz w:val="18"/>
          <w:szCs w:val="18"/>
          <w:color w:val="auto"/>
        </w:rPr>
      </w:pPr>
    </w:p>
    <w:p>
      <w:pPr>
        <w:jc w:val="both"/>
        <w:ind w:left="290" w:hanging="290"/>
        <w:spacing w:after="0" w:line="270" w:lineRule="auto"/>
        <w:tabs>
          <w:tab w:leader="none" w:pos="302" w:val="left"/>
        </w:tabs>
        <w:numPr>
          <w:ilvl w:val="0"/>
          <w:numId w:val="97"/>
        </w:numPr>
        <w:rPr>
          <w:rFonts w:ascii="Arial" w:cs="Arial" w:eastAsia="Arial" w:hAnsi="Arial"/>
          <w:sz w:val="17"/>
          <w:szCs w:val="17"/>
          <w:color w:val="auto"/>
        </w:rPr>
      </w:pPr>
      <w:r>
        <w:rPr>
          <w:rFonts w:ascii="Arial" w:cs="Arial" w:eastAsia="Arial" w:hAnsi="Arial"/>
          <w:sz w:val="17"/>
          <w:szCs w:val="17"/>
          <w:b w:val="1"/>
          <w:bCs w:val="1"/>
          <w:color w:val="auto"/>
        </w:rPr>
        <w:t>Indemnification by Borrower</w:t>
      </w:r>
      <w:r>
        <w:rPr>
          <w:rFonts w:ascii="Arial" w:cs="Arial" w:eastAsia="Arial" w:hAnsi="Arial"/>
          <w:sz w:val="17"/>
          <w:szCs w:val="17"/>
          <w:color w:val="auto"/>
        </w:rPr>
        <w:t>. The Borrower shall indemnify each Recipient, within 10 days after demand therefor,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full amount of any Indemnified Taxes (including Indemnified Taxes imposed or asserted on or attributable to amounts payable under Section 2 of this Addendum 1 or this Section 4)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Agent), or by the Agent on its own behalf or on behalf of a Lender, shall be conclusive absent manifest error.</w:t>
      </w:r>
    </w:p>
    <w:p>
      <w:pPr>
        <w:spacing w:after="0" w:line="134" w:lineRule="exact"/>
        <w:rPr>
          <w:rFonts w:ascii="Arial" w:cs="Arial" w:eastAsia="Arial" w:hAnsi="Arial"/>
          <w:sz w:val="17"/>
          <w:szCs w:val="17"/>
          <w:color w:val="auto"/>
        </w:rPr>
      </w:pPr>
    </w:p>
    <w:p>
      <w:pPr>
        <w:ind w:left="290" w:hanging="290"/>
        <w:spacing w:after="0"/>
        <w:tabs>
          <w:tab w:leader="none" w:pos="290" w:val="left"/>
        </w:tabs>
        <w:numPr>
          <w:ilvl w:val="0"/>
          <w:numId w:val="97"/>
        </w:numPr>
        <w:rPr>
          <w:rFonts w:ascii="Arial" w:cs="Arial" w:eastAsia="Arial" w:hAnsi="Arial"/>
          <w:sz w:val="17"/>
          <w:szCs w:val="17"/>
          <w:color w:val="auto"/>
        </w:rPr>
      </w:pPr>
      <w:r>
        <w:rPr>
          <w:rFonts w:ascii="Arial" w:cs="Arial" w:eastAsia="Arial" w:hAnsi="Arial"/>
          <w:sz w:val="17"/>
          <w:szCs w:val="17"/>
          <w:b w:val="1"/>
          <w:bCs w:val="1"/>
          <w:color w:val="auto"/>
        </w:rPr>
        <w:t>Indemnification by the Lenders</w:t>
      </w:r>
      <w:r>
        <w:rPr>
          <w:rFonts w:ascii="Arial" w:cs="Arial" w:eastAsia="Arial" w:hAnsi="Arial"/>
          <w:sz w:val="17"/>
          <w:szCs w:val="17"/>
          <w:color w:val="auto"/>
        </w:rPr>
        <w:t>. Each Lender shall severally indemnify the Agent, within 10 days after demand therefor, for</w:t>
      </w:r>
    </w:p>
    <w:p>
      <w:pPr>
        <w:spacing w:after="0" w:line="38" w:lineRule="exact"/>
        <w:rPr>
          <w:rFonts w:ascii="Arial" w:cs="Arial" w:eastAsia="Arial" w:hAnsi="Arial"/>
          <w:sz w:val="17"/>
          <w:szCs w:val="17"/>
          <w:color w:val="auto"/>
        </w:rPr>
      </w:pPr>
    </w:p>
    <w:p>
      <w:pPr>
        <w:ind w:left="290" w:right="20" w:hanging="7"/>
        <w:spacing w:after="0" w:line="295" w:lineRule="auto"/>
        <w:tabs>
          <w:tab w:leader="none" w:pos="547" w:val="left"/>
        </w:tabs>
        <w:numPr>
          <w:ilvl w:val="1"/>
          <w:numId w:val="97"/>
        </w:numPr>
        <w:rPr>
          <w:rFonts w:ascii="Arial" w:cs="Arial" w:eastAsia="Arial" w:hAnsi="Arial"/>
          <w:sz w:val="17"/>
          <w:szCs w:val="17"/>
          <w:color w:val="auto"/>
        </w:rPr>
      </w:pPr>
      <w:r>
        <w:rPr>
          <w:rFonts w:ascii="Arial" w:cs="Arial" w:eastAsia="Arial" w:hAnsi="Arial"/>
          <w:sz w:val="17"/>
          <w:szCs w:val="17"/>
          <w:color w:val="auto"/>
        </w:rPr>
        <w:t>any Indemnified Taxes attributable to such Lender (but only to the extent that the Borrower has not already indemnified the Agent for such Indemnified Taxes and without limiting the obligation of the Borrower to do so), (b) any Taxes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70"/>
        <w:spacing w:after="0"/>
        <w:rPr>
          <w:sz w:val="20"/>
          <w:szCs w:val="20"/>
          <w:color w:val="auto"/>
        </w:rPr>
      </w:pPr>
      <w:r>
        <w:rPr>
          <w:rFonts w:ascii="Arial" w:cs="Arial" w:eastAsia="Arial" w:hAnsi="Arial"/>
          <w:sz w:val="19"/>
          <w:szCs w:val="19"/>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307340</wp:posOffset>
            </wp:positionV>
            <wp:extent cx="6311265" cy="2222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870"/>
          </w:cols>
          <w:pgMar w:left="1050" w:top="781" w:right="979" w:bottom="1440" w:gutter="0" w:footer="0" w:header="0"/>
        </w:sectPr>
      </w:pPr>
    </w:p>
    <w:bookmarkStart w:id="180" w:name="page181"/>
    <w:bookmarkEnd w:id="180"/>
    <w:p>
      <w:pPr>
        <w:jc w:val="both"/>
        <w:ind w:left="290"/>
        <w:spacing w:after="0" w:line="236" w:lineRule="auto"/>
        <w:rPr>
          <w:sz w:val="20"/>
          <w:szCs w:val="20"/>
          <w:color w:val="auto"/>
        </w:rPr>
      </w:pPr>
      <w:r>
        <w:rPr>
          <w:rFonts w:ascii="Arial" w:cs="Arial" w:eastAsia="Arial" w:hAnsi="Arial"/>
          <w:sz w:val="19"/>
          <w:szCs w:val="19"/>
          <w:color w:val="auto"/>
        </w:rPr>
        <w:t>attributable to such Lender’s failure to comply with the provisions of Section 11.8 of the Agreement relating to the maintenance of a Participant Register and (c) any Excluded Taxes attributable to such Lender, in each case, that are payable or paid by the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Agent shall be conclusive absent manifest error. Each Lender hereby authorizes the Agent to set off and apply any and all amounts at any time owing to such Lender under any Loan Document or otherwise payable by the Agent to the Lender from any other source against any amount due to the Agent under this Section 5.</w:t>
      </w:r>
    </w:p>
    <w:p>
      <w:pPr>
        <w:spacing w:after="0" w:line="162" w:lineRule="exact"/>
        <w:rPr>
          <w:sz w:val="20"/>
          <w:szCs w:val="20"/>
          <w:color w:val="auto"/>
        </w:rPr>
      </w:pPr>
    </w:p>
    <w:p>
      <w:pPr>
        <w:jc w:val="both"/>
        <w:ind w:left="290" w:right="20" w:hanging="290"/>
        <w:spacing w:after="0" w:line="243" w:lineRule="auto"/>
        <w:tabs>
          <w:tab w:leader="none" w:pos="349" w:val="left"/>
        </w:tabs>
        <w:numPr>
          <w:ilvl w:val="0"/>
          <w:numId w:val="98"/>
        </w:numPr>
        <w:rPr>
          <w:rFonts w:ascii="Arial" w:cs="Arial" w:eastAsia="Arial" w:hAnsi="Arial"/>
          <w:sz w:val="19"/>
          <w:szCs w:val="19"/>
          <w:color w:val="auto"/>
        </w:rPr>
      </w:pPr>
      <w:r>
        <w:rPr>
          <w:rFonts w:ascii="Arial" w:cs="Arial" w:eastAsia="Arial" w:hAnsi="Arial"/>
          <w:sz w:val="19"/>
          <w:szCs w:val="19"/>
          <w:b w:val="1"/>
          <w:bCs w:val="1"/>
          <w:color w:val="auto"/>
        </w:rPr>
        <w:t>Evidence of Payments</w:t>
      </w:r>
      <w:r>
        <w:rPr>
          <w:rFonts w:ascii="Arial" w:cs="Arial" w:eastAsia="Arial" w:hAnsi="Arial"/>
          <w:sz w:val="19"/>
          <w:szCs w:val="19"/>
          <w:color w:val="auto"/>
        </w:rPr>
        <w:t>. As soon as practicable after any payment of Taxes by the Borrower to a governmental authority</w:t>
      </w:r>
      <w:r>
        <w:rPr>
          <w:rFonts w:ascii="Arial" w:cs="Arial" w:eastAsia="Arial" w:hAnsi="Arial"/>
          <w:sz w:val="19"/>
          <w:szCs w:val="19"/>
          <w:b w:val="1"/>
          <w:bCs w:val="1"/>
          <w:color w:val="auto"/>
        </w:rPr>
        <w:t xml:space="preserve"> </w:t>
      </w:r>
      <w:r>
        <w:rPr>
          <w:rFonts w:ascii="Arial" w:cs="Arial" w:eastAsia="Arial" w:hAnsi="Arial"/>
          <w:sz w:val="19"/>
          <w:szCs w:val="19"/>
          <w:color w:val="auto"/>
        </w:rPr>
        <w:t>pursuant to the provisions of this Addendum 1, the Borrower shall deliver to the Agent the original or a certified copy of a receipt issued by such governmental authority evidencing such payment, a copy of the return reporting such payment or other evidence of such payment reasonably satisfactory to the Agent.</w:t>
      </w:r>
    </w:p>
    <w:p>
      <w:pPr>
        <w:spacing w:after="0" w:line="152" w:lineRule="exact"/>
        <w:rPr>
          <w:rFonts w:ascii="Arial" w:cs="Arial" w:eastAsia="Arial" w:hAnsi="Arial"/>
          <w:sz w:val="19"/>
          <w:szCs w:val="19"/>
          <w:color w:val="auto"/>
        </w:rPr>
      </w:pPr>
    </w:p>
    <w:p>
      <w:pPr>
        <w:ind w:left="290" w:hanging="290"/>
        <w:spacing w:after="0"/>
        <w:tabs>
          <w:tab w:leader="none" w:pos="290" w:val="left"/>
        </w:tabs>
        <w:numPr>
          <w:ilvl w:val="0"/>
          <w:numId w:val="98"/>
        </w:numPr>
        <w:rPr>
          <w:rFonts w:ascii="Arial" w:cs="Arial" w:eastAsia="Arial" w:hAnsi="Arial"/>
          <w:sz w:val="19"/>
          <w:szCs w:val="19"/>
          <w:color w:val="auto"/>
        </w:rPr>
      </w:pPr>
      <w:r>
        <w:rPr>
          <w:rFonts w:ascii="Arial" w:cs="Arial" w:eastAsia="Arial" w:hAnsi="Arial"/>
          <w:sz w:val="19"/>
          <w:szCs w:val="19"/>
          <w:b w:val="1"/>
          <w:bCs w:val="1"/>
          <w:color w:val="auto"/>
        </w:rPr>
        <w:t>Status of Lenders</w:t>
      </w:r>
      <w:r>
        <w:rPr>
          <w:rFonts w:ascii="Arial" w:cs="Arial" w:eastAsia="Arial" w:hAnsi="Arial"/>
          <w:sz w:val="19"/>
          <w:szCs w:val="19"/>
          <w:color w:val="auto"/>
        </w:rPr>
        <w:t>.</w:t>
      </w:r>
    </w:p>
    <w:p>
      <w:pPr>
        <w:spacing w:after="0" w:line="188" w:lineRule="exact"/>
        <w:rPr>
          <w:rFonts w:ascii="Arial" w:cs="Arial" w:eastAsia="Arial" w:hAnsi="Arial"/>
          <w:sz w:val="19"/>
          <w:szCs w:val="19"/>
          <w:color w:val="auto"/>
        </w:rPr>
      </w:pPr>
    </w:p>
    <w:p>
      <w:pPr>
        <w:jc w:val="both"/>
        <w:ind w:left="850" w:hanging="284"/>
        <w:spacing w:after="0" w:line="249" w:lineRule="auto"/>
        <w:tabs>
          <w:tab w:leader="none" w:pos="831" w:val="left"/>
        </w:tabs>
        <w:numPr>
          <w:ilvl w:val="1"/>
          <w:numId w:val="98"/>
        </w:numPr>
        <w:rPr>
          <w:rFonts w:ascii="Arial" w:cs="Arial" w:eastAsia="Arial" w:hAnsi="Arial"/>
          <w:sz w:val="18"/>
          <w:szCs w:val="18"/>
          <w:color w:val="auto"/>
        </w:rPr>
      </w:pPr>
      <w:r>
        <w:rPr>
          <w:rFonts w:ascii="Arial" w:cs="Arial" w:eastAsia="Arial" w:hAnsi="Arial"/>
          <w:sz w:val="18"/>
          <w:szCs w:val="18"/>
          <w:color w:val="auto"/>
        </w:rPr>
        <w:t>Any Lender that is entitled to an exemption from or reduction of withholding Tax with respect to payments made under any Loan Document shall deliver to the Borrower and the Agent, at the time or times reasonably requested by the Borrower or the Agent, such properly completed and executed documentation reasonably requested by the Borrower or the Agent as will permit such payments to be made without withholding or at a reduced rate of withholding. In addition, any Lender, if reasonably requested by the Borrower or the Agent, shall deliver such other documentation prescribed by applicable law or reasonably requested by the Borrower or the Agent as will enable the Borrower or the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Sections 7(b)(i), 7(b)(ii) and 7(b)(iv) of this Addendum 1)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58" w:lineRule="exact"/>
        <w:rPr>
          <w:rFonts w:ascii="Arial" w:cs="Arial" w:eastAsia="Arial" w:hAnsi="Arial"/>
          <w:sz w:val="18"/>
          <w:szCs w:val="18"/>
          <w:color w:val="auto"/>
        </w:rPr>
      </w:pPr>
    </w:p>
    <w:p>
      <w:pPr>
        <w:ind w:left="790" w:hanging="224"/>
        <w:spacing w:after="0"/>
        <w:tabs>
          <w:tab w:leader="none" w:pos="790" w:val="left"/>
        </w:tabs>
        <w:numPr>
          <w:ilvl w:val="1"/>
          <w:numId w:val="98"/>
        </w:numPr>
        <w:rPr>
          <w:rFonts w:ascii="Arial" w:cs="Arial" w:eastAsia="Arial" w:hAnsi="Arial"/>
          <w:sz w:val="19"/>
          <w:szCs w:val="19"/>
          <w:color w:val="auto"/>
        </w:rPr>
      </w:pPr>
      <w:r>
        <w:rPr>
          <w:rFonts w:ascii="Arial" w:cs="Arial" w:eastAsia="Arial" w:hAnsi="Arial"/>
          <w:sz w:val="19"/>
          <w:szCs w:val="19"/>
          <w:color w:val="auto"/>
        </w:rPr>
        <w:t>Without limiting the generality of the foregoing, in the event that the Borrower is a U.S. Person,</w:t>
      </w:r>
    </w:p>
    <w:p>
      <w:pPr>
        <w:spacing w:after="0" w:line="182" w:lineRule="exact"/>
        <w:rPr>
          <w:rFonts w:ascii="Arial" w:cs="Arial" w:eastAsia="Arial" w:hAnsi="Arial"/>
          <w:sz w:val="19"/>
          <w:szCs w:val="19"/>
          <w:color w:val="auto"/>
        </w:rPr>
      </w:pPr>
    </w:p>
    <w:p>
      <w:pPr>
        <w:jc w:val="both"/>
        <w:ind w:left="1550" w:hanging="277"/>
        <w:spacing w:after="0" w:line="241" w:lineRule="auto"/>
        <w:tabs>
          <w:tab w:leader="none" w:pos="1572" w:val="left"/>
        </w:tabs>
        <w:numPr>
          <w:ilvl w:val="2"/>
          <w:numId w:val="98"/>
        </w:numPr>
        <w:rPr>
          <w:rFonts w:ascii="Arial" w:cs="Arial" w:eastAsia="Arial" w:hAnsi="Arial"/>
          <w:sz w:val="19"/>
          <w:szCs w:val="19"/>
          <w:color w:val="auto"/>
        </w:rPr>
      </w:pPr>
      <w:r>
        <w:rPr>
          <w:rFonts w:ascii="Arial" w:cs="Arial" w:eastAsia="Arial" w:hAnsi="Arial"/>
          <w:sz w:val="19"/>
          <w:szCs w:val="19"/>
          <w:color w:val="auto"/>
        </w:rPr>
        <w:t>any Lender that is a U.S. Person shall deliver to the Borrower and the Agent on or prior to the date on which such Lender becomes a Lender under this Agreement (and from time to time thereafter upon the reasonable request of the Borrower or the Agent), executed copies of IRS Form W-9 certifying that such Lender is exempt from U.S. federal backup withholding tax;</w:t>
      </w:r>
    </w:p>
    <w:p>
      <w:pPr>
        <w:spacing w:after="0" w:line="159" w:lineRule="exact"/>
        <w:rPr>
          <w:rFonts w:ascii="Arial" w:cs="Arial" w:eastAsia="Arial" w:hAnsi="Arial"/>
          <w:sz w:val="19"/>
          <w:szCs w:val="19"/>
          <w:color w:val="auto"/>
        </w:rPr>
      </w:pPr>
    </w:p>
    <w:p>
      <w:pPr>
        <w:ind w:left="1550" w:hanging="277"/>
        <w:spacing w:after="0" w:line="256" w:lineRule="auto"/>
        <w:tabs>
          <w:tab w:leader="none" w:pos="1562" w:val="left"/>
        </w:tabs>
        <w:numPr>
          <w:ilvl w:val="2"/>
          <w:numId w:val="98"/>
        </w:numPr>
        <w:rPr>
          <w:rFonts w:ascii="Arial" w:cs="Arial" w:eastAsia="Arial" w:hAnsi="Arial"/>
          <w:sz w:val="19"/>
          <w:szCs w:val="19"/>
          <w:color w:val="auto"/>
        </w:rPr>
      </w:pPr>
      <w:r>
        <w:rPr>
          <w:rFonts w:ascii="Arial" w:cs="Arial" w:eastAsia="Arial" w:hAnsi="Arial"/>
          <w:sz w:val="19"/>
          <w:szCs w:val="19"/>
          <w:color w:val="auto"/>
        </w:rPr>
        <w:t>any Foreign Lender shall, to the extent it is legally entitled to do so, deliver to the Borrower and the Agent (in such number of copies as shall be requested by</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70"/>
        <w:spacing w:after="0"/>
        <w:rPr>
          <w:sz w:val="20"/>
          <w:szCs w:val="20"/>
          <w:color w:val="auto"/>
        </w:rPr>
      </w:pPr>
      <w:r>
        <w:rPr>
          <w:rFonts w:ascii="Arial" w:cs="Arial" w:eastAsia="Arial" w:hAnsi="Arial"/>
          <w:sz w:val="19"/>
          <w:szCs w:val="19"/>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307340</wp:posOffset>
            </wp:positionV>
            <wp:extent cx="6311265" cy="2222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870"/>
          </w:cols>
          <w:pgMar w:left="1050" w:top="781" w:right="979" w:bottom="1440" w:gutter="0" w:footer="0" w:header="0"/>
        </w:sectPr>
      </w:pPr>
    </w:p>
    <w:bookmarkStart w:id="181" w:name="page182"/>
    <w:bookmarkEnd w:id="181"/>
    <w:p>
      <w:pPr>
        <w:jc w:val="both"/>
        <w:ind w:left="1160"/>
        <w:spacing w:after="0" w:line="244" w:lineRule="auto"/>
        <w:rPr>
          <w:sz w:val="20"/>
          <w:szCs w:val="20"/>
          <w:color w:val="auto"/>
        </w:rPr>
      </w:pPr>
      <w:r>
        <w:rPr>
          <w:rFonts w:ascii="Arial" w:cs="Arial" w:eastAsia="Arial" w:hAnsi="Arial"/>
          <w:sz w:val="19"/>
          <w:szCs w:val="19"/>
          <w:color w:val="auto"/>
        </w:rPr>
        <w:t>the recipient) on or prior to the date on which such Foreign Lender becomes a Lender under this Agreement (and from time to time thereafter upon the reasonable request of the Borrower or the Agent), whichever of the following is applicable:</w:t>
      </w:r>
    </w:p>
    <w:p>
      <w:pPr>
        <w:spacing w:after="0" w:line="159" w:lineRule="exact"/>
        <w:rPr>
          <w:sz w:val="20"/>
          <w:szCs w:val="20"/>
          <w:color w:val="auto"/>
        </w:rPr>
      </w:pPr>
    </w:p>
    <w:p>
      <w:pPr>
        <w:jc w:val="both"/>
        <w:ind w:left="1600" w:right="20" w:hanging="292"/>
        <w:spacing w:after="0" w:line="252" w:lineRule="auto"/>
        <w:tabs>
          <w:tab w:leader="none" w:pos="1603" w:val="left"/>
        </w:tabs>
        <w:numPr>
          <w:ilvl w:val="1"/>
          <w:numId w:val="99"/>
        </w:numPr>
        <w:rPr>
          <w:rFonts w:ascii="Arial" w:cs="Arial" w:eastAsia="Arial" w:hAnsi="Arial"/>
          <w:sz w:val="18"/>
          <w:szCs w:val="18"/>
          <w:color w:val="auto"/>
        </w:rPr>
      </w:pPr>
      <w:r>
        <w:rPr>
          <w:rFonts w:ascii="Arial" w:cs="Arial" w:eastAsia="Arial" w:hAnsi="Arial"/>
          <w:sz w:val="18"/>
          <w:szCs w:val="18"/>
          <w:color w:val="auto"/>
        </w:rPr>
        <w:t>in the case of a Foreign Lender claiming the benefits of an income tax treaty to which the United States is a party (x) with respect to payments of interest under any Loan Document, executed copies of IRS Form W-8BEN or IRS Form W-8BEN-E establishing an exemption from, or reduction of, U.S. federal withholding Tax pursuant to the “interest” article of such tax treaty and (y) with respect to any other applicable payments under any Loan Document, IRS Form W-8BEN or IRS Form W-8BEN-E establishing an exemption from, or reduction of, U.S. federal withholding Tax pursuant to the “business profits” or “other income” article of such tax treaty;</w:t>
      </w:r>
    </w:p>
    <w:p>
      <w:pPr>
        <w:spacing w:after="0" w:line="152" w:lineRule="exact"/>
        <w:rPr>
          <w:rFonts w:ascii="Arial" w:cs="Arial" w:eastAsia="Arial" w:hAnsi="Arial"/>
          <w:sz w:val="18"/>
          <w:szCs w:val="18"/>
          <w:color w:val="auto"/>
        </w:rPr>
      </w:pPr>
    </w:p>
    <w:p>
      <w:pPr>
        <w:ind w:left="1580" w:hanging="272"/>
        <w:spacing w:after="0"/>
        <w:tabs>
          <w:tab w:leader="none" w:pos="1580" w:val="left"/>
        </w:tabs>
        <w:numPr>
          <w:ilvl w:val="1"/>
          <w:numId w:val="99"/>
        </w:numPr>
        <w:rPr>
          <w:rFonts w:ascii="Arial" w:cs="Arial" w:eastAsia="Arial" w:hAnsi="Arial"/>
          <w:sz w:val="19"/>
          <w:szCs w:val="19"/>
          <w:color w:val="auto"/>
        </w:rPr>
      </w:pPr>
      <w:r>
        <w:rPr>
          <w:rFonts w:ascii="Arial" w:cs="Arial" w:eastAsia="Arial" w:hAnsi="Arial"/>
          <w:sz w:val="19"/>
          <w:szCs w:val="19"/>
          <w:color w:val="auto"/>
        </w:rPr>
        <w:t>executed copies of IRS Form W-8ECI;</w:t>
      </w:r>
    </w:p>
    <w:p>
      <w:pPr>
        <w:spacing w:after="0" w:line="182" w:lineRule="exact"/>
        <w:rPr>
          <w:rFonts w:ascii="Arial" w:cs="Arial" w:eastAsia="Arial" w:hAnsi="Arial"/>
          <w:sz w:val="19"/>
          <w:szCs w:val="19"/>
          <w:color w:val="auto"/>
        </w:rPr>
      </w:pPr>
    </w:p>
    <w:p>
      <w:pPr>
        <w:jc w:val="both"/>
        <w:ind w:left="1600" w:right="20" w:hanging="292"/>
        <w:spacing w:after="0" w:line="237" w:lineRule="auto"/>
        <w:tabs>
          <w:tab w:leader="none" w:pos="1643" w:val="left"/>
        </w:tabs>
        <w:numPr>
          <w:ilvl w:val="1"/>
          <w:numId w:val="99"/>
        </w:numPr>
        <w:rPr>
          <w:rFonts w:ascii="Arial" w:cs="Arial" w:eastAsia="Arial" w:hAnsi="Arial"/>
          <w:sz w:val="19"/>
          <w:szCs w:val="19"/>
          <w:color w:val="auto"/>
        </w:rPr>
      </w:pPr>
      <w:r>
        <w:rPr>
          <w:rFonts w:ascii="Arial" w:cs="Arial" w:eastAsia="Arial" w:hAnsi="Arial"/>
          <w:sz w:val="19"/>
          <w:szCs w:val="19"/>
          <w:color w:val="auto"/>
        </w:rPr>
        <w:t>in the case of a Foreign Lender claiming the benefits of the exemption for portfolio interest under Section 881(c) of the Code, (x) a certificate substantially in the form of Exhibit J-1 to the effect that such Foreign Lender is not a “bank” within the meaning of Section 881(c)(3)(A) of the Code, a “10 percent shareholder” of the Borrower within the meaning of Section 871(h)(3)(B) of the Code, or a “controlled foreign corporation” related to the Borrower as described in Section 881(c)(3)(C) of the Code (a “</w:t>
      </w:r>
      <w:r>
        <w:rPr>
          <w:rFonts w:ascii="Arial" w:cs="Arial" w:eastAsia="Arial" w:hAnsi="Arial"/>
          <w:sz w:val="19"/>
          <w:szCs w:val="19"/>
          <w:b w:val="1"/>
          <w:bCs w:val="1"/>
          <w:color w:val="auto"/>
        </w:rPr>
        <w:t>U.S. Tax Compliance Certificate</w:t>
      </w:r>
      <w:r>
        <w:rPr>
          <w:rFonts w:ascii="Arial" w:cs="Arial" w:eastAsia="Arial" w:hAnsi="Arial"/>
          <w:sz w:val="19"/>
          <w:szCs w:val="19"/>
          <w:color w:val="auto"/>
        </w:rPr>
        <w:t>”) and (y) executed copies of IRS Form W-8BEN or IRS Form W-8BEN-E; or</w:t>
      </w:r>
    </w:p>
    <w:p>
      <w:pPr>
        <w:spacing w:after="0" w:line="163" w:lineRule="exact"/>
        <w:rPr>
          <w:rFonts w:ascii="Arial" w:cs="Arial" w:eastAsia="Arial" w:hAnsi="Arial"/>
          <w:sz w:val="19"/>
          <w:szCs w:val="19"/>
          <w:color w:val="auto"/>
        </w:rPr>
      </w:pPr>
    </w:p>
    <w:p>
      <w:pPr>
        <w:jc w:val="both"/>
        <w:ind w:left="1600" w:right="20" w:hanging="292"/>
        <w:spacing w:after="0" w:line="269" w:lineRule="auto"/>
        <w:tabs>
          <w:tab w:leader="none" w:pos="1651" w:val="left"/>
        </w:tabs>
        <w:numPr>
          <w:ilvl w:val="1"/>
          <w:numId w:val="99"/>
        </w:numPr>
        <w:rPr>
          <w:rFonts w:ascii="Arial" w:cs="Arial" w:eastAsia="Arial" w:hAnsi="Arial"/>
          <w:sz w:val="17"/>
          <w:szCs w:val="17"/>
          <w:color w:val="auto"/>
        </w:rPr>
      </w:pPr>
      <w:r>
        <w:rPr>
          <w:rFonts w:ascii="Arial" w:cs="Arial" w:eastAsia="Arial" w:hAnsi="Arial"/>
          <w:sz w:val="17"/>
          <w:szCs w:val="17"/>
          <w:color w:val="auto"/>
        </w:rPr>
        <w:t>to the extent a Foreign Lender is not the beneficial owner, executed copies of IRS Form W-8IMY, accompanied by IRS Form W-8ECI, IRS Form W-8BEN, IRS Form W-8BEN-E, a U.S. Tax Compliance Certificate substantially in the form of Exhibit J-2 or Exhibit J-3,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Exhibit J-4 on behalf of each such direct and indirect partner;</w:t>
      </w:r>
    </w:p>
    <w:p>
      <w:pPr>
        <w:spacing w:after="0" w:line="140" w:lineRule="exact"/>
        <w:rPr>
          <w:rFonts w:ascii="Arial" w:cs="Arial" w:eastAsia="Arial" w:hAnsi="Arial"/>
          <w:sz w:val="17"/>
          <w:szCs w:val="17"/>
          <w:color w:val="auto"/>
        </w:rPr>
      </w:pPr>
    </w:p>
    <w:p>
      <w:pPr>
        <w:jc w:val="both"/>
        <w:ind w:left="1160" w:hanging="277"/>
        <w:spacing w:after="0" w:line="238" w:lineRule="auto"/>
        <w:tabs>
          <w:tab w:leader="none" w:pos="1176" w:val="left"/>
        </w:tabs>
        <w:numPr>
          <w:ilvl w:val="0"/>
          <w:numId w:val="100"/>
        </w:numPr>
        <w:rPr>
          <w:rFonts w:ascii="Arial" w:cs="Arial" w:eastAsia="Arial" w:hAnsi="Arial"/>
          <w:sz w:val="19"/>
          <w:szCs w:val="19"/>
          <w:color w:val="auto"/>
        </w:rPr>
      </w:pPr>
      <w:r>
        <w:rPr>
          <w:rFonts w:ascii="Arial" w:cs="Arial" w:eastAsia="Arial" w:hAnsi="Arial"/>
          <w:sz w:val="19"/>
          <w:szCs w:val="19"/>
          <w:color w:val="auto"/>
        </w:rPr>
        <w:t>any Foreign Lender shall, to the extent it is legally entitled to do so, deliver to the Borrower and the Agent (in such number of copies as shall be requested by the recipient) on or prior to the date on which such Foreign Lender becomes a Lender under this Agreement (and from time to time thereafter upon the reasonable request of the Borrower or the Agent), executed copies of any other form prescribed by applicable law as a basis for claiming exemption from or a reduction in U.S. federal withholding Tax, duly completed, together with such</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480"/>
        <w:spacing w:after="0"/>
        <w:rPr>
          <w:sz w:val="20"/>
          <w:szCs w:val="20"/>
          <w:color w:val="auto"/>
        </w:rPr>
      </w:pPr>
      <w:r>
        <w:rPr>
          <w:rFonts w:ascii="Arial" w:cs="Arial" w:eastAsia="Arial" w:hAnsi="Arial"/>
          <w:sz w:val="19"/>
          <w:szCs w:val="19"/>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307340</wp:posOffset>
            </wp:positionV>
            <wp:extent cx="6311265" cy="2222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480"/>
          </w:cols>
          <w:pgMar w:left="1440" w:top="781" w:right="979" w:bottom="1440" w:gutter="0" w:footer="0" w:header="0"/>
        </w:sectPr>
      </w:pPr>
    </w:p>
    <w:bookmarkStart w:id="182" w:name="page183"/>
    <w:bookmarkEnd w:id="182"/>
    <w:p>
      <w:pPr>
        <w:ind w:left="1550" w:right="20"/>
        <w:spacing w:after="0" w:line="256" w:lineRule="auto"/>
        <w:rPr>
          <w:sz w:val="20"/>
          <w:szCs w:val="20"/>
          <w:color w:val="auto"/>
        </w:rPr>
      </w:pPr>
      <w:r>
        <w:rPr>
          <w:rFonts w:ascii="Arial" w:cs="Arial" w:eastAsia="Arial" w:hAnsi="Arial"/>
          <w:sz w:val="19"/>
          <w:szCs w:val="19"/>
          <w:color w:val="auto"/>
        </w:rPr>
        <w:t>supplementary documentation as may be prescribed by applicable law to permit the Borrower or the Agent to determine the withholding or deduction required to be made; and</w:t>
      </w:r>
    </w:p>
    <w:p>
      <w:pPr>
        <w:spacing w:after="0" w:line="147" w:lineRule="exact"/>
        <w:rPr>
          <w:sz w:val="20"/>
          <w:szCs w:val="20"/>
          <w:color w:val="auto"/>
        </w:rPr>
      </w:pPr>
    </w:p>
    <w:p>
      <w:pPr>
        <w:jc w:val="both"/>
        <w:ind w:left="1550" w:hanging="277"/>
        <w:spacing w:after="0" w:line="249" w:lineRule="auto"/>
        <w:tabs>
          <w:tab w:leader="none" w:pos="1561" w:val="left"/>
        </w:tabs>
        <w:numPr>
          <w:ilvl w:val="2"/>
          <w:numId w:val="101"/>
        </w:numPr>
        <w:rPr>
          <w:rFonts w:ascii="Arial" w:cs="Arial" w:eastAsia="Arial" w:hAnsi="Arial"/>
          <w:sz w:val="18"/>
          <w:szCs w:val="18"/>
          <w:color w:val="auto"/>
        </w:rPr>
      </w:pPr>
      <w:r>
        <w:rPr>
          <w:rFonts w:ascii="Arial" w:cs="Arial" w:eastAsia="Arial" w:hAnsi="Arial"/>
          <w:sz w:val="18"/>
          <w:szCs w:val="18"/>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Agent at the time or times prescribed by law and at such time or times reasonably requested by the Borrower or the Agent such documentation prescribed by applicable law (including as prescribed by Section 1471(b)(3)(C)(i) of the Code) and such additional documentation reasonably requested by the Borrower or the Agent as may be necessary for the Borrower and the Agent to comply with their obligations under FATCA and to determine that such Lender has complied with such Lender’s obligations under FATCA or to determine the amount, if any, to deduct and withhold from such payment. Solely for purposes of this clause (iv), “FATCA” shall include any amendments made to FATCA after the date of this Agreement.</w:t>
      </w:r>
    </w:p>
    <w:p>
      <w:pPr>
        <w:spacing w:after="0" w:line="160" w:lineRule="exact"/>
        <w:rPr>
          <w:rFonts w:ascii="Arial" w:cs="Arial" w:eastAsia="Arial" w:hAnsi="Arial"/>
          <w:sz w:val="18"/>
          <w:szCs w:val="18"/>
          <w:color w:val="auto"/>
        </w:rPr>
      </w:pPr>
    </w:p>
    <w:p>
      <w:pPr>
        <w:jc w:val="both"/>
        <w:ind w:left="850" w:right="20" w:hanging="284"/>
        <w:spacing w:after="0" w:line="244" w:lineRule="auto"/>
        <w:tabs>
          <w:tab w:leader="none" w:pos="839" w:val="left"/>
        </w:tabs>
        <w:numPr>
          <w:ilvl w:val="1"/>
          <w:numId w:val="102"/>
        </w:numPr>
        <w:rPr>
          <w:rFonts w:ascii="Arial" w:cs="Arial" w:eastAsia="Arial" w:hAnsi="Arial"/>
          <w:sz w:val="19"/>
          <w:szCs w:val="19"/>
          <w:color w:val="auto"/>
        </w:rPr>
      </w:pPr>
      <w:r>
        <w:rPr>
          <w:rFonts w:ascii="Arial" w:cs="Arial" w:eastAsia="Arial" w:hAnsi="Arial"/>
          <w:sz w:val="19"/>
          <w:szCs w:val="19"/>
          <w:color w:val="auto"/>
        </w:rPr>
        <w:t>Each Lender agrees that if any form or certification it previously delivered expires or becomes obsolete or inaccurate in any respect, it shall update such form or certification or promptly notify the Borrower and the Agent in writing of its legal inability to do so.</w:t>
      </w:r>
    </w:p>
    <w:p>
      <w:pPr>
        <w:spacing w:after="0" w:line="152" w:lineRule="exact"/>
        <w:rPr>
          <w:rFonts w:ascii="Arial" w:cs="Arial" w:eastAsia="Arial" w:hAnsi="Arial"/>
          <w:sz w:val="19"/>
          <w:szCs w:val="19"/>
          <w:color w:val="auto"/>
        </w:rPr>
      </w:pPr>
    </w:p>
    <w:p>
      <w:pPr>
        <w:jc w:val="both"/>
        <w:ind w:left="290" w:hanging="290"/>
        <w:spacing w:after="0" w:line="249" w:lineRule="auto"/>
        <w:tabs>
          <w:tab w:leader="none" w:pos="314" w:val="left"/>
        </w:tabs>
        <w:numPr>
          <w:ilvl w:val="0"/>
          <w:numId w:val="103"/>
        </w:numPr>
        <w:rPr>
          <w:rFonts w:ascii="Arial" w:cs="Arial" w:eastAsia="Arial" w:hAnsi="Arial"/>
          <w:sz w:val="18"/>
          <w:szCs w:val="18"/>
          <w:color w:val="auto"/>
        </w:rPr>
      </w:pPr>
      <w:r>
        <w:rPr>
          <w:rFonts w:ascii="Arial" w:cs="Arial" w:eastAsia="Arial" w:hAnsi="Arial"/>
          <w:sz w:val="18"/>
          <w:szCs w:val="18"/>
          <w:b w:val="1"/>
          <w:bCs w:val="1"/>
          <w:color w:val="auto"/>
        </w:rPr>
        <w:t>Treatment of Certain Refunds</w:t>
      </w:r>
      <w:r>
        <w:rPr>
          <w:rFonts w:ascii="Arial" w:cs="Arial" w:eastAsia="Arial" w:hAnsi="Arial"/>
          <w:sz w:val="18"/>
          <w:szCs w:val="18"/>
          <w:color w:val="auto"/>
        </w:rPr>
        <w:t>. If any party determines, in its sole discretion exercised in good faith, that it has received a</w:t>
      </w:r>
      <w:r>
        <w:rPr>
          <w:rFonts w:ascii="Arial" w:cs="Arial" w:eastAsia="Arial" w:hAnsi="Arial"/>
          <w:sz w:val="18"/>
          <w:szCs w:val="18"/>
          <w:b w:val="1"/>
          <w:bCs w:val="1"/>
          <w:color w:val="auto"/>
        </w:rPr>
        <w:t xml:space="preserve"> </w:t>
      </w:r>
      <w:r>
        <w:rPr>
          <w:rFonts w:ascii="Arial" w:cs="Arial" w:eastAsia="Arial" w:hAnsi="Arial"/>
          <w:sz w:val="18"/>
          <w:szCs w:val="18"/>
          <w:color w:val="auto"/>
        </w:rPr>
        <w:t>refund of any Taxes as to which it has been indemnified pursuant to the provisions of this Addendum 1 (including by the payment of additional amounts pursuant to the provisions of this Addendum 1), it shall pay to the indemnifying party an amount equal to such refund (but only to the extent of indemnity payments made under the provisions of this Addendum 1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Section 8 (plus any penalties, interest or other charges imposed by the relevant governmental authority) in the event that such indemnified party is required to repay such refund to such governmental authority. Notwithstanding anything to the contrary in this Section 8, in no event will the indemnified party be required to pay any amount to an indemnifying party pursuant to this Section 8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Section 8 shall not be construed to require any indemnified party to make available its Tax returns (or any other information relating to its Taxes that it deems confidential) to the indemnifying party or any other Person.</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70"/>
        <w:spacing w:after="0"/>
        <w:rPr>
          <w:sz w:val="20"/>
          <w:szCs w:val="20"/>
          <w:color w:val="auto"/>
        </w:rPr>
      </w:pPr>
      <w:r>
        <w:rPr>
          <w:rFonts w:ascii="Arial" w:cs="Arial" w:eastAsia="Arial" w:hAnsi="Arial"/>
          <w:sz w:val="19"/>
          <w:szCs w:val="19"/>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307340</wp:posOffset>
            </wp:positionV>
            <wp:extent cx="6311265" cy="2222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870"/>
          </w:cols>
          <w:pgMar w:left="1050" w:top="781" w:right="979" w:bottom="1440" w:gutter="0" w:footer="0" w:header="0"/>
        </w:sectPr>
      </w:pPr>
    </w:p>
    <w:bookmarkStart w:id="183" w:name="page184"/>
    <w:bookmarkEnd w:id="183"/>
    <w:p>
      <w:pPr>
        <w:ind w:left="290" w:hanging="290"/>
        <w:spacing w:after="0"/>
        <w:tabs>
          <w:tab w:leader="none" w:pos="290" w:val="left"/>
        </w:tabs>
        <w:numPr>
          <w:ilvl w:val="0"/>
          <w:numId w:val="104"/>
        </w:numPr>
        <w:rPr>
          <w:rFonts w:ascii="Arial" w:cs="Arial" w:eastAsia="Arial" w:hAnsi="Arial"/>
          <w:sz w:val="17"/>
          <w:szCs w:val="17"/>
          <w:color w:val="auto"/>
        </w:rPr>
      </w:pPr>
      <w:r>
        <w:rPr>
          <w:rFonts w:ascii="Arial" w:cs="Arial" w:eastAsia="Arial" w:hAnsi="Arial"/>
          <w:sz w:val="17"/>
          <w:szCs w:val="17"/>
          <w:b w:val="1"/>
          <w:bCs w:val="1"/>
          <w:color w:val="auto"/>
        </w:rPr>
        <w:t>Increased Costs</w:t>
      </w:r>
      <w:r>
        <w:rPr>
          <w:rFonts w:ascii="Arial" w:cs="Arial" w:eastAsia="Arial" w:hAnsi="Arial"/>
          <w:sz w:val="17"/>
          <w:szCs w:val="17"/>
          <w:color w:val="auto"/>
        </w:rPr>
        <w:t>. If any change in applicable law shall subject any Recipient to any Taxes (other than (A) Indemnified Taxes,</w:t>
      </w:r>
    </w:p>
    <w:p>
      <w:pPr>
        <w:spacing w:after="0" w:line="38" w:lineRule="exact"/>
        <w:rPr>
          <w:rFonts w:ascii="Arial" w:cs="Arial" w:eastAsia="Arial" w:hAnsi="Arial"/>
          <w:sz w:val="17"/>
          <w:szCs w:val="17"/>
          <w:color w:val="auto"/>
        </w:rPr>
      </w:pPr>
    </w:p>
    <w:p>
      <w:pPr>
        <w:jc w:val="both"/>
        <w:ind w:left="290"/>
        <w:spacing w:after="0" w:line="234" w:lineRule="auto"/>
        <w:rPr>
          <w:rFonts w:ascii="Arial" w:cs="Arial" w:eastAsia="Arial" w:hAnsi="Arial"/>
          <w:sz w:val="17"/>
          <w:szCs w:val="17"/>
          <w:color w:val="auto"/>
        </w:rPr>
      </w:pPr>
      <w:r>
        <w:rPr>
          <w:rFonts w:ascii="Arial" w:cs="Arial" w:eastAsia="Arial" w:hAnsi="Arial"/>
          <w:sz w:val="19"/>
          <w:szCs w:val="19"/>
          <w:color w:val="auto"/>
        </w:rPr>
        <w:t>(B) Taxes described in clauses (ii) through (iv) of the definition of Excluded Taxes and (C) Connection Income Taxes) on its loans, loan principal, commitments, or other obligations, or its deposits, reserves, other liabilities or capital attributable thereto, and the result shall be to increase the cost to such Recipient of making, converting to, continuing or maintaining any Term Loan or of maintaining its obligation to make any such Loan, or to reduce the amount of any sum received or receivable by such Recipient (whether of principal, interest or any other amount), then, upon the request of such Recipient, the Borrower will pay to such Recipient such additional amount or amounts as will compensate such Recipient for such additional costs incurred or reduction suffered.</w:t>
      </w:r>
    </w:p>
    <w:p>
      <w:pPr>
        <w:spacing w:after="0" w:line="160" w:lineRule="exact"/>
        <w:rPr>
          <w:rFonts w:ascii="Arial" w:cs="Arial" w:eastAsia="Arial" w:hAnsi="Arial"/>
          <w:sz w:val="17"/>
          <w:szCs w:val="17"/>
          <w:color w:val="auto"/>
        </w:rPr>
      </w:pPr>
    </w:p>
    <w:p>
      <w:pPr>
        <w:jc w:val="both"/>
        <w:ind w:left="290" w:hanging="290"/>
        <w:spacing w:after="0" w:line="270" w:lineRule="auto"/>
        <w:tabs>
          <w:tab w:leader="none" w:pos="325" w:val="left"/>
        </w:tabs>
        <w:numPr>
          <w:ilvl w:val="0"/>
          <w:numId w:val="104"/>
        </w:numPr>
        <w:rPr>
          <w:rFonts w:ascii="Arial" w:cs="Arial" w:eastAsia="Arial" w:hAnsi="Arial"/>
          <w:sz w:val="17"/>
          <w:szCs w:val="17"/>
          <w:color w:val="auto"/>
        </w:rPr>
      </w:pPr>
      <w:r>
        <w:rPr>
          <w:rFonts w:ascii="Arial" w:cs="Arial" w:eastAsia="Arial" w:hAnsi="Arial"/>
          <w:sz w:val="17"/>
          <w:szCs w:val="17"/>
          <w:b w:val="1"/>
          <w:bCs w:val="1"/>
          <w:color w:val="auto"/>
        </w:rPr>
        <w:t>Mitigation</w:t>
      </w:r>
      <w:r>
        <w:rPr>
          <w:rFonts w:ascii="Arial" w:cs="Arial" w:eastAsia="Arial" w:hAnsi="Arial"/>
          <w:sz w:val="17"/>
          <w:szCs w:val="17"/>
          <w:color w:val="auto"/>
        </w:rPr>
        <w:t>. If any Lender requires the Borrower to pay any Indemnified Taxes or additional amounts pursuant to this</w:t>
      </w:r>
      <w:r>
        <w:rPr>
          <w:rFonts w:ascii="Arial" w:cs="Arial" w:eastAsia="Arial" w:hAnsi="Arial"/>
          <w:sz w:val="17"/>
          <w:szCs w:val="17"/>
          <w:b w:val="1"/>
          <w:bCs w:val="1"/>
          <w:color w:val="auto"/>
        </w:rPr>
        <w:t xml:space="preserve"> </w:t>
      </w:r>
      <w:r>
        <w:rPr>
          <w:rFonts w:ascii="Arial" w:cs="Arial" w:eastAsia="Arial" w:hAnsi="Arial"/>
          <w:sz w:val="17"/>
          <w:szCs w:val="17"/>
          <w:color w:val="auto"/>
        </w:rPr>
        <w:t>Addendum, then such Lender shall (at the request of the Borrower) use reasonable efforts to designate a different lending office for funding or booking its Loans hereunder or to assign its rights and obligations hereunder to another of its branches, offices, or affiliates, if, in the judgment of such Lender, such designation or assignment: (i) would eliminate or reduce amounts payable pursuant to this Addendum in the future, and (ii) would not subject such Lender to any unreimbursed cost or expense and would not otherwise be disadvantageous to such Lender. The Borrower hereby agrees to pay all reasonable costs and expenses incurred by any Lender in connection with such designation or assignment.</w:t>
      </w:r>
    </w:p>
    <w:p>
      <w:pPr>
        <w:spacing w:after="0" w:line="134" w:lineRule="exact"/>
        <w:rPr>
          <w:rFonts w:ascii="Arial" w:cs="Arial" w:eastAsia="Arial" w:hAnsi="Arial"/>
          <w:sz w:val="17"/>
          <w:szCs w:val="17"/>
          <w:color w:val="auto"/>
        </w:rPr>
      </w:pPr>
    </w:p>
    <w:p>
      <w:pPr>
        <w:jc w:val="both"/>
        <w:ind w:left="290" w:hanging="290"/>
        <w:spacing w:after="0"/>
        <w:tabs>
          <w:tab w:leader="none" w:pos="295" w:val="left"/>
        </w:tabs>
        <w:numPr>
          <w:ilvl w:val="0"/>
          <w:numId w:val="104"/>
        </w:numPr>
        <w:rPr>
          <w:rFonts w:ascii="Arial" w:cs="Arial" w:eastAsia="Arial" w:hAnsi="Arial"/>
          <w:sz w:val="19"/>
          <w:szCs w:val="19"/>
          <w:color w:val="auto"/>
        </w:rPr>
      </w:pPr>
      <w:r>
        <w:rPr>
          <w:rFonts w:ascii="Arial" w:cs="Arial" w:eastAsia="Arial" w:hAnsi="Arial"/>
          <w:sz w:val="19"/>
          <w:szCs w:val="19"/>
          <w:b w:val="1"/>
          <w:bCs w:val="1"/>
          <w:color w:val="auto"/>
        </w:rPr>
        <w:t>Survival</w:t>
      </w:r>
      <w:r>
        <w:rPr>
          <w:rFonts w:ascii="Arial" w:cs="Arial" w:eastAsia="Arial" w:hAnsi="Arial"/>
          <w:sz w:val="19"/>
          <w:szCs w:val="19"/>
          <w:color w:val="auto"/>
        </w:rPr>
        <w:t>. Each party’s obligations under the provisions of this Addendum 1 (including any inchoate indemnity obligations</w:t>
      </w:r>
      <w:r>
        <w:rPr>
          <w:rFonts w:ascii="Arial" w:cs="Arial" w:eastAsia="Arial" w:hAnsi="Arial"/>
          <w:sz w:val="19"/>
          <w:szCs w:val="19"/>
          <w:b w:val="1"/>
          <w:bCs w:val="1"/>
          <w:color w:val="auto"/>
        </w:rPr>
        <w:t xml:space="preserve"> </w:t>
      </w:r>
      <w:r>
        <w:rPr>
          <w:rFonts w:ascii="Arial" w:cs="Arial" w:eastAsia="Arial" w:hAnsi="Arial"/>
          <w:sz w:val="19"/>
          <w:szCs w:val="19"/>
          <w:color w:val="auto"/>
        </w:rPr>
        <w:t>and any other obligations which, by their terms, are to survive the termination of the Loan Documents) shall survive the resignation or replacement of the Agent or any assignment of rights by, or the replacement of, a Lender, the termination of the Term Commitments and the repayment, satisfaction or discharge of all obligations under any Loan Document (other than the Warrant).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70"/>
        <w:spacing w:after="0"/>
        <w:rPr>
          <w:sz w:val="20"/>
          <w:szCs w:val="20"/>
          <w:color w:val="auto"/>
        </w:rPr>
      </w:pPr>
      <w:r>
        <w:rPr>
          <w:rFonts w:ascii="Arial" w:cs="Arial" w:eastAsia="Arial" w:hAnsi="Arial"/>
          <w:sz w:val="19"/>
          <w:szCs w:val="19"/>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307340</wp:posOffset>
            </wp:positionV>
            <wp:extent cx="6311265" cy="2222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870"/>
          </w:cols>
          <w:pgMar w:left="1050" w:top="775" w:right="979" w:bottom="1440" w:gutter="0" w:footer="0" w:header="0"/>
        </w:sectPr>
      </w:pPr>
    </w:p>
    <w:bookmarkStart w:id="184" w:name="page185"/>
    <w:bookmarkEnd w:id="184"/>
    <w:p>
      <w:pPr>
        <w:jc w:val="center"/>
        <w:spacing w:after="0"/>
        <w:rPr>
          <w:sz w:val="20"/>
          <w:szCs w:val="20"/>
          <w:color w:val="auto"/>
        </w:rPr>
      </w:pPr>
      <w:r>
        <w:rPr>
          <w:rFonts w:ascii="Arial" w:cs="Arial" w:eastAsia="Arial" w:hAnsi="Arial"/>
          <w:sz w:val="18"/>
          <w:szCs w:val="18"/>
          <w:b w:val="1"/>
          <w:bCs w:val="1"/>
          <w:color w:val="auto"/>
        </w:rPr>
        <w:t>ADDENDUM 2 to LOAN AND SECURITY AGREEMENT</w:t>
      </w:r>
    </w:p>
    <w:p>
      <w:pPr>
        <w:sectPr>
          <w:pgSz w:w="11900" w:h="16838" w:orient="portrait"/>
          <w:cols w:equalWidth="0" w:num="1">
            <w:col w:w="9019"/>
          </w:cols>
          <w:pgMar w:left="1440" w:top="775" w:right="1440" w:bottom="1440" w:gutter="0" w:footer="0" w:header="0"/>
        </w:sectPr>
      </w:pP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696595</wp:posOffset>
            </wp:positionV>
            <wp:extent cx="6311265" cy="2222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019"/>
          </w:cols>
          <w:pgMar w:left="1440" w:top="775" w:right="1440" w:bottom="1440" w:gutter="0" w:footer="0" w:header="0"/>
          <w:type w:val="continuous"/>
        </w:sectPr>
      </w:pPr>
    </w:p>
    <w:bookmarkStart w:id="185" w:name="page186"/>
    <w:bookmarkEnd w:id="185"/>
    <w:p>
      <w:pPr>
        <w:jc w:val="center"/>
        <w:ind w:right="480"/>
        <w:spacing w:after="0"/>
        <w:rPr>
          <w:sz w:val="20"/>
          <w:szCs w:val="20"/>
          <w:color w:val="auto"/>
        </w:rPr>
      </w:pPr>
      <w:r>
        <w:rPr>
          <w:rFonts w:ascii="Arial" w:cs="Arial" w:eastAsia="Arial" w:hAnsi="Arial"/>
          <w:sz w:val="19"/>
          <w:szCs w:val="19"/>
          <w:b w:val="1"/>
          <w:bCs w:val="1"/>
          <w:color w:val="auto"/>
        </w:rPr>
        <w:t>ADDENDUM 3 to LOAN AND SECURITY AGREEMENT</w:t>
      </w:r>
    </w:p>
    <w:p>
      <w:pPr>
        <w:spacing w:after="0" w:line="188" w:lineRule="exact"/>
        <w:rPr>
          <w:sz w:val="20"/>
          <w:szCs w:val="20"/>
          <w:color w:val="auto"/>
        </w:rPr>
      </w:pPr>
    </w:p>
    <w:p>
      <w:pPr>
        <w:jc w:val="center"/>
        <w:ind w:right="480"/>
        <w:spacing w:after="0"/>
        <w:rPr>
          <w:sz w:val="20"/>
          <w:szCs w:val="20"/>
          <w:color w:val="auto"/>
        </w:rPr>
      </w:pPr>
      <w:r>
        <w:rPr>
          <w:rFonts w:ascii="Arial" w:cs="Arial" w:eastAsia="Arial" w:hAnsi="Arial"/>
          <w:sz w:val="19"/>
          <w:szCs w:val="19"/>
          <w:color w:val="auto"/>
        </w:rPr>
        <w:t>Agent and Lender Terms</w:t>
      </w:r>
    </w:p>
    <w:p>
      <w:pPr>
        <w:spacing w:after="0" w:line="182" w:lineRule="exact"/>
        <w:rPr>
          <w:sz w:val="20"/>
          <w:szCs w:val="20"/>
          <w:color w:val="auto"/>
        </w:rPr>
      </w:pPr>
    </w:p>
    <w:p>
      <w:pPr>
        <w:jc w:val="both"/>
        <w:ind w:left="100" w:right="20" w:firstLine="568"/>
        <w:spacing w:after="0" w:line="241" w:lineRule="auto"/>
        <w:tabs>
          <w:tab w:leader="none" w:pos="1379" w:val="left"/>
        </w:tabs>
        <w:numPr>
          <w:ilvl w:val="0"/>
          <w:numId w:val="105"/>
        </w:numPr>
        <w:rPr>
          <w:rFonts w:ascii="Arial" w:cs="Arial" w:eastAsia="Arial" w:hAnsi="Arial"/>
          <w:sz w:val="19"/>
          <w:szCs w:val="19"/>
          <w:color w:val="auto"/>
        </w:rPr>
      </w:pPr>
      <w:r>
        <w:rPr>
          <w:rFonts w:ascii="Arial" w:cs="Arial" w:eastAsia="Arial" w:hAnsi="Arial"/>
          <w:sz w:val="19"/>
          <w:szCs w:val="19"/>
          <w:color w:val="auto"/>
        </w:rPr>
        <w:t>Each Lender hereby irrevocably appoints Hercules Capital, Inc. to act on its behalf as the Agent hereunder and under the other Loan Documents (other than the Warrant) and authorizes the Agent to take such actions on its behalf and to exercise such powers as are delegated to the Agent by the terms hereof or thereof, together with such actions and powers as are reasonably incidental thereto.</w:t>
      </w:r>
    </w:p>
    <w:p>
      <w:pPr>
        <w:spacing w:after="0" w:line="159" w:lineRule="exact"/>
        <w:rPr>
          <w:rFonts w:ascii="Arial" w:cs="Arial" w:eastAsia="Arial" w:hAnsi="Arial"/>
          <w:sz w:val="19"/>
          <w:szCs w:val="19"/>
          <w:color w:val="auto"/>
        </w:rPr>
      </w:pPr>
    </w:p>
    <w:p>
      <w:pPr>
        <w:jc w:val="both"/>
        <w:ind w:left="100" w:firstLine="568"/>
        <w:spacing w:after="0" w:line="267" w:lineRule="auto"/>
        <w:tabs>
          <w:tab w:leader="none" w:pos="1602" w:val="left"/>
        </w:tabs>
        <w:numPr>
          <w:ilvl w:val="0"/>
          <w:numId w:val="105"/>
        </w:numPr>
        <w:rPr>
          <w:rFonts w:ascii="Arial" w:cs="Arial" w:eastAsia="Arial" w:hAnsi="Arial"/>
          <w:sz w:val="17"/>
          <w:szCs w:val="17"/>
          <w:color w:val="auto"/>
        </w:rPr>
      </w:pPr>
      <w:r>
        <w:rPr>
          <w:rFonts w:ascii="Arial" w:cs="Arial" w:eastAsia="Arial" w:hAnsi="Arial"/>
          <w:sz w:val="17"/>
          <w:szCs w:val="17"/>
          <w:color w:val="auto"/>
        </w:rPr>
        <w:t>Each Lender agrees to indemnify the Agent in its capacity as such (to the extent not reimbursed by Borrower and without limiting the obligation of Borrower to do so), according to its respective Term Commitment percentages (based upon the total outstanding Term Commitments) in effect on the date on which indemnification is sought under this Addendum 3, from and against any and all liabilities, obligations, losses, damages, penalties, actions, judgments, suits, costs, expenses or disbursements of any kind whatsoever that may at any time be imposed on, incurred by or asserted against the Agent in any way relating to or arising out of, this Agreement, any of the other Loan Documents (other than the Warrant) or any documents contemplated by or referred to herein or therein (other than the Warrant) or the transactions contemplated hereby or thereby or any action taken or omitted by the Agent under or in connection with any of the foregoing; The agreements in this Section shall survive the payment of the Loans and all other amounts payable hereunder.</w:t>
      </w:r>
    </w:p>
    <w:p>
      <w:pPr>
        <w:spacing w:after="0" w:line="141" w:lineRule="exact"/>
        <w:rPr>
          <w:rFonts w:ascii="Arial" w:cs="Arial" w:eastAsia="Arial" w:hAnsi="Arial"/>
          <w:sz w:val="17"/>
          <w:szCs w:val="17"/>
          <w:color w:val="auto"/>
        </w:rPr>
      </w:pPr>
    </w:p>
    <w:p>
      <w:pPr>
        <w:jc w:val="both"/>
        <w:ind w:left="100" w:firstLine="568"/>
        <w:spacing w:after="0" w:line="241" w:lineRule="auto"/>
        <w:tabs>
          <w:tab w:leader="none" w:pos="1341" w:val="left"/>
        </w:tabs>
        <w:numPr>
          <w:ilvl w:val="0"/>
          <w:numId w:val="105"/>
        </w:numPr>
        <w:rPr>
          <w:rFonts w:ascii="Arial" w:cs="Arial" w:eastAsia="Arial" w:hAnsi="Arial"/>
          <w:sz w:val="19"/>
          <w:szCs w:val="19"/>
          <w:color w:val="auto"/>
        </w:rPr>
      </w:pPr>
      <w:r>
        <w:rPr>
          <w:rFonts w:ascii="Arial" w:cs="Arial" w:eastAsia="Arial" w:hAnsi="Arial"/>
          <w:sz w:val="19"/>
          <w:szCs w:val="19"/>
          <w:color w:val="auto"/>
        </w:rPr>
        <w:t>Agent in Its Individual Capacity. The Person serving as the Agent hereunder shall have the same rights and powers in its capacity as a Lender as any other Lender and may exercise the same as though it were not the Agent and the term “Lender” shall, unless otherwise expressly indicated or unless the context otherwise requires, include each such Person serving as Agent hereunder in its individual capacity.</w:t>
      </w:r>
    </w:p>
    <w:p>
      <w:pPr>
        <w:spacing w:after="0" w:line="159" w:lineRule="exact"/>
        <w:rPr>
          <w:rFonts w:ascii="Arial" w:cs="Arial" w:eastAsia="Arial" w:hAnsi="Arial"/>
          <w:sz w:val="19"/>
          <w:szCs w:val="19"/>
          <w:color w:val="auto"/>
        </w:rPr>
      </w:pPr>
    </w:p>
    <w:p>
      <w:pPr>
        <w:ind w:left="100" w:right="20" w:firstLine="568"/>
        <w:spacing w:after="0" w:line="284" w:lineRule="auto"/>
        <w:tabs>
          <w:tab w:leader="none" w:pos="1499"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Exculpatory Provisions. The Agent shall have no duties or obligations except those expressly set forth herein and in the other Loan Documents. Without limiting the generality of the foregoing, the Agent shall not:</w:t>
      </w:r>
    </w:p>
    <w:p>
      <w:pPr>
        <w:spacing w:after="0" w:line="123" w:lineRule="exact"/>
        <w:rPr>
          <w:rFonts w:ascii="Arial" w:cs="Arial" w:eastAsia="Arial" w:hAnsi="Arial"/>
          <w:sz w:val="18"/>
          <w:szCs w:val="18"/>
          <w:color w:val="auto"/>
        </w:rPr>
      </w:pPr>
    </w:p>
    <w:p>
      <w:pPr>
        <w:ind w:left="1700" w:right="20" w:hanging="353"/>
        <w:spacing w:after="0" w:line="256" w:lineRule="auto"/>
        <w:tabs>
          <w:tab w:leader="none" w:pos="1736" w:val="left"/>
        </w:tabs>
        <w:numPr>
          <w:ilvl w:val="1"/>
          <w:numId w:val="105"/>
        </w:numPr>
        <w:rPr>
          <w:rFonts w:ascii="Arial" w:cs="Arial" w:eastAsia="Arial" w:hAnsi="Arial"/>
          <w:sz w:val="19"/>
          <w:szCs w:val="19"/>
          <w:color w:val="auto"/>
        </w:rPr>
      </w:pPr>
      <w:r>
        <w:rPr>
          <w:rFonts w:ascii="Arial" w:cs="Arial" w:eastAsia="Arial" w:hAnsi="Arial"/>
          <w:sz w:val="19"/>
          <w:szCs w:val="19"/>
          <w:color w:val="auto"/>
        </w:rPr>
        <w:t>be subject to any fiduciary or other implied duties, regardless of whether any default or any Event of Default has occurred and is continuing;</w:t>
      </w:r>
    </w:p>
    <w:p>
      <w:pPr>
        <w:spacing w:after="0" w:line="146" w:lineRule="exact"/>
        <w:rPr>
          <w:rFonts w:ascii="Arial" w:cs="Arial" w:eastAsia="Arial" w:hAnsi="Arial"/>
          <w:sz w:val="19"/>
          <w:szCs w:val="19"/>
          <w:color w:val="auto"/>
        </w:rPr>
      </w:pPr>
    </w:p>
    <w:p>
      <w:pPr>
        <w:jc w:val="both"/>
        <w:ind w:left="1700" w:hanging="353"/>
        <w:spacing w:after="0" w:line="255" w:lineRule="auto"/>
        <w:tabs>
          <w:tab w:leader="none" w:pos="1873" w:val="left"/>
        </w:tabs>
        <w:numPr>
          <w:ilvl w:val="1"/>
          <w:numId w:val="105"/>
        </w:numPr>
        <w:rPr>
          <w:rFonts w:ascii="Arial" w:cs="Arial" w:eastAsia="Arial" w:hAnsi="Arial"/>
          <w:sz w:val="18"/>
          <w:szCs w:val="18"/>
          <w:color w:val="auto"/>
        </w:rPr>
      </w:pPr>
      <w:r>
        <w:rPr>
          <w:rFonts w:ascii="Arial" w:cs="Arial" w:eastAsia="Arial" w:hAnsi="Arial"/>
          <w:sz w:val="18"/>
          <w:szCs w:val="18"/>
          <w:color w:val="auto"/>
        </w:rPr>
        <w:t>have any duty to take any discretionary action or exercise any discretionary powers, except discretionary rights and powers expressly contemplated hereby or by the other Loan Documents that the Agent is required to exercise as directed in writing by the Lenders; provided that the Agent shall not be required to take any action that, in its opinion or the opinion of its counsel, may expose the Agent to liability or that is contrary to any Loan Document or applicable law; and</w:t>
      </w:r>
    </w:p>
    <w:p>
      <w:pPr>
        <w:spacing w:after="0" w:line="150" w:lineRule="exact"/>
        <w:rPr>
          <w:rFonts w:ascii="Arial" w:cs="Arial" w:eastAsia="Arial" w:hAnsi="Arial"/>
          <w:sz w:val="18"/>
          <w:szCs w:val="18"/>
          <w:color w:val="auto"/>
        </w:rPr>
      </w:pPr>
    </w:p>
    <w:p>
      <w:pPr>
        <w:jc w:val="both"/>
        <w:ind w:left="1700" w:right="20" w:hanging="353"/>
        <w:spacing w:after="0" w:line="244" w:lineRule="auto"/>
        <w:tabs>
          <w:tab w:leader="none" w:pos="1732" w:val="left"/>
        </w:tabs>
        <w:numPr>
          <w:ilvl w:val="1"/>
          <w:numId w:val="105"/>
        </w:numPr>
        <w:rPr>
          <w:rFonts w:ascii="Arial" w:cs="Arial" w:eastAsia="Arial" w:hAnsi="Arial"/>
          <w:sz w:val="19"/>
          <w:szCs w:val="19"/>
          <w:color w:val="auto"/>
        </w:rPr>
      </w:pPr>
      <w:r>
        <w:rPr>
          <w:rFonts w:ascii="Arial" w:cs="Arial" w:eastAsia="Arial" w:hAnsi="Arial"/>
          <w:sz w:val="19"/>
          <w:szCs w:val="19"/>
          <w:color w:val="auto"/>
        </w:rPr>
        <w:t>except as expressly set forth herein and in the other Loan Documents, have any duty to disclose, and the Agent shall not be liable for the failure to disclose, any information relating to the Borrower or any of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666750</wp:posOffset>
            </wp:positionV>
            <wp:extent cx="6311265" cy="2222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480"/>
          </w:cols>
          <w:pgMar w:left="1440" w:top="775" w:right="979" w:bottom="1440" w:gutter="0" w:footer="0" w:header="0"/>
        </w:sectPr>
      </w:pPr>
    </w:p>
    <w:bookmarkStart w:id="186" w:name="page187"/>
    <w:bookmarkEnd w:id="186"/>
    <w:p>
      <w:pPr>
        <w:ind w:left="1520"/>
        <w:spacing w:after="0" w:line="256" w:lineRule="auto"/>
        <w:rPr>
          <w:sz w:val="20"/>
          <w:szCs w:val="20"/>
          <w:color w:val="auto"/>
        </w:rPr>
      </w:pPr>
      <w:r>
        <w:rPr>
          <w:rFonts w:ascii="Arial" w:cs="Arial" w:eastAsia="Arial" w:hAnsi="Arial"/>
          <w:sz w:val="19"/>
          <w:szCs w:val="19"/>
          <w:color w:val="auto"/>
        </w:rPr>
        <w:t>Affiliates that is communicated to or obtained by any Person serving as the Agent or any of its Affiliates in any capacity.</w:t>
      </w:r>
    </w:p>
    <w:p>
      <w:pPr>
        <w:spacing w:after="0" w:line="147" w:lineRule="exact"/>
        <w:rPr>
          <w:sz w:val="20"/>
          <w:szCs w:val="20"/>
          <w:color w:val="auto"/>
        </w:rPr>
      </w:pPr>
    </w:p>
    <w:p>
      <w:pPr>
        <w:jc w:val="both"/>
        <w:ind w:left="100" w:right="20" w:firstLine="568"/>
        <w:spacing w:after="0" w:line="244" w:lineRule="auto"/>
        <w:tabs>
          <w:tab w:leader="none" w:pos="1368" w:val="left"/>
        </w:tabs>
        <w:numPr>
          <w:ilvl w:val="0"/>
          <w:numId w:val="106"/>
        </w:numPr>
        <w:rPr>
          <w:rFonts w:ascii="Arial" w:cs="Arial" w:eastAsia="Arial" w:hAnsi="Arial"/>
          <w:sz w:val="19"/>
          <w:szCs w:val="19"/>
          <w:color w:val="auto"/>
        </w:rPr>
      </w:pPr>
      <w:r>
        <w:rPr>
          <w:rFonts w:ascii="Arial" w:cs="Arial" w:eastAsia="Arial" w:hAnsi="Arial"/>
          <w:sz w:val="19"/>
          <w:szCs w:val="19"/>
          <w:color w:val="auto"/>
        </w:rPr>
        <w:t>The Agent shall not be liable for any action taken or not taken by it (i) with the consent or at the request of the Lenders or as the Agent shall believe in good faith shall be necessary, under the circumstances or (ii) in the absence of its own gross negligence or willful misconduct.</w:t>
      </w:r>
    </w:p>
    <w:p>
      <w:pPr>
        <w:spacing w:after="0" w:line="158" w:lineRule="exact"/>
        <w:rPr>
          <w:rFonts w:ascii="Arial" w:cs="Arial" w:eastAsia="Arial" w:hAnsi="Arial"/>
          <w:sz w:val="19"/>
          <w:szCs w:val="19"/>
          <w:color w:val="auto"/>
        </w:rPr>
      </w:pPr>
    </w:p>
    <w:p>
      <w:pPr>
        <w:jc w:val="both"/>
        <w:ind w:left="100" w:firstLine="568"/>
        <w:spacing w:after="0" w:line="263" w:lineRule="auto"/>
        <w:tabs>
          <w:tab w:leader="none" w:pos="155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or Event of Default, (iv) the validity, enforceability, effectiveness or genuineness of this Agreement, any other Loan Document or any other agreement, instrument or document or (v) the satisfaction of any condition set forth in Section 4 or elsewhere herein, other than to confirm receipt of items expressly required to be delivered to the Agent. Reliance by Agent. Agent may rely, and shall be fully protected in acting, or refraining to act, upon, any resolution, statement, certificate, instrument, opinion, report, notice, request, consent, order, bond or other paper or document that it has no reason to believe to be other than genuine and to have been signed or presented by the proper party or parties or, in the case of cables, telecopies and telexes, to have been sent by the proper party or parties. In the absence of its gross negligence or willful misconduct, Agent may conclusively rely, as to the truth of the statements and the correctness of the opinions expressed therein, upon any certificates or opinions furnished to Agent and conforming to the requirements of this Agreement or any of the other Loan Documents. Agent may consult with counsel, and any opinion or legal advice of such counsel shall be full and complete authorization and protection in respect of any action taken, not taken or suffered by Agent hereunder or under any Loan Documents in accordance therewith. Agent shall have the right at any time to seek instructions concerning the administration of the Collateral from any court of competent jurisdiction. Agent shall not be under any obligation to exercise any of the rights or powers granted to Agent by this Agreement and the other Loan Documents at the request or direction of the Lenders unless Agent shall have been provided by the Lenders with adequate security and indemnity against the costs, expenses and liabilities that may be incurred by it in compliance with such request or direction.</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480"/>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307340</wp:posOffset>
            </wp:positionV>
            <wp:extent cx="6311265" cy="2222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480"/>
          </w:cols>
          <w:pgMar w:left="1440" w:top="781" w:right="979" w:bottom="1440" w:gutter="0" w:footer="0" w:header="0"/>
        </w:sectPr>
      </w:pPr>
    </w:p>
    <w:bookmarkStart w:id="187" w:name="page188"/>
    <w:bookmarkEnd w:id="187"/>
    <w:tbl>
      <w:tblPr>
        <w:tblLayout w:type="fixed"/>
        <w:tblInd w:w="0" w:type="dxa"/>
        <w:tblCellMar>
          <w:top w:w="0" w:type="dxa"/>
          <w:left w:w="0" w:type="dxa"/>
          <w:bottom w:w="0" w:type="dxa"/>
          <w:right w:w="0" w:type="dxa"/>
        </w:tblCellMar>
      </w:tblPr>
      <w:tr>
        <w:trPr>
          <w:trHeight w:val="246"/>
        </w:trPr>
        <w:tc>
          <w:tcPr>
            <w:tcW w:w="2540" w:type="dxa"/>
            <w:vAlign w:val="bottom"/>
          </w:tcPr>
          <w:p>
            <w:pPr>
              <w:spacing w:after="0"/>
              <w:rPr>
                <w:sz w:val="21"/>
                <w:szCs w:val="21"/>
                <w:color w:val="auto"/>
              </w:rPr>
            </w:pPr>
          </w:p>
        </w:tc>
        <w:tc>
          <w:tcPr>
            <w:tcW w:w="5260" w:type="dxa"/>
            <w:vAlign w:val="bottom"/>
          </w:tcPr>
          <w:p>
            <w:pPr>
              <w:jc w:val="center"/>
              <w:ind w:right="326"/>
              <w:spacing w:after="0"/>
              <w:rPr>
                <w:sz w:val="20"/>
                <w:szCs w:val="20"/>
                <w:color w:val="auto"/>
              </w:rPr>
            </w:pPr>
            <w:r>
              <w:rPr>
                <w:rFonts w:ascii="Arial" w:cs="Arial" w:eastAsia="Arial" w:hAnsi="Arial"/>
                <w:sz w:val="19"/>
                <w:szCs w:val="19"/>
                <w:b w:val="1"/>
                <w:bCs w:val="1"/>
                <w:color w:val="auto"/>
              </w:rPr>
              <w:t>EXHIBIT A</w:t>
            </w:r>
          </w:p>
        </w:tc>
        <w:tc>
          <w:tcPr>
            <w:tcW w:w="940" w:type="dxa"/>
            <w:vAlign w:val="bottom"/>
          </w:tcPr>
          <w:p>
            <w:pPr>
              <w:spacing w:after="0"/>
              <w:rPr>
                <w:sz w:val="21"/>
                <w:szCs w:val="21"/>
                <w:color w:val="auto"/>
              </w:rPr>
            </w:pPr>
          </w:p>
        </w:tc>
        <w:tc>
          <w:tcPr>
            <w:tcW w:w="460" w:type="dxa"/>
            <w:vAlign w:val="bottom"/>
          </w:tcPr>
          <w:p>
            <w:pPr>
              <w:spacing w:after="0"/>
              <w:rPr>
                <w:sz w:val="21"/>
                <w:szCs w:val="21"/>
                <w:color w:val="auto"/>
              </w:rPr>
            </w:pPr>
          </w:p>
        </w:tc>
      </w:tr>
      <w:tr>
        <w:trPr>
          <w:trHeight w:val="401"/>
        </w:trPr>
        <w:tc>
          <w:tcPr>
            <w:tcW w:w="2540" w:type="dxa"/>
            <w:vAlign w:val="bottom"/>
          </w:tcPr>
          <w:p>
            <w:pPr>
              <w:spacing w:after="0"/>
              <w:rPr>
                <w:sz w:val="24"/>
                <w:szCs w:val="24"/>
                <w:color w:val="auto"/>
              </w:rPr>
            </w:pPr>
          </w:p>
        </w:tc>
        <w:tc>
          <w:tcPr>
            <w:tcW w:w="5260" w:type="dxa"/>
            <w:vAlign w:val="bottom"/>
          </w:tcPr>
          <w:p>
            <w:pPr>
              <w:jc w:val="center"/>
              <w:ind w:right="306"/>
              <w:spacing w:after="0"/>
              <w:rPr>
                <w:sz w:val="20"/>
                <w:szCs w:val="20"/>
                <w:color w:val="auto"/>
              </w:rPr>
            </w:pPr>
            <w:r>
              <w:rPr>
                <w:rFonts w:ascii="Arial" w:cs="Arial" w:eastAsia="Arial" w:hAnsi="Arial"/>
                <w:sz w:val="19"/>
                <w:szCs w:val="19"/>
                <w:b w:val="1"/>
                <w:bCs w:val="1"/>
                <w:color w:val="auto"/>
                <w:w w:val="97"/>
              </w:rPr>
              <w:t>ADVANCE REQUEST</w:t>
            </w: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68"/>
        </w:trPr>
        <w:tc>
          <w:tcPr>
            <w:tcW w:w="2540" w:type="dxa"/>
            <w:vAlign w:val="bottom"/>
          </w:tcPr>
          <w:p>
            <w:pPr>
              <w:spacing w:after="0"/>
              <w:rPr>
                <w:sz w:val="20"/>
                <w:szCs w:val="20"/>
                <w:color w:val="auto"/>
              </w:rPr>
            </w:pPr>
            <w:r>
              <w:rPr>
                <w:rFonts w:ascii="Arial" w:cs="Arial" w:eastAsia="Arial" w:hAnsi="Arial"/>
                <w:sz w:val="19"/>
                <w:szCs w:val="19"/>
                <w:color w:val="auto"/>
              </w:rPr>
              <w:t>To:   Agent:</w:t>
            </w:r>
          </w:p>
        </w:tc>
        <w:tc>
          <w:tcPr>
            <w:tcW w:w="5260" w:type="dxa"/>
            <w:vAlign w:val="bottom"/>
          </w:tcPr>
          <w:p>
            <w:pPr>
              <w:ind w:left="4660"/>
              <w:spacing w:after="0"/>
              <w:rPr>
                <w:sz w:val="20"/>
                <w:szCs w:val="20"/>
                <w:color w:val="auto"/>
              </w:rPr>
            </w:pPr>
            <w:r>
              <w:rPr>
                <w:rFonts w:ascii="Arial" w:cs="Arial" w:eastAsia="Arial" w:hAnsi="Arial"/>
                <w:sz w:val="19"/>
                <w:szCs w:val="19"/>
                <w:color w:val="auto"/>
              </w:rPr>
              <w:t>Date:</w:t>
            </w:r>
          </w:p>
        </w:tc>
        <w:tc>
          <w:tcPr>
            <w:tcW w:w="1400" w:type="dxa"/>
            <w:vAlign w:val="bottom"/>
            <w:gridSpan w:val="2"/>
          </w:tcPr>
          <w:p>
            <w:pPr>
              <w:jc w:val="right"/>
              <w:spacing w:after="0"/>
              <w:rPr>
                <w:sz w:val="20"/>
                <w:szCs w:val="20"/>
                <w:color w:val="auto"/>
              </w:rPr>
            </w:pPr>
            <w:r>
              <w:rPr>
                <w:rFonts w:ascii="Arial" w:cs="Arial" w:eastAsia="Arial" w:hAnsi="Arial"/>
                <w:sz w:val="19"/>
                <w:szCs w:val="19"/>
                <w:color w:val="auto"/>
              </w:rPr>
              <w:t>, 2020</w:t>
            </w:r>
          </w:p>
        </w:tc>
      </w:tr>
      <w:tr>
        <w:trPr>
          <w:trHeight w:val="20"/>
        </w:trPr>
        <w:tc>
          <w:tcPr>
            <w:tcW w:w="254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bl>
    <w:p>
      <w:pPr>
        <w:spacing w:after="0" w:line="217" w:lineRule="exact"/>
        <w:rPr>
          <w:sz w:val="20"/>
          <w:szCs w:val="20"/>
          <w:color w:val="auto"/>
        </w:rPr>
      </w:pPr>
    </w:p>
    <w:p>
      <w:pPr>
        <w:ind w:left="560"/>
        <w:spacing w:after="0"/>
        <w:rPr>
          <w:sz w:val="20"/>
          <w:szCs w:val="20"/>
          <w:color w:val="auto"/>
        </w:rPr>
      </w:pPr>
      <w:r>
        <w:rPr>
          <w:rFonts w:ascii="Arial" w:cs="Arial" w:eastAsia="Arial" w:hAnsi="Arial"/>
          <w:sz w:val="19"/>
          <w:szCs w:val="19"/>
          <w:color w:val="auto"/>
        </w:rPr>
        <w:t>Hercules Capital, Inc. (the “Agent”)</w:t>
      </w:r>
    </w:p>
    <w:p>
      <w:pPr>
        <w:spacing w:after="0" w:line="3" w:lineRule="exact"/>
        <w:rPr>
          <w:sz w:val="20"/>
          <w:szCs w:val="20"/>
          <w:color w:val="auto"/>
        </w:rPr>
      </w:pPr>
    </w:p>
    <w:p>
      <w:pPr>
        <w:ind w:left="560"/>
        <w:spacing w:after="0"/>
        <w:rPr>
          <w:sz w:val="20"/>
          <w:szCs w:val="20"/>
          <w:color w:val="auto"/>
        </w:rPr>
      </w:pPr>
      <w:r>
        <w:rPr>
          <w:rFonts w:ascii="Arial" w:cs="Arial" w:eastAsia="Arial" w:hAnsi="Arial"/>
          <w:sz w:val="19"/>
          <w:szCs w:val="19"/>
          <w:color w:val="auto"/>
        </w:rPr>
        <w:t>400 Hamilton Avenue, Suite 310</w:t>
      </w:r>
    </w:p>
    <w:p>
      <w:pPr>
        <w:ind w:left="560"/>
        <w:spacing w:after="0" w:line="233" w:lineRule="auto"/>
        <w:rPr>
          <w:sz w:val="20"/>
          <w:szCs w:val="20"/>
          <w:color w:val="auto"/>
        </w:rPr>
      </w:pPr>
      <w:r>
        <w:rPr>
          <w:rFonts w:ascii="Arial" w:cs="Arial" w:eastAsia="Arial" w:hAnsi="Arial"/>
          <w:sz w:val="19"/>
          <w:szCs w:val="19"/>
          <w:color w:val="auto"/>
        </w:rPr>
        <w:t>Palo Alto, CA 94301</w:t>
      </w:r>
    </w:p>
    <w:p>
      <w:pPr>
        <w:ind w:left="560"/>
        <w:spacing w:after="0" w:line="233" w:lineRule="auto"/>
        <w:rPr>
          <w:sz w:val="20"/>
          <w:szCs w:val="20"/>
          <w:color w:val="auto"/>
        </w:rPr>
      </w:pPr>
      <w:r>
        <w:rPr>
          <w:rFonts w:ascii="Arial" w:cs="Arial" w:eastAsia="Arial" w:hAnsi="Arial"/>
          <w:sz w:val="19"/>
          <w:szCs w:val="19"/>
          <w:color w:val="auto"/>
        </w:rPr>
        <w:t>email: legal@htgc.com</w:t>
      </w:r>
    </w:p>
    <w:p>
      <w:pPr>
        <w:ind w:left="560"/>
        <w:spacing w:after="0"/>
        <w:rPr>
          <w:sz w:val="20"/>
          <w:szCs w:val="20"/>
          <w:color w:val="auto"/>
        </w:rPr>
      </w:pPr>
      <w:r>
        <w:rPr>
          <w:rFonts w:ascii="Arial" w:cs="Arial" w:eastAsia="Arial" w:hAnsi="Arial"/>
          <w:sz w:val="19"/>
          <w:szCs w:val="19"/>
          <w:color w:val="auto"/>
        </w:rPr>
        <w:t>Attn: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Axsome Therapeutics, Inc. (“Borrower”) hereby requests from Hercules Capital, Inc. (“Lender”) an Advance in the amount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 Dollars ($________________) (the “Advance Amount”) on ______________, _____ (the “Advance</w:t>
      </w:r>
    </w:p>
    <w:p>
      <w:pPr>
        <w:spacing w:after="0" w:line="17" w:lineRule="exact"/>
        <w:rPr>
          <w:sz w:val="20"/>
          <w:szCs w:val="20"/>
          <w:color w:val="auto"/>
        </w:rPr>
      </w:pPr>
    </w:p>
    <w:p>
      <w:pPr>
        <w:jc w:val="both"/>
        <w:ind w:right="20"/>
        <w:spacing w:after="0" w:line="237" w:lineRule="auto"/>
        <w:rPr>
          <w:sz w:val="20"/>
          <w:szCs w:val="20"/>
          <w:color w:val="auto"/>
        </w:rPr>
      </w:pPr>
      <w:r>
        <w:rPr>
          <w:rFonts w:ascii="Arial" w:cs="Arial" w:eastAsia="Arial" w:hAnsi="Arial"/>
          <w:sz w:val="19"/>
          <w:szCs w:val="19"/>
          <w:color w:val="auto"/>
        </w:rPr>
        <w:t>Date”) pursuant to the Loan and Security Agreement, dated September 25, 2020 among Borrower, Agent and the Lender (the “Agreement”). Capitalized words and other terms used but not otherwise defined herein are used with the same meanings as defined in the Agreement.</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color w:val="auto"/>
        </w:rPr>
        <w:t>Please:</w:t>
      </w:r>
    </w:p>
    <w:p>
      <w:pPr>
        <w:sectPr>
          <w:pgSz w:w="11900" w:h="16838" w:orient="portrait"/>
          <w:cols w:equalWidth="0" w:num="1">
            <w:col w:w="9940"/>
          </w:cols>
          <w:pgMar w:left="980" w:top="775" w:right="979" w:bottom="1440" w:gutter="0" w:footer="0" w:header="0"/>
        </w:sectPr>
      </w:pPr>
    </w:p>
    <w:p>
      <w:pPr>
        <w:spacing w:after="0" w:line="18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Issue a check payable to Borrower</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________</w:t>
      </w:r>
    </w:p>
    <w:p>
      <w:pPr>
        <w:spacing w:after="0" w:line="211" w:lineRule="exact"/>
        <w:rPr>
          <w:sz w:val="20"/>
          <w:szCs w:val="20"/>
          <w:color w:val="auto"/>
        </w:rPr>
      </w:pPr>
    </w:p>
    <w:p>
      <w:pPr>
        <w:sectPr>
          <w:pgSz w:w="11900" w:h="16838" w:orient="portrait"/>
          <w:cols w:equalWidth="0" w:num="3">
            <w:col w:w="900" w:space="720"/>
            <w:col w:w="2620" w:space="660"/>
            <w:col w:w="5040"/>
          </w:cols>
          <w:pgMar w:left="980" w:top="775" w:right="979" w:bottom="1440" w:gutter="0" w:footer="0" w:header="0"/>
          <w:type w:val="continuous"/>
        </w:sectPr>
      </w:pPr>
    </w:p>
    <w:p>
      <w:pPr>
        <w:spacing w:after="0" w:line="29" w:lineRule="exact"/>
        <w:rPr>
          <w:sz w:val="20"/>
          <w:szCs w:val="20"/>
          <w:color w:val="auto"/>
        </w:rPr>
      </w:pPr>
    </w:p>
    <w:p>
      <w:pPr>
        <w:ind w:left="2880"/>
        <w:spacing w:after="0"/>
        <w:rPr>
          <w:sz w:val="20"/>
          <w:szCs w:val="20"/>
          <w:color w:val="auto"/>
        </w:rPr>
      </w:pPr>
      <w:r>
        <w:rPr>
          <w:rFonts w:ascii="Arial" w:cs="Arial" w:eastAsia="Arial" w:hAnsi="Arial"/>
          <w:sz w:val="17"/>
          <w:szCs w:val="17"/>
          <w:color w:val="auto"/>
        </w:rPr>
        <w:t>or</w:t>
      </w:r>
    </w:p>
    <w:p>
      <w:pPr>
        <w:sectPr>
          <w:pgSz w:w="11900" w:h="16838" w:orient="portrait"/>
          <w:cols w:equalWidth="0" w:num="1">
            <w:col w:w="9940"/>
          </w:cols>
          <w:pgMar w:left="980" w:top="775" w:right="979" w:bottom="1440" w:gutter="0" w:footer="0" w:header="0"/>
          <w:type w:val="continuous"/>
        </w:sectPr>
      </w:pP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(b)</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tabs>
          <w:tab w:leader="none" w:pos="3260" w:val="left"/>
        </w:tabs>
        <w:rPr>
          <w:sz w:val="20"/>
          <w:szCs w:val="20"/>
          <w:color w:val="auto"/>
        </w:rPr>
      </w:pPr>
      <w:r>
        <w:rPr>
          <w:rFonts w:ascii="Arial" w:cs="Arial" w:eastAsia="Arial" w:hAnsi="Arial"/>
          <w:sz w:val="19"/>
          <w:szCs w:val="19"/>
          <w:color w:val="auto"/>
        </w:rPr>
        <w:t>Wire Funds to Borrower’s account</w:t>
      </w:r>
      <w:r>
        <w:rPr>
          <w:sz w:val="20"/>
          <w:szCs w:val="20"/>
          <w:color w:val="auto"/>
        </w:rPr>
        <w:tab/>
      </w:r>
      <w:r>
        <w:rPr>
          <w:rFonts w:ascii="Arial" w:cs="Arial" w:eastAsia="Arial" w:hAnsi="Arial"/>
          <w:sz w:val="18"/>
          <w:szCs w:val="18"/>
          <w:color w:val="auto"/>
        </w:rPr>
        <w:t>________ [IF FILED PUBLICLY, ACCOUNT INFO</w:t>
      </w:r>
    </w:p>
    <w:p>
      <w:pPr>
        <w:spacing w:after="0" w:line="15" w:lineRule="exact"/>
        <w:rPr>
          <w:sz w:val="20"/>
          <w:szCs w:val="20"/>
          <w:color w:val="auto"/>
        </w:rPr>
      </w:pPr>
    </w:p>
    <w:p>
      <w:pPr>
        <w:sectPr>
          <w:pgSz w:w="11900" w:h="16838" w:orient="portrait"/>
          <w:cols w:equalWidth="0" w:num="2">
            <w:col w:w="900" w:space="720"/>
            <w:col w:w="8320"/>
          </w:cols>
          <w:pgMar w:left="980" w:top="775" w:right="979" w:bottom="1440" w:gutter="0" w:footer="0" w:header="0"/>
          <w:type w:val="continuous"/>
        </w:sectPr>
      </w:pPr>
    </w:p>
    <w:p>
      <w:pPr>
        <w:ind w:left="1620"/>
        <w:spacing w:after="0"/>
        <w:rPr>
          <w:sz w:val="20"/>
          <w:szCs w:val="20"/>
          <w:color w:val="auto"/>
        </w:rPr>
      </w:pPr>
      <w:r>
        <w:rPr>
          <w:rFonts w:ascii="Arial" w:cs="Arial" w:eastAsia="Arial" w:hAnsi="Arial"/>
          <w:sz w:val="19"/>
          <w:szCs w:val="19"/>
          <w:color w:val="auto"/>
        </w:rPr>
        <w:t>REDACTED FOR SECURITY PURPOSES]</w:t>
      </w:r>
    </w:p>
    <w:p>
      <w:pPr>
        <w:spacing w:after="0" w:line="184" w:lineRule="exact"/>
        <w:rPr>
          <w:sz w:val="20"/>
          <w:szCs w:val="20"/>
          <w:color w:val="auto"/>
        </w:rPr>
      </w:pPr>
    </w:p>
    <w:p>
      <w:pPr>
        <w:ind w:left="1620"/>
        <w:spacing w:after="0"/>
        <w:rPr>
          <w:sz w:val="20"/>
          <w:szCs w:val="20"/>
          <w:color w:val="auto"/>
        </w:rPr>
      </w:pPr>
      <w:r>
        <w:rPr>
          <w:rFonts w:ascii="Arial" w:cs="Arial" w:eastAsia="Arial" w:hAnsi="Arial"/>
          <w:sz w:val="19"/>
          <w:szCs w:val="19"/>
          <w:color w:val="auto"/>
        </w:rPr>
        <w:t>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2729230</wp:posOffset>
            </wp:positionH>
            <wp:positionV relativeFrom="paragraph">
              <wp:posOffset>8255</wp:posOffset>
            </wp:positionV>
            <wp:extent cx="1841500" cy="76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1841500" cy="7620"/>
                    </a:xfrm>
                    <a:prstGeom prst="rect">
                      <a:avLst/>
                    </a:prstGeom>
                    <a:noFill/>
                  </pic:spPr>
                </pic:pic>
              </a:graphicData>
            </a:graphic>
          </wp:anchor>
        </w:drawing>
      </w:r>
    </w:p>
    <w:p>
      <w:pPr>
        <w:spacing w:after="0" w:line="2" w:lineRule="exact"/>
        <w:rPr>
          <w:sz w:val="20"/>
          <w:szCs w:val="20"/>
          <w:color w:val="auto"/>
        </w:rPr>
      </w:pPr>
    </w:p>
    <w:p>
      <w:pPr>
        <w:ind w:left="1620"/>
        <w:spacing w:after="0"/>
        <w:rPr>
          <w:sz w:val="20"/>
          <w:szCs w:val="20"/>
          <w:color w:val="auto"/>
        </w:rPr>
      </w:pPr>
      <w:r>
        <w:rPr>
          <w:rFonts w:ascii="Arial" w:cs="Arial" w:eastAsia="Arial" w:hAnsi="Arial"/>
          <w:sz w:val="19"/>
          <w:szCs w:val="19"/>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2729230</wp:posOffset>
            </wp:positionH>
            <wp:positionV relativeFrom="paragraph">
              <wp:posOffset>-1270</wp:posOffset>
            </wp:positionV>
            <wp:extent cx="1841500" cy="76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1841500" cy="7620"/>
                    </a:xfrm>
                    <a:prstGeom prst="rect">
                      <a:avLst/>
                    </a:prstGeom>
                    <a:noFill/>
                  </pic:spPr>
                </pic:pic>
              </a:graphicData>
            </a:graphic>
          </wp:anchor>
        </w:drawing>
      </w:r>
    </w:p>
    <w:p>
      <w:pPr>
        <w:spacing w:after="0" w:line="194" w:lineRule="exact"/>
        <w:rPr>
          <w:sz w:val="20"/>
          <w:szCs w:val="20"/>
          <w:color w:val="auto"/>
        </w:rPr>
      </w:pPr>
    </w:p>
    <w:p>
      <w:pPr>
        <w:ind w:left="1620"/>
        <w:spacing w:after="0"/>
        <w:rPr>
          <w:sz w:val="20"/>
          <w:szCs w:val="20"/>
          <w:color w:val="auto"/>
        </w:rPr>
      </w:pPr>
      <w:r>
        <w:rPr>
          <w:rFonts w:ascii="Arial" w:cs="Arial" w:eastAsia="Arial" w:hAnsi="Arial"/>
          <w:sz w:val="19"/>
          <w:szCs w:val="19"/>
          <w:color w:val="auto"/>
        </w:rPr>
        <w:t>ABA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2729230</wp:posOffset>
            </wp:positionH>
            <wp:positionV relativeFrom="paragraph">
              <wp:posOffset>8255</wp:posOffset>
            </wp:positionV>
            <wp:extent cx="1841500" cy="76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1841500" cy="7620"/>
                    </a:xfrm>
                    <a:prstGeom prst="rect">
                      <a:avLst/>
                    </a:prstGeom>
                    <a:noFill/>
                  </pic:spPr>
                </pic:pic>
              </a:graphicData>
            </a:graphic>
          </wp:anchor>
        </w:drawing>
        <w:drawing>
          <wp:anchor simplePos="0" relativeHeight="251657728" behindDoc="1" locked="0" layoutInCell="0" allowOverlap="1">
            <wp:simplePos x="0" y="0"/>
            <wp:positionH relativeFrom="column">
              <wp:posOffset>2729230</wp:posOffset>
            </wp:positionH>
            <wp:positionV relativeFrom="paragraph">
              <wp:posOffset>-133350</wp:posOffset>
            </wp:positionV>
            <wp:extent cx="1841500" cy="76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1841500" cy="7620"/>
                    </a:xfrm>
                    <a:prstGeom prst="rect">
                      <a:avLst/>
                    </a:prstGeom>
                    <a:noFill/>
                  </pic:spPr>
                </pic:pic>
              </a:graphicData>
            </a:graphic>
          </wp:anchor>
        </w:drawing>
      </w:r>
    </w:p>
    <w:p>
      <w:pPr>
        <w:spacing w:after="0" w:line="2" w:lineRule="exact"/>
        <w:rPr>
          <w:sz w:val="20"/>
          <w:szCs w:val="20"/>
          <w:color w:val="auto"/>
        </w:rPr>
      </w:pPr>
    </w:p>
    <w:p>
      <w:pPr>
        <w:ind w:left="1620"/>
        <w:spacing w:after="0"/>
        <w:rPr>
          <w:sz w:val="20"/>
          <w:szCs w:val="20"/>
          <w:color w:val="auto"/>
        </w:rPr>
      </w:pPr>
      <w:r>
        <w:rPr>
          <w:rFonts w:ascii="Arial" w:cs="Arial" w:eastAsia="Arial" w:hAnsi="Arial"/>
          <w:sz w:val="19"/>
          <w:szCs w:val="19"/>
          <w:color w:val="auto"/>
        </w:rPr>
        <w:t>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2729230</wp:posOffset>
            </wp:positionH>
            <wp:positionV relativeFrom="paragraph">
              <wp:posOffset>-1270</wp:posOffset>
            </wp:positionV>
            <wp:extent cx="1841500" cy="76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1841500" cy="7620"/>
                    </a:xfrm>
                    <a:prstGeom prst="rect">
                      <a:avLst/>
                    </a:prstGeom>
                    <a:noFill/>
                  </pic:spPr>
                </pic:pic>
              </a:graphicData>
            </a:graphic>
          </wp:anchor>
        </w:drawing>
      </w:r>
    </w:p>
    <w:p>
      <w:pPr>
        <w:ind w:left="1620"/>
        <w:spacing w:after="0"/>
        <w:rPr>
          <w:sz w:val="20"/>
          <w:szCs w:val="20"/>
          <w:color w:val="auto"/>
        </w:rPr>
      </w:pPr>
      <w:r>
        <w:rPr>
          <w:rFonts w:ascii="Arial" w:cs="Arial" w:eastAsia="Arial" w:hAnsi="Arial"/>
          <w:sz w:val="19"/>
          <w:szCs w:val="19"/>
          <w:color w:val="auto"/>
        </w:rPr>
        <w:t>Account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2729230</wp:posOffset>
            </wp:positionH>
            <wp:positionV relativeFrom="paragraph">
              <wp:posOffset>-1270</wp:posOffset>
            </wp:positionV>
            <wp:extent cx="1841500" cy="76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1841500" cy="7620"/>
                    </a:xfrm>
                    <a:prstGeom prst="rect">
                      <a:avLst/>
                    </a:prstGeom>
                    <a:noFill/>
                  </pic:spPr>
                </pic:pic>
              </a:graphicData>
            </a:graphic>
          </wp:anchor>
        </w:drawing>
      </w:r>
    </w:p>
    <w:p>
      <w:pPr>
        <w:ind w:left="1620"/>
        <w:spacing w:after="0"/>
        <w:rPr>
          <w:sz w:val="20"/>
          <w:szCs w:val="20"/>
          <w:color w:val="auto"/>
        </w:rPr>
      </w:pPr>
      <w:r>
        <w:rPr>
          <w:rFonts w:ascii="Arial" w:cs="Arial" w:eastAsia="Arial" w:hAnsi="Arial"/>
          <w:sz w:val="19"/>
          <w:szCs w:val="19"/>
          <w:color w:val="auto"/>
        </w:rPr>
        <w:t>Contact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2729230</wp:posOffset>
            </wp:positionH>
            <wp:positionV relativeFrom="paragraph">
              <wp:posOffset>-1270</wp:posOffset>
            </wp:positionV>
            <wp:extent cx="1841500" cy="76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1841500" cy="7620"/>
                    </a:xfrm>
                    <a:prstGeom prst="rect">
                      <a:avLst/>
                    </a:prstGeom>
                    <a:noFill/>
                  </pic:spPr>
                </pic:pic>
              </a:graphicData>
            </a:graphic>
          </wp:anchor>
        </w:drawing>
      </w:r>
    </w:p>
    <w:p>
      <w:pPr>
        <w:ind w:left="1620"/>
        <w:spacing w:after="0"/>
        <w:rPr>
          <w:sz w:val="20"/>
          <w:szCs w:val="20"/>
          <w:color w:val="auto"/>
        </w:rPr>
      </w:pPr>
      <w:r>
        <w:rPr>
          <w:rFonts w:ascii="Arial" w:cs="Arial" w:eastAsia="Arial" w:hAnsi="Arial"/>
          <w:sz w:val="19"/>
          <w:szCs w:val="19"/>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2729230</wp:posOffset>
            </wp:positionH>
            <wp:positionV relativeFrom="paragraph">
              <wp:posOffset>-1270</wp:posOffset>
            </wp:positionV>
            <wp:extent cx="1841500" cy="76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1841500" cy="7620"/>
                    </a:xfrm>
                    <a:prstGeom prst="rect">
                      <a:avLst/>
                    </a:prstGeom>
                    <a:noFill/>
                  </pic:spPr>
                </pic:pic>
              </a:graphicData>
            </a:graphic>
          </wp:anchor>
        </w:drawing>
      </w:r>
    </w:p>
    <w:p>
      <w:pPr>
        <w:ind w:left="1620"/>
        <w:spacing w:after="0"/>
        <w:rPr>
          <w:sz w:val="20"/>
          <w:szCs w:val="20"/>
          <w:color w:val="auto"/>
        </w:rPr>
      </w:pPr>
      <w:r>
        <w:rPr>
          <w:rFonts w:ascii="Arial" w:cs="Arial" w:eastAsia="Arial" w:hAnsi="Arial"/>
          <w:sz w:val="19"/>
          <w:szCs w:val="19"/>
          <w:color w:val="auto"/>
        </w:rPr>
        <w:t>To Verify Wire Info: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2729230</wp:posOffset>
            </wp:positionH>
            <wp:positionV relativeFrom="paragraph">
              <wp:posOffset>-1270</wp:posOffset>
            </wp:positionV>
            <wp:extent cx="1841500" cy="76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1841500" cy="7620"/>
                    </a:xfrm>
                    <a:prstGeom prst="rect">
                      <a:avLst/>
                    </a:prstGeom>
                    <a:noFill/>
                  </pic:spPr>
                </pic:pic>
              </a:graphicData>
            </a:graphic>
          </wp:anchor>
        </w:drawing>
      </w:r>
    </w:p>
    <w:p>
      <w:pPr>
        <w:ind w:left="1620"/>
        <w:spacing w:after="0"/>
        <w:rPr>
          <w:sz w:val="20"/>
          <w:szCs w:val="20"/>
          <w:color w:val="auto"/>
        </w:rPr>
      </w:pPr>
      <w:r>
        <w:rPr>
          <w:rFonts w:ascii="Arial" w:cs="Arial" w:eastAsia="Arial" w:hAnsi="Arial"/>
          <w:sz w:val="19"/>
          <w:szCs w:val="19"/>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2729230</wp:posOffset>
            </wp:positionH>
            <wp:positionV relativeFrom="paragraph">
              <wp:posOffset>-1270</wp:posOffset>
            </wp:positionV>
            <wp:extent cx="1841500" cy="76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1841500" cy="7620"/>
                    </a:xfrm>
                    <a:prstGeom prst="rect">
                      <a:avLst/>
                    </a:prstGeom>
                    <a:noFill/>
                  </pic:spPr>
                </pic:pic>
              </a:graphicData>
            </a:graphic>
          </wp:anchor>
        </w:drawing>
      </w:r>
    </w:p>
    <w:p>
      <w:pPr>
        <w:spacing w:after="0" w:line="182" w:lineRule="exact"/>
        <w:rPr>
          <w:sz w:val="20"/>
          <w:szCs w:val="20"/>
          <w:color w:val="auto"/>
        </w:rPr>
      </w:pPr>
    </w:p>
    <w:p>
      <w:pPr>
        <w:jc w:val="both"/>
        <w:ind w:firstLine="566"/>
        <w:spacing w:after="0" w:line="271" w:lineRule="auto"/>
        <w:rPr>
          <w:sz w:val="20"/>
          <w:szCs w:val="20"/>
          <w:color w:val="auto"/>
        </w:rPr>
      </w:pPr>
      <w:r>
        <w:rPr>
          <w:rFonts w:ascii="Arial" w:cs="Arial" w:eastAsia="Arial" w:hAnsi="Arial"/>
          <w:sz w:val="17"/>
          <w:szCs w:val="17"/>
          <w:color w:val="auto"/>
        </w:rPr>
        <w:t>Borrower represents that the conditions precedent to the Advance set forth in the Agreement are satisfied or waived and shall be satisfied upon the making of such Advance, including but not limited to: (i) that no event that has had or could reasonably be expected to have a Material Adverse Effect has occurred and is continuing; (ii) that the representations and warranties set forth in the Agreement and in the Warrant are and shall be true and correct in all material respects on and as of the Advance Date with the same effect as though made on and as of such date, except to the extent such representations and warranties expressly relate to an earlier date; (iii) that Borrower is in compliance with all the terms and provisions set forth in each Loan</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307340</wp:posOffset>
            </wp:positionV>
            <wp:extent cx="6311265" cy="2222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940"/>
          </w:cols>
          <w:pgMar w:left="980" w:top="775" w:right="979" w:bottom="1440" w:gutter="0" w:footer="0" w:header="0"/>
          <w:type w:val="continuous"/>
        </w:sectPr>
      </w:pPr>
    </w:p>
    <w:bookmarkStart w:id="188" w:name="page189"/>
    <w:bookmarkEnd w:id="188"/>
    <w:p>
      <w:pPr>
        <w:jc w:val="both"/>
        <w:spacing w:after="0" w:line="278" w:lineRule="auto"/>
        <w:rPr>
          <w:sz w:val="20"/>
          <w:szCs w:val="20"/>
          <w:color w:val="auto"/>
        </w:rPr>
      </w:pPr>
      <w:r>
        <w:rPr>
          <w:rFonts w:ascii="Arial" w:cs="Arial" w:eastAsia="Arial" w:hAnsi="Arial"/>
          <w:sz w:val="17"/>
          <w:szCs w:val="17"/>
          <w:color w:val="auto"/>
        </w:rPr>
        <w:t>Document on its part to be observed or performed; and (iv) that as of the Advance Date, no fact or condition exists that could (or could, with the passage of time, the giving of notice, or both) constitute an Event of Default under the Loan Documents. Borrower understands and acknowledges that Agent has the right to review the financial information supporting this representation and, based upon such review in its sole but reasonable discretion, the Lender may decline to fund the requested Advance.</w:t>
      </w:r>
    </w:p>
    <w:p>
      <w:pPr>
        <w:spacing w:after="0" w:line="132" w:lineRule="exact"/>
        <w:rPr>
          <w:sz w:val="20"/>
          <w:szCs w:val="20"/>
          <w:color w:val="auto"/>
        </w:rPr>
      </w:pPr>
    </w:p>
    <w:p>
      <w:pPr>
        <w:jc w:val="both"/>
        <w:ind w:right="20" w:firstLine="566"/>
        <w:spacing w:after="0" w:line="244" w:lineRule="auto"/>
        <w:rPr>
          <w:sz w:val="20"/>
          <w:szCs w:val="20"/>
          <w:color w:val="auto"/>
        </w:rPr>
      </w:pPr>
      <w:r>
        <w:rPr>
          <w:rFonts w:ascii="Arial" w:cs="Arial" w:eastAsia="Arial" w:hAnsi="Arial"/>
          <w:sz w:val="19"/>
          <w:szCs w:val="19"/>
          <w:color w:val="auto"/>
        </w:rPr>
        <w:t>Borrower hereby represents that Borrower’s corporate status and locations have not changed since the date of the Agreement or, if the Attachment 1 to this Advance Request is completed, are as set forth in the Attachment to this Advance Request.</w:t>
      </w:r>
    </w:p>
    <w:p>
      <w:pPr>
        <w:spacing w:after="0" w:line="159" w:lineRule="exact"/>
        <w:rPr>
          <w:sz w:val="20"/>
          <w:szCs w:val="20"/>
          <w:color w:val="auto"/>
        </w:rPr>
      </w:pPr>
    </w:p>
    <w:p>
      <w:pPr>
        <w:jc w:val="both"/>
        <w:ind w:right="20" w:firstLine="566"/>
        <w:spacing w:after="0" w:line="256" w:lineRule="auto"/>
        <w:rPr>
          <w:sz w:val="20"/>
          <w:szCs w:val="20"/>
          <w:color w:val="auto"/>
        </w:rPr>
      </w:pPr>
      <w:r>
        <w:rPr>
          <w:rFonts w:ascii="Arial" w:cs="Arial" w:eastAsia="Arial" w:hAnsi="Arial"/>
          <w:sz w:val="19"/>
          <w:szCs w:val="19"/>
          <w:color w:val="auto"/>
        </w:rPr>
        <w:t>With respect to any Advances requested under Tranche 4, Borrower represents and warrants that the information provided on Attachment 2 to this Advance Request is true and correct in all respects.</w:t>
      </w:r>
    </w:p>
    <w:p>
      <w:pPr>
        <w:spacing w:after="0" w:line="147" w:lineRule="exact"/>
        <w:rPr>
          <w:sz w:val="20"/>
          <w:szCs w:val="20"/>
          <w:color w:val="auto"/>
        </w:rPr>
      </w:pPr>
    </w:p>
    <w:p>
      <w:pPr>
        <w:jc w:val="both"/>
        <w:ind w:right="20" w:firstLine="566"/>
        <w:spacing w:after="0" w:line="241" w:lineRule="auto"/>
        <w:rPr>
          <w:sz w:val="20"/>
          <w:szCs w:val="20"/>
          <w:color w:val="auto"/>
        </w:rPr>
      </w:pPr>
      <w:r>
        <w:rPr>
          <w:rFonts w:ascii="Arial" w:cs="Arial" w:eastAsia="Arial" w:hAnsi="Arial"/>
          <w:sz w:val="19"/>
          <w:szCs w:val="19"/>
          <w:color w:val="auto"/>
        </w:rPr>
        <w:t>Borrower agrees to notify Agent promptly before the funding of the Loan if any of the matters which have been represented above shall not be true and correct on the Advance Date and if Agent has received no such notice before the Advance Date then the statements set forth above shall be deemed to have been made and shall be deemed to be true and correct as of the Advance Date.</w:t>
      </w:r>
    </w:p>
    <w:p>
      <w:pPr>
        <w:spacing w:after="0" w:line="160" w:lineRule="exact"/>
        <w:rPr>
          <w:sz w:val="20"/>
          <w:szCs w:val="20"/>
          <w:color w:val="auto"/>
        </w:rPr>
      </w:pPr>
    </w:p>
    <w:tbl>
      <w:tblPr>
        <w:tblLayout w:type="fixed"/>
        <w:tblInd w:w="560" w:type="dxa"/>
        <w:tblCellMar>
          <w:top w:w="0" w:type="dxa"/>
          <w:left w:w="0" w:type="dxa"/>
          <w:bottom w:w="0" w:type="dxa"/>
          <w:right w:w="0" w:type="dxa"/>
        </w:tblCellMar>
      </w:tblPr>
      <w:tr>
        <w:trPr>
          <w:trHeight w:val="240"/>
        </w:trPr>
        <w:tc>
          <w:tcPr>
            <w:tcW w:w="1560" w:type="dxa"/>
            <w:vAlign w:val="bottom"/>
          </w:tcPr>
          <w:p>
            <w:pPr>
              <w:spacing w:after="0"/>
              <w:rPr>
                <w:sz w:val="20"/>
                <w:szCs w:val="20"/>
                <w:color w:val="auto"/>
              </w:rPr>
            </w:pPr>
            <w:r>
              <w:rPr>
                <w:rFonts w:ascii="Arial" w:cs="Arial" w:eastAsia="Arial" w:hAnsi="Arial"/>
                <w:sz w:val="19"/>
                <w:szCs w:val="19"/>
                <w:color w:val="auto"/>
              </w:rPr>
              <w:t>Executed as of [</w:t>
            </w:r>
          </w:p>
        </w:tc>
        <w:tc>
          <w:tcPr>
            <w:tcW w:w="980" w:type="dxa"/>
            <w:vAlign w:val="bottom"/>
          </w:tcPr>
          <w:p>
            <w:pPr>
              <w:jc w:val="right"/>
              <w:spacing w:after="0"/>
              <w:rPr>
                <w:sz w:val="20"/>
                <w:szCs w:val="20"/>
                <w:color w:val="auto"/>
              </w:rPr>
            </w:pPr>
            <w:r>
              <w:rPr>
                <w:rFonts w:ascii="Arial" w:cs="Arial" w:eastAsia="Arial" w:hAnsi="Arial"/>
                <w:sz w:val="19"/>
                <w:szCs w:val="19"/>
                <w:color w:val="auto"/>
              </w:rPr>
              <w:t>], 20[  ].</w:t>
            </w:r>
          </w:p>
        </w:tc>
      </w:tr>
    </w:tbl>
    <w:p>
      <w:pPr>
        <w:spacing w:after="0" w:line="161" w:lineRule="exact"/>
        <w:rPr>
          <w:sz w:val="20"/>
          <w:szCs w:val="20"/>
          <w:color w:val="auto"/>
        </w:rPr>
      </w:pPr>
    </w:p>
    <w:p>
      <w:pPr>
        <w:ind w:left="4840"/>
        <w:spacing w:after="0"/>
        <w:rPr>
          <w:sz w:val="20"/>
          <w:szCs w:val="20"/>
          <w:color w:val="auto"/>
        </w:rPr>
      </w:pPr>
      <w:r>
        <w:rPr>
          <w:rFonts w:ascii="Arial" w:cs="Arial" w:eastAsia="Arial" w:hAnsi="Arial"/>
          <w:sz w:val="19"/>
          <w:szCs w:val="19"/>
          <w:color w:val="auto"/>
        </w:rPr>
        <w:t>BORROWER: AXSOME</w:t>
      </w:r>
    </w:p>
    <w:p>
      <w:pPr>
        <w:spacing w:after="0" w:line="10" w:lineRule="exact"/>
        <w:rPr>
          <w:sz w:val="20"/>
          <w:szCs w:val="20"/>
          <w:color w:val="auto"/>
        </w:rPr>
      </w:pPr>
    </w:p>
    <w:p>
      <w:pPr>
        <w:ind w:left="4840"/>
        <w:spacing w:after="0"/>
        <w:rPr>
          <w:sz w:val="20"/>
          <w:szCs w:val="20"/>
          <w:color w:val="auto"/>
        </w:rPr>
      </w:pPr>
      <w:r>
        <w:rPr>
          <w:rFonts w:ascii="Arial" w:cs="Arial" w:eastAsia="Arial" w:hAnsi="Arial"/>
          <w:sz w:val="19"/>
          <w:szCs w:val="19"/>
          <w:color w:val="auto"/>
        </w:rPr>
        <w:t>THERAPEUTICS, INC.</w:t>
      </w:r>
    </w:p>
    <w:p>
      <w:pPr>
        <w:spacing w:after="0" w:line="190" w:lineRule="exact"/>
        <w:rPr>
          <w:sz w:val="20"/>
          <w:szCs w:val="20"/>
          <w:color w:val="auto"/>
        </w:rPr>
      </w:pPr>
    </w:p>
    <w:p>
      <w:pPr>
        <w:ind w:left="4840"/>
        <w:spacing w:after="0"/>
        <w:rPr>
          <w:sz w:val="20"/>
          <w:szCs w:val="20"/>
          <w:color w:val="auto"/>
        </w:rPr>
      </w:pPr>
      <w:r>
        <w:rPr>
          <w:rFonts w:ascii="Arial" w:cs="Arial" w:eastAsia="Arial" w:hAnsi="Arial"/>
          <w:sz w:val="19"/>
          <w:szCs w:val="19"/>
          <w:color w:val="auto"/>
        </w:rPr>
        <w:t>SIGNATURE:</w:t>
      </w:r>
    </w:p>
    <w:p>
      <w:pPr>
        <w:spacing w:after="0" w:line="10" w:lineRule="exact"/>
        <w:rPr>
          <w:sz w:val="20"/>
          <w:szCs w:val="20"/>
          <w:color w:val="auto"/>
        </w:rPr>
      </w:pPr>
    </w:p>
    <w:p>
      <w:pPr>
        <w:ind w:left="4840"/>
        <w:spacing w:after="0"/>
        <w:rPr>
          <w:sz w:val="20"/>
          <w:szCs w:val="20"/>
          <w:color w:val="auto"/>
        </w:rPr>
      </w:pPr>
      <w:r>
        <w:rPr>
          <w:rFonts w:ascii="Arial" w:cs="Arial" w:eastAsia="Arial" w:hAnsi="Arial"/>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4039235</wp:posOffset>
            </wp:positionH>
            <wp:positionV relativeFrom="paragraph">
              <wp:posOffset>-135890</wp:posOffset>
            </wp:positionV>
            <wp:extent cx="2268220" cy="76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2268220" cy="7620"/>
                    </a:xfrm>
                    <a:prstGeom prst="rect">
                      <a:avLst/>
                    </a:prstGeom>
                    <a:noFill/>
                  </pic:spPr>
                </pic:pic>
              </a:graphicData>
            </a:graphic>
          </wp:anchor>
        </w:drawing>
      </w:r>
    </w:p>
    <w:p>
      <w:pPr>
        <w:ind w:left="4840"/>
        <w:spacing w:after="0"/>
        <w:rPr>
          <w:sz w:val="20"/>
          <w:szCs w:val="20"/>
          <w:color w:val="auto"/>
        </w:rPr>
      </w:pPr>
      <w:r>
        <w:rPr>
          <w:rFonts w:ascii="Arial" w:cs="Arial" w:eastAsia="Arial" w:hAnsi="Arial"/>
          <w:sz w:val="19"/>
          <w:szCs w:val="19"/>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4039235</wp:posOffset>
            </wp:positionH>
            <wp:positionV relativeFrom="paragraph">
              <wp:posOffset>5715</wp:posOffset>
            </wp:positionV>
            <wp:extent cx="2268220" cy="76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2268220" cy="7620"/>
                    </a:xfrm>
                    <a:prstGeom prst="rect">
                      <a:avLst/>
                    </a:prstGeom>
                    <a:noFill/>
                  </pic:spPr>
                </pic:pic>
              </a:graphicData>
            </a:graphic>
          </wp:anchor>
        </w:drawing>
        <w:drawing>
          <wp:anchor simplePos="0" relativeHeight="251657728" behindDoc="1" locked="0" layoutInCell="0" allowOverlap="1">
            <wp:simplePos x="0" y="0"/>
            <wp:positionH relativeFrom="column">
              <wp:posOffset>4039235</wp:posOffset>
            </wp:positionH>
            <wp:positionV relativeFrom="paragraph">
              <wp:posOffset>-135890</wp:posOffset>
            </wp:positionV>
            <wp:extent cx="2268220" cy="76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2268220" cy="762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307340</wp:posOffset>
            </wp:positionV>
            <wp:extent cx="6311265" cy="2222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940"/>
          </w:cols>
          <w:pgMar w:left="980" w:top="781" w:right="979" w:bottom="1440" w:gutter="0" w:footer="0" w:header="0"/>
        </w:sectPr>
      </w:pPr>
    </w:p>
    <w:bookmarkStart w:id="189" w:name="page190"/>
    <w:bookmarkEnd w:id="189"/>
    <w:p>
      <w:pPr>
        <w:jc w:val="center"/>
        <w:ind w:right="-23"/>
        <w:spacing w:after="0"/>
        <w:rPr>
          <w:sz w:val="20"/>
          <w:szCs w:val="20"/>
          <w:color w:val="auto"/>
        </w:rPr>
      </w:pPr>
      <w:r>
        <w:rPr>
          <w:rFonts w:ascii="Arial" w:cs="Arial" w:eastAsia="Arial" w:hAnsi="Arial"/>
          <w:sz w:val="19"/>
          <w:szCs w:val="19"/>
          <w:b w:val="1"/>
          <w:bCs w:val="1"/>
          <w:color w:val="auto"/>
        </w:rPr>
        <w:t>ATTACHMENT 1 TO ADVANCE REQUEST</w:t>
      </w:r>
    </w:p>
    <w:p>
      <w:pPr>
        <w:spacing w:after="0" w:line="188" w:lineRule="exact"/>
        <w:rPr>
          <w:sz w:val="20"/>
          <w:szCs w:val="20"/>
          <w:color w:val="auto"/>
        </w:rPr>
      </w:pPr>
    </w:p>
    <w:p>
      <w:pPr>
        <w:ind w:left="3604"/>
        <w:spacing w:after="0"/>
        <w:rPr>
          <w:sz w:val="20"/>
          <w:szCs w:val="20"/>
          <w:color w:val="auto"/>
        </w:rPr>
      </w:pPr>
      <w:r>
        <w:rPr>
          <w:rFonts w:ascii="Arial" w:cs="Arial" w:eastAsia="Arial" w:hAnsi="Arial"/>
          <w:sz w:val="19"/>
          <w:szCs w:val="19"/>
          <w:color w:val="auto"/>
        </w:rPr>
        <w:t>Dated: _______________________</w:t>
      </w:r>
    </w:p>
    <w:p>
      <w:pPr>
        <w:spacing w:after="0" w:line="182" w:lineRule="exact"/>
        <w:rPr>
          <w:sz w:val="20"/>
          <w:szCs w:val="20"/>
          <w:color w:val="auto"/>
        </w:rPr>
      </w:pPr>
    </w:p>
    <w:p>
      <w:pPr>
        <w:ind w:left="4"/>
        <w:spacing w:after="0"/>
        <w:rPr>
          <w:sz w:val="20"/>
          <w:szCs w:val="20"/>
          <w:color w:val="auto"/>
        </w:rPr>
      </w:pPr>
      <w:r>
        <w:rPr>
          <w:rFonts w:ascii="Arial" w:cs="Arial" w:eastAsia="Arial" w:hAnsi="Arial"/>
          <w:sz w:val="18"/>
          <w:szCs w:val="18"/>
          <w:color w:val="auto"/>
        </w:rPr>
        <w:t>Borrower hereby represents and warrants to Agent that Borrower’s current name and organizational status is as follows:</w:t>
      </w:r>
    </w:p>
    <w:p>
      <w:pPr>
        <w:spacing w:after="0" w:line="194" w:lineRule="exact"/>
        <w:rPr>
          <w:sz w:val="20"/>
          <w:szCs w:val="20"/>
          <w:color w:val="auto"/>
        </w:rPr>
      </w:pPr>
    </w:p>
    <w:tbl>
      <w:tblPr>
        <w:tblLayout w:type="fixed"/>
        <w:tblInd w:w="564" w:type="dxa"/>
        <w:tblCellMar>
          <w:top w:w="0" w:type="dxa"/>
          <w:left w:w="0" w:type="dxa"/>
          <w:bottom w:w="0" w:type="dxa"/>
          <w:right w:w="0" w:type="dxa"/>
        </w:tblCellMar>
      </w:tblPr>
      <w:tr>
        <w:trPr>
          <w:trHeight w:val="240"/>
        </w:trPr>
        <w:tc>
          <w:tcPr>
            <w:tcW w:w="2380" w:type="dxa"/>
            <w:vAlign w:val="bottom"/>
          </w:tcPr>
          <w:p>
            <w:pPr>
              <w:spacing w:after="0"/>
              <w:rPr>
                <w:sz w:val="20"/>
                <w:szCs w:val="20"/>
                <w:color w:val="auto"/>
              </w:rPr>
            </w:pPr>
            <w:r>
              <w:rPr>
                <w:rFonts w:ascii="Arial" w:cs="Arial" w:eastAsia="Arial" w:hAnsi="Arial"/>
                <w:sz w:val="19"/>
                <w:szCs w:val="19"/>
                <w:color w:val="auto"/>
              </w:rPr>
              <w:t>Name:</w:t>
            </w:r>
          </w:p>
        </w:tc>
        <w:tc>
          <w:tcPr>
            <w:tcW w:w="1600" w:type="dxa"/>
            <w:vAlign w:val="bottom"/>
          </w:tcPr>
          <w:p>
            <w:pPr>
              <w:jc w:val="right"/>
              <w:ind w:right="1006"/>
              <w:spacing w:after="0"/>
              <w:rPr>
                <w:sz w:val="20"/>
                <w:szCs w:val="20"/>
                <w:color w:val="auto"/>
              </w:rPr>
            </w:pPr>
            <w:r>
              <w:rPr>
                <w:rFonts w:ascii="Arial" w:cs="Arial" w:eastAsia="Arial" w:hAnsi="Arial"/>
                <w:sz w:val="19"/>
                <w:szCs w:val="19"/>
                <w:color w:val="auto"/>
              </w:rPr>
              <w:t>[</w:t>
            </w:r>
          </w:p>
        </w:tc>
        <w:tc>
          <w:tcPr>
            <w:tcW w:w="1180" w:type="dxa"/>
            <w:vAlign w:val="bottom"/>
          </w:tcPr>
          <w:p>
            <w:pPr>
              <w:jc w:val="right"/>
              <w:spacing w:after="0"/>
              <w:rPr>
                <w:sz w:val="20"/>
                <w:szCs w:val="20"/>
                <w:color w:val="auto"/>
              </w:rPr>
            </w:pPr>
            <w:r>
              <w:rPr>
                <w:rFonts w:ascii="Arial" w:cs="Arial" w:eastAsia="Arial" w:hAnsi="Arial"/>
                <w:sz w:val="19"/>
                <w:szCs w:val="19"/>
                <w:color w:val="auto"/>
              </w:rPr>
              <w:t>]</w:t>
            </w:r>
          </w:p>
        </w:tc>
      </w:tr>
      <w:tr>
        <w:trPr>
          <w:trHeight w:val="424"/>
        </w:trPr>
        <w:tc>
          <w:tcPr>
            <w:tcW w:w="2380" w:type="dxa"/>
            <w:vAlign w:val="bottom"/>
          </w:tcPr>
          <w:p>
            <w:pPr>
              <w:spacing w:after="0"/>
              <w:rPr>
                <w:sz w:val="20"/>
                <w:szCs w:val="20"/>
                <w:color w:val="auto"/>
              </w:rPr>
            </w:pPr>
            <w:r>
              <w:rPr>
                <w:rFonts w:ascii="Arial" w:cs="Arial" w:eastAsia="Arial" w:hAnsi="Arial"/>
                <w:sz w:val="19"/>
                <w:szCs w:val="19"/>
                <w:color w:val="auto"/>
              </w:rPr>
              <w:t>Type of organization:</w:t>
            </w:r>
          </w:p>
        </w:tc>
        <w:tc>
          <w:tcPr>
            <w:tcW w:w="1600" w:type="dxa"/>
            <w:vAlign w:val="bottom"/>
          </w:tcPr>
          <w:p>
            <w:pPr>
              <w:jc w:val="right"/>
              <w:ind w:right="1006"/>
              <w:spacing w:after="0"/>
              <w:rPr>
                <w:sz w:val="20"/>
                <w:szCs w:val="20"/>
                <w:color w:val="auto"/>
              </w:rPr>
            </w:pPr>
            <w:r>
              <w:rPr>
                <w:rFonts w:ascii="Arial" w:cs="Arial" w:eastAsia="Arial" w:hAnsi="Arial"/>
                <w:sz w:val="19"/>
                <w:szCs w:val="19"/>
                <w:color w:val="auto"/>
              </w:rPr>
              <w:t>[</w:t>
            </w:r>
          </w:p>
        </w:tc>
        <w:tc>
          <w:tcPr>
            <w:tcW w:w="1180" w:type="dxa"/>
            <w:vAlign w:val="bottom"/>
          </w:tcPr>
          <w:p>
            <w:pPr>
              <w:jc w:val="right"/>
              <w:spacing w:after="0"/>
              <w:rPr>
                <w:sz w:val="20"/>
                <w:szCs w:val="20"/>
                <w:color w:val="auto"/>
              </w:rPr>
            </w:pPr>
            <w:r>
              <w:rPr>
                <w:rFonts w:ascii="Arial" w:cs="Arial" w:eastAsia="Arial" w:hAnsi="Arial"/>
                <w:sz w:val="19"/>
                <w:szCs w:val="19"/>
                <w:color w:val="auto"/>
              </w:rPr>
              <w:t>]</w:t>
            </w:r>
          </w:p>
        </w:tc>
      </w:tr>
      <w:tr>
        <w:trPr>
          <w:trHeight w:val="424"/>
        </w:trPr>
        <w:tc>
          <w:tcPr>
            <w:tcW w:w="2380" w:type="dxa"/>
            <w:vAlign w:val="bottom"/>
          </w:tcPr>
          <w:p>
            <w:pPr>
              <w:spacing w:after="0"/>
              <w:rPr>
                <w:sz w:val="20"/>
                <w:szCs w:val="20"/>
                <w:color w:val="auto"/>
              </w:rPr>
            </w:pPr>
            <w:r>
              <w:rPr>
                <w:rFonts w:ascii="Arial" w:cs="Arial" w:eastAsia="Arial" w:hAnsi="Arial"/>
                <w:sz w:val="19"/>
                <w:szCs w:val="19"/>
                <w:color w:val="auto"/>
              </w:rPr>
              <w:t>State of organization:</w:t>
            </w:r>
          </w:p>
        </w:tc>
        <w:tc>
          <w:tcPr>
            <w:tcW w:w="1600" w:type="dxa"/>
            <w:vAlign w:val="bottom"/>
          </w:tcPr>
          <w:p>
            <w:pPr>
              <w:jc w:val="right"/>
              <w:ind w:right="1006"/>
              <w:spacing w:after="0"/>
              <w:rPr>
                <w:sz w:val="20"/>
                <w:szCs w:val="20"/>
                <w:color w:val="auto"/>
              </w:rPr>
            </w:pPr>
            <w:r>
              <w:rPr>
                <w:rFonts w:ascii="Arial" w:cs="Arial" w:eastAsia="Arial" w:hAnsi="Arial"/>
                <w:sz w:val="19"/>
                <w:szCs w:val="19"/>
                <w:color w:val="auto"/>
              </w:rPr>
              <w:t>[</w:t>
            </w:r>
          </w:p>
        </w:tc>
        <w:tc>
          <w:tcPr>
            <w:tcW w:w="1180" w:type="dxa"/>
            <w:vAlign w:val="bottom"/>
          </w:tcPr>
          <w:p>
            <w:pPr>
              <w:jc w:val="right"/>
              <w:spacing w:after="0"/>
              <w:rPr>
                <w:sz w:val="20"/>
                <w:szCs w:val="20"/>
                <w:color w:val="auto"/>
              </w:rPr>
            </w:pPr>
            <w:r>
              <w:rPr>
                <w:rFonts w:ascii="Arial" w:cs="Arial" w:eastAsia="Arial" w:hAnsi="Arial"/>
                <w:sz w:val="19"/>
                <w:szCs w:val="19"/>
                <w:color w:val="auto"/>
              </w:rPr>
              <w:t>]</w:t>
            </w:r>
          </w:p>
        </w:tc>
      </w:tr>
      <w:tr>
        <w:trPr>
          <w:trHeight w:val="424"/>
        </w:trPr>
        <w:tc>
          <w:tcPr>
            <w:tcW w:w="2380" w:type="dxa"/>
            <w:vAlign w:val="bottom"/>
          </w:tcPr>
          <w:p>
            <w:pPr>
              <w:spacing w:after="0"/>
              <w:rPr>
                <w:sz w:val="20"/>
                <w:szCs w:val="20"/>
                <w:color w:val="auto"/>
              </w:rPr>
            </w:pPr>
            <w:r>
              <w:rPr>
                <w:rFonts w:ascii="Arial" w:cs="Arial" w:eastAsia="Arial" w:hAnsi="Arial"/>
                <w:sz w:val="19"/>
                <w:szCs w:val="19"/>
                <w:color w:val="auto"/>
              </w:rPr>
              <w:t>Organization file number:</w:t>
            </w:r>
          </w:p>
        </w:tc>
        <w:tc>
          <w:tcPr>
            <w:tcW w:w="1600" w:type="dxa"/>
            <w:vAlign w:val="bottom"/>
          </w:tcPr>
          <w:p>
            <w:pPr>
              <w:jc w:val="right"/>
              <w:ind w:right="1006"/>
              <w:spacing w:after="0"/>
              <w:rPr>
                <w:sz w:val="20"/>
                <w:szCs w:val="20"/>
                <w:color w:val="auto"/>
              </w:rPr>
            </w:pPr>
            <w:r>
              <w:rPr>
                <w:rFonts w:ascii="Arial" w:cs="Arial" w:eastAsia="Arial" w:hAnsi="Arial"/>
                <w:sz w:val="19"/>
                <w:szCs w:val="19"/>
                <w:color w:val="auto"/>
              </w:rPr>
              <w:t>[</w:t>
            </w:r>
          </w:p>
        </w:tc>
        <w:tc>
          <w:tcPr>
            <w:tcW w:w="1180" w:type="dxa"/>
            <w:vAlign w:val="bottom"/>
          </w:tcPr>
          <w:p>
            <w:pPr>
              <w:jc w:val="right"/>
              <w:spacing w:after="0"/>
              <w:rPr>
                <w:sz w:val="20"/>
                <w:szCs w:val="20"/>
                <w:color w:val="auto"/>
              </w:rPr>
            </w:pPr>
            <w:r>
              <w:rPr>
                <w:rFonts w:ascii="Arial" w:cs="Arial" w:eastAsia="Arial" w:hAnsi="Arial"/>
                <w:sz w:val="19"/>
                <w:szCs w:val="19"/>
                <w:color w:val="auto"/>
              </w:rPr>
              <w:t>]</w:t>
            </w:r>
          </w:p>
        </w:tc>
      </w:tr>
    </w:tbl>
    <w:p>
      <w:pPr>
        <w:spacing w:after="0" w:line="161" w:lineRule="exact"/>
        <w:rPr>
          <w:sz w:val="20"/>
          <w:szCs w:val="20"/>
          <w:color w:val="auto"/>
        </w:rPr>
      </w:pPr>
    </w:p>
    <w:p>
      <w:pPr>
        <w:ind w:left="4" w:right="240"/>
        <w:spacing w:after="0" w:line="256" w:lineRule="auto"/>
        <w:rPr>
          <w:sz w:val="20"/>
          <w:szCs w:val="20"/>
          <w:color w:val="auto"/>
        </w:rPr>
      </w:pPr>
      <w:r>
        <w:rPr>
          <w:rFonts w:ascii="Arial" w:cs="Arial" w:eastAsia="Arial" w:hAnsi="Arial"/>
          <w:sz w:val="19"/>
          <w:szCs w:val="19"/>
          <w:color w:val="auto"/>
        </w:rPr>
        <w:t>Borrower hereby represents and warrants to Agent that the street addresses, cities, states and postal codes of its current locations are as follows:</w:t>
      </w:r>
    </w:p>
    <w:p>
      <w:pPr>
        <w:spacing w:after="0" w:line="124" w:lineRule="exact"/>
        <w:rPr>
          <w:sz w:val="20"/>
          <w:szCs w:val="20"/>
          <w:color w:val="auto"/>
        </w:rPr>
      </w:pPr>
    </w:p>
    <w:p>
      <w:pPr>
        <w:ind w:left="104" w:hanging="104"/>
        <w:spacing w:after="0"/>
        <w:tabs>
          <w:tab w:leader="none" w:pos="104" w:val="left"/>
        </w:tabs>
        <w:numPr>
          <w:ilvl w:val="0"/>
          <w:numId w:val="107"/>
        </w:numPr>
        <w:rPr>
          <w:rFonts w:ascii="Arial" w:cs="Arial" w:eastAsia="Arial" w:hAnsi="Arial"/>
          <w:sz w:val="19"/>
          <w:szCs w:val="19"/>
          <w:color w:val="auto"/>
        </w:rPr>
      </w:pPr>
      <w:r>
        <w:rPr>
          <w:rFonts w:ascii="Arial" w:cs="Arial" w:eastAsia="Arial" w:hAnsi="Arial"/>
          <w:sz w:val="19"/>
          <w:szCs w:val="19"/>
          <w:color w:val="auto"/>
        </w:rPr>
        <w:t>]</w:t>
      </w:r>
    </w:p>
    <w:p>
      <w:pPr>
        <w:spacing w:after="0" w:line="217" w:lineRule="exact"/>
        <w:rPr>
          <w:sz w:val="20"/>
          <w:szCs w:val="20"/>
          <w:color w:val="auto"/>
        </w:rPr>
      </w:pPr>
    </w:p>
    <w:p>
      <w:pPr>
        <w:ind w:left="4"/>
        <w:spacing w:after="0" w:line="256" w:lineRule="auto"/>
        <w:rPr>
          <w:sz w:val="20"/>
          <w:szCs w:val="20"/>
          <w:color w:val="auto"/>
        </w:rPr>
      </w:pPr>
      <w:r>
        <w:rPr>
          <w:rFonts w:ascii="Arial" w:cs="Arial" w:eastAsia="Arial" w:hAnsi="Arial"/>
          <w:sz w:val="19"/>
          <w:szCs w:val="19"/>
          <w:color w:val="auto"/>
        </w:rPr>
        <w:t>Borrower hereby represents and warrants to Agent that the Advance Amount does not exceed the Maximum Term Loan Amount as follows:</w:t>
      </w:r>
    </w:p>
    <w:p>
      <w:pPr>
        <w:spacing w:after="0" w:line="147" w:lineRule="exact"/>
        <w:rPr>
          <w:sz w:val="20"/>
          <w:szCs w:val="20"/>
          <w:color w:val="auto"/>
        </w:rPr>
      </w:pPr>
    </w:p>
    <w:p>
      <w:pPr>
        <w:ind w:left="584" w:hanging="584"/>
        <w:spacing w:after="0"/>
        <w:tabs>
          <w:tab w:leader="none" w:pos="584" w:val="left"/>
        </w:tabs>
        <w:numPr>
          <w:ilvl w:val="0"/>
          <w:numId w:val="108"/>
        </w:numPr>
        <w:rPr>
          <w:rFonts w:ascii="Arial" w:cs="Arial" w:eastAsia="Arial" w:hAnsi="Arial"/>
          <w:sz w:val="19"/>
          <w:szCs w:val="19"/>
          <w:color w:val="auto"/>
        </w:rPr>
      </w:pPr>
      <w:r>
        <w:rPr>
          <w:rFonts w:ascii="Arial" w:cs="Arial" w:eastAsia="Arial" w:hAnsi="Arial"/>
          <w:sz w:val="19"/>
          <w:szCs w:val="19"/>
          <w:color w:val="auto"/>
        </w:rPr>
        <w:t>Advance Amount: $________________</w:t>
      </w:r>
    </w:p>
    <w:p>
      <w:pPr>
        <w:spacing w:after="0" w:line="182" w:lineRule="exact"/>
        <w:rPr>
          <w:rFonts w:ascii="Arial" w:cs="Arial" w:eastAsia="Arial" w:hAnsi="Arial"/>
          <w:sz w:val="19"/>
          <w:szCs w:val="19"/>
          <w:color w:val="auto"/>
        </w:rPr>
      </w:pPr>
    </w:p>
    <w:p>
      <w:pPr>
        <w:ind w:left="564" w:hanging="564"/>
        <w:spacing w:after="0"/>
        <w:tabs>
          <w:tab w:leader="none" w:pos="564" w:val="left"/>
        </w:tabs>
        <w:numPr>
          <w:ilvl w:val="0"/>
          <w:numId w:val="108"/>
        </w:numPr>
        <w:rPr>
          <w:rFonts w:ascii="Arial" w:cs="Arial" w:eastAsia="Arial" w:hAnsi="Arial"/>
          <w:sz w:val="19"/>
          <w:szCs w:val="19"/>
          <w:color w:val="auto"/>
        </w:rPr>
      </w:pPr>
      <w:r>
        <w:rPr>
          <w:rFonts w:ascii="Arial" w:cs="Arial" w:eastAsia="Arial" w:hAnsi="Arial"/>
          <w:sz w:val="19"/>
          <w:szCs w:val="19"/>
          <w:color w:val="auto"/>
        </w:rPr>
        <w:t>Maximum Term Loan Amount: $225,000,000</w:t>
      </w:r>
    </w:p>
    <w:p>
      <w:pPr>
        <w:spacing w:after="0" w:line="182" w:lineRule="exact"/>
        <w:rPr>
          <w:rFonts w:ascii="Arial" w:cs="Arial" w:eastAsia="Arial" w:hAnsi="Arial"/>
          <w:sz w:val="19"/>
          <w:szCs w:val="19"/>
          <w:color w:val="auto"/>
        </w:rPr>
      </w:pPr>
    </w:p>
    <w:p>
      <w:pPr>
        <w:ind w:left="604" w:hanging="604"/>
        <w:spacing w:after="0"/>
        <w:tabs>
          <w:tab w:leader="none" w:pos="604" w:val="left"/>
        </w:tabs>
        <w:numPr>
          <w:ilvl w:val="0"/>
          <w:numId w:val="108"/>
        </w:numPr>
        <w:rPr>
          <w:rFonts w:ascii="Arial" w:cs="Arial" w:eastAsia="Arial" w:hAnsi="Arial"/>
          <w:sz w:val="19"/>
          <w:szCs w:val="19"/>
          <w:color w:val="auto"/>
        </w:rPr>
      </w:pPr>
      <w:r>
        <w:rPr>
          <w:rFonts w:ascii="Arial" w:cs="Arial" w:eastAsia="Arial" w:hAnsi="Arial"/>
          <w:sz w:val="19"/>
          <w:szCs w:val="19"/>
          <w:color w:val="auto"/>
        </w:rPr>
        <w:t>Is clause a. less than or equal to clause b.?</w:t>
      </w:r>
    </w:p>
    <w:p>
      <w:pPr>
        <w:spacing w:after="0" w:line="182" w:lineRule="exact"/>
        <w:rPr>
          <w:sz w:val="20"/>
          <w:szCs w:val="20"/>
          <w:color w:val="auto"/>
        </w:rPr>
      </w:pPr>
    </w:p>
    <w:p>
      <w:pPr>
        <w:ind w:left="2944"/>
        <w:spacing w:after="0"/>
        <w:rPr>
          <w:sz w:val="20"/>
          <w:szCs w:val="20"/>
          <w:color w:val="auto"/>
        </w:rPr>
      </w:pPr>
      <w:r>
        <w:rPr>
          <w:rFonts w:ascii="Arial" w:cs="Arial" w:eastAsia="Arial" w:hAnsi="Arial"/>
          <w:sz w:val="19"/>
          <w:szCs w:val="19"/>
          <w:color w:val="auto"/>
        </w:rPr>
        <w:t>Yes/Compliant _______ No/Non-Compliant _______</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3"/>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307340</wp:posOffset>
            </wp:positionV>
            <wp:extent cx="6311265" cy="2222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924"/>
          </w:cols>
          <w:pgMar w:left="976" w:top="774" w:right="999" w:bottom="1440" w:gutter="0" w:footer="0" w:header="0"/>
        </w:sectPr>
      </w:pPr>
    </w:p>
    <w:bookmarkStart w:id="190" w:name="page191"/>
    <w:bookmarkEnd w:id="190"/>
    <w:p>
      <w:pPr>
        <w:jc w:val="center"/>
        <w:spacing w:after="0"/>
        <w:rPr>
          <w:sz w:val="20"/>
          <w:szCs w:val="20"/>
          <w:color w:val="auto"/>
        </w:rPr>
      </w:pPr>
      <w:r>
        <w:rPr>
          <w:rFonts w:ascii="Arial" w:cs="Arial" w:eastAsia="Arial" w:hAnsi="Arial"/>
          <w:sz w:val="19"/>
          <w:szCs w:val="19"/>
          <w:b w:val="1"/>
          <w:bCs w:val="1"/>
          <w:color w:val="auto"/>
        </w:rPr>
        <w:t>ATTACHMENT 2 TO ADVANCE REQUEST</w:t>
      </w:r>
    </w:p>
    <w:p>
      <w:pPr>
        <w:spacing w:after="0" w:line="188" w:lineRule="exact"/>
        <w:rPr>
          <w:sz w:val="20"/>
          <w:szCs w:val="20"/>
          <w:color w:val="auto"/>
        </w:rPr>
      </w:pPr>
    </w:p>
    <w:p>
      <w:pPr>
        <w:ind w:left="3600"/>
        <w:spacing w:after="0"/>
        <w:rPr>
          <w:sz w:val="20"/>
          <w:szCs w:val="20"/>
          <w:color w:val="auto"/>
        </w:rPr>
      </w:pPr>
      <w:r>
        <w:rPr>
          <w:rFonts w:ascii="Arial" w:cs="Arial" w:eastAsia="Arial" w:hAnsi="Arial"/>
          <w:sz w:val="19"/>
          <w:szCs w:val="19"/>
          <w:color w:val="auto"/>
        </w:rPr>
        <w:t>Dated: _______________________</w:t>
      </w:r>
    </w:p>
    <w:p>
      <w:pPr>
        <w:spacing w:after="0" w:line="182" w:lineRule="exact"/>
        <w:rPr>
          <w:sz w:val="20"/>
          <w:szCs w:val="20"/>
          <w:color w:val="auto"/>
        </w:rPr>
      </w:pPr>
    </w:p>
    <w:p>
      <w:pPr>
        <w:spacing w:after="0"/>
        <w:rPr>
          <w:sz w:val="20"/>
          <w:szCs w:val="20"/>
          <w:color w:val="auto"/>
        </w:rPr>
      </w:pPr>
      <w:r>
        <w:rPr>
          <w:rFonts w:ascii="Arial" w:cs="Arial" w:eastAsia="Arial" w:hAnsi="Arial"/>
          <w:sz w:val="19"/>
          <w:szCs w:val="19"/>
          <w:color w:val="auto"/>
        </w:rPr>
        <w:t>Borrower hereby represents and warrants to Agent the following:</w:t>
      </w:r>
    </w:p>
    <w:p>
      <w:pPr>
        <w:spacing w:after="0" w:line="182" w:lineRule="exact"/>
        <w:rPr>
          <w:sz w:val="20"/>
          <w:szCs w:val="20"/>
          <w:color w:val="auto"/>
        </w:rPr>
      </w:pPr>
    </w:p>
    <w:p>
      <w:pPr>
        <w:spacing w:after="0"/>
        <w:rPr>
          <w:sz w:val="20"/>
          <w:szCs w:val="20"/>
          <w:color w:val="auto"/>
        </w:rPr>
      </w:pPr>
      <w:r>
        <w:rPr>
          <w:rFonts w:ascii="Arial" w:cs="Arial" w:eastAsia="Arial" w:hAnsi="Arial"/>
          <w:sz w:val="19"/>
          <w:szCs w:val="19"/>
          <w:color w:val="auto"/>
        </w:rPr>
        <w:t>Net Product Revenue Ratio and Tranche 4 Draw Conditions</w:t>
      </w:r>
    </w:p>
    <w:p>
      <w:pPr>
        <w:spacing w:after="0" w:line="200" w:lineRule="exact"/>
        <w:rPr>
          <w:sz w:val="20"/>
          <w:szCs w:val="20"/>
          <w:color w:val="auto"/>
        </w:rPr>
      </w:pPr>
    </w:p>
    <w:p>
      <w:pPr>
        <w:spacing w:after="0" w:line="382"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8300" w:type="dxa"/>
            <w:vAlign w:val="bottom"/>
            <w:tcBorders>
              <w:top w:val="single" w:sz="8" w:color="auto"/>
              <w:left w:val="single" w:sz="8" w:color="auto"/>
              <w:right w:val="single" w:sz="8" w:color="auto"/>
            </w:tcBorders>
            <w:gridSpan w:val="2"/>
          </w:tcPr>
          <w:p>
            <w:pPr>
              <w:ind w:left="60"/>
              <w:spacing w:after="0" w:line="189" w:lineRule="exact"/>
              <w:rPr>
                <w:sz w:val="20"/>
                <w:szCs w:val="20"/>
                <w:color w:val="auto"/>
              </w:rPr>
            </w:pPr>
            <w:r>
              <w:rPr>
                <w:rFonts w:ascii="Arial" w:cs="Arial" w:eastAsia="Arial" w:hAnsi="Arial"/>
                <w:sz w:val="19"/>
                <w:szCs w:val="19"/>
                <w:b w:val="1"/>
                <w:bCs w:val="1"/>
                <w:color w:val="auto"/>
              </w:rPr>
              <w:t>Current Net Product Revenue Ratio Calculation</w:t>
            </w:r>
          </w:p>
        </w:tc>
        <w:tc>
          <w:tcPr>
            <w:tcW w:w="20" w:type="dxa"/>
            <w:vAlign w:val="bottom"/>
            <w:tcBorders>
              <w:top w:val="single" w:sz="8" w:color="auto"/>
            </w:tcBorders>
          </w:tcPr>
          <w:p>
            <w:pPr>
              <w:spacing w:after="0"/>
              <w:rPr>
                <w:sz w:val="16"/>
                <w:szCs w:val="16"/>
                <w:color w:val="auto"/>
              </w:rPr>
            </w:pPr>
          </w:p>
        </w:tc>
        <w:tc>
          <w:tcPr>
            <w:tcW w:w="1620" w:type="dxa"/>
            <w:vAlign w:val="bottom"/>
            <w:tcBorders>
              <w:top w:val="single" w:sz="8" w:color="auto"/>
              <w:right w:val="single" w:sz="8" w:color="auto"/>
            </w:tcBorders>
            <w:gridSpan w:val="2"/>
          </w:tcPr>
          <w:p>
            <w:pPr>
              <w:spacing w:after="0" w:line="189" w:lineRule="exact"/>
              <w:rPr>
                <w:sz w:val="20"/>
                <w:szCs w:val="20"/>
                <w:color w:val="auto"/>
              </w:rPr>
            </w:pPr>
            <w:r>
              <w:rPr>
                <w:rFonts w:ascii="Arial" w:cs="Arial" w:eastAsia="Arial" w:hAnsi="Arial"/>
                <w:sz w:val="19"/>
                <w:szCs w:val="19"/>
                <w:b w:val="1"/>
                <w:bCs w:val="1"/>
                <w:color w:val="auto"/>
              </w:rPr>
              <w:t>Amounts</w:t>
            </w:r>
          </w:p>
        </w:tc>
      </w:tr>
      <w:tr>
        <w:trPr>
          <w:trHeight w:val="20"/>
        </w:trPr>
        <w:tc>
          <w:tcPr>
            <w:tcW w:w="320" w:type="dxa"/>
            <w:vAlign w:val="bottom"/>
            <w:tcBorders>
              <w:left w:val="single" w:sz="8" w:color="auto"/>
              <w:bottom w:val="single" w:sz="8" w:color="auto"/>
            </w:tcBorders>
          </w:tcPr>
          <w:p>
            <w:pPr>
              <w:spacing w:after="0" w:line="20" w:lineRule="exact"/>
              <w:rPr>
                <w:sz w:val="1"/>
                <w:szCs w:val="1"/>
                <w:color w:val="auto"/>
              </w:rPr>
            </w:pPr>
          </w:p>
        </w:tc>
        <w:tc>
          <w:tcPr>
            <w:tcW w:w="798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r>
      <w:tr>
        <w:trPr>
          <w:trHeight w:val="211"/>
        </w:trPr>
        <w:tc>
          <w:tcPr>
            <w:tcW w:w="320" w:type="dxa"/>
            <w:vAlign w:val="bottom"/>
            <w:tcBorders>
              <w:left w:val="single" w:sz="8" w:color="auto"/>
              <w:bottom w:val="single" w:sz="8" w:color="auto"/>
            </w:tcBorders>
          </w:tcPr>
          <w:p>
            <w:pPr>
              <w:ind w:left="60"/>
              <w:spacing w:after="0" w:line="211" w:lineRule="exact"/>
              <w:rPr>
                <w:sz w:val="20"/>
                <w:szCs w:val="20"/>
                <w:color w:val="auto"/>
              </w:rPr>
            </w:pPr>
            <w:r>
              <w:rPr>
                <w:rFonts w:ascii="Arial" w:cs="Arial" w:eastAsia="Arial" w:hAnsi="Arial"/>
                <w:sz w:val="19"/>
                <w:szCs w:val="19"/>
                <w:color w:val="auto"/>
              </w:rPr>
              <w:t>(a)</w:t>
            </w:r>
          </w:p>
        </w:tc>
        <w:tc>
          <w:tcPr>
            <w:tcW w:w="7980" w:type="dxa"/>
            <w:vAlign w:val="bottom"/>
            <w:tcBorders>
              <w:bottom w:val="single" w:sz="8" w:color="auto"/>
              <w:right w:val="single" w:sz="8" w:color="auto"/>
            </w:tcBorders>
          </w:tcPr>
          <w:p>
            <w:pPr>
              <w:ind w:left="40"/>
              <w:spacing w:after="0" w:line="211" w:lineRule="exact"/>
              <w:rPr>
                <w:sz w:val="20"/>
                <w:szCs w:val="20"/>
                <w:color w:val="auto"/>
              </w:rPr>
            </w:pPr>
            <w:r>
              <w:rPr>
                <w:rFonts w:ascii="Arial" w:cs="Arial" w:eastAsia="Arial" w:hAnsi="Arial"/>
                <w:sz w:val="19"/>
                <w:szCs w:val="19"/>
                <w:color w:val="auto"/>
              </w:rPr>
              <w:t>The outstanding amount of the Term Loan Advances as of the date hereof</w:t>
            </w:r>
          </w:p>
        </w:tc>
        <w:tc>
          <w:tcPr>
            <w:tcW w:w="20" w:type="dxa"/>
            <w:vAlign w:val="bottom"/>
            <w:tcBorders>
              <w:bottom w:val="single" w:sz="8" w:color="auto"/>
            </w:tcBorders>
          </w:tcPr>
          <w:p>
            <w:pPr>
              <w:spacing w:after="0"/>
              <w:rPr>
                <w:sz w:val="18"/>
                <w:szCs w:val="18"/>
                <w:color w:val="auto"/>
              </w:rPr>
            </w:pPr>
          </w:p>
        </w:tc>
        <w:tc>
          <w:tcPr>
            <w:tcW w:w="1620" w:type="dxa"/>
            <w:vAlign w:val="bottom"/>
            <w:tcBorders>
              <w:bottom w:val="single" w:sz="8" w:color="auto"/>
              <w:right w:val="single" w:sz="8" w:color="auto"/>
            </w:tcBorders>
            <w:gridSpan w:val="2"/>
          </w:tcPr>
          <w:p>
            <w:pPr>
              <w:spacing w:after="0" w:line="211" w:lineRule="exact"/>
              <w:rPr>
                <w:sz w:val="20"/>
                <w:szCs w:val="20"/>
                <w:color w:val="auto"/>
              </w:rPr>
            </w:pPr>
            <w:r>
              <w:rPr>
                <w:rFonts w:ascii="Arial" w:cs="Arial" w:eastAsia="Arial" w:hAnsi="Arial"/>
                <w:sz w:val="19"/>
                <w:szCs w:val="19"/>
                <w:color w:val="auto"/>
              </w:rPr>
              <w:t>[   ]</w:t>
            </w:r>
          </w:p>
        </w:tc>
      </w:tr>
      <w:tr>
        <w:trPr>
          <w:trHeight w:val="216"/>
        </w:trPr>
        <w:tc>
          <w:tcPr>
            <w:tcW w:w="320" w:type="dxa"/>
            <w:vAlign w:val="bottom"/>
            <w:tcBorders>
              <w:left w:val="single" w:sz="8" w:color="auto"/>
              <w:bottom w:val="single" w:sz="8" w:color="auto"/>
            </w:tcBorders>
          </w:tcPr>
          <w:p>
            <w:pPr>
              <w:ind w:left="60"/>
              <w:spacing w:after="0" w:line="216" w:lineRule="exact"/>
              <w:rPr>
                <w:sz w:val="20"/>
                <w:szCs w:val="20"/>
                <w:color w:val="auto"/>
              </w:rPr>
            </w:pPr>
            <w:r>
              <w:rPr>
                <w:rFonts w:ascii="Arial" w:cs="Arial" w:eastAsia="Arial" w:hAnsi="Arial"/>
                <w:sz w:val="19"/>
                <w:szCs w:val="19"/>
                <w:color w:val="auto"/>
              </w:rPr>
              <w:t>(b)</w:t>
            </w:r>
          </w:p>
        </w:tc>
        <w:tc>
          <w:tcPr>
            <w:tcW w:w="7980" w:type="dxa"/>
            <w:vAlign w:val="bottom"/>
            <w:tcBorders>
              <w:bottom w:val="single" w:sz="8" w:color="auto"/>
              <w:right w:val="single" w:sz="8" w:color="auto"/>
            </w:tcBorders>
          </w:tcPr>
          <w:p>
            <w:pPr>
              <w:ind w:left="60"/>
              <w:spacing w:after="0" w:line="216" w:lineRule="exact"/>
              <w:rPr>
                <w:sz w:val="20"/>
                <w:szCs w:val="20"/>
                <w:color w:val="auto"/>
              </w:rPr>
            </w:pPr>
            <w:r>
              <w:rPr>
                <w:rFonts w:ascii="Arial" w:cs="Arial" w:eastAsia="Arial" w:hAnsi="Arial"/>
                <w:sz w:val="19"/>
                <w:szCs w:val="19"/>
                <w:color w:val="auto"/>
              </w:rPr>
              <w:t>T3M Net Product Revenue as of the reporting period noted above</w:t>
            </w:r>
          </w:p>
        </w:tc>
        <w:tc>
          <w:tcPr>
            <w:tcW w:w="20" w:type="dxa"/>
            <w:vAlign w:val="bottom"/>
            <w:tcBorders>
              <w:bottom w:val="single" w:sz="8" w:color="auto"/>
            </w:tcBorders>
          </w:tcPr>
          <w:p>
            <w:pPr>
              <w:spacing w:after="0"/>
              <w:rPr>
                <w:sz w:val="18"/>
                <w:szCs w:val="18"/>
                <w:color w:val="auto"/>
              </w:rPr>
            </w:pPr>
          </w:p>
        </w:tc>
        <w:tc>
          <w:tcPr>
            <w:tcW w:w="1620" w:type="dxa"/>
            <w:vAlign w:val="bottom"/>
            <w:tcBorders>
              <w:bottom w:val="single" w:sz="8" w:color="auto"/>
              <w:right w:val="single" w:sz="8" w:color="auto"/>
            </w:tcBorders>
            <w:gridSpan w:val="2"/>
          </w:tcPr>
          <w:p>
            <w:pPr>
              <w:spacing w:after="0" w:line="216" w:lineRule="exact"/>
              <w:rPr>
                <w:sz w:val="20"/>
                <w:szCs w:val="20"/>
                <w:color w:val="auto"/>
              </w:rPr>
            </w:pPr>
            <w:r>
              <w:rPr>
                <w:rFonts w:ascii="Arial" w:cs="Arial" w:eastAsia="Arial" w:hAnsi="Arial"/>
                <w:sz w:val="19"/>
                <w:szCs w:val="19"/>
                <w:color w:val="auto"/>
              </w:rPr>
              <w:t>[   ]</w:t>
            </w:r>
          </w:p>
        </w:tc>
      </w:tr>
      <w:tr>
        <w:trPr>
          <w:trHeight w:val="216"/>
        </w:trPr>
        <w:tc>
          <w:tcPr>
            <w:tcW w:w="8300" w:type="dxa"/>
            <w:vAlign w:val="bottom"/>
            <w:tcBorders>
              <w:left w:val="single" w:sz="8" w:color="auto"/>
              <w:bottom w:val="single" w:sz="8" w:color="auto"/>
              <w:right w:val="single" w:sz="8" w:color="auto"/>
            </w:tcBorders>
            <w:gridSpan w:val="2"/>
          </w:tcPr>
          <w:p>
            <w:pPr>
              <w:ind w:left="60"/>
              <w:spacing w:after="0" w:line="216" w:lineRule="exact"/>
              <w:rPr>
                <w:sz w:val="20"/>
                <w:szCs w:val="20"/>
                <w:color w:val="auto"/>
              </w:rPr>
            </w:pPr>
            <w:r>
              <w:rPr>
                <w:rFonts w:ascii="Arial" w:cs="Arial" w:eastAsia="Arial" w:hAnsi="Arial"/>
                <w:sz w:val="19"/>
                <w:szCs w:val="19"/>
                <w:color w:val="auto"/>
              </w:rPr>
              <w:t>Current Net Product Revenue Ratio as defined as the ratio of (a) to (b)</w:t>
            </w:r>
          </w:p>
        </w:tc>
        <w:tc>
          <w:tcPr>
            <w:tcW w:w="20" w:type="dxa"/>
            <w:vAlign w:val="bottom"/>
            <w:tcBorders>
              <w:bottom w:val="single" w:sz="8" w:color="auto"/>
            </w:tcBorders>
          </w:tcPr>
          <w:p>
            <w:pPr>
              <w:spacing w:after="0"/>
              <w:rPr>
                <w:sz w:val="18"/>
                <w:szCs w:val="18"/>
                <w:color w:val="auto"/>
              </w:rPr>
            </w:pPr>
          </w:p>
        </w:tc>
        <w:tc>
          <w:tcPr>
            <w:tcW w:w="1620" w:type="dxa"/>
            <w:vAlign w:val="bottom"/>
            <w:tcBorders>
              <w:bottom w:val="single" w:sz="8" w:color="auto"/>
              <w:right w:val="single" w:sz="8" w:color="auto"/>
            </w:tcBorders>
            <w:gridSpan w:val="2"/>
          </w:tcPr>
          <w:p>
            <w:pPr>
              <w:spacing w:after="0" w:line="216" w:lineRule="exact"/>
              <w:rPr>
                <w:sz w:val="20"/>
                <w:szCs w:val="20"/>
                <w:color w:val="auto"/>
              </w:rPr>
            </w:pPr>
            <w:r>
              <w:rPr>
                <w:rFonts w:ascii="Arial" w:cs="Arial" w:eastAsia="Arial" w:hAnsi="Arial"/>
                <w:sz w:val="19"/>
                <w:szCs w:val="19"/>
                <w:color w:val="auto"/>
              </w:rPr>
              <w:t>[   ]</w:t>
            </w:r>
          </w:p>
        </w:tc>
      </w:tr>
    </w:tbl>
    <w:p>
      <w:pPr>
        <w:spacing w:after="0" w:line="381" w:lineRule="exact"/>
        <w:rPr>
          <w:sz w:val="20"/>
          <w:szCs w:val="20"/>
          <w:color w:val="auto"/>
        </w:rPr>
      </w:pPr>
    </w:p>
    <w:tbl>
      <w:tblPr>
        <w:tblLayout w:type="fixed"/>
        <w:tblInd w:w="10" w:type="dxa"/>
        <w:tblCellMar>
          <w:top w:w="0" w:type="dxa"/>
          <w:left w:w="0" w:type="dxa"/>
          <w:bottom w:w="0" w:type="dxa"/>
          <w:right w:w="0" w:type="dxa"/>
        </w:tblCellMar>
      </w:tblPr>
      <w:tr>
        <w:trPr>
          <w:trHeight w:val="224"/>
        </w:trPr>
        <w:tc>
          <w:tcPr>
            <w:tcW w:w="832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9"/>
                <w:szCs w:val="19"/>
                <w:b w:val="1"/>
                <w:bCs w:val="1"/>
                <w:color w:val="auto"/>
              </w:rPr>
              <w:t>Tranche 4 Draw Conditions Requirements</w:t>
            </w:r>
          </w:p>
        </w:tc>
        <w:tc>
          <w:tcPr>
            <w:tcW w:w="162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9"/>
                <w:szCs w:val="19"/>
                <w:b w:val="1"/>
                <w:bCs w:val="1"/>
                <w:color w:val="auto"/>
              </w:rPr>
              <w:t>Satisfied?</w:t>
            </w:r>
          </w:p>
        </w:tc>
      </w:tr>
      <w:tr>
        <w:trPr>
          <w:trHeight w:val="185"/>
        </w:trPr>
        <w:tc>
          <w:tcPr>
            <w:tcW w:w="8320" w:type="dxa"/>
            <w:vAlign w:val="bottom"/>
            <w:tcBorders>
              <w:left w:val="single" w:sz="8" w:color="auto"/>
              <w:right w:val="single" w:sz="8" w:color="auto"/>
            </w:tcBorders>
          </w:tcPr>
          <w:p>
            <w:pPr>
              <w:ind w:left="140"/>
              <w:spacing w:after="0" w:line="185" w:lineRule="exact"/>
              <w:rPr>
                <w:sz w:val="20"/>
                <w:szCs w:val="20"/>
                <w:color w:val="auto"/>
              </w:rPr>
            </w:pPr>
            <w:r>
              <w:rPr>
                <w:rFonts w:ascii="Arial" w:cs="Arial" w:eastAsia="Arial" w:hAnsi="Arial"/>
                <w:sz w:val="19"/>
                <w:szCs w:val="19"/>
                <w:color w:val="auto"/>
              </w:rPr>
              <w:t>Borrower’s achievement of the AXS-05 Milestone or the AXS-07 Milestone</w:t>
            </w:r>
          </w:p>
        </w:tc>
        <w:tc>
          <w:tcPr>
            <w:tcW w:w="1620" w:type="dxa"/>
            <w:vAlign w:val="bottom"/>
            <w:tcBorders>
              <w:right w:val="single" w:sz="8" w:color="auto"/>
            </w:tcBorders>
          </w:tcPr>
          <w:p>
            <w:pPr>
              <w:ind w:left="60"/>
              <w:spacing w:after="0" w:line="185" w:lineRule="exact"/>
              <w:rPr>
                <w:sz w:val="20"/>
                <w:szCs w:val="20"/>
                <w:color w:val="auto"/>
              </w:rPr>
            </w:pPr>
            <w:r>
              <w:rPr>
                <w:rFonts w:ascii="Arial" w:cs="Arial" w:eastAsia="Arial" w:hAnsi="Arial"/>
                <w:sz w:val="19"/>
                <w:szCs w:val="19"/>
                <w:color w:val="auto"/>
              </w:rPr>
              <w:t>Yes__</w:t>
            </w:r>
          </w:p>
        </w:tc>
      </w:tr>
      <w:tr>
        <w:trPr>
          <w:trHeight w:val="231"/>
        </w:trPr>
        <w:tc>
          <w:tcPr>
            <w:tcW w:w="8320" w:type="dxa"/>
            <w:vAlign w:val="bottom"/>
            <w:tcBorders>
              <w:left w:val="single" w:sz="8" w:color="auto"/>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No__</w:t>
            </w:r>
          </w:p>
        </w:tc>
      </w:tr>
      <w:tr>
        <w:trPr>
          <w:trHeight w:val="185"/>
        </w:trPr>
        <w:tc>
          <w:tcPr>
            <w:tcW w:w="8320" w:type="dxa"/>
            <w:vAlign w:val="bottom"/>
            <w:tcBorders>
              <w:left w:val="single" w:sz="8" w:color="auto"/>
              <w:right w:val="single" w:sz="8" w:color="auto"/>
            </w:tcBorders>
          </w:tcPr>
          <w:p>
            <w:pPr>
              <w:ind w:left="140"/>
              <w:spacing w:after="0" w:line="185" w:lineRule="exact"/>
              <w:rPr>
                <w:sz w:val="20"/>
                <w:szCs w:val="20"/>
                <w:color w:val="auto"/>
              </w:rPr>
            </w:pPr>
            <w:r>
              <w:rPr>
                <w:rFonts w:ascii="Arial" w:cs="Arial" w:eastAsia="Arial" w:hAnsi="Arial"/>
                <w:sz w:val="19"/>
                <w:szCs w:val="19"/>
                <w:color w:val="auto"/>
              </w:rPr>
              <w:t>Net Product Revenue Ratio shall be no greater than 2.75:1.00 (per above and below)</w:t>
            </w:r>
          </w:p>
        </w:tc>
        <w:tc>
          <w:tcPr>
            <w:tcW w:w="1620" w:type="dxa"/>
            <w:vAlign w:val="bottom"/>
            <w:tcBorders>
              <w:right w:val="single" w:sz="8" w:color="auto"/>
            </w:tcBorders>
          </w:tcPr>
          <w:p>
            <w:pPr>
              <w:ind w:left="60"/>
              <w:spacing w:after="0" w:line="185" w:lineRule="exact"/>
              <w:rPr>
                <w:sz w:val="20"/>
                <w:szCs w:val="20"/>
                <w:color w:val="auto"/>
              </w:rPr>
            </w:pPr>
            <w:r>
              <w:rPr>
                <w:rFonts w:ascii="Arial" w:cs="Arial" w:eastAsia="Arial" w:hAnsi="Arial"/>
                <w:sz w:val="19"/>
                <w:szCs w:val="19"/>
                <w:color w:val="auto"/>
              </w:rPr>
              <w:t>Yes__</w:t>
            </w:r>
          </w:p>
        </w:tc>
      </w:tr>
      <w:tr>
        <w:trPr>
          <w:trHeight w:val="231"/>
        </w:trPr>
        <w:tc>
          <w:tcPr>
            <w:tcW w:w="8320" w:type="dxa"/>
            <w:vAlign w:val="bottom"/>
            <w:tcBorders>
              <w:left w:val="single" w:sz="8" w:color="auto"/>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No__</w:t>
            </w:r>
          </w:p>
        </w:tc>
      </w:tr>
      <w:tr>
        <w:trPr>
          <w:trHeight w:val="185"/>
        </w:trPr>
        <w:tc>
          <w:tcPr>
            <w:tcW w:w="8320" w:type="dxa"/>
            <w:vAlign w:val="bottom"/>
            <w:tcBorders>
              <w:left w:val="single" w:sz="8" w:color="auto"/>
              <w:right w:val="single" w:sz="8" w:color="auto"/>
            </w:tcBorders>
          </w:tcPr>
          <w:p>
            <w:pPr>
              <w:ind w:left="140"/>
              <w:spacing w:after="0" w:line="185" w:lineRule="exact"/>
              <w:rPr>
                <w:sz w:val="20"/>
                <w:szCs w:val="20"/>
                <w:color w:val="auto"/>
              </w:rPr>
            </w:pPr>
            <w:r>
              <w:rPr>
                <w:rFonts w:ascii="Arial" w:cs="Arial" w:eastAsia="Arial" w:hAnsi="Arial"/>
                <w:sz w:val="19"/>
                <w:szCs w:val="19"/>
                <w:color w:val="auto"/>
              </w:rPr>
              <w:t>No Default or Event of Default shall have occurred and be continuing</w:t>
            </w:r>
          </w:p>
        </w:tc>
        <w:tc>
          <w:tcPr>
            <w:tcW w:w="1620" w:type="dxa"/>
            <w:vAlign w:val="bottom"/>
            <w:tcBorders>
              <w:right w:val="single" w:sz="8" w:color="auto"/>
            </w:tcBorders>
          </w:tcPr>
          <w:p>
            <w:pPr>
              <w:ind w:left="60"/>
              <w:spacing w:after="0" w:line="185" w:lineRule="exact"/>
              <w:rPr>
                <w:sz w:val="20"/>
                <w:szCs w:val="20"/>
                <w:color w:val="auto"/>
              </w:rPr>
            </w:pPr>
            <w:r>
              <w:rPr>
                <w:rFonts w:ascii="Arial" w:cs="Arial" w:eastAsia="Arial" w:hAnsi="Arial"/>
                <w:sz w:val="19"/>
                <w:szCs w:val="19"/>
                <w:color w:val="auto"/>
              </w:rPr>
              <w:t>Yes__</w:t>
            </w:r>
          </w:p>
        </w:tc>
      </w:tr>
      <w:tr>
        <w:trPr>
          <w:trHeight w:val="231"/>
        </w:trPr>
        <w:tc>
          <w:tcPr>
            <w:tcW w:w="8320" w:type="dxa"/>
            <w:vAlign w:val="bottom"/>
            <w:tcBorders>
              <w:left w:val="single" w:sz="8" w:color="auto"/>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No__</w:t>
            </w:r>
          </w:p>
        </w:tc>
      </w:tr>
    </w:tbl>
    <w:p>
      <w:pPr>
        <w:spacing w:after="0" w:line="381"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8300" w:type="dxa"/>
            <w:vAlign w:val="bottom"/>
            <w:tcBorders>
              <w:top w:val="single" w:sz="8" w:color="auto"/>
              <w:left w:val="single" w:sz="8" w:color="auto"/>
              <w:right w:val="single" w:sz="8" w:color="auto"/>
            </w:tcBorders>
          </w:tcPr>
          <w:p>
            <w:pPr>
              <w:ind w:left="60"/>
              <w:spacing w:after="0" w:line="189" w:lineRule="exact"/>
              <w:rPr>
                <w:sz w:val="20"/>
                <w:szCs w:val="20"/>
                <w:color w:val="auto"/>
              </w:rPr>
            </w:pPr>
            <w:r>
              <w:rPr>
                <w:rFonts w:ascii="Arial" w:cs="Arial" w:eastAsia="Arial" w:hAnsi="Arial"/>
                <w:sz w:val="19"/>
                <w:szCs w:val="19"/>
                <w:b w:val="1"/>
                <w:bCs w:val="1"/>
                <w:color w:val="auto"/>
              </w:rPr>
              <w:t>Tranche 4 Availability Calculation if all the conditions above are “Yes”</w:t>
            </w:r>
          </w:p>
        </w:tc>
        <w:tc>
          <w:tcPr>
            <w:tcW w:w="20" w:type="dxa"/>
            <w:vAlign w:val="bottom"/>
            <w:tcBorders>
              <w:top w:val="single" w:sz="8" w:color="auto"/>
            </w:tcBorders>
          </w:tcPr>
          <w:p>
            <w:pPr>
              <w:spacing w:after="0"/>
              <w:rPr>
                <w:sz w:val="16"/>
                <w:szCs w:val="16"/>
                <w:color w:val="auto"/>
              </w:rPr>
            </w:pPr>
          </w:p>
        </w:tc>
        <w:tc>
          <w:tcPr>
            <w:tcW w:w="1620" w:type="dxa"/>
            <w:vAlign w:val="bottom"/>
            <w:tcBorders>
              <w:top w:val="single" w:sz="8" w:color="auto"/>
              <w:right w:val="single" w:sz="8" w:color="auto"/>
            </w:tcBorders>
            <w:gridSpan w:val="2"/>
          </w:tcPr>
          <w:p>
            <w:pPr>
              <w:spacing w:after="0" w:line="189" w:lineRule="exact"/>
              <w:rPr>
                <w:sz w:val="20"/>
                <w:szCs w:val="20"/>
                <w:color w:val="auto"/>
              </w:rPr>
            </w:pPr>
            <w:r>
              <w:rPr>
                <w:rFonts w:ascii="Arial" w:cs="Arial" w:eastAsia="Arial" w:hAnsi="Arial"/>
                <w:sz w:val="19"/>
                <w:szCs w:val="19"/>
                <w:b w:val="1"/>
                <w:bCs w:val="1"/>
                <w:color w:val="auto"/>
              </w:rPr>
              <w:t>Amounts</w:t>
            </w:r>
          </w:p>
        </w:tc>
      </w:tr>
      <w:tr>
        <w:trPr>
          <w:trHeight w:val="20"/>
        </w:trPr>
        <w:tc>
          <w:tcPr>
            <w:tcW w:w="83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r>
      <w:tr>
        <w:trPr>
          <w:trHeight w:val="211"/>
        </w:trPr>
        <w:tc>
          <w:tcPr>
            <w:tcW w:w="8300" w:type="dxa"/>
            <w:vAlign w:val="bottom"/>
            <w:tcBorders>
              <w:left w:val="single" w:sz="8" w:color="auto"/>
              <w:bottom w:val="single" w:sz="8" w:color="auto"/>
              <w:right w:val="single" w:sz="8" w:color="auto"/>
            </w:tcBorders>
          </w:tcPr>
          <w:p>
            <w:pPr>
              <w:ind w:left="60"/>
              <w:spacing w:after="0" w:line="211" w:lineRule="exact"/>
              <w:rPr>
                <w:sz w:val="20"/>
                <w:szCs w:val="20"/>
                <w:color w:val="auto"/>
              </w:rPr>
            </w:pPr>
            <w:r>
              <w:rPr>
                <w:rFonts w:ascii="Arial" w:cs="Arial" w:eastAsia="Arial" w:hAnsi="Arial"/>
                <w:sz w:val="19"/>
                <w:szCs w:val="19"/>
                <w:color w:val="auto"/>
              </w:rPr>
              <w:t>(c) T3M Net Product Revenue as of the reporting period noted above</w:t>
            </w:r>
          </w:p>
        </w:tc>
        <w:tc>
          <w:tcPr>
            <w:tcW w:w="20" w:type="dxa"/>
            <w:vAlign w:val="bottom"/>
            <w:tcBorders>
              <w:bottom w:val="single" w:sz="8" w:color="auto"/>
            </w:tcBorders>
          </w:tcPr>
          <w:p>
            <w:pPr>
              <w:spacing w:after="0"/>
              <w:rPr>
                <w:sz w:val="18"/>
                <w:szCs w:val="18"/>
                <w:color w:val="auto"/>
              </w:rPr>
            </w:pPr>
          </w:p>
        </w:tc>
        <w:tc>
          <w:tcPr>
            <w:tcW w:w="1620" w:type="dxa"/>
            <w:vAlign w:val="bottom"/>
            <w:tcBorders>
              <w:bottom w:val="single" w:sz="8" w:color="auto"/>
              <w:right w:val="single" w:sz="8" w:color="auto"/>
            </w:tcBorders>
            <w:gridSpan w:val="2"/>
          </w:tcPr>
          <w:p>
            <w:pPr>
              <w:spacing w:after="0" w:line="211" w:lineRule="exact"/>
              <w:rPr>
                <w:sz w:val="20"/>
                <w:szCs w:val="20"/>
                <w:color w:val="auto"/>
              </w:rPr>
            </w:pPr>
            <w:r>
              <w:rPr>
                <w:rFonts w:ascii="Arial" w:cs="Arial" w:eastAsia="Arial" w:hAnsi="Arial"/>
                <w:sz w:val="19"/>
                <w:szCs w:val="19"/>
                <w:color w:val="auto"/>
              </w:rPr>
              <w:t>[   ]</w:t>
            </w:r>
          </w:p>
        </w:tc>
      </w:tr>
      <w:tr>
        <w:trPr>
          <w:trHeight w:val="204"/>
        </w:trPr>
        <w:tc>
          <w:tcPr>
            <w:tcW w:w="8300" w:type="dxa"/>
            <w:vAlign w:val="bottom"/>
            <w:tcBorders>
              <w:left w:val="single" w:sz="8" w:color="auto"/>
              <w:bottom w:val="single" w:sz="8" w:color="auto"/>
              <w:right w:val="single" w:sz="8" w:color="auto"/>
            </w:tcBorders>
          </w:tcPr>
          <w:p>
            <w:pPr>
              <w:ind w:left="60"/>
              <w:spacing w:after="0" w:line="204" w:lineRule="exact"/>
              <w:rPr>
                <w:sz w:val="20"/>
                <w:szCs w:val="20"/>
                <w:color w:val="auto"/>
              </w:rPr>
            </w:pPr>
            <w:r>
              <w:rPr>
                <w:rFonts w:ascii="Arial" w:cs="Arial" w:eastAsia="Arial" w:hAnsi="Arial"/>
                <w:sz w:val="19"/>
                <w:szCs w:val="19"/>
                <w:color w:val="auto"/>
              </w:rPr>
              <w:t>(d) Maximum allowable Net Product Revenue Ratio</w:t>
            </w:r>
          </w:p>
        </w:tc>
        <w:tc>
          <w:tcPr>
            <w:tcW w:w="760" w:type="dxa"/>
            <w:vAlign w:val="bottom"/>
            <w:tcBorders>
              <w:bottom w:val="single" w:sz="8" w:color="auto"/>
            </w:tcBorders>
            <w:gridSpan w:val="2"/>
          </w:tcPr>
          <w:p>
            <w:pPr>
              <w:ind w:left="20"/>
              <w:spacing w:after="0" w:line="204" w:lineRule="exact"/>
              <w:rPr>
                <w:sz w:val="20"/>
                <w:szCs w:val="20"/>
                <w:color w:val="auto"/>
              </w:rPr>
            </w:pPr>
            <w:r>
              <w:rPr>
                <w:rFonts w:ascii="Arial" w:cs="Arial" w:eastAsia="Arial" w:hAnsi="Arial"/>
                <w:sz w:val="19"/>
                <w:szCs w:val="19"/>
                <w:color w:val="auto"/>
              </w:rPr>
              <w:t>2.75</w:t>
            </w:r>
          </w:p>
        </w:tc>
        <w:tc>
          <w:tcPr>
            <w:tcW w:w="880" w:type="dxa"/>
            <w:vAlign w:val="bottom"/>
            <w:tcBorders>
              <w:bottom w:val="single" w:sz="8" w:color="auto"/>
              <w:right w:val="single" w:sz="8" w:color="auto"/>
            </w:tcBorders>
          </w:tcPr>
          <w:p>
            <w:pPr>
              <w:spacing w:after="0"/>
              <w:rPr>
                <w:sz w:val="17"/>
                <w:szCs w:val="17"/>
                <w:color w:val="auto"/>
              </w:rPr>
            </w:pPr>
          </w:p>
        </w:tc>
      </w:tr>
      <w:tr>
        <w:trPr>
          <w:trHeight w:val="185"/>
        </w:trPr>
        <w:tc>
          <w:tcPr>
            <w:tcW w:w="8300" w:type="dxa"/>
            <w:vAlign w:val="bottom"/>
            <w:tcBorders>
              <w:left w:val="single" w:sz="8" w:color="auto"/>
              <w:right w:val="single" w:sz="8" w:color="auto"/>
            </w:tcBorders>
          </w:tcPr>
          <w:p>
            <w:pPr>
              <w:ind w:left="60"/>
              <w:spacing w:after="0" w:line="185" w:lineRule="exact"/>
              <w:rPr>
                <w:sz w:val="20"/>
                <w:szCs w:val="20"/>
                <w:color w:val="auto"/>
              </w:rPr>
            </w:pPr>
            <w:r>
              <w:rPr>
                <w:rFonts w:ascii="Arial" w:cs="Arial" w:eastAsia="Arial" w:hAnsi="Arial"/>
                <w:sz w:val="19"/>
                <w:szCs w:val="19"/>
                <w:color w:val="auto"/>
                <w:w w:val="90"/>
              </w:rPr>
              <w:t>(e) Maximum allowable amount of outstanding Term Loan Advances as calculated as the product of (c) and</w:t>
            </w:r>
          </w:p>
        </w:tc>
        <w:tc>
          <w:tcPr>
            <w:tcW w:w="20" w:type="dxa"/>
            <w:vAlign w:val="bottom"/>
          </w:tcPr>
          <w:p>
            <w:pPr>
              <w:spacing w:after="0"/>
              <w:rPr>
                <w:sz w:val="16"/>
                <w:szCs w:val="16"/>
                <w:color w:val="auto"/>
              </w:rPr>
            </w:pPr>
          </w:p>
        </w:tc>
        <w:tc>
          <w:tcPr>
            <w:tcW w:w="1620" w:type="dxa"/>
            <w:vAlign w:val="bottom"/>
            <w:tcBorders>
              <w:right w:val="single" w:sz="8" w:color="auto"/>
            </w:tcBorders>
            <w:gridSpan w:val="2"/>
          </w:tcPr>
          <w:p>
            <w:pPr>
              <w:spacing w:after="0" w:line="185" w:lineRule="exact"/>
              <w:rPr>
                <w:sz w:val="20"/>
                <w:szCs w:val="20"/>
                <w:color w:val="auto"/>
              </w:rPr>
            </w:pPr>
            <w:r>
              <w:rPr>
                <w:rFonts w:ascii="Arial" w:cs="Arial" w:eastAsia="Arial" w:hAnsi="Arial"/>
                <w:sz w:val="19"/>
                <w:szCs w:val="19"/>
                <w:color w:val="auto"/>
              </w:rPr>
              <w:t>[   ]</w:t>
            </w:r>
          </w:p>
        </w:tc>
      </w:tr>
      <w:tr>
        <w:trPr>
          <w:trHeight w:val="231"/>
        </w:trPr>
        <w:tc>
          <w:tcPr>
            <w:tcW w:w="83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w:t>
            </w:r>
          </w:p>
        </w:tc>
        <w:tc>
          <w:tcPr>
            <w:tcW w:w="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r>
      <w:tr>
        <w:trPr>
          <w:trHeight w:val="216"/>
        </w:trPr>
        <w:tc>
          <w:tcPr>
            <w:tcW w:w="8300" w:type="dxa"/>
            <w:vAlign w:val="bottom"/>
            <w:tcBorders>
              <w:left w:val="single" w:sz="8" w:color="auto"/>
              <w:bottom w:val="single" w:sz="8" w:color="auto"/>
              <w:right w:val="single" w:sz="8" w:color="auto"/>
            </w:tcBorders>
          </w:tcPr>
          <w:p>
            <w:pPr>
              <w:ind w:left="60"/>
              <w:spacing w:after="0" w:line="216" w:lineRule="exact"/>
              <w:rPr>
                <w:sz w:val="20"/>
                <w:szCs w:val="20"/>
                <w:color w:val="auto"/>
              </w:rPr>
            </w:pPr>
            <w:r>
              <w:rPr>
                <w:rFonts w:ascii="Arial" w:cs="Arial" w:eastAsia="Arial" w:hAnsi="Arial"/>
                <w:sz w:val="19"/>
                <w:szCs w:val="19"/>
                <w:color w:val="auto"/>
              </w:rPr>
              <w:t>(f) The outstanding amount of the Term Loan Advances as of the date hereof</w:t>
            </w:r>
          </w:p>
        </w:tc>
        <w:tc>
          <w:tcPr>
            <w:tcW w:w="20" w:type="dxa"/>
            <w:vAlign w:val="bottom"/>
            <w:tcBorders>
              <w:bottom w:val="single" w:sz="8" w:color="auto"/>
            </w:tcBorders>
          </w:tcPr>
          <w:p>
            <w:pPr>
              <w:spacing w:after="0"/>
              <w:rPr>
                <w:sz w:val="18"/>
                <w:szCs w:val="18"/>
                <w:color w:val="auto"/>
              </w:rPr>
            </w:pPr>
          </w:p>
        </w:tc>
        <w:tc>
          <w:tcPr>
            <w:tcW w:w="1620" w:type="dxa"/>
            <w:vAlign w:val="bottom"/>
            <w:tcBorders>
              <w:bottom w:val="single" w:sz="8" w:color="auto"/>
              <w:right w:val="single" w:sz="8" w:color="auto"/>
            </w:tcBorders>
            <w:gridSpan w:val="2"/>
          </w:tcPr>
          <w:p>
            <w:pPr>
              <w:spacing w:after="0" w:line="216" w:lineRule="exact"/>
              <w:rPr>
                <w:sz w:val="20"/>
                <w:szCs w:val="20"/>
                <w:color w:val="auto"/>
              </w:rPr>
            </w:pPr>
            <w:r>
              <w:rPr>
                <w:rFonts w:ascii="Arial" w:cs="Arial" w:eastAsia="Arial" w:hAnsi="Arial"/>
                <w:sz w:val="19"/>
                <w:szCs w:val="19"/>
                <w:color w:val="auto"/>
              </w:rPr>
              <w:t>[   ]</w:t>
            </w:r>
          </w:p>
        </w:tc>
      </w:tr>
      <w:tr>
        <w:trPr>
          <w:trHeight w:val="216"/>
        </w:trPr>
        <w:tc>
          <w:tcPr>
            <w:tcW w:w="8300" w:type="dxa"/>
            <w:vAlign w:val="bottom"/>
            <w:tcBorders>
              <w:left w:val="single" w:sz="8" w:color="auto"/>
              <w:bottom w:val="single" w:sz="8" w:color="auto"/>
              <w:right w:val="single" w:sz="8" w:color="auto"/>
            </w:tcBorders>
          </w:tcPr>
          <w:p>
            <w:pPr>
              <w:ind w:left="60"/>
              <w:spacing w:after="0" w:line="216" w:lineRule="exact"/>
              <w:rPr>
                <w:sz w:val="20"/>
                <w:szCs w:val="20"/>
                <w:color w:val="auto"/>
              </w:rPr>
            </w:pPr>
            <w:r>
              <w:rPr>
                <w:rFonts w:ascii="Arial" w:cs="Arial" w:eastAsia="Arial" w:hAnsi="Arial"/>
                <w:sz w:val="19"/>
                <w:szCs w:val="19"/>
                <w:color w:val="auto"/>
              </w:rPr>
              <w:t xml:space="preserve">(g) Tranche 4 amount available as calculated as (e) </w:t>
            </w:r>
            <w:r>
              <w:rPr>
                <w:rFonts w:ascii="Arial" w:cs="Arial" w:eastAsia="Arial" w:hAnsi="Arial"/>
                <w:sz w:val="19"/>
                <w:szCs w:val="19"/>
                <w:i w:val="1"/>
                <w:iCs w:val="1"/>
                <w:color w:val="auto"/>
              </w:rPr>
              <w:t>minus</w:t>
            </w:r>
            <w:r>
              <w:rPr>
                <w:rFonts w:ascii="Arial" w:cs="Arial" w:eastAsia="Arial" w:hAnsi="Arial"/>
                <w:sz w:val="19"/>
                <w:szCs w:val="19"/>
                <w:color w:val="auto"/>
              </w:rPr>
              <w:t xml:space="preserve"> (f)</w:t>
            </w:r>
          </w:p>
        </w:tc>
        <w:tc>
          <w:tcPr>
            <w:tcW w:w="20" w:type="dxa"/>
            <w:vAlign w:val="bottom"/>
            <w:tcBorders>
              <w:bottom w:val="single" w:sz="8" w:color="auto"/>
            </w:tcBorders>
          </w:tcPr>
          <w:p>
            <w:pPr>
              <w:spacing w:after="0"/>
              <w:rPr>
                <w:sz w:val="18"/>
                <w:szCs w:val="18"/>
                <w:color w:val="auto"/>
              </w:rPr>
            </w:pPr>
          </w:p>
        </w:tc>
        <w:tc>
          <w:tcPr>
            <w:tcW w:w="1620" w:type="dxa"/>
            <w:vAlign w:val="bottom"/>
            <w:tcBorders>
              <w:bottom w:val="single" w:sz="8" w:color="auto"/>
              <w:right w:val="single" w:sz="8" w:color="auto"/>
            </w:tcBorders>
            <w:gridSpan w:val="2"/>
          </w:tcPr>
          <w:p>
            <w:pPr>
              <w:spacing w:after="0" w:line="216" w:lineRule="exact"/>
              <w:rPr>
                <w:sz w:val="20"/>
                <w:szCs w:val="20"/>
                <w:color w:val="auto"/>
              </w:rPr>
            </w:pPr>
            <w:r>
              <w:rPr>
                <w:rFonts w:ascii="Arial" w:cs="Arial" w:eastAsia="Arial" w:hAnsi="Arial"/>
                <w:sz w:val="19"/>
                <w:szCs w:val="19"/>
                <w:color w:val="auto"/>
              </w:rPr>
              <w:t>[   ]</w:t>
            </w:r>
          </w:p>
        </w:tc>
      </w:tr>
      <w:tr>
        <w:trPr>
          <w:trHeight w:val="185"/>
        </w:trPr>
        <w:tc>
          <w:tcPr>
            <w:tcW w:w="8300" w:type="dxa"/>
            <w:vAlign w:val="bottom"/>
            <w:tcBorders>
              <w:left w:val="single" w:sz="8" w:color="auto"/>
              <w:right w:val="single" w:sz="8" w:color="auto"/>
            </w:tcBorders>
          </w:tcPr>
          <w:p>
            <w:pPr>
              <w:ind w:left="60"/>
              <w:spacing w:after="0" w:line="185" w:lineRule="exact"/>
              <w:rPr>
                <w:sz w:val="20"/>
                <w:szCs w:val="20"/>
                <w:color w:val="auto"/>
              </w:rPr>
            </w:pPr>
            <w:r>
              <w:rPr>
                <w:rFonts w:ascii="Arial" w:cs="Arial" w:eastAsia="Arial" w:hAnsi="Arial"/>
                <w:sz w:val="19"/>
                <w:szCs w:val="19"/>
                <w:color w:val="auto"/>
                <w:w w:val="92"/>
              </w:rPr>
              <w:t>(h) Tranche 4 minimum drawable amount as calculated as the amount in (g) rounded down to the nearest</w:t>
            </w:r>
          </w:p>
        </w:tc>
        <w:tc>
          <w:tcPr>
            <w:tcW w:w="20" w:type="dxa"/>
            <w:vAlign w:val="bottom"/>
          </w:tcPr>
          <w:p>
            <w:pPr>
              <w:spacing w:after="0"/>
              <w:rPr>
                <w:sz w:val="16"/>
                <w:szCs w:val="16"/>
                <w:color w:val="auto"/>
              </w:rPr>
            </w:pPr>
          </w:p>
        </w:tc>
        <w:tc>
          <w:tcPr>
            <w:tcW w:w="1620" w:type="dxa"/>
            <w:vAlign w:val="bottom"/>
            <w:tcBorders>
              <w:right w:val="single" w:sz="8" w:color="auto"/>
            </w:tcBorders>
            <w:gridSpan w:val="2"/>
          </w:tcPr>
          <w:p>
            <w:pPr>
              <w:spacing w:after="0" w:line="185" w:lineRule="exact"/>
              <w:rPr>
                <w:sz w:val="20"/>
                <w:szCs w:val="20"/>
                <w:color w:val="auto"/>
              </w:rPr>
            </w:pPr>
            <w:r>
              <w:rPr>
                <w:rFonts w:ascii="Arial" w:cs="Arial" w:eastAsia="Arial" w:hAnsi="Arial"/>
                <w:sz w:val="19"/>
                <w:szCs w:val="19"/>
                <w:color w:val="auto"/>
              </w:rPr>
              <w:t>[   ]</w:t>
            </w:r>
          </w:p>
        </w:tc>
      </w:tr>
      <w:tr>
        <w:trPr>
          <w:trHeight w:val="231"/>
        </w:trPr>
        <w:tc>
          <w:tcPr>
            <w:tcW w:w="83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multiple of $10,000,000</w:t>
            </w:r>
          </w:p>
        </w:tc>
        <w:tc>
          <w:tcPr>
            <w:tcW w:w="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r>
      <w:tr>
        <w:trPr>
          <w:trHeight w:val="1092"/>
        </w:trPr>
        <w:tc>
          <w:tcPr>
            <w:tcW w:w="8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987" w:right="979" w:bottom="1440" w:gutter="0" w:footer="0" w:header="0"/>
        </w:sectPr>
      </w:pPr>
    </w:p>
    <w:bookmarkStart w:id="191" w:name="page192"/>
    <w:bookmarkEnd w:id="191"/>
    <w:p>
      <w:pPr>
        <w:jc w:val="center"/>
        <w:spacing w:after="0"/>
        <w:rPr>
          <w:sz w:val="20"/>
          <w:szCs w:val="20"/>
          <w:color w:val="auto"/>
        </w:rPr>
      </w:pPr>
      <w:r>
        <w:rPr>
          <w:rFonts w:ascii="Arial" w:cs="Arial" w:eastAsia="Arial" w:hAnsi="Arial"/>
          <w:sz w:val="19"/>
          <w:szCs w:val="19"/>
          <w:b w:val="1"/>
          <w:bCs w:val="1"/>
          <w:color w:val="auto"/>
        </w:rPr>
        <w:t>EXHIBIT B</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NAME, LOCATIONS, AND OTHER INFORMATION FOR BORROWER</w:t>
      </w:r>
    </w:p>
    <w:p>
      <w:pPr>
        <w:spacing w:after="0" w:line="188" w:lineRule="exact"/>
        <w:rPr>
          <w:sz w:val="20"/>
          <w:szCs w:val="20"/>
          <w:color w:val="auto"/>
        </w:rPr>
      </w:pPr>
    </w:p>
    <w:p>
      <w:pPr>
        <w:ind w:firstLine="562"/>
        <w:spacing w:after="0" w:line="256" w:lineRule="auto"/>
        <w:tabs>
          <w:tab w:leader="none" w:pos="842" w:val="left"/>
        </w:tabs>
        <w:numPr>
          <w:ilvl w:val="0"/>
          <w:numId w:val="109"/>
        </w:numPr>
        <w:rPr>
          <w:rFonts w:ascii="Arial" w:cs="Arial" w:eastAsia="Arial" w:hAnsi="Arial"/>
          <w:sz w:val="19"/>
          <w:szCs w:val="19"/>
          <w:color w:val="auto"/>
        </w:rPr>
      </w:pPr>
      <w:r>
        <w:rPr>
          <w:rFonts w:ascii="Arial" w:cs="Arial" w:eastAsia="Arial" w:hAnsi="Arial"/>
          <w:sz w:val="19"/>
          <w:szCs w:val="19"/>
          <w:color w:val="auto"/>
        </w:rPr>
        <w:t>Borrower represents and warrants to Agent that Borrower’s current name and organizational status as of the Closing Date is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620" w:type="dxa"/>
            <w:vAlign w:val="bottom"/>
          </w:tcPr>
          <w:p>
            <w:pPr>
              <w:spacing w:after="0"/>
              <w:rPr>
                <w:sz w:val="20"/>
                <w:szCs w:val="20"/>
                <w:color w:val="auto"/>
              </w:rPr>
            </w:pPr>
            <w:r>
              <w:rPr>
                <w:rFonts w:ascii="Arial" w:cs="Arial" w:eastAsia="Arial" w:hAnsi="Arial"/>
                <w:sz w:val="19"/>
                <w:szCs w:val="19"/>
                <w:color w:val="auto"/>
              </w:rPr>
              <w:t>Name:</w:t>
            </w:r>
          </w:p>
        </w:tc>
        <w:tc>
          <w:tcPr>
            <w:tcW w:w="1840" w:type="dxa"/>
            <w:vAlign w:val="bottom"/>
          </w:tcPr>
          <w:p>
            <w:pPr>
              <w:jc w:val="right"/>
              <w:ind w:right="1006"/>
              <w:spacing w:after="0"/>
              <w:rPr>
                <w:sz w:val="20"/>
                <w:szCs w:val="20"/>
                <w:color w:val="auto"/>
              </w:rPr>
            </w:pPr>
            <w:r>
              <w:rPr>
                <w:rFonts w:ascii="Arial" w:cs="Arial" w:eastAsia="Arial" w:hAnsi="Arial"/>
                <w:sz w:val="19"/>
                <w:szCs w:val="19"/>
                <w:color w:val="auto"/>
              </w:rPr>
              <w:t>[</w:t>
            </w:r>
          </w:p>
        </w:tc>
        <w:tc>
          <w:tcPr>
            <w:tcW w:w="1180" w:type="dxa"/>
            <w:vAlign w:val="bottom"/>
          </w:tcPr>
          <w:p>
            <w:pPr>
              <w:jc w:val="right"/>
              <w:spacing w:after="0"/>
              <w:rPr>
                <w:sz w:val="20"/>
                <w:szCs w:val="20"/>
                <w:color w:val="auto"/>
              </w:rPr>
            </w:pPr>
            <w:r>
              <w:rPr>
                <w:rFonts w:ascii="Arial" w:cs="Arial" w:eastAsia="Arial" w:hAnsi="Arial"/>
                <w:sz w:val="19"/>
                <w:szCs w:val="19"/>
                <w:color w:val="auto"/>
              </w:rPr>
              <w:t>]</w:t>
            </w:r>
          </w:p>
        </w:tc>
      </w:tr>
      <w:tr>
        <w:trPr>
          <w:trHeight w:val="424"/>
        </w:trPr>
        <w:tc>
          <w:tcPr>
            <w:tcW w:w="2620" w:type="dxa"/>
            <w:vAlign w:val="bottom"/>
          </w:tcPr>
          <w:p>
            <w:pPr>
              <w:spacing w:after="0"/>
              <w:rPr>
                <w:sz w:val="20"/>
                <w:szCs w:val="20"/>
                <w:color w:val="auto"/>
              </w:rPr>
            </w:pPr>
            <w:r>
              <w:rPr>
                <w:rFonts w:ascii="Arial" w:cs="Arial" w:eastAsia="Arial" w:hAnsi="Arial"/>
                <w:sz w:val="19"/>
                <w:szCs w:val="19"/>
                <w:color w:val="auto"/>
              </w:rPr>
              <w:t>Type of organization:</w:t>
            </w:r>
          </w:p>
        </w:tc>
        <w:tc>
          <w:tcPr>
            <w:tcW w:w="1840" w:type="dxa"/>
            <w:vAlign w:val="bottom"/>
          </w:tcPr>
          <w:p>
            <w:pPr>
              <w:jc w:val="right"/>
              <w:ind w:right="1006"/>
              <w:spacing w:after="0"/>
              <w:rPr>
                <w:sz w:val="20"/>
                <w:szCs w:val="20"/>
                <w:color w:val="auto"/>
              </w:rPr>
            </w:pPr>
            <w:r>
              <w:rPr>
                <w:rFonts w:ascii="Arial" w:cs="Arial" w:eastAsia="Arial" w:hAnsi="Arial"/>
                <w:sz w:val="19"/>
                <w:szCs w:val="19"/>
                <w:color w:val="auto"/>
              </w:rPr>
              <w:t>[</w:t>
            </w:r>
          </w:p>
        </w:tc>
        <w:tc>
          <w:tcPr>
            <w:tcW w:w="1180" w:type="dxa"/>
            <w:vAlign w:val="bottom"/>
          </w:tcPr>
          <w:p>
            <w:pPr>
              <w:jc w:val="right"/>
              <w:spacing w:after="0"/>
              <w:rPr>
                <w:sz w:val="20"/>
                <w:szCs w:val="20"/>
                <w:color w:val="auto"/>
              </w:rPr>
            </w:pPr>
            <w:r>
              <w:rPr>
                <w:rFonts w:ascii="Arial" w:cs="Arial" w:eastAsia="Arial" w:hAnsi="Arial"/>
                <w:sz w:val="19"/>
                <w:szCs w:val="19"/>
                <w:color w:val="auto"/>
              </w:rPr>
              <w:t>]</w:t>
            </w:r>
          </w:p>
        </w:tc>
      </w:tr>
      <w:tr>
        <w:trPr>
          <w:trHeight w:val="424"/>
        </w:trPr>
        <w:tc>
          <w:tcPr>
            <w:tcW w:w="2620" w:type="dxa"/>
            <w:vAlign w:val="bottom"/>
          </w:tcPr>
          <w:p>
            <w:pPr>
              <w:spacing w:after="0"/>
              <w:rPr>
                <w:sz w:val="20"/>
                <w:szCs w:val="20"/>
                <w:color w:val="auto"/>
              </w:rPr>
            </w:pPr>
            <w:r>
              <w:rPr>
                <w:rFonts w:ascii="Arial" w:cs="Arial" w:eastAsia="Arial" w:hAnsi="Arial"/>
                <w:sz w:val="19"/>
                <w:szCs w:val="19"/>
                <w:color w:val="auto"/>
              </w:rPr>
              <w:t>State of organization:</w:t>
            </w:r>
          </w:p>
        </w:tc>
        <w:tc>
          <w:tcPr>
            <w:tcW w:w="1840" w:type="dxa"/>
            <w:vAlign w:val="bottom"/>
          </w:tcPr>
          <w:p>
            <w:pPr>
              <w:jc w:val="right"/>
              <w:ind w:right="1006"/>
              <w:spacing w:after="0"/>
              <w:rPr>
                <w:sz w:val="20"/>
                <w:szCs w:val="20"/>
                <w:color w:val="auto"/>
              </w:rPr>
            </w:pPr>
            <w:r>
              <w:rPr>
                <w:rFonts w:ascii="Arial" w:cs="Arial" w:eastAsia="Arial" w:hAnsi="Arial"/>
                <w:sz w:val="19"/>
                <w:szCs w:val="19"/>
                <w:color w:val="auto"/>
              </w:rPr>
              <w:t>[</w:t>
            </w:r>
          </w:p>
        </w:tc>
        <w:tc>
          <w:tcPr>
            <w:tcW w:w="1180" w:type="dxa"/>
            <w:vAlign w:val="bottom"/>
          </w:tcPr>
          <w:p>
            <w:pPr>
              <w:jc w:val="right"/>
              <w:spacing w:after="0"/>
              <w:rPr>
                <w:sz w:val="20"/>
                <w:szCs w:val="20"/>
                <w:color w:val="auto"/>
              </w:rPr>
            </w:pPr>
            <w:r>
              <w:rPr>
                <w:rFonts w:ascii="Arial" w:cs="Arial" w:eastAsia="Arial" w:hAnsi="Arial"/>
                <w:sz w:val="19"/>
                <w:szCs w:val="19"/>
                <w:color w:val="auto"/>
              </w:rPr>
              <w:t>]</w:t>
            </w:r>
          </w:p>
        </w:tc>
      </w:tr>
      <w:tr>
        <w:trPr>
          <w:trHeight w:val="424"/>
        </w:trPr>
        <w:tc>
          <w:tcPr>
            <w:tcW w:w="2620" w:type="dxa"/>
            <w:vAlign w:val="bottom"/>
          </w:tcPr>
          <w:p>
            <w:pPr>
              <w:spacing w:after="0"/>
              <w:rPr>
                <w:sz w:val="20"/>
                <w:szCs w:val="20"/>
                <w:color w:val="auto"/>
              </w:rPr>
            </w:pPr>
            <w:r>
              <w:rPr>
                <w:rFonts w:ascii="Arial" w:cs="Arial" w:eastAsia="Arial" w:hAnsi="Arial"/>
                <w:sz w:val="19"/>
                <w:szCs w:val="19"/>
                <w:color w:val="auto"/>
              </w:rPr>
              <w:t>Organization file number:</w:t>
            </w:r>
          </w:p>
        </w:tc>
        <w:tc>
          <w:tcPr>
            <w:tcW w:w="1840" w:type="dxa"/>
            <w:vAlign w:val="bottom"/>
          </w:tcPr>
          <w:p>
            <w:pPr>
              <w:jc w:val="right"/>
              <w:ind w:right="1006"/>
              <w:spacing w:after="0"/>
              <w:rPr>
                <w:sz w:val="20"/>
                <w:szCs w:val="20"/>
                <w:color w:val="auto"/>
              </w:rPr>
            </w:pPr>
            <w:r>
              <w:rPr>
                <w:rFonts w:ascii="Arial" w:cs="Arial" w:eastAsia="Arial" w:hAnsi="Arial"/>
                <w:sz w:val="19"/>
                <w:szCs w:val="19"/>
                <w:color w:val="auto"/>
              </w:rPr>
              <w:t>[</w:t>
            </w:r>
          </w:p>
        </w:tc>
        <w:tc>
          <w:tcPr>
            <w:tcW w:w="1180" w:type="dxa"/>
            <w:vAlign w:val="bottom"/>
          </w:tcPr>
          <w:p>
            <w:pPr>
              <w:jc w:val="right"/>
              <w:spacing w:after="0"/>
              <w:rPr>
                <w:sz w:val="20"/>
                <w:szCs w:val="20"/>
                <w:color w:val="auto"/>
              </w:rPr>
            </w:pPr>
            <w:r>
              <w:rPr>
                <w:rFonts w:ascii="Arial" w:cs="Arial" w:eastAsia="Arial" w:hAnsi="Arial"/>
                <w:sz w:val="19"/>
                <w:szCs w:val="19"/>
                <w:color w:val="auto"/>
              </w:rPr>
              <w:t>]</w:t>
            </w:r>
          </w:p>
        </w:tc>
      </w:tr>
    </w:tbl>
    <w:p>
      <w:pPr>
        <w:spacing w:after="0" w:line="161" w:lineRule="exact"/>
        <w:rPr>
          <w:sz w:val="20"/>
          <w:szCs w:val="20"/>
          <w:color w:val="auto"/>
        </w:rPr>
      </w:pPr>
    </w:p>
    <w:p>
      <w:pPr>
        <w:ind w:firstLine="279"/>
        <w:spacing w:after="0" w:line="256" w:lineRule="auto"/>
        <w:tabs>
          <w:tab w:leader="none" w:pos="543" w:val="left"/>
        </w:tabs>
        <w:numPr>
          <w:ilvl w:val="0"/>
          <w:numId w:val="110"/>
        </w:numPr>
        <w:rPr>
          <w:rFonts w:ascii="Arial" w:cs="Arial" w:eastAsia="Arial" w:hAnsi="Arial"/>
          <w:sz w:val="19"/>
          <w:szCs w:val="19"/>
          <w:color w:val="auto"/>
        </w:rPr>
      </w:pPr>
      <w:r>
        <w:rPr>
          <w:rFonts w:ascii="Arial" w:cs="Arial" w:eastAsia="Arial" w:hAnsi="Arial"/>
          <w:sz w:val="19"/>
          <w:szCs w:val="19"/>
          <w:color w:val="auto"/>
        </w:rPr>
        <w:t>Borrower represents and warrants to Agent that for five (5) years prior to the Closing Date, Borrower did not do business under any other name or organization or form except the following:</w:t>
      </w:r>
    </w:p>
    <w:p>
      <w:pPr>
        <w:spacing w:after="0" w:line="147" w:lineRule="exact"/>
        <w:rPr>
          <w:sz w:val="20"/>
          <w:szCs w:val="20"/>
          <w:color w:val="auto"/>
        </w:rPr>
      </w:pPr>
    </w:p>
    <w:p>
      <w:pPr>
        <w:ind w:left="560"/>
        <w:spacing w:after="0"/>
        <w:rPr>
          <w:sz w:val="20"/>
          <w:szCs w:val="20"/>
          <w:color w:val="auto"/>
        </w:rPr>
      </w:pPr>
      <w:r>
        <w:rPr>
          <w:rFonts w:ascii="Arial" w:cs="Arial" w:eastAsia="Arial" w:hAnsi="Arial"/>
          <w:sz w:val="19"/>
          <w:szCs w:val="19"/>
          <w:color w:val="auto"/>
        </w:rPr>
        <w:t>Name:</w:t>
      </w:r>
    </w:p>
    <w:p>
      <w:pPr>
        <w:spacing w:after="0" w:line="3" w:lineRule="exact"/>
        <w:rPr>
          <w:sz w:val="20"/>
          <w:szCs w:val="20"/>
          <w:color w:val="auto"/>
        </w:rPr>
      </w:pPr>
    </w:p>
    <w:p>
      <w:pPr>
        <w:ind w:left="560"/>
        <w:spacing w:after="0"/>
        <w:rPr>
          <w:sz w:val="20"/>
          <w:szCs w:val="20"/>
          <w:color w:val="auto"/>
        </w:rPr>
      </w:pPr>
      <w:r>
        <w:rPr>
          <w:rFonts w:ascii="Arial" w:cs="Arial" w:eastAsia="Arial" w:hAnsi="Arial"/>
          <w:sz w:val="19"/>
          <w:szCs w:val="19"/>
          <w:color w:val="auto"/>
        </w:rPr>
        <w:t>Used during dates of:</w:t>
      </w:r>
    </w:p>
    <w:p>
      <w:pPr>
        <w:ind w:left="560"/>
        <w:spacing w:after="0" w:line="233" w:lineRule="auto"/>
        <w:rPr>
          <w:sz w:val="20"/>
          <w:szCs w:val="20"/>
          <w:color w:val="auto"/>
        </w:rPr>
      </w:pPr>
      <w:r>
        <w:rPr>
          <w:rFonts w:ascii="Arial" w:cs="Arial" w:eastAsia="Arial" w:hAnsi="Arial"/>
          <w:sz w:val="19"/>
          <w:szCs w:val="19"/>
          <w:color w:val="auto"/>
        </w:rPr>
        <w:t>Type of Organization:</w:t>
      </w:r>
    </w:p>
    <w:p>
      <w:pPr>
        <w:ind w:left="560"/>
        <w:spacing w:after="0" w:line="233" w:lineRule="auto"/>
        <w:rPr>
          <w:sz w:val="20"/>
          <w:szCs w:val="20"/>
          <w:color w:val="auto"/>
        </w:rPr>
      </w:pPr>
      <w:r>
        <w:rPr>
          <w:rFonts w:ascii="Arial" w:cs="Arial" w:eastAsia="Arial" w:hAnsi="Arial"/>
          <w:sz w:val="19"/>
          <w:szCs w:val="19"/>
          <w:color w:val="auto"/>
        </w:rPr>
        <w:t>State of organization:</w:t>
      </w:r>
    </w:p>
    <w:p>
      <w:pPr>
        <w:ind w:left="560"/>
        <w:spacing w:after="0" w:line="233" w:lineRule="auto"/>
        <w:rPr>
          <w:sz w:val="20"/>
          <w:szCs w:val="20"/>
          <w:color w:val="auto"/>
        </w:rPr>
      </w:pPr>
      <w:r>
        <w:rPr>
          <w:rFonts w:ascii="Arial" w:cs="Arial" w:eastAsia="Arial" w:hAnsi="Arial"/>
          <w:sz w:val="19"/>
          <w:szCs w:val="19"/>
          <w:color w:val="auto"/>
        </w:rPr>
        <w:t>Organization file Number:</w:t>
      </w:r>
    </w:p>
    <w:p>
      <w:pPr>
        <w:ind w:left="560"/>
        <w:spacing w:after="0" w:line="233" w:lineRule="auto"/>
        <w:rPr>
          <w:sz w:val="20"/>
          <w:szCs w:val="20"/>
          <w:color w:val="auto"/>
        </w:rPr>
      </w:pPr>
      <w:r>
        <w:rPr>
          <w:rFonts w:ascii="Arial" w:cs="Arial" w:eastAsia="Arial" w:hAnsi="Arial"/>
          <w:sz w:val="19"/>
          <w:szCs w:val="19"/>
          <w:color w:val="auto"/>
        </w:rPr>
        <w:t>Borrower’s fiscal year ends on _____</w:t>
      </w:r>
    </w:p>
    <w:p>
      <w:pPr>
        <w:ind w:left="560"/>
        <w:spacing w:after="0"/>
        <w:rPr>
          <w:sz w:val="20"/>
          <w:szCs w:val="20"/>
          <w:color w:val="auto"/>
        </w:rPr>
      </w:pPr>
      <w:r>
        <w:rPr>
          <w:rFonts w:ascii="Arial" w:cs="Arial" w:eastAsia="Arial" w:hAnsi="Arial"/>
          <w:sz w:val="19"/>
          <w:szCs w:val="19"/>
          <w:color w:val="auto"/>
        </w:rPr>
        <w:t>Borrower’s federal employer tax identification number is: _______________</w:t>
      </w:r>
    </w:p>
    <w:p>
      <w:pPr>
        <w:spacing w:after="0" w:line="166" w:lineRule="exact"/>
        <w:rPr>
          <w:sz w:val="20"/>
          <w:szCs w:val="20"/>
          <w:color w:val="auto"/>
        </w:rPr>
      </w:pPr>
    </w:p>
    <w:p>
      <w:pPr>
        <w:ind w:left="280"/>
        <w:spacing w:after="0"/>
        <w:rPr>
          <w:sz w:val="20"/>
          <w:szCs w:val="20"/>
          <w:color w:val="auto"/>
        </w:rPr>
      </w:pPr>
      <w:r>
        <w:rPr>
          <w:rFonts w:ascii="Arial" w:cs="Arial" w:eastAsia="Arial" w:hAnsi="Arial"/>
          <w:sz w:val="19"/>
          <w:szCs w:val="19"/>
          <w:color w:val="auto"/>
        </w:rPr>
        <w:t>3.  Borrower represents and warrants to Agent that its chief executive office is located at 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936625</wp:posOffset>
            </wp:positionV>
            <wp:extent cx="6311265" cy="2222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920"/>
          </w:cols>
          <w:pgMar w:left="980" w:top="987" w:right="999" w:bottom="1440" w:gutter="0" w:footer="0" w:header="0"/>
        </w:sectPr>
      </w:pPr>
    </w:p>
    <w:bookmarkStart w:id="192" w:name="page193"/>
    <w:bookmarkEnd w:id="192"/>
    <w:p>
      <w:pPr>
        <w:jc w:val="center"/>
        <w:spacing w:after="0"/>
        <w:rPr>
          <w:sz w:val="20"/>
          <w:szCs w:val="20"/>
          <w:color w:val="auto"/>
        </w:rPr>
      </w:pPr>
      <w:r>
        <w:rPr>
          <w:rFonts w:ascii="Arial" w:cs="Arial" w:eastAsia="Arial" w:hAnsi="Arial"/>
          <w:sz w:val="19"/>
          <w:szCs w:val="19"/>
          <w:b w:val="1"/>
          <w:bCs w:val="1"/>
          <w:color w:val="auto"/>
        </w:rPr>
        <w:t>EXHIBIT C</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BORROWER’S PATENTS, TRADEMARKS, COPYRIGHTS AND LICENSES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947420</wp:posOffset>
            </wp:positionV>
            <wp:extent cx="6311265" cy="2222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019"/>
          </w:cols>
          <w:pgMar w:left="1440" w:top="774" w:right="1440" w:bottom="1440" w:gutter="0" w:footer="0" w:header="0"/>
        </w:sectPr>
      </w:pPr>
    </w:p>
    <w:bookmarkStart w:id="193" w:name="page194"/>
    <w:bookmarkEnd w:id="193"/>
    <w:p>
      <w:pPr>
        <w:jc w:val="center"/>
        <w:ind w:right="19"/>
        <w:spacing w:after="0"/>
        <w:rPr>
          <w:sz w:val="20"/>
          <w:szCs w:val="20"/>
          <w:color w:val="auto"/>
        </w:rPr>
      </w:pPr>
      <w:r>
        <w:rPr>
          <w:rFonts w:ascii="Arial" w:cs="Arial" w:eastAsia="Arial" w:hAnsi="Arial"/>
          <w:sz w:val="19"/>
          <w:szCs w:val="19"/>
          <w:b w:val="1"/>
          <w:bCs w:val="1"/>
          <w:color w:val="auto"/>
        </w:rPr>
        <w:t>EXHIBIT 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BORROWER’S DEPOSIT ACCOUNTS AND INVESTMENT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947420</wp:posOffset>
            </wp:positionV>
            <wp:extent cx="6311265" cy="2222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019"/>
          </w:cols>
          <w:pgMar w:left="1440" w:top="775" w:right="1440" w:bottom="1440" w:gutter="0" w:footer="0" w:header="0"/>
        </w:sectPr>
      </w:pPr>
    </w:p>
    <w:bookmarkStart w:id="194" w:name="page195"/>
    <w:bookmarkEnd w:id="194"/>
    <w:p>
      <w:pPr>
        <w:jc w:val="center"/>
        <w:spacing w:after="0"/>
        <w:rPr>
          <w:sz w:val="20"/>
          <w:szCs w:val="20"/>
          <w:color w:val="auto"/>
        </w:rPr>
      </w:pPr>
      <w:r>
        <w:rPr>
          <w:rFonts w:ascii="Arial" w:cs="Arial" w:eastAsia="Arial" w:hAnsi="Arial"/>
          <w:sz w:val="19"/>
          <w:szCs w:val="19"/>
          <w:b w:val="1"/>
          <w:bCs w:val="1"/>
          <w:color w:val="auto"/>
        </w:rPr>
        <w:t>EXHIBIT 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COMPLIANCE CERTIFICATE</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color w:val="auto"/>
        </w:rPr>
        <w:t>Hercules Capital, Inc. (as “Agent”)</w:t>
      </w:r>
    </w:p>
    <w:p>
      <w:pPr>
        <w:spacing w:after="0" w:line="3" w:lineRule="exact"/>
        <w:rPr>
          <w:sz w:val="20"/>
          <w:szCs w:val="20"/>
          <w:color w:val="auto"/>
        </w:rPr>
      </w:pPr>
    </w:p>
    <w:p>
      <w:pPr>
        <w:spacing w:after="0"/>
        <w:rPr>
          <w:sz w:val="20"/>
          <w:szCs w:val="20"/>
          <w:color w:val="auto"/>
        </w:rPr>
      </w:pPr>
      <w:r>
        <w:rPr>
          <w:rFonts w:ascii="Arial" w:cs="Arial" w:eastAsia="Arial" w:hAnsi="Arial"/>
          <w:sz w:val="19"/>
          <w:szCs w:val="19"/>
          <w:color w:val="auto"/>
        </w:rPr>
        <w:t>400 Hamilton Avenue, Suite 310</w:t>
      </w:r>
    </w:p>
    <w:p>
      <w:pPr>
        <w:spacing w:after="0"/>
        <w:rPr>
          <w:sz w:val="20"/>
          <w:szCs w:val="20"/>
          <w:color w:val="auto"/>
        </w:rPr>
      </w:pPr>
      <w:r>
        <w:rPr>
          <w:rFonts w:ascii="Arial" w:cs="Arial" w:eastAsia="Arial" w:hAnsi="Arial"/>
          <w:sz w:val="19"/>
          <w:szCs w:val="19"/>
          <w:color w:val="auto"/>
        </w:rPr>
        <w:t>Palo Alto, CA 94301</w:t>
      </w:r>
    </w:p>
    <w:p>
      <w:pPr>
        <w:spacing w:after="0" w:line="166" w:lineRule="exact"/>
        <w:rPr>
          <w:sz w:val="20"/>
          <w:szCs w:val="20"/>
          <w:color w:val="auto"/>
        </w:rPr>
      </w:pPr>
    </w:p>
    <w:p>
      <w:pPr>
        <w:jc w:val="both"/>
        <w:ind w:firstLine="566"/>
        <w:spacing w:after="0" w:line="271" w:lineRule="auto"/>
        <w:rPr>
          <w:sz w:val="20"/>
          <w:szCs w:val="20"/>
          <w:color w:val="auto"/>
        </w:rPr>
      </w:pPr>
      <w:r>
        <w:rPr>
          <w:rFonts w:ascii="Arial" w:cs="Arial" w:eastAsia="Arial" w:hAnsi="Arial"/>
          <w:sz w:val="17"/>
          <w:szCs w:val="17"/>
          <w:color w:val="auto"/>
        </w:rPr>
        <w:t>Reference is made to that certain Loan and Security Agreement dated September 25, 2020 and the Loan Documents (as defined therein) entered into in connection with such Loan and Security Agreement all as may be amended from time to time (hereinafter referred to collectively as the “Loan Agreement”) by and among Hercules Capital, Inc. (the “Agent”), the several banks and other financial institutions or entities from time to time party thereto (collectively, the “Lender”) and Axsome Therapeutics, Inc. (the “Company”) and each of its Subsidiaries (as defined therein) other than Excluded Subsidiaries (as defined therein), as Borrower. All capitalized terms not defined herein shall have the same meaning as defined in the Loan Agreement.</w:t>
      </w:r>
    </w:p>
    <w:p>
      <w:pPr>
        <w:spacing w:after="0" w:line="138" w:lineRule="exact"/>
        <w:rPr>
          <w:sz w:val="20"/>
          <w:szCs w:val="20"/>
          <w:color w:val="auto"/>
        </w:rPr>
      </w:pPr>
    </w:p>
    <w:p>
      <w:pPr>
        <w:jc w:val="both"/>
        <w:ind w:right="20" w:firstLine="566"/>
        <w:spacing w:after="0" w:line="267" w:lineRule="auto"/>
        <w:rPr>
          <w:sz w:val="20"/>
          <w:szCs w:val="20"/>
          <w:color w:val="auto"/>
        </w:rPr>
      </w:pPr>
      <w:r>
        <w:rPr>
          <w:rFonts w:ascii="Arial" w:cs="Arial" w:eastAsia="Arial" w:hAnsi="Arial"/>
          <w:sz w:val="17"/>
          <w:szCs w:val="17"/>
          <w:color w:val="auto"/>
        </w:rPr>
        <w:t>The undersigned is an Officer of the Company, knowledgeable of all Company financial matters, and is authorized to provide certification of information regarding the Company; hereby certifies, in such capacity, that in accordance with the terms and conditions of the Loan Agreement, the Company is in compliance for the period ending _____ of all covenants, conditions and</w:t>
      </w:r>
    </w:p>
    <w:p>
      <w:pPr>
        <w:jc w:val="both"/>
        <w:ind w:right="20"/>
        <w:spacing w:after="0" w:line="276" w:lineRule="auto"/>
        <w:rPr>
          <w:sz w:val="20"/>
          <w:szCs w:val="20"/>
          <w:color w:val="auto"/>
        </w:rPr>
      </w:pPr>
      <w:r>
        <w:rPr>
          <w:rFonts w:ascii="Arial" w:cs="Arial" w:eastAsia="Arial" w:hAnsi="Arial"/>
          <w:sz w:val="16"/>
          <w:szCs w:val="16"/>
          <w:color w:val="auto"/>
        </w:rPr>
        <w:t>terms and hereby reaffirms that all representations and warranties contained therein are true and correct on and as of the date of this Compliance Certificate with the same effect as though made on and as of such date, except to the extent such representations and warranties expressly relate to an earlier date, after giving effect in all cases to any standard(s) of materiality contained in the Loan Agreement as to such representations and warranties. Attached are the required documents supporting the above certification. The undersigned further certifies that these are prepared in accordance with GAAP (except for the absence of footnotes with respect to unaudited financial statement and subject to normal year-end adjustments) and are consistent from one period to the next except as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140" w:type="dxa"/>
            <w:vAlign w:val="bottom"/>
          </w:tcPr>
          <w:p>
            <w:pPr>
              <w:spacing w:after="0"/>
              <w:rPr>
                <w:sz w:val="20"/>
                <w:szCs w:val="20"/>
                <w:color w:val="auto"/>
              </w:rPr>
            </w:pPr>
            <w:r>
              <w:rPr>
                <w:rFonts w:ascii="Arial" w:cs="Arial" w:eastAsia="Arial" w:hAnsi="Arial"/>
                <w:sz w:val="19"/>
                <w:szCs w:val="19"/>
                <w:color w:val="auto"/>
              </w:rPr>
              <w:t>explained below.</w:t>
            </w:r>
          </w:p>
        </w:tc>
        <w:tc>
          <w:tcPr>
            <w:tcW w:w="398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770"/>
        </w:trPr>
        <w:tc>
          <w:tcPr>
            <w:tcW w:w="41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820" w:type="dxa"/>
            <w:vAlign w:val="bottom"/>
          </w:tcPr>
          <w:p>
            <w:pPr>
              <w:ind w:left="120"/>
              <w:spacing w:after="0"/>
              <w:rPr>
                <w:sz w:val="20"/>
                <w:szCs w:val="20"/>
                <w:color w:val="auto"/>
              </w:rPr>
            </w:pPr>
            <w:r>
              <w:rPr>
                <w:rFonts w:ascii="Arial" w:cs="Arial" w:eastAsia="Arial" w:hAnsi="Arial"/>
                <w:sz w:val="19"/>
                <w:szCs w:val="19"/>
                <w:color w:val="auto"/>
              </w:rPr>
              <w:t>CHECK IF</w:t>
            </w:r>
          </w:p>
        </w:tc>
      </w:tr>
      <w:tr>
        <w:trPr>
          <w:trHeight w:val="240"/>
        </w:trPr>
        <w:tc>
          <w:tcPr>
            <w:tcW w:w="4140" w:type="dxa"/>
            <w:vAlign w:val="bottom"/>
          </w:tcPr>
          <w:p>
            <w:pPr>
              <w:spacing w:after="0"/>
              <w:rPr>
                <w:sz w:val="20"/>
                <w:szCs w:val="20"/>
                <w:color w:val="auto"/>
              </w:rPr>
            </w:pPr>
            <w:r>
              <w:rPr>
                <w:rFonts w:ascii="Arial" w:cs="Arial" w:eastAsia="Arial" w:hAnsi="Arial"/>
                <w:sz w:val="19"/>
                <w:szCs w:val="19"/>
                <w:color w:val="auto"/>
              </w:rPr>
              <w:t>REPORTING REQUIREMENT</w:t>
            </w:r>
          </w:p>
        </w:tc>
        <w:tc>
          <w:tcPr>
            <w:tcW w:w="3980" w:type="dxa"/>
            <w:vAlign w:val="bottom"/>
          </w:tcPr>
          <w:p>
            <w:pPr>
              <w:ind w:left="980"/>
              <w:spacing w:after="0"/>
              <w:rPr>
                <w:sz w:val="20"/>
                <w:szCs w:val="20"/>
                <w:color w:val="auto"/>
              </w:rPr>
            </w:pPr>
            <w:r>
              <w:rPr>
                <w:rFonts w:ascii="Arial" w:cs="Arial" w:eastAsia="Arial" w:hAnsi="Arial"/>
                <w:sz w:val="19"/>
                <w:szCs w:val="19"/>
                <w:color w:val="auto"/>
              </w:rPr>
              <w:t>REQUIRED</w:t>
            </w:r>
          </w:p>
        </w:tc>
        <w:tc>
          <w:tcPr>
            <w:tcW w:w="1820" w:type="dxa"/>
            <w:vAlign w:val="bottom"/>
          </w:tcPr>
          <w:p>
            <w:pPr>
              <w:ind w:left="120"/>
              <w:spacing w:after="0"/>
              <w:rPr>
                <w:sz w:val="20"/>
                <w:szCs w:val="20"/>
                <w:color w:val="auto"/>
              </w:rPr>
            </w:pPr>
            <w:r>
              <w:rPr>
                <w:rFonts w:ascii="Arial" w:cs="Arial" w:eastAsia="Arial" w:hAnsi="Arial"/>
                <w:sz w:val="19"/>
                <w:szCs w:val="19"/>
                <w:color w:val="auto"/>
              </w:rPr>
              <w:t>ATTACHED</w:t>
            </w:r>
          </w:p>
        </w:tc>
      </w:tr>
      <w:tr>
        <w:trPr>
          <w:trHeight w:val="401"/>
        </w:trPr>
        <w:tc>
          <w:tcPr>
            <w:tcW w:w="4140" w:type="dxa"/>
            <w:vAlign w:val="bottom"/>
          </w:tcPr>
          <w:p>
            <w:pPr>
              <w:spacing w:after="0"/>
              <w:rPr>
                <w:sz w:val="20"/>
                <w:szCs w:val="20"/>
                <w:color w:val="auto"/>
              </w:rPr>
            </w:pPr>
            <w:r>
              <w:rPr>
                <w:rFonts w:ascii="Arial" w:cs="Arial" w:eastAsia="Arial" w:hAnsi="Arial"/>
                <w:sz w:val="19"/>
                <w:szCs w:val="19"/>
                <w:color w:val="auto"/>
              </w:rPr>
              <w:t>Interim Financial Statements</w:t>
            </w:r>
          </w:p>
        </w:tc>
        <w:tc>
          <w:tcPr>
            <w:tcW w:w="3980" w:type="dxa"/>
            <w:vAlign w:val="bottom"/>
          </w:tcPr>
          <w:p>
            <w:pPr>
              <w:ind w:left="980"/>
              <w:spacing w:after="0"/>
              <w:rPr>
                <w:sz w:val="20"/>
                <w:szCs w:val="20"/>
                <w:color w:val="auto"/>
              </w:rPr>
            </w:pPr>
            <w:r>
              <w:rPr>
                <w:rFonts w:ascii="Arial" w:cs="Arial" w:eastAsia="Arial" w:hAnsi="Arial"/>
                <w:sz w:val="19"/>
                <w:szCs w:val="19"/>
                <w:color w:val="auto"/>
              </w:rPr>
              <w:t>Monthly within 30 days</w:t>
            </w:r>
          </w:p>
        </w:tc>
        <w:tc>
          <w:tcPr>
            <w:tcW w:w="1820" w:type="dxa"/>
            <w:vAlign w:val="bottom"/>
          </w:tcPr>
          <w:p>
            <w:pPr>
              <w:spacing w:after="0"/>
              <w:rPr>
                <w:sz w:val="24"/>
                <w:szCs w:val="24"/>
                <w:color w:val="auto"/>
              </w:rPr>
            </w:pPr>
          </w:p>
        </w:tc>
      </w:tr>
      <w:tr>
        <w:trPr>
          <w:trHeight w:val="401"/>
        </w:trPr>
        <w:tc>
          <w:tcPr>
            <w:tcW w:w="4140" w:type="dxa"/>
            <w:vAlign w:val="bottom"/>
          </w:tcPr>
          <w:p>
            <w:pPr>
              <w:spacing w:after="0"/>
              <w:rPr>
                <w:sz w:val="20"/>
                <w:szCs w:val="20"/>
                <w:color w:val="auto"/>
              </w:rPr>
            </w:pPr>
            <w:r>
              <w:rPr>
                <w:rFonts w:ascii="Arial" w:cs="Arial" w:eastAsia="Arial" w:hAnsi="Arial"/>
                <w:sz w:val="19"/>
                <w:szCs w:val="19"/>
                <w:color w:val="auto"/>
              </w:rPr>
              <w:t>Interim Financial Statements</w:t>
            </w:r>
          </w:p>
        </w:tc>
        <w:tc>
          <w:tcPr>
            <w:tcW w:w="3980" w:type="dxa"/>
            <w:vAlign w:val="bottom"/>
          </w:tcPr>
          <w:p>
            <w:pPr>
              <w:ind w:left="980"/>
              <w:spacing w:after="0"/>
              <w:rPr>
                <w:sz w:val="20"/>
                <w:szCs w:val="20"/>
                <w:color w:val="auto"/>
              </w:rPr>
            </w:pPr>
            <w:r>
              <w:rPr>
                <w:rFonts w:ascii="Arial" w:cs="Arial" w:eastAsia="Arial" w:hAnsi="Arial"/>
                <w:sz w:val="19"/>
                <w:szCs w:val="19"/>
                <w:color w:val="auto"/>
              </w:rPr>
              <w:t>Quarterly within 45 days</w:t>
            </w:r>
          </w:p>
        </w:tc>
        <w:tc>
          <w:tcPr>
            <w:tcW w:w="1820" w:type="dxa"/>
            <w:vAlign w:val="bottom"/>
          </w:tcPr>
          <w:p>
            <w:pPr>
              <w:spacing w:after="0"/>
              <w:rPr>
                <w:sz w:val="24"/>
                <w:szCs w:val="24"/>
                <w:color w:val="auto"/>
              </w:rPr>
            </w:pPr>
          </w:p>
        </w:tc>
      </w:tr>
      <w:tr>
        <w:trPr>
          <w:trHeight w:val="401"/>
        </w:trPr>
        <w:tc>
          <w:tcPr>
            <w:tcW w:w="4140" w:type="dxa"/>
            <w:vAlign w:val="bottom"/>
          </w:tcPr>
          <w:p>
            <w:pPr>
              <w:spacing w:after="0"/>
              <w:rPr>
                <w:sz w:val="20"/>
                <w:szCs w:val="20"/>
                <w:color w:val="auto"/>
              </w:rPr>
            </w:pPr>
            <w:r>
              <w:rPr>
                <w:rFonts w:ascii="Arial" w:cs="Arial" w:eastAsia="Arial" w:hAnsi="Arial"/>
                <w:sz w:val="19"/>
                <w:szCs w:val="19"/>
                <w:color w:val="auto"/>
              </w:rPr>
              <w:t>Audited Financial Statements</w:t>
            </w:r>
          </w:p>
        </w:tc>
        <w:tc>
          <w:tcPr>
            <w:tcW w:w="3980" w:type="dxa"/>
            <w:vAlign w:val="bottom"/>
          </w:tcPr>
          <w:p>
            <w:pPr>
              <w:ind w:left="980"/>
              <w:spacing w:after="0"/>
              <w:rPr>
                <w:sz w:val="20"/>
                <w:szCs w:val="20"/>
                <w:color w:val="auto"/>
              </w:rPr>
            </w:pPr>
            <w:r>
              <w:rPr>
                <w:rFonts w:ascii="Arial" w:cs="Arial" w:eastAsia="Arial" w:hAnsi="Arial"/>
                <w:sz w:val="19"/>
                <w:szCs w:val="19"/>
                <w:color w:val="auto"/>
              </w:rPr>
              <w:t>FYE within 90 days</w:t>
            </w:r>
          </w:p>
        </w:tc>
        <w:tc>
          <w:tcPr>
            <w:tcW w:w="1820" w:type="dxa"/>
            <w:vAlign w:val="bottom"/>
          </w:tcPr>
          <w:p>
            <w:pPr>
              <w:spacing w:after="0"/>
              <w:rPr>
                <w:sz w:val="24"/>
                <w:szCs w:val="24"/>
                <w:color w:val="auto"/>
              </w:rPr>
            </w:pPr>
          </w:p>
        </w:tc>
      </w:tr>
      <w:tr>
        <w:trPr>
          <w:trHeight w:val="401"/>
        </w:trPr>
        <w:tc>
          <w:tcPr>
            <w:tcW w:w="4140" w:type="dxa"/>
            <w:vAlign w:val="bottom"/>
          </w:tcPr>
          <w:p>
            <w:pPr>
              <w:spacing w:after="0"/>
              <w:rPr>
                <w:sz w:val="20"/>
                <w:szCs w:val="20"/>
                <w:color w:val="auto"/>
              </w:rPr>
            </w:pPr>
            <w:r>
              <w:rPr>
                <w:rFonts w:ascii="Arial" w:cs="Arial" w:eastAsia="Arial" w:hAnsi="Arial"/>
                <w:sz w:val="19"/>
                <w:szCs w:val="19"/>
                <w:color w:val="auto"/>
              </w:rPr>
              <w:t>Accounts Receivable and Payable Agings</w:t>
            </w:r>
          </w:p>
        </w:tc>
        <w:tc>
          <w:tcPr>
            <w:tcW w:w="3980" w:type="dxa"/>
            <w:vAlign w:val="bottom"/>
          </w:tcPr>
          <w:p>
            <w:pPr>
              <w:ind w:left="980"/>
              <w:spacing w:after="0"/>
              <w:rPr>
                <w:sz w:val="20"/>
                <w:szCs w:val="20"/>
                <w:color w:val="auto"/>
              </w:rPr>
            </w:pPr>
            <w:r>
              <w:rPr>
                <w:rFonts w:ascii="Arial" w:cs="Arial" w:eastAsia="Arial" w:hAnsi="Arial"/>
                <w:sz w:val="19"/>
                <w:szCs w:val="19"/>
                <w:color w:val="auto"/>
              </w:rPr>
              <w:t>Monthly within 30 days</w:t>
            </w:r>
          </w:p>
        </w:tc>
        <w:tc>
          <w:tcPr>
            <w:tcW w:w="1820" w:type="dxa"/>
            <w:vAlign w:val="bottom"/>
          </w:tcPr>
          <w:p>
            <w:pPr>
              <w:spacing w:after="0"/>
              <w:rPr>
                <w:sz w:val="24"/>
                <w:szCs w:val="24"/>
                <w:color w:val="auto"/>
              </w:rPr>
            </w:pPr>
          </w:p>
        </w:tc>
      </w:tr>
      <w:tr>
        <w:trPr>
          <w:trHeight w:val="373"/>
        </w:trPr>
        <w:tc>
          <w:tcPr>
            <w:tcW w:w="4140" w:type="dxa"/>
            <w:vAlign w:val="bottom"/>
          </w:tcPr>
          <w:p>
            <w:pPr>
              <w:spacing w:after="0"/>
              <w:rPr>
                <w:sz w:val="24"/>
                <w:szCs w:val="24"/>
                <w:color w:val="auto"/>
              </w:rPr>
            </w:pPr>
          </w:p>
        </w:tc>
        <w:tc>
          <w:tcPr>
            <w:tcW w:w="3980" w:type="dxa"/>
            <w:vAlign w:val="bottom"/>
          </w:tcPr>
          <w:p>
            <w:pPr>
              <w:ind w:left="980"/>
              <w:spacing w:after="0"/>
              <w:rPr>
                <w:sz w:val="20"/>
                <w:szCs w:val="20"/>
                <w:color w:val="auto"/>
              </w:rPr>
            </w:pPr>
            <w:r>
              <w:rPr>
                <w:rFonts w:ascii="Arial" w:cs="Arial" w:eastAsia="Arial" w:hAnsi="Arial"/>
                <w:sz w:val="19"/>
                <w:szCs w:val="19"/>
                <w:color w:val="auto"/>
                <w:w w:val="95"/>
              </w:rPr>
              <w:t>Following registering new Intellectual</w:t>
            </w:r>
          </w:p>
        </w:tc>
        <w:tc>
          <w:tcPr>
            <w:tcW w:w="1820" w:type="dxa"/>
            <w:vAlign w:val="bottom"/>
          </w:tcPr>
          <w:p>
            <w:pPr>
              <w:spacing w:after="0"/>
              <w:rPr>
                <w:sz w:val="24"/>
                <w:szCs w:val="24"/>
                <w:color w:val="auto"/>
              </w:rPr>
            </w:pPr>
          </w:p>
        </w:tc>
      </w:tr>
      <w:tr>
        <w:trPr>
          <w:trHeight w:val="212"/>
        </w:trPr>
        <w:tc>
          <w:tcPr>
            <w:tcW w:w="4140" w:type="dxa"/>
            <w:vAlign w:val="bottom"/>
          </w:tcPr>
          <w:p>
            <w:pPr>
              <w:spacing w:after="0" w:line="213" w:lineRule="exact"/>
              <w:rPr>
                <w:sz w:val="20"/>
                <w:szCs w:val="20"/>
                <w:color w:val="auto"/>
              </w:rPr>
            </w:pPr>
            <w:r>
              <w:rPr>
                <w:rFonts w:ascii="Arial" w:cs="Arial" w:eastAsia="Arial" w:hAnsi="Arial"/>
                <w:sz w:val="19"/>
                <w:szCs w:val="19"/>
                <w:color w:val="auto"/>
              </w:rPr>
              <w:t>Intellectual Property</w:t>
            </w:r>
          </w:p>
        </w:tc>
        <w:tc>
          <w:tcPr>
            <w:tcW w:w="3980" w:type="dxa"/>
            <w:vAlign w:val="bottom"/>
          </w:tcPr>
          <w:p>
            <w:pPr>
              <w:ind w:left="980"/>
              <w:spacing w:after="0" w:line="213" w:lineRule="exact"/>
              <w:rPr>
                <w:sz w:val="20"/>
                <w:szCs w:val="20"/>
                <w:color w:val="auto"/>
              </w:rPr>
            </w:pPr>
            <w:r>
              <w:rPr>
                <w:rFonts w:ascii="Arial" w:cs="Arial" w:eastAsia="Arial" w:hAnsi="Arial"/>
                <w:sz w:val="19"/>
                <w:szCs w:val="19"/>
                <w:color w:val="auto"/>
              </w:rPr>
              <w:t>Property or the acquisition thereof</w:t>
            </w:r>
          </w:p>
        </w:tc>
        <w:tc>
          <w:tcPr>
            <w:tcW w:w="1820" w:type="dxa"/>
            <w:vAlign w:val="bottom"/>
          </w:tcPr>
          <w:p>
            <w:pPr>
              <w:spacing w:after="0"/>
              <w:rPr>
                <w:sz w:val="18"/>
                <w:szCs w:val="18"/>
                <w:color w:val="auto"/>
              </w:rPr>
            </w:pPr>
          </w:p>
        </w:tc>
      </w:tr>
      <w:tr>
        <w:trPr>
          <w:trHeight w:val="240"/>
        </w:trPr>
        <w:tc>
          <w:tcPr>
            <w:tcW w:w="4140" w:type="dxa"/>
            <w:vAlign w:val="bottom"/>
          </w:tcPr>
          <w:p>
            <w:pPr>
              <w:spacing w:after="0"/>
              <w:rPr>
                <w:sz w:val="20"/>
                <w:szCs w:val="20"/>
                <w:color w:val="auto"/>
              </w:rPr>
            </w:pPr>
          </w:p>
        </w:tc>
        <w:tc>
          <w:tcPr>
            <w:tcW w:w="3980" w:type="dxa"/>
            <w:vAlign w:val="bottom"/>
          </w:tcPr>
          <w:p>
            <w:pPr>
              <w:ind w:left="9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Section 7.21 of Loan Agreement</w:t>
            </w:r>
            <w:r>
              <w:rPr>
                <w:rFonts w:ascii="Arial" w:cs="Arial" w:eastAsia="Arial" w:hAnsi="Arial"/>
                <w:sz w:val="19"/>
                <w:szCs w:val="19"/>
                <w:color w:val="auto"/>
              </w:rPr>
              <w:t>)</w:t>
            </w:r>
          </w:p>
        </w:tc>
        <w:tc>
          <w:tcPr>
            <w:tcW w:w="1820" w:type="dxa"/>
            <w:vAlign w:val="bottom"/>
          </w:tcPr>
          <w:p>
            <w:pPr>
              <w:spacing w:after="0"/>
              <w:rPr>
                <w:sz w:val="20"/>
                <w:szCs w:val="20"/>
                <w:color w:val="auto"/>
              </w:rPr>
            </w:pPr>
          </w:p>
        </w:tc>
      </w:tr>
      <w:tr>
        <w:trPr>
          <w:trHeight w:val="1657"/>
        </w:trPr>
        <w:tc>
          <w:tcPr>
            <w:tcW w:w="414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775" w:right="979" w:bottom="1440" w:gutter="0" w:footer="0" w:header="0"/>
        </w:sectPr>
      </w:pPr>
    </w:p>
    <w:bookmarkStart w:id="195" w:name="page196"/>
    <w:bookmarkEnd w:id="195"/>
    <w:p>
      <w:pPr>
        <w:ind w:left="5204"/>
        <w:spacing w:after="0"/>
        <w:rPr>
          <w:sz w:val="20"/>
          <w:szCs w:val="20"/>
          <w:color w:val="auto"/>
        </w:rPr>
      </w:pPr>
      <w:r>
        <w:rPr>
          <w:rFonts w:ascii="Arial" w:cs="Arial" w:eastAsia="Arial" w:hAnsi="Arial"/>
          <w:sz w:val="19"/>
          <w:szCs w:val="19"/>
          <w:color w:val="auto"/>
        </w:rPr>
        <w:t>Following entering into or becoming</w:t>
      </w:r>
    </w:p>
    <w:p>
      <w:pPr>
        <w:spacing w:after="0" w:line="10" w:lineRule="exact"/>
        <w:rPr>
          <w:sz w:val="20"/>
          <w:szCs w:val="20"/>
          <w:color w:val="auto"/>
        </w:rPr>
      </w:pPr>
    </w:p>
    <w:p>
      <w:pPr>
        <w:jc w:val="right"/>
        <w:ind w:left="84" w:right="2140"/>
        <w:spacing w:after="0" w:line="239" w:lineRule="auto"/>
        <w:rPr>
          <w:sz w:val="20"/>
          <w:szCs w:val="20"/>
          <w:color w:val="auto"/>
        </w:rPr>
      </w:pPr>
      <w:r>
        <w:rPr>
          <w:rFonts w:ascii="Arial" w:cs="Arial" w:eastAsia="Arial" w:hAnsi="Arial"/>
          <w:sz w:val="19"/>
          <w:szCs w:val="19"/>
          <w:color w:val="auto"/>
        </w:rPr>
        <w:t>Restricted License                                      bound by new Restricted Licenses (</w:t>
      </w:r>
      <w:r>
        <w:rPr>
          <w:rFonts w:ascii="Arial" w:cs="Arial" w:eastAsia="Arial" w:hAnsi="Arial"/>
          <w:sz w:val="19"/>
          <w:szCs w:val="19"/>
          <w:i w:val="1"/>
          <w:iCs w:val="1"/>
          <w:color w:val="auto"/>
        </w:rPr>
        <w:t>Section 7.21 of Loan Agreement</w:t>
      </w:r>
      <w:r>
        <w:rPr>
          <w:rFonts w:ascii="Arial" w:cs="Arial" w:eastAsia="Arial" w:hAnsi="Arial"/>
          <w:sz w:val="19"/>
          <w:szCs w:val="19"/>
          <w:color w:val="auto"/>
        </w:rPr>
        <w:t>)</w:t>
      </w:r>
    </w:p>
    <w:p>
      <w:pPr>
        <w:spacing w:after="0" w:line="351" w:lineRule="exact"/>
        <w:rPr>
          <w:sz w:val="20"/>
          <w:szCs w:val="20"/>
          <w:color w:val="auto"/>
        </w:rPr>
      </w:pPr>
    </w:p>
    <w:p>
      <w:pPr>
        <w:ind w:left="4"/>
        <w:spacing w:after="0"/>
        <w:rPr>
          <w:sz w:val="20"/>
          <w:szCs w:val="20"/>
          <w:color w:val="auto"/>
        </w:rPr>
      </w:pPr>
      <w:r>
        <w:rPr>
          <w:rFonts w:ascii="Arial" w:cs="Arial" w:eastAsia="Arial" w:hAnsi="Arial"/>
          <w:sz w:val="19"/>
          <w:szCs w:val="19"/>
          <w:u w:val="single" w:color="auto"/>
          <w:color w:val="auto"/>
        </w:rPr>
        <w:t>Section 5.9 – Intellectual Property</w:t>
      </w:r>
    </w:p>
    <w:p>
      <w:pPr>
        <w:spacing w:after="0" w:line="182" w:lineRule="exact"/>
        <w:rPr>
          <w:sz w:val="20"/>
          <w:szCs w:val="20"/>
          <w:color w:val="auto"/>
        </w:rPr>
      </w:pPr>
    </w:p>
    <w:p>
      <w:pPr>
        <w:ind w:left="4" w:right="460"/>
        <w:spacing w:after="0" w:line="256" w:lineRule="auto"/>
        <w:rPr>
          <w:sz w:val="20"/>
          <w:szCs w:val="20"/>
          <w:color w:val="auto"/>
        </w:rPr>
      </w:pPr>
      <w:r>
        <w:rPr>
          <w:rFonts w:ascii="Arial" w:cs="Arial" w:eastAsia="Arial" w:hAnsi="Arial"/>
          <w:sz w:val="19"/>
          <w:szCs w:val="19"/>
          <w:color w:val="auto"/>
        </w:rPr>
        <w:t>Has any claim been made to Borrower that any material part of the Intellectual Property violates the rights of any third party? Yes</w:t>
      </w:r>
      <w:r>
        <w:rPr>
          <w:rFonts w:ascii="Arial" w:cs="Arial" w:eastAsia="Arial" w:hAnsi="Arial"/>
          <w:sz w:val="14"/>
          <w:szCs w:val="14"/>
          <w:color w:val="auto"/>
        </w:rPr>
        <w:t>1</w:t>
      </w:r>
      <w:r>
        <w:rPr>
          <w:rFonts w:ascii="Arial" w:cs="Arial" w:eastAsia="Arial" w:hAnsi="Arial"/>
          <w:sz w:val="19"/>
          <w:szCs w:val="19"/>
          <w:color w:val="auto"/>
        </w:rPr>
        <w:t>____ No_____</w:t>
      </w:r>
    </w:p>
    <w:p>
      <w:pPr>
        <w:spacing w:after="0" w:line="147" w:lineRule="exact"/>
        <w:rPr>
          <w:sz w:val="20"/>
          <w:szCs w:val="20"/>
          <w:color w:val="auto"/>
        </w:rPr>
      </w:pPr>
    </w:p>
    <w:p>
      <w:pPr>
        <w:ind w:left="4"/>
        <w:spacing w:after="0"/>
        <w:rPr>
          <w:sz w:val="20"/>
          <w:szCs w:val="20"/>
          <w:color w:val="auto"/>
        </w:rPr>
      </w:pPr>
      <w:r>
        <w:rPr>
          <w:rFonts w:ascii="Arial" w:cs="Arial" w:eastAsia="Arial" w:hAnsi="Arial"/>
          <w:sz w:val="19"/>
          <w:szCs w:val="19"/>
          <w:u w:val="single" w:color="auto"/>
          <w:color w:val="auto"/>
        </w:rPr>
        <w:t>Section 5.11 – Borrower Products</w:t>
      </w:r>
    </w:p>
    <w:p>
      <w:pPr>
        <w:spacing w:after="0" w:line="182" w:lineRule="exact"/>
        <w:rPr>
          <w:sz w:val="20"/>
          <w:szCs w:val="20"/>
          <w:color w:val="auto"/>
        </w:rPr>
      </w:pPr>
    </w:p>
    <w:p>
      <w:pPr>
        <w:jc w:val="both"/>
        <w:ind w:left="4" w:firstLine="562"/>
        <w:spacing w:after="0" w:line="265" w:lineRule="auto"/>
        <w:tabs>
          <w:tab w:leader="none" w:pos="874"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To Borrower’s knowledge, is any material Intellectual Property owned by Borrower or any Borrower Product subject to any actual or, to the knowledge of Borrower, threatened in writing litigation, proceeding (including any proceeding in the United States Patent and Trademark Office or any corresponding foreign office or agency) or outstanding decree, order, judgment, settlement agreement or stipulation that restricts in any manner Borrower’s use, transfer or licensing thereof or that could</w:t>
      </w:r>
    </w:p>
    <w:p>
      <w:pPr>
        <w:spacing w:after="0" w:line="2" w:lineRule="exact"/>
        <w:rPr>
          <w:sz w:val="20"/>
          <w:szCs w:val="20"/>
          <w:color w:val="auto"/>
        </w:rPr>
      </w:pPr>
    </w:p>
    <w:p>
      <w:pPr>
        <w:ind w:left="4"/>
        <w:spacing w:after="0"/>
        <w:tabs>
          <w:tab w:leader="none" w:pos="6803" w:val="left"/>
        </w:tabs>
        <w:rPr>
          <w:sz w:val="20"/>
          <w:szCs w:val="20"/>
          <w:color w:val="auto"/>
        </w:rPr>
      </w:pPr>
      <w:r>
        <w:rPr>
          <w:rFonts w:ascii="Arial" w:cs="Arial" w:eastAsia="Arial" w:hAnsi="Arial"/>
          <w:sz w:val="19"/>
          <w:szCs w:val="19"/>
          <w:color w:val="auto"/>
        </w:rPr>
        <w:t>reasonably be expected to affect the validity, use or enforceability thereof)? Yes</w:t>
      </w:r>
      <w:r>
        <w:rPr>
          <w:rFonts w:ascii="Arial" w:cs="Arial" w:eastAsia="Arial" w:hAnsi="Arial"/>
          <w:sz w:val="14"/>
          <w:szCs w:val="14"/>
          <w:color w:val="auto"/>
        </w:rPr>
        <w:t>2</w:t>
      </w:r>
      <w:r>
        <w:rPr>
          <w:rFonts w:ascii="Arial" w:cs="Arial" w:eastAsia="Arial" w:hAnsi="Arial"/>
          <w:sz w:val="19"/>
          <w:szCs w:val="19"/>
          <w:color w:val="auto"/>
        </w:rPr>
        <w:t>____</w:t>
      </w:r>
      <w:r>
        <w:rPr>
          <w:sz w:val="20"/>
          <w:szCs w:val="20"/>
          <w:color w:val="auto"/>
        </w:rPr>
        <w:tab/>
      </w:r>
      <w:r>
        <w:rPr>
          <w:rFonts w:ascii="Arial" w:cs="Arial" w:eastAsia="Arial" w:hAnsi="Arial"/>
          <w:sz w:val="17"/>
          <w:szCs w:val="17"/>
          <w:color w:val="auto"/>
        </w:rPr>
        <w:t>No_____</w:t>
      </w:r>
    </w:p>
    <w:p>
      <w:pPr>
        <w:spacing w:after="0" w:line="166" w:lineRule="exact"/>
        <w:rPr>
          <w:sz w:val="20"/>
          <w:szCs w:val="20"/>
          <w:color w:val="auto"/>
        </w:rPr>
      </w:pPr>
    </w:p>
    <w:p>
      <w:pPr>
        <w:jc w:val="both"/>
        <w:ind w:left="4" w:firstLine="562"/>
        <w:spacing w:after="0" w:line="265" w:lineRule="auto"/>
        <w:tabs>
          <w:tab w:leader="none" w:pos="843" w:val="left"/>
        </w:tabs>
        <w:numPr>
          <w:ilvl w:val="0"/>
          <w:numId w:val="112"/>
        </w:numPr>
        <w:rPr>
          <w:rFonts w:ascii="Arial" w:cs="Arial" w:eastAsia="Arial" w:hAnsi="Arial"/>
          <w:sz w:val="17"/>
          <w:szCs w:val="17"/>
          <w:color w:val="auto"/>
        </w:rPr>
      </w:pPr>
      <w:r>
        <w:rPr>
          <w:rFonts w:ascii="Arial" w:cs="Arial" w:eastAsia="Arial" w:hAnsi="Arial"/>
          <w:sz w:val="17"/>
          <w:szCs w:val="17"/>
          <w:color w:val="auto"/>
        </w:rPr>
        <w:t>Has Borrower received any written notice or claim, or, to the knowledge of Borrower, oral notice or claim, challenging or questioning Borrower’s ownership in any Intellectual Property material to Borrower’s business (or written notice of any claim challenging or questioning the ownership in any licensed Intellectual Property material to Borrower’s business of the owner thereof) or suggesting that any third party has any claim of legal or beneficial ownership with respect thereto or, to Borrower’s</w:t>
      </w:r>
    </w:p>
    <w:p>
      <w:pPr>
        <w:spacing w:after="0" w:line="2" w:lineRule="exact"/>
        <w:rPr>
          <w:sz w:val="20"/>
          <w:szCs w:val="20"/>
          <w:color w:val="auto"/>
        </w:rPr>
      </w:pPr>
    </w:p>
    <w:p>
      <w:pPr>
        <w:ind w:left="4"/>
        <w:spacing w:after="0"/>
        <w:tabs>
          <w:tab w:leader="none" w:pos="5523" w:val="left"/>
        </w:tabs>
        <w:rPr>
          <w:sz w:val="20"/>
          <w:szCs w:val="20"/>
          <w:color w:val="auto"/>
        </w:rPr>
      </w:pPr>
      <w:r>
        <w:rPr>
          <w:rFonts w:ascii="Arial" w:cs="Arial" w:eastAsia="Arial" w:hAnsi="Arial"/>
          <w:sz w:val="19"/>
          <w:szCs w:val="19"/>
          <w:color w:val="auto"/>
        </w:rPr>
        <w:t>knowledge, is there a reasonable basis for any such claim? Yes</w:t>
      </w:r>
      <w:r>
        <w:rPr>
          <w:rFonts w:ascii="Arial" w:cs="Arial" w:eastAsia="Arial" w:hAnsi="Arial"/>
          <w:sz w:val="14"/>
          <w:szCs w:val="14"/>
          <w:color w:val="auto"/>
        </w:rPr>
        <w:t>3</w:t>
      </w:r>
      <w:r>
        <w:rPr>
          <w:rFonts w:ascii="Arial" w:cs="Arial" w:eastAsia="Arial" w:hAnsi="Arial"/>
          <w:sz w:val="19"/>
          <w:szCs w:val="19"/>
          <w:color w:val="auto"/>
        </w:rPr>
        <w:t>____</w:t>
      </w:r>
      <w:r>
        <w:rPr>
          <w:sz w:val="20"/>
          <w:szCs w:val="20"/>
          <w:color w:val="auto"/>
        </w:rPr>
        <w:tab/>
      </w:r>
      <w:r>
        <w:rPr>
          <w:rFonts w:ascii="Arial" w:cs="Arial" w:eastAsia="Arial" w:hAnsi="Arial"/>
          <w:sz w:val="17"/>
          <w:szCs w:val="17"/>
          <w:color w:val="auto"/>
        </w:rPr>
        <w:t>No_____</w:t>
      </w:r>
    </w:p>
    <w:p>
      <w:pPr>
        <w:spacing w:after="0" w:line="200" w:lineRule="exact"/>
        <w:rPr>
          <w:sz w:val="20"/>
          <w:szCs w:val="20"/>
          <w:color w:val="auto"/>
        </w:rPr>
      </w:pPr>
    </w:p>
    <w:p>
      <w:pPr>
        <w:spacing w:after="0" w:line="367" w:lineRule="exact"/>
        <w:rPr>
          <w:sz w:val="20"/>
          <w:szCs w:val="20"/>
          <w:color w:val="auto"/>
        </w:rPr>
      </w:pPr>
    </w:p>
    <w:p>
      <w:pPr>
        <w:ind w:left="4"/>
        <w:spacing w:after="0"/>
        <w:rPr>
          <w:sz w:val="20"/>
          <w:szCs w:val="20"/>
          <w:color w:val="auto"/>
        </w:rPr>
      </w:pPr>
      <w:r>
        <w:rPr>
          <w:rFonts w:ascii="Arial" w:cs="Arial" w:eastAsia="Arial" w:hAnsi="Arial"/>
          <w:sz w:val="19"/>
          <w:szCs w:val="19"/>
          <w:color w:val="auto"/>
        </w:rPr>
        <w:t>ACCOUNTS OF BORROWER AND ITS SUBSIDIARIES AND AFFILIATES</w:t>
      </w:r>
    </w:p>
    <w:p>
      <w:pPr>
        <w:spacing w:after="0" w:line="182" w:lineRule="exact"/>
        <w:rPr>
          <w:sz w:val="20"/>
          <w:szCs w:val="20"/>
          <w:color w:val="auto"/>
        </w:rPr>
      </w:pPr>
    </w:p>
    <w:p>
      <w:pPr>
        <w:ind w:left="4"/>
        <w:spacing w:after="0" w:line="256" w:lineRule="auto"/>
        <w:rPr>
          <w:sz w:val="20"/>
          <w:szCs w:val="20"/>
          <w:color w:val="auto"/>
        </w:rPr>
      </w:pPr>
      <w:r>
        <w:rPr>
          <w:rFonts w:ascii="Arial" w:cs="Arial" w:eastAsia="Arial" w:hAnsi="Arial"/>
          <w:sz w:val="19"/>
          <w:szCs w:val="19"/>
          <w:color w:val="auto"/>
        </w:rPr>
        <w:t>The undersigned hereby also confirms the below disclosed accounts represent all depository accounts and securities accounts presently open in the name of each Borrower or Borrower’s Subsidiary/Affiliate, as applicable.</w:t>
      </w:r>
    </w:p>
    <w:p>
      <w:pPr>
        <w:spacing w:after="0" w:line="147" w:lineRule="exact"/>
        <w:rPr>
          <w:sz w:val="20"/>
          <w:szCs w:val="20"/>
          <w:color w:val="auto"/>
        </w:rPr>
      </w:pPr>
    </w:p>
    <w:p>
      <w:pPr>
        <w:ind w:left="4"/>
        <w:spacing w:after="0"/>
        <w:rPr>
          <w:sz w:val="20"/>
          <w:szCs w:val="20"/>
          <w:color w:val="auto"/>
        </w:rPr>
      </w:pPr>
      <w:r>
        <w:rPr>
          <w:rFonts w:ascii="Arial" w:cs="Arial" w:eastAsia="Arial" w:hAnsi="Arial"/>
          <w:sz w:val="17"/>
          <w:szCs w:val="17"/>
          <w:color w:val="auto"/>
        </w:rPr>
        <w:t>Each new account that has been opened since delivery of the previous Compliance Certificate is designated below with a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217170</wp:posOffset>
            </wp:positionV>
            <wp:extent cx="1579880" cy="76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1579880" cy="762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104" w:hanging="104"/>
        <w:spacing w:after="0"/>
        <w:tabs>
          <w:tab w:leader="none" w:pos="104" w:val="left"/>
        </w:tabs>
        <w:numPr>
          <w:ilvl w:val="0"/>
          <w:numId w:val="113"/>
        </w:numPr>
        <w:rPr>
          <w:rFonts w:ascii="Arial" w:cs="Arial" w:eastAsia="Arial" w:hAnsi="Arial"/>
          <w:sz w:val="14"/>
          <w:szCs w:val="14"/>
          <w:color w:val="auto"/>
        </w:rPr>
      </w:pPr>
      <w:r>
        <w:rPr>
          <w:rFonts w:ascii="Arial" w:cs="Arial" w:eastAsia="Arial" w:hAnsi="Arial"/>
          <w:sz w:val="19"/>
          <w:szCs w:val="19"/>
          <w:color w:val="auto"/>
        </w:rPr>
        <w:t>If yes, please provide description.</w:t>
      </w:r>
    </w:p>
    <w:p>
      <w:pPr>
        <w:spacing w:after="0" w:line="88" w:lineRule="exact"/>
        <w:rPr>
          <w:rFonts w:ascii="Arial" w:cs="Arial" w:eastAsia="Arial" w:hAnsi="Arial"/>
          <w:sz w:val="14"/>
          <w:szCs w:val="14"/>
          <w:color w:val="auto"/>
        </w:rPr>
      </w:pPr>
    </w:p>
    <w:p>
      <w:pPr>
        <w:ind w:left="4"/>
        <w:spacing w:after="0"/>
        <w:rPr>
          <w:rFonts w:ascii="Arial" w:cs="Arial" w:eastAsia="Arial" w:hAnsi="Arial"/>
          <w:sz w:val="14"/>
          <w:szCs w:val="14"/>
          <w:color w:val="auto"/>
        </w:rPr>
      </w:pPr>
      <w:r>
        <w:rPr>
          <w:rFonts w:ascii="Arial" w:cs="Arial" w:eastAsia="Arial" w:hAnsi="Arial"/>
          <w:sz w:val="14"/>
          <w:szCs w:val="14"/>
          <w:color w:val="auto"/>
        </w:rPr>
        <w:t xml:space="preserve">2 </w:t>
      </w:r>
      <w:r>
        <w:rPr>
          <w:rFonts w:ascii="Arial" w:cs="Arial" w:eastAsia="Arial" w:hAnsi="Arial"/>
          <w:sz w:val="18"/>
          <w:szCs w:val="18"/>
          <w:color w:val="auto"/>
        </w:rPr>
        <w:t>If yes, please provide description.</w:t>
      </w:r>
    </w:p>
    <w:p>
      <w:pPr>
        <w:spacing w:after="0" w:line="99" w:lineRule="exact"/>
        <w:rPr>
          <w:rFonts w:ascii="Arial" w:cs="Arial" w:eastAsia="Arial" w:hAnsi="Arial"/>
          <w:sz w:val="14"/>
          <w:szCs w:val="14"/>
          <w:color w:val="auto"/>
        </w:rPr>
      </w:pPr>
    </w:p>
    <w:p>
      <w:pPr>
        <w:ind w:left="4"/>
        <w:spacing w:after="0"/>
        <w:rPr>
          <w:rFonts w:ascii="Arial" w:cs="Arial" w:eastAsia="Arial" w:hAnsi="Arial"/>
          <w:sz w:val="14"/>
          <w:szCs w:val="14"/>
          <w:color w:val="auto"/>
        </w:rPr>
      </w:pPr>
      <w:r>
        <w:rPr>
          <w:rFonts w:ascii="Arial" w:cs="Arial" w:eastAsia="Arial" w:hAnsi="Arial"/>
          <w:sz w:val="14"/>
          <w:szCs w:val="14"/>
          <w:color w:val="auto"/>
        </w:rPr>
        <w:t xml:space="preserve">3 </w:t>
      </w:r>
      <w:r>
        <w:rPr>
          <w:rFonts w:ascii="Arial" w:cs="Arial" w:eastAsia="Arial" w:hAnsi="Arial"/>
          <w:sz w:val="18"/>
          <w:szCs w:val="18"/>
          <w:color w:val="auto"/>
        </w:rPr>
        <w:t>If yes, please provide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824230</wp:posOffset>
            </wp:positionV>
            <wp:extent cx="6311265" cy="2222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924"/>
          </w:cols>
          <w:pgMar w:left="976" w:top="1005" w:right="999" w:bottom="1440" w:gutter="0" w:footer="0" w:header="0"/>
        </w:sectPr>
      </w:pPr>
    </w:p>
    <w:bookmarkStart w:id="196" w:name="page197"/>
    <w:bookmarkEnd w:id="196"/>
    <w:tbl>
      <w:tblPr>
        <w:tblLayout w:type="fixed"/>
        <w:tblInd w:w="10" w:type="dxa"/>
        <w:tblCellMar>
          <w:top w:w="0" w:type="dxa"/>
          <w:left w:w="0" w:type="dxa"/>
          <w:bottom w:w="0" w:type="dxa"/>
          <w:right w:w="0" w:type="dxa"/>
        </w:tblCellMar>
      </w:tblPr>
      <w:tr>
        <w:trPr>
          <w:trHeight w:val="199"/>
        </w:trPr>
        <w:tc>
          <w:tcPr>
            <w:tcW w:w="1980" w:type="dxa"/>
            <w:vAlign w:val="bottom"/>
            <w:tcBorders>
              <w:top w:val="single" w:sz="8" w:color="auto"/>
              <w:left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jc w:val="center"/>
              <w:spacing w:after="0" w:line="199" w:lineRule="exact"/>
              <w:rPr>
                <w:sz w:val="20"/>
                <w:szCs w:val="20"/>
                <w:color w:val="auto"/>
              </w:rPr>
            </w:pPr>
            <w:r>
              <w:rPr>
                <w:rFonts w:ascii="Arial" w:cs="Arial" w:eastAsia="Arial" w:hAnsi="Arial"/>
                <w:sz w:val="19"/>
                <w:szCs w:val="19"/>
                <w:b w:val="1"/>
                <w:bCs w:val="1"/>
                <w:color w:val="auto"/>
                <w:w w:val="92"/>
              </w:rPr>
              <w:t>Last</w:t>
            </w:r>
          </w:p>
        </w:tc>
        <w:tc>
          <w:tcPr>
            <w:tcW w:w="154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980" w:type="dxa"/>
            <w:vAlign w:val="bottom"/>
            <w:tcBorders>
              <w:lef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40" w:type="dxa"/>
            <w:vAlign w:val="bottom"/>
          </w:tcPr>
          <w:p>
            <w:pPr>
              <w:jc w:val="center"/>
              <w:spacing w:after="0" w:line="213" w:lineRule="exact"/>
              <w:rPr>
                <w:sz w:val="20"/>
                <w:szCs w:val="20"/>
                <w:color w:val="auto"/>
              </w:rPr>
            </w:pPr>
            <w:r>
              <w:rPr>
                <w:rFonts w:ascii="Arial" w:cs="Arial" w:eastAsia="Arial" w:hAnsi="Arial"/>
                <w:sz w:val="19"/>
                <w:szCs w:val="19"/>
                <w:b w:val="1"/>
                <w:bCs w:val="1"/>
                <w:color w:val="auto"/>
                <w:w w:val="89"/>
              </w:rPr>
              <w:t>Account</w:t>
            </w:r>
          </w:p>
        </w:tc>
        <w:tc>
          <w:tcPr>
            <w:tcW w:w="1520" w:type="dxa"/>
            <w:vAlign w:val="bottom"/>
          </w:tcPr>
          <w:p>
            <w:pPr>
              <w:jc w:val="center"/>
              <w:spacing w:after="0" w:line="213" w:lineRule="exact"/>
              <w:rPr>
                <w:sz w:val="20"/>
                <w:szCs w:val="20"/>
                <w:color w:val="auto"/>
              </w:rPr>
            </w:pPr>
            <w:r>
              <w:rPr>
                <w:rFonts w:ascii="Arial" w:cs="Arial" w:eastAsia="Arial" w:hAnsi="Arial"/>
                <w:sz w:val="19"/>
                <w:szCs w:val="19"/>
                <w:b w:val="1"/>
                <w:bCs w:val="1"/>
                <w:color w:val="auto"/>
                <w:w w:val="94"/>
              </w:rPr>
              <w:t>Month</w:t>
            </w:r>
          </w:p>
        </w:tc>
        <w:tc>
          <w:tcPr>
            <w:tcW w:w="1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980" w:type="dxa"/>
            <w:vAlign w:val="bottom"/>
            <w:tcBorders>
              <w:lef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40" w:type="dxa"/>
            <w:vAlign w:val="bottom"/>
          </w:tcPr>
          <w:p>
            <w:pPr>
              <w:jc w:val="center"/>
              <w:spacing w:after="0" w:line="213" w:lineRule="exact"/>
              <w:rPr>
                <w:sz w:val="20"/>
                <w:szCs w:val="20"/>
                <w:color w:val="auto"/>
              </w:rPr>
            </w:pPr>
            <w:r>
              <w:rPr>
                <w:rFonts w:ascii="Arial" w:cs="Arial" w:eastAsia="Arial" w:hAnsi="Arial"/>
                <w:sz w:val="19"/>
                <w:szCs w:val="19"/>
                <w:b w:val="1"/>
                <w:bCs w:val="1"/>
                <w:color w:val="auto"/>
                <w:w w:val="90"/>
              </w:rPr>
              <w:t>Type</w:t>
            </w:r>
          </w:p>
        </w:tc>
        <w:tc>
          <w:tcPr>
            <w:tcW w:w="1520" w:type="dxa"/>
            <w:vAlign w:val="bottom"/>
          </w:tcPr>
          <w:p>
            <w:pPr>
              <w:jc w:val="center"/>
              <w:spacing w:after="0" w:line="213" w:lineRule="exact"/>
              <w:rPr>
                <w:sz w:val="20"/>
                <w:szCs w:val="20"/>
                <w:color w:val="auto"/>
              </w:rPr>
            </w:pPr>
            <w:r>
              <w:rPr>
                <w:rFonts w:ascii="Arial" w:cs="Arial" w:eastAsia="Arial" w:hAnsi="Arial"/>
                <w:sz w:val="19"/>
                <w:szCs w:val="19"/>
                <w:b w:val="1"/>
                <w:bCs w:val="1"/>
                <w:color w:val="auto"/>
                <w:w w:val="93"/>
              </w:rPr>
              <w:t>Ending</w:t>
            </w:r>
          </w:p>
        </w:tc>
        <w:tc>
          <w:tcPr>
            <w:tcW w:w="1540" w:type="dxa"/>
            <w:vAlign w:val="bottom"/>
            <w:tcBorders>
              <w:right w:val="single" w:sz="8" w:color="auto"/>
            </w:tcBorders>
          </w:tcPr>
          <w:p>
            <w:pPr>
              <w:jc w:val="center"/>
              <w:spacing w:after="0" w:line="213" w:lineRule="exact"/>
              <w:rPr>
                <w:sz w:val="20"/>
                <w:szCs w:val="20"/>
                <w:color w:val="auto"/>
              </w:rPr>
            </w:pPr>
            <w:r>
              <w:rPr>
                <w:rFonts w:ascii="Arial" w:cs="Arial" w:eastAsia="Arial" w:hAnsi="Arial"/>
                <w:sz w:val="19"/>
                <w:szCs w:val="19"/>
                <w:b w:val="1"/>
                <w:bCs w:val="1"/>
                <w:color w:val="auto"/>
                <w:w w:val="86"/>
              </w:rPr>
              <w:t>Purpose</w:t>
            </w:r>
          </w:p>
        </w:tc>
        <w:tc>
          <w:tcPr>
            <w:tcW w:w="0" w:type="dxa"/>
            <w:vAlign w:val="bottom"/>
          </w:tcPr>
          <w:p>
            <w:pPr>
              <w:spacing w:after="0"/>
              <w:rPr>
                <w:sz w:val="1"/>
                <w:szCs w:val="1"/>
                <w:color w:val="auto"/>
              </w:rPr>
            </w:pPr>
          </w:p>
        </w:tc>
      </w:tr>
      <w:tr>
        <w:trPr>
          <w:trHeight w:val="212"/>
        </w:trPr>
        <w:tc>
          <w:tcPr>
            <w:tcW w:w="1980" w:type="dxa"/>
            <w:vAlign w:val="bottom"/>
            <w:tcBorders>
              <w:lef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jc w:val="center"/>
              <w:spacing w:after="0" w:line="213" w:lineRule="exact"/>
              <w:rPr>
                <w:sz w:val="20"/>
                <w:szCs w:val="20"/>
                <w:color w:val="auto"/>
              </w:rPr>
            </w:pPr>
            <w:r>
              <w:rPr>
                <w:rFonts w:ascii="Arial" w:cs="Arial" w:eastAsia="Arial" w:hAnsi="Arial"/>
                <w:sz w:val="19"/>
                <w:szCs w:val="19"/>
                <w:b w:val="1"/>
                <w:bCs w:val="1"/>
                <w:color w:val="auto"/>
                <w:w w:val="88"/>
              </w:rPr>
              <w:t>Depository</w:t>
            </w:r>
          </w:p>
        </w:tc>
        <w:tc>
          <w:tcPr>
            <w:tcW w:w="1520" w:type="dxa"/>
            <w:vAlign w:val="bottom"/>
          </w:tcPr>
          <w:p>
            <w:pPr>
              <w:jc w:val="center"/>
              <w:spacing w:after="0" w:line="213" w:lineRule="exact"/>
              <w:rPr>
                <w:sz w:val="20"/>
                <w:szCs w:val="20"/>
                <w:color w:val="auto"/>
              </w:rPr>
            </w:pPr>
            <w:r>
              <w:rPr>
                <w:rFonts w:ascii="Arial" w:cs="Arial" w:eastAsia="Arial" w:hAnsi="Arial"/>
                <w:sz w:val="19"/>
                <w:szCs w:val="19"/>
                <w:b w:val="1"/>
                <w:bCs w:val="1"/>
                <w:color w:val="auto"/>
                <w:w w:val="89"/>
              </w:rPr>
              <w:t>Financial</w:t>
            </w:r>
          </w:p>
        </w:tc>
        <w:tc>
          <w:tcPr>
            <w:tcW w:w="1540" w:type="dxa"/>
            <w:vAlign w:val="bottom"/>
          </w:tcPr>
          <w:p>
            <w:pPr>
              <w:jc w:val="center"/>
              <w:spacing w:after="0" w:line="213" w:lineRule="exact"/>
              <w:rPr>
                <w:sz w:val="20"/>
                <w:szCs w:val="20"/>
                <w:color w:val="auto"/>
              </w:rPr>
            </w:pPr>
            <w:r>
              <w:rPr>
                <w:rFonts w:ascii="Arial" w:cs="Arial" w:eastAsia="Arial" w:hAnsi="Arial"/>
                <w:sz w:val="19"/>
                <w:szCs w:val="19"/>
                <w:b w:val="1"/>
                <w:bCs w:val="1"/>
                <w:color w:val="auto"/>
                <w:w w:val="89"/>
              </w:rPr>
              <w:t>(Depository /</w:t>
            </w:r>
          </w:p>
        </w:tc>
        <w:tc>
          <w:tcPr>
            <w:tcW w:w="1520" w:type="dxa"/>
            <w:vAlign w:val="bottom"/>
          </w:tcPr>
          <w:p>
            <w:pPr>
              <w:jc w:val="center"/>
              <w:spacing w:after="0" w:line="213" w:lineRule="exact"/>
              <w:rPr>
                <w:sz w:val="20"/>
                <w:szCs w:val="20"/>
                <w:color w:val="auto"/>
              </w:rPr>
            </w:pPr>
            <w:r>
              <w:rPr>
                <w:rFonts w:ascii="Arial" w:cs="Arial" w:eastAsia="Arial" w:hAnsi="Arial"/>
                <w:sz w:val="19"/>
                <w:szCs w:val="19"/>
                <w:b w:val="1"/>
                <w:bCs w:val="1"/>
                <w:color w:val="auto"/>
                <w:w w:val="89"/>
              </w:rPr>
              <w:t>Account</w:t>
            </w:r>
          </w:p>
        </w:tc>
        <w:tc>
          <w:tcPr>
            <w:tcW w:w="1540" w:type="dxa"/>
            <w:vAlign w:val="bottom"/>
            <w:tcBorders>
              <w:right w:val="single" w:sz="8" w:color="auto"/>
            </w:tcBorders>
          </w:tcPr>
          <w:p>
            <w:pPr>
              <w:jc w:val="center"/>
              <w:spacing w:after="0" w:line="213" w:lineRule="exact"/>
              <w:rPr>
                <w:sz w:val="20"/>
                <w:szCs w:val="20"/>
                <w:color w:val="auto"/>
              </w:rPr>
            </w:pPr>
            <w:r>
              <w:rPr>
                <w:rFonts w:ascii="Arial" w:cs="Arial" w:eastAsia="Arial" w:hAnsi="Arial"/>
                <w:sz w:val="19"/>
                <w:szCs w:val="19"/>
                <w:b w:val="1"/>
                <w:bCs w:val="1"/>
                <w:color w:val="auto"/>
                <w:w w:val="88"/>
              </w:rPr>
              <w:t>of</w:t>
            </w:r>
          </w:p>
        </w:tc>
        <w:tc>
          <w:tcPr>
            <w:tcW w:w="0" w:type="dxa"/>
            <w:vAlign w:val="bottom"/>
          </w:tcPr>
          <w:p>
            <w:pPr>
              <w:spacing w:after="0"/>
              <w:rPr>
                <w:sz w:val="1"/>
                <w:szCs w:val="1"/>
                <w:color w:val="auto"/>
              </w:rPr>
            </w:pPr>
          </w:p>
        </w:tc>
      </w:tr>
      <w:tr>
        <w:trPr>
          <w:trHeight w:val="246"/>
        </w:trPr>
        <w:tc>
          <w:tcPr>
            <w:tcW w:w="1980" w:type="dxa"/>
            <w:vAlign w:val="bottom"/>
            <w:tcBorders>
              <w:left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Arial" w:cs="Arial" w:eastAsia="Arial" w:hAnsi="Arial"/>
                <w:sz w:val="19"/>
                <w:szCs w:val="19"/>
                <w:b w:val="1"/>
                <w:bCs w:val="1"/>
                <w:color w:val="auto"/>
                <w:w w:val="92"/>
              </w:rPr>
              <w:t>AC #</w:t>
            </w:r>
          </w:p>
        </w:tc>
        <w:tc>
          <w:tcPr>
            <w:tcW w:w="1520" w:type="dxa"/>
            <w:vAlign w:val="bottom"/>
          </w:tcPr>
          <w:p>
            <w:pPr>
              <w:jc w:val="center"/>
              <w:spacing w:after="0"/>
              <w:rPr>
                <w:sz w:val="20"/>
                <w:szCs w:val="20"/>
                <w:color w:val="auto"/>
              </w:rPr>
            </w:pPr>
            <w:r>
              <w:rPr>
                <w:rFonts w:ascii="Arial" w:cs="Arial" w:eastAsia="Arial" w:hAnsi="Arial"/>
                <w:sz w:val="19"/>
                <w:szCs w:val="19"/>
                <w:b w:val="1"/>
                <w:bCs w:val="1"/>
                <w:color w:val="auto"/>
                <w:w w:val="93"/>
              </w:rPr>
              <w:t>Institution</w:t>
            </w:r>
          </w:p>
        </w:tc>
        <w:tc>
          <w:tcPr>
            <w:tcW w:w="1540" w:type="dxa"/>
            <w:vAlign w:val="bottom"/>
          </w:tcPr>
          <w:p>
            <w:pPr>
              <w:jc w:val="center"/>
              <w:spacing w:after="0"/>
              <w:rPr>
                <w:sz w:val="20"/>
                <w:szCs w:val="20"/>
                <w:color w:val="auto"/>
              </w:rPr>
            </w:pPr>
            <w:r>
              <w:rPr>
                <w:rFonts w:ascii="Arial" w:cs="Arial" w:eastAsia="Arial" w:hAnsi="Arial"/>
                <w:sz w:val="19"/>
                <w:szCs w:val="19"/>
                <w:b w:val="1"/>
                <w:bCs w:val="1"/>
                <w:color w:val="auto"/>
                <w:w w:val="86"/>
              </w:rPr>
              <w:t>Securities)</w:t>
            </w:r>
          </w:p>
        </w:tc>
        <w:tc>
          <w:tcPr>
            <w:tcW w:w="1520" w:type="dxa"/>
            <w:vAlign w:val="bottom"/>
          </w:tcPr>
          <w:p>
            <w:pPr>
              <w:jc w:val="center"/>
              <w:spacing w:after="0"/>
              <w:rPr>
                <w:sz w:val="20"/>
                <w:szCs w:val="20"/>
                <w:color w:val="auto"/>
              </w:rPr>
            </w:pPr>
            <w:r>
              <w:rPr>
                <w:rFonts w:ascii="Arial" w:cs="Arial" w:eastAsia="Arial" w:hAnsi="Arial"/>
                <w:sz w:val="19"/>
                <w:szCs w:val="19"/>
                <w:b w:val="1"/>
                <w:bCs w:val="1"/>
                <w:color w:val="auto"/>
                <w:w w:val="87"/>
              </w:rPr>
              <w:t>Balance</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9"/>
                <w:szCs w:val="19"/>
                <w:b w:val="1"/>
                <w:bCs w:val="1"/>
                <w:color w:val="auto"/>
                <w:w w:val="86"/>
              </w:rPr>
              <w:t>Account</w:t>
            </w:r>
          </w:p>
        </w:tc>
        <w:tc>
          <w:tcPr>
            <w:tcW w:w="0" w:type="dxa"/>
            <w:vAlign w:val="bottom"/>
          </w:tcPr>
          <w:p>
            <w:pPr>
              <w:spacing w:after="0"/>
              <w:rPr>
                <w:sz w:val="1"/>
                <w:szCs w:val="1"/>
                <w:color w:val="auto"/>
              </w:rPr>
            </w:pPr>
          </w:p>
        </w:tc>
      </w:tr>
      <w:tr>
        <w:trPr>
          <w:trHeight w:val="180"/>
        </w:trPr>
        <w:tc>
          <w:tcPr>
            <w:tcW w:w="1980" w:type="dxa"/>
            <w:vAlign w:val="bottom"/>
            <w:tcBorders>
              <w:left w:val="single" w:sz="8" w:color="auto"/>
              <w:bottom w:val="single" w:sz="8" w:color="auto"/>
            </w:tcBorders>
          </w:tcPr>
          <w:p>
            <w:pPr>
              <w:spacing w:after="0"/>
              <w:rPr>
                <w:sz w:val="15"/>
                <w:szCs w:val="15"/>
                <w:color w:val="auto"/>
              </w:rPr>
            </w:pPr>
          </w:p>
        </w:tc>
        <w:tc>
          <w:tcPr>
            <w:tcW w:w="1840" w:type="dxa"/>
            <w:vAlign w:val="bottom"/>
            <w:tcBorders>
              <w:bottom w:val="single" w:sz="8" w:color="auto"/>
            </w:tcBorders>
            <w:gridSpan w:val="2"/>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15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980" w:type="dxa"/>
            <w:vAlign w:val="bottom"/>
            <w:tcBorders>
              <w:left w:val="single" w:sz="8" w:color="auto"/>
              <w:right w:val="single" w:sz="8" w:color="auto"/>
            </w:tcBorders>
          </w:tcPr>
          <w:p>
            <w:pPr>
              <w:ind w:left="100"/>
              <w:spacing w:after="0" w:line="179" w:lineRule="exact"/>
              <w:rPr>
                <w:sz w:val="20"/>
                <w:szCs w:val="20"/>
                <w:color w:val="auto"/>
              </w:rPr>
            </w:pPr>
            <w:r>
              <w:rPr>
                <w:rFonts w:ascii="Arial" w:cs="Arial" w:eastAsia="Arial" w:hAnsi="Arial"/>
                <w:sz w:val="19"/>
                <w:szCs w:val="19"/>
                <w:b w:val="1"/>
                <w:bCs w:val="1"/>
                <w:color w:val="auto"/>
              </w:rPr>
              <w:t>BORROWER</w:t>
            </w:r>
          </w:p>
        </w:tc>
        <w:tc>
          <w:tcPr>
            <w:tcW w:w="3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19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9"/>
                <w:szCs w:val="19"/>
                <w:b w:val="1"/>
                <w:bCs w:val="1"/>
                <w:color w:val="auto"/>
              </w:rPr>
              <w:t>Name/Address:</w:t>
            </w:r>
          </w:p>
        </w:tc>
        <w:tc>
          <w:tcPr>
            <w:tcW w:w="1840" w:type="dxa"/>
            <w:vAlign w:val="bottom"/>
            <w:gridSpan w:val="2"/>
          </w:tcPr>
          <w:p>
            <w:pPr>
              <w:spacing w:after="0"/>
              <w:rPr>
                <w:sz w:val="21"/>
                <w:szCs w:val="21"/>
                <w:color w:val="auto"/>
              </w:rPr>
            </w:pPr>
          </w:p>
        </w:tc>
        <w:tc>
          <w:tcPr>
            <w:tcW w:w="15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1980" w:type="dxa"/>
            <w:vAlign w:val="bottom"/>
            <w:tcBorders>
              <w:left w:val="single" w:sz="8" w:color="auto"/>
              <w:bottom w:val="single" w:sz="8" w:color="auto"/>
              <w:right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15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980" w:type="dxa"/>
            <w:vAlign w:val="bottom"/>
            <w:tcBorders>
              <w:left w:val="single" w:sz="8" w:color="auto"/>
              <w:right w:val="single" w:sz="8" w:color="auto"/>
            </w:tcBorders>
          </w:tcPr>
          <w:p>
            <w:pPr>
              <w:spacing w:after="0"/>
              <w:rPr>
                <w:sz w:val="20"/>
                <w:szCs w:val="20"/>
                <w:color w:val="auto"/>
              </w:rPr>
            </w:pPr>
          </w:p>
        </w:tc>
        <w:tc>
          <w:tcPr>
            <w:tcW w:w="300" w:type="dxa"/>
            <w:vAlign w:val="bottom"/>
            <w:tcBorders>
              <w:right w:val="single" w:sz="8" w:color="auto"/>
            </w:tcBorders>
          </w:tcPr>
          <w:p>
            <w:pPr>
              <w:jc w:val="right"/>
              <w:ind w:right="6"/>
              <w:spacing w:after="0"/>
              <w:rPr>
                <w:sz w:val="20"/>
                <w:szCs w:val="20"/>
                <w:color w:val="auto"/>
              </w:rPr>
            </w:pPr>
            <w:r>
              <w:rPr>
                <w:rFonts w:ascii="Arial" w:cs="Arial" w:eastAsia="Arial" w:hAnsi="Arial"/>
                <w:sz w:val="19"/>
                <w:szCs w:val="19"/>
                <w:b w:val="1"/>
                <w:bCs w:val="1"/>
                <w:color w:val="auto"/>
              </w:rPr>
              <w:t>1</w:t>
            </w:r>
          </w:p>
        </w:tc>
        <w:tc>
          <w:tcPr>
            <w:tcW w:w="1540" w:type="dxa"/>
            <w:vAlign w:val="bottom"/>
            <w:tcBorders>
              <w:right w:val="single" w:sz="8" w:color="auto"/>
            </w:tcBorders>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1540" w:type="dxa"/>
            <w:vAlign w:val="bottom"/>
            <w:tcBorders>
              <w:right w:val="single" w:sz="8" w:color="auto"/>
            </w:tcBorders>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1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97"/>
        </w:trPr>
        <w:tc>
          <w:tcPr>
            <w:tcW w:w="1980" w:type="dxa"/>
            <w:vAlign w:val="bottom"/>
            <w:tcBorders>
              <w:left w:val="single" w:sz="8" w:color="auto"/>
              <w:right w:val="single" w:sz="8" w:color="auto"/>
            </w:tcBorders>
            <w:vMerge w:val="restart"/>
          </w:tcPr>
          <w:p>
            <w:pPr>
              <w:spacing w:after="0"/>
              <w:rPr>
                <w:sz w:val="8"/>
                <w:szCs w:val="8"/>
                <w:color w:val="auto"/>
              </w:rPr>
            </w:pPr>
          </w:p>
        </w:tc>
        <w:tc>
          <w:tcPr>
            <w:tcW w:w="300" w:type="dxa"/>
            <w:vAlign w:val="bottom"/>
            <w:tcBorders>
              <w:right w:val="single" w:sz="8" w:color="auto"/>
            </w:tcBorders>
            <w:vMerge w:val="restart"/>
          </w:tcPr>
          <w:p>
            <w:pPr>
              <w:jc w:val="right"/>
              <w:ind w:right="6"/>
              <w:spacing w:after="0"/>
              <w:rPr>
                <w:sz w:val="20"/>
                <w:szCs w:val="20"/>
                <w:color w:val="auto"/>
              </w:rPr>
            </w:pPr>
            <w:r>
              <w:rPr>
                <w:rFonts w:ascii="Arial" w:cs="Arial" w:eastAsia="Arial" w:hAnsi="Arial"/>
                <w:sz w:val="19"/>
                <w:szCs w:val="19"/>
                <w:b w:val="1"/>
                <w:bCs w:val="1"/>
                <w:color w:val="auto"/>
              </w:rPr>
              <w:t>2</w:t>
            </w:r>
          </w:p>
        </w:tc>
        <w:tc>
          <w:tcPr>
            <w:tcW w:w="1540" w:type="dxa"/>
            <w:vAlign w:val="bottom"/>
            <w:tcBorders>
              <w:bottom w:val="single" w:sz="8" w:color="auto"/>
              <w:right w:val="single" w:sz="8" w:color="auto"/>
            </w:tcBorders>
          </w:tcPr>
          <w:p>
            <w:pPr>
              <w:spacing w:after="0"/>
              <w:rPr>
                <w:sz w:val="8"/>
                <w:szCs w:val="8"/>
                <w:color w:val="auto"/>
              </w:rPr>
            </w:pPr>
          </w:p>
        </w:tc>
        <w:tc>
          <w:tcPr>
            <w:tcW w:w="1520" w:type="dxa"/>
            <w:vAlign w:val="bottom"/>
            <w:tcBorders>
              <w:bottom w:val="single" w:sz="8" w:color="auto"/>
              <w:right w:val="single" w:sz="8" w:color="auto"/>
            </w:tcBorders>
          </w:tcPr>
          <w:p>
            <w:pPr>
              <w:spacing w:after="0"/>
              <w:rPr>
                <w:sz w:val="8"/>
                <w:szCs w:val="8"/>
                <w:color w:val="auto"/>
              </w:rPr>
            </w:pPr>
          </w:p>
        </w:tc>
        <w:tc>
          <w:tcPr>
            <w:tcW w:w="1540" w:type="dxa"/>
            <w:vAlign w:val="bottom"/>
            <w:tcBorders>
              <w:bottom w:val="single" w:sz="8" w:color="auto"/>
              <w:right w:val="single" w:sz="8" w:color="auto"/>
            </w:tcBorders>
          </w:tcPr>
          <w:p>
            <w:pPr>
              <w:spacing w:after="0"/>
              <w:rPr>
                <w:sz w:val="8"/>
                <w:szCs w:val="8"/>
                <w:color w:val="auto"/>
              </w:rPr>
            </w:pPr>
          </w:p>
        </w:tc>
        <w:tc>
          <w:tcPr>
            <w:tcW w:w="1520" w:type="dxa"/>
            <w:vAlign w:val="bottom"/>
            <w:tcBorders>
              <w:bottom w:val="single" w:sz="8" w:color="auto"/>
              <w:right w:val="single" w:sz="8" w:color="auto"/>
            </w:tcBorders>
          </w:tcPr>
          <w:p>
            <w:pPr>
              <w:spacing w:after="0"/>
              <w:rPr>
                <w:sz w:val="8"/>
                <w:szCs w:val="8"/>
                <w:color w:val="auto"/>
              </w:rPr>
            </w:pPr>
          </w:p>
        </w:tc>
        <w:tc>
          <w:tcPr>
            <w:tcW w:w="15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1980" w:type="dxa"/>
            <w:vAlign w:val="bottom"/>
            <w:tcBorders>
              <w:left w:val="single" w:sz="8" w:color="auto"/>
              <w:right w:val="single" w:sz="8" w:color="auto"/>
            </w:tcBorders>
            <w:vMerge w:val="continue"/>
          </w:tcPr>
          <w:p>
            <w:pPr>
              <w:spacing w:after="0"/>
              <w:rPr>
                <w:sz w:val="17"/>
                <w:szCs w:val="17"/>
                <w:color w:val="auto"/>
              </w:rPr>
            </w:pPr>
          </w:p>
        </w:tc>
        <w:tc>
          <w:tcPr>
            <w:tcW w:w="300" w:type="dxa"/>
            <w:vAlign w:val="bottom"/>
            <w:tcBorders>
              <w:right w:val="single" w:sz="8" w:color="auto"/>
            </w:tcBorders>
            <w:vMerge w:val="continue"/>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1980" w:type="dxa"/>
            <w:vAlign w:val="bottom"/>
            <w:tcBorders>
              <w:left w:val="single" w:sz="8" w:color="auto"/>
              <w:right w:val="single" w:sz="8" w:color="auto"/>
            </w:tcBorders>
            <w:vMerge w:val="restart"/>
          </w:tcPr>
          <w:p>
            <w:pPr>
              <w:spacing w:after="0"/>
              <w:rPr>
                <w:sz w:val="11"/>
                <w:szCs w:val="11"/>
                <w:color w:val="auto"/>
              </w:rPr>
            </w:pPr>
          </w:p>
        </w:tc>
        <w:tc>
          <w:tcPr>
            <w:tcW w:w="300" w:type="dxa"/>
            <w:vAlign w:val="bottom"/>
            <w:tcBorders>
              <w:right w:val="single" w:sz="8" w:color="auto"/>
            </w:tcBorders>
            <w:vMerge w:val="restart"/>
          </w:tcPr>
          <w:p>
            <w:pPr>
              <w:jc w:val="right"/>
              <w:ind w:right="6"/>
              <w:spacing w:after="0"/>
              <w:rPr>
                <w:sz w:val="20"/>
                <w:szCs w:val="20"/>
                <w:color w:val="auto"/>
              </w:rPr>
            </w:pPr>
            <w:r>
              <w:rPr>
                <w:rFonts w:ascii="Arial" w:cs="Arial" w:eastAsia="Arial" w:hAnsi="Arial"/>
                <w:sz w:val="19"/>
                <w:szCs w:val="19"/>
                <w:b w:val="1"/>
                <w:bCs w:val="1"/>
                <w:color w:val="auto"/>
              </w:rPr>
              <w:t>3</w:t>
            </w:r>
          </w:p>
        </w:tc>
        <w:tc>
          <w:tcPr>
            <w:tcW w:w="1540" w:type="dxa"/>
            <w:vAlign w:val="bottom"/>
            <w:tcBorders>
              <w:bottom w:val="single" w:sz="8" w:color="auto"/>
              <w:right w:val="single" w:sz="8" w:color="auto"/>
            </w:tcBorders>
          </w:tcPr>
          <w:p>
            <w:pPr>
              <w:spacing w:after="0"/>
              <w:rPr>
                <w:sz w:val="11"/>
                <w:szCs w:val="11"/>
                <w:color w:val="auto"/>
              </w:rPr>
            </w:pPr>
          </w:p>
        </w:tc>
        <w:tc>
          <w:tcPr>
            <w:tcW w:w="1520" w:type="dxa"/>
            <w:vAlign w:val="bottom"/>
            <w:tcBorders>
              <w:bottom w:val="single" w:sz="8" w:color="auto"/>
              <w:right w:val="single" w:sz="8" w:color="auto"/>
            </w:tcBorders>
          </w:tcPr>
          <w:p>
            <w:pPr>
              <w:spacing w:after="0"/>
              <w:rPr>
                <w:sz w:val="11"/>
                <w:szCs w:val="11"/>
                <w:color w:val="auto"/>
              </w:rPr>
            </w:pPr>
          </w:p>
        </w:tc>
        <w:tc>
          <w:tcPr>
            <w:tcW w:w="1540" w:type="dxa"/>
            <w:vAlign w:val="bottom"/>
            <w:tcBorders>
              <w:bottom w:val="single" w:sz="8" w:color="auto"/>
              <w:right w:val="single" w:sz="8" w:color="auto"/>
            </w:tcBorders>
          </w:tcPr>
          <w:p>
            <w:pPr>
              <w:spacing w:after="0"/>
              <w:rPr>
                <w:sz w:val="11"/>
                <w:szCs w:val="11"/>
                <w:color w:val="auto"/>
              </w:rPr>
            </w:pPr>
          </w:p>
        </w:tc>
        <w:tc>
          <w:tcPr>
            <w:tcW w:w="1520" w:type="dxa"/>
            <w:vAlign w:val="bottom"/>
            <w:tcBorders>
              <w:bottom w:val="single" w:sz="8" w:color="auto"/>
              <w:right w:val="single" w:sz="8" w:color="auto"/>
            </w:tcBorders>
          </w:tcPr>
          <w:p>
            <w:pPr>
              <w:spacing w:after="0"/>
              <w:rPr>
                <w:sz w:val="11"/>
                <w:szCs w:val="11"/>
                <w:color w:val="auto"/>
              </w:rPr>
            </w:pPr>
          </w:p>
        </w:tc>
        <w:tc>
          <w:tcPr>
            <w:tcW w:w="15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1980" w:type="dxa"/>
            <w:vAlign w:val="bottom"/>
            <w:tcBorders>
              <w:left w:val="single" w:sz="8" w:color="auto"/>
              <w:right w:val="single" w:sz="8" w:color="auto"/>
            </w:tcBorders>
            <w:vMerge w:val="continue"/>
          </w:tcPr>
          <w:p>
            <w:pPr>
              <w:spacing w:after="0"/>
              <w:rPr>
                <w:sz w:val="17"/>
                <w:szCs w:val="17"/>
                <w:color w:val="auto"/>
              </w:rPr>
            </w:pPr>
          </w:p>
        </w:tc>
        <w:tc>
          <w:tcPr>
            <w:tcW w:w="300" w:type="dxa"/>
            <w:vAlign w:val="bottom"/>
            <w:tcBorders>
              <w:right w:val="single" w:sz="8" w:color="auto"/>
            </w:tcBorders>
            <w:vMerge w:val="continue"/>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1980" w:type="dxa"/>
            <w:vAlign w:val="bottom"/>
            <w:tcBorders>
              <w:left w:val="single" w:sz="8" w:color="auto"/>
              <w:right w:val="single" w:sz="8" w:color="auto"/>
            </w:tcBorders>
            <w:vMerge w:val="restart"/>
          </w:tcPr>
          <w:p>
            <w:pPr>
              <w:spacing w:after="0"/>
              <w:rPr>
                <w:sz w:val="11"/>
                <w:szCs w:val="11"/>
                <w:color w:val="auto"/>
              </w:rPr>
            </w:pPr>
          </w:p>
        </w:tc>
        <w:tc>
          <w:tcPr>
            <w:tcW w:w="300" w:type="dxa"/>
            <w:vAlign w:val="bottom"/>
            <w:tcBorders>
              <w:right w:val="single" w:sz="8" w:color="auto"/>
            </w:tcBorders>
            <w:vMerge w:val="restart"/>
          </w:tcPr>
          <w:p>
            <w:pPr>
              <w:jc w:val="right"/>
              <w:ind w:right="6"/>
              <w:spacing w:after="0"/>
              <w:rPr>
                <w:sz w:val="20"/>
                <w:szCs w:val="20"/>
                <w:color w:val="auto"/>
              </w:rPr>
            </w:pPr>
            <w:r>
              <w:rPr>
                <w:rFonts w:ascii="Arial" w:cs="Arial" w:eastAsia="Arial" w:hAnsi="Arial"/>
                <w:sz w:val="19"/>
                <w:szCs w:val="19"/>
                <w:b w:val="1"/>
                <w:bCs w:val="1"/>
                <w:color w:val="auto"/>
              </w:rPr>
              <w:t>4</w:t>
            </w:r>
          </w:p>
        </w:tc>
        <w:tc>
          <w:tcPr>
            <w:tcW w:w="1540" w:type="dxa"/>
            <w:vAlign w:val="bottom"/>
            <w:tcBorders>
              <w:bottom w:val="single" w:sz="8" w:color="auto"/>
              <w:right w:val="single" w:sz="8" w:color="auto"/>
            </w:tcBorders>
          </w:tcPr>
          <w:p>
            <w:pPr>
              <w:spacing w:after="0"/>
              <w:rPr>
                <w:sz w:val="11"/>
                <w:szCs w:val="11"/>
                <w:color w:val="auto"/>
              </w:rPr>
            </w:pPr>
          </w:p>
        </w:tc>
        <w:tc>
          <w:tcPr>
            <w:tcW w:w="1520" w:type="dxa"/>
            <w:vAlign w:val="bottom"/>
            <w:tcBorders>
              <w:bottom w:val="single" w:sz="8" w:color="auto"/>
              <w:right w:val="single" w:sz="8" w:color="auto"/>
            </w:tcBorders>
          </w:tcPr>
          <w:p>
            <w:pPr>
              <w:spacing w:after="0"/>
              <w:rPr>
                <w:sz w:val="11"/>
                <w:szCs w:val="11"/>
                <w:color w:val="auto"/>
              </w:rPr>
            </w:pPr>
          </w:p>
        </w:tc>
        <w:tc>
          <w:tcPr>
            <w:tcW w:w="1540" w:type="dxa"/>
            <w:vAlign w:val="bottom"/>
            <w:tcBorders>
              <w:bottom w:val="single" w:sz="8" w:color="auto"/>
              <w:right w:val="single" w:sz="8" w:color="auto"/>
            </w:tcBorders>
          </w:tcPr>
          <w:p>
            <w:pPr>
              <w:spacing w:after="0"/>
              <w:rPr>
                <w:sz w:val="11"/>
                <w:szCs w:val="11"/>
                <w:color w:val="auto"/>
              </w:rPr>
            </w:pPr>
          </w:p>
        </w:tc>
        <w:tc>
          <w:tcPr>
            <w:tcW w:w="1520" w:type="dxa"/>
            <w:vAlign w:val="bottom"/>
            <w:tcBorders>
              <w:bottom w:val="single" w:sz="8" w:color="auto"/>
              <w:right w:val="single" w:sz="8" w:color="auto"/>
            </w:tcBorders>
          </w:tcPr>
          <w:p>
            <w:pPr>
              <w:spacing w:after="0"/>
              <w:rPr>
                <w:sz w:val="11"/>
                <w:szCs w:val="11"/>
                <w:color w:val="auto"/>
              </w:rPr>
            </w:pPr>
          </w:p>
        </w:tc>
        <w:tc>
          <w:tcPr>
            <w:tcW w:w="15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1980" w:type="dxa"/>
            <w:vAlign w:val="bottom"/>
            <w:tcBorders>
              <w:left w:val="single" w:sz="8" w:color="auto"/>
              <w:right w:val="single" w:sz="8" w:color="auto"/>
            </w:tcBorders>
            <w:vMerge w:val="continue"/>
          </w:tcPr>
          <w:p>
            <w:pPr>
              <w:spacing w:after="0"/>
              <w:rPr>
                <w:sz w:val="17"/>
                <w:szCs w:val="17"/>
                <w:color w:val="auto"/>
              </w:rPr>
            </w:pPr>
          </w:p>
        </w:tc>
        <w:tc>
          <w:tcPr>
            <w:tcW w:w="300" w:type="dxa"/>
            <w:vAlign w:val="bottom"/>
            <w:tcBorders>
              <w:right w:val="single" w:sz="8" w:color="auto"/>
            </w:tcBorders>
            <w:vMerge w:val="continue"/>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1980" w:type="dxa"/>
            <w:vAlign w:val="bottom"/>
            <w:tcBorders>
              <w:left w:val="single" w:sz="8" w:color="auto"/>
              <w:right w:val="single" w:sz="8" w:color="auto"/>
            </w:tcBorders>
            <w:vMerge w:val="restart"/>
          </w:tcPr>
          <w:p>
            <w:pPr>
              <w:spacing w:after="0"/>
              <w:rPr>
                <w:sz w:val="11"/>
                <w:szCs w:val="11"/>
                <w:color w:val="auto"/>
              </w:rPr>
            </w:pPr>
          </w:p>
        </w:tc>
        <w:tc>
          <w:tcPr>
            <w:tcW w:w="300" w:type="dxa"/>
            <w:vAlign w:val="bottom"/>
            <w:tcBorders>
              <w:right w:val="single" w:sz="8" w:color="auto"/>
            </w:tcBorders>
            <w:vMerge w:val="restart"/>
          </w:tcPr>
          <w:p>
            <w:pPr>
              <w:jc w:val="right"/>
              <w:ind w:right="6"/>
              <w:spacing w:after="0"/>
              <w:rPr>
                <w:sz w:val="20"/>
                <w:szCs w:val="20"/>
                <w:color w:val="auto"/>
              </w:rPr>
            </w:pPr>
            <w:r>
              <w:rPr>
                <w:rFonts w:ascii="Arial" w:cs="Arial" w:eastAsia="Arial" w:hAnsi="Arial"/>
                <w:sz w:val="19"/>
                <w:szCs w:val="19"/>
                <w:b w:val="1"/>
                <w:bCs w:val="1"/>
                <w:color w:val="auto"/>
              </w:rPr>
              <w:t>5</w:t>
            </w:r>
          </w:p>
        </w:tc>
        <w:tc>
          <w:tcPr>
            <w:tcW w:w="1540" w:type="dxa"/>
            <w:vAlign w:val="bottom"/>
            <w:tcBorders>
              <w:bottom w:val="single" w:sz="8" w:color="auto"/>
              <w:right w:val="single" w:sz="8" w:color="auto"/>
            </w:tcBorders>
          </w:tcPr>
          <w:p>
            <w:pPr>
              <w:spacing w:after="0"/>
              <w:rPr>
                <w:sz w:val="11"/>
                <w:szCs w:val="11"/>
                <w:color w:val="auto"/>
              </w:rPr>
            </w:pPr>
          </w:p>
        </w:tc>
        <w:tc>
          <w:tcPr>
            <w:tcW w:w="1520" w:type="dxa"/>
            <w:vAlign w:val="bottom"/>
            <w:tcBorders>
              <w:bottom w:val="single" w:sz="8" w:color="auto"/>
              <w:right w:val="single" w:sz="8" w:color="auto"/>
            </w:tcBorders>
          </w:tcPr>
          <w:p>
            <w:pPr>
              <w:spacing w:after="0"/>
              <w:rPr>
                <w:sz w:val="11"/>
                <w:szCs w:val="11"/>
                <w:color w:val="auto"/>
              </w:rPr>
            </w:pPr>
          </w:p>
        </w:tc>
        <w:tc>
          <w:tcPr>
            <w:tcW w:w="1540" w:type="dxa"/>
            <w:vAlign w:val="bottom"/>
            <w:tcBorders>
              <w:bottom w:val="single" w:sz="8" w:color="auto"/>
              <w:right w:val="single" w:sz="8" w:color="auto"/>
            </w:tcBorders>
          </w:tcPr>
          <w:p>
            <w:pPr>
              <w:spacing w:after="0"/>
              <w:rPr>
                <w:sz w:val="11"/>
                <w:szCs w:val="11"/>
                <w:color w:val="auto"/>
              </w:rPr>
            </w:pPr>
          </w:p>
        </w:tc>
        <w:tc>
          <w:tcPr>
            <w:tcW w:w="1520" w:type="dxa"/>
            <w:vAlign w:val="bottom"/>
            <w:tcBorders>
              <w:bottom w:val="single" w:sz="8" w:color="auto"/>
              <w:right w:val="single" w:sz="8" w:color="auto"/>
            </w:tcBorders>
          </w:tcPr>
          <w:p>
            <w:pPr>
              <w:spacing w:after="0"/>
              <w:rPr>
                <w:sz w:val="11"/>
                <w:szCs w:val="11"/>
                <w:color w:val="auto"/>
              </w:rPr>
            </w:pPr>
          </w:p>
        </w:tc>
        <w:tc>
          <w:tcPr>
            <w:tcW w:w="15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1980" w:type="dxa"/>
            <w:vAlign w:val="bottom"/>
            <w:tcBorders>
              <w:left w:val="single" w:sz="8" w:color="auto"/>
              <w:right w:val="single" w:sz="8" w:color="auto"/>
            </w:tcBorders>
            <w:vMerge w:val="continue"/>
          </w:tcPr>
          <w:p>
            <w:pPr>
              <w:spacing w:after="0"/>
              <w:rPr>
                <w:sz w:val="17"/>
                <w:szCs w:val="17"/>
                <w:color w:val="auto"/>
              </w:rPr>
            </w:pPr>
          </w:p>
        </w:tc>
        <w:tc>
          <w:tcPr>
            <w:tcW w:w="300" w:type="dxa"/>
            <w:vAlign w:val="bottom"/>
            <w:tcBorders>
              <w:right w:val="single" w:sz="8" w:color="auto"/>
            </w:tcBorders>
            <w:vMerge w:val="continue"/>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1980" w:type="dxa"/>
            <w:vAlign w:val="bottom"/>
            <w:tcBorders>
              <w:left w:val="single" w:sz="8" w:color="auto"/>
              <w:right w:val="single" w:sz="8" w:color="auto"/>
            </w:tcBorders>
            <w:vMerge w:val="restart"/>
          </w:tcPr>
          <w:p>
            <w:pPr>
              <w:spacing w:after="0"/>
              <w:rPr>
                <w:sz w:val="11"/>
                <w:szCs w:val="11"/>
                <w:color w:val="auto"/>
              </w:rPr>
            </w:pPr>
          </w:p>
        </w:tc>
        <w:tc>
          <w:tcPr>
            <w:tcW w:w="300" w:type="dxa"/>
            <w:vAlign w:val="bottom"/>
            <w:tcBorders>
              <w:right w:val="single" w:sz="8" w:color="auto"/>
            </w:tcBorders>
            <w:vMerge w:val="restart"/>
          </w:tcPr>
          <w:p>
            <w:pPr>
              <w:jc w:val="right"/>
              <w:ind w:right="6"/>
              <w:spacing w:after="0"/>
              <w:rPr>
                <w:sz w:val="20"/>
                <w:szCs w:val="20"/>
                <w:color w:val="auto"/>
              </w:rPr>
            </w:pPr>
            <w:r>
              <w:rPr>
                <w:rFonts w:ascii="Arial" w:cs="Arial" w:eastAsia="Arial" w:hAnsi="Arial"/>
                <w:sz w:val="19"/>
                <w:szCs w:val="19"/>
                <w:b w:val="1"/>
                <w:bCs w:val="1"/>
                <w:color w:val="auto"/>
              </w:rPr>
              <w:t>6</w:t>
            </w:r>
          </w:p>
        </w:tc>
        <w:tc>
          <w:tcPr>
            <w:tcW w:w="1540" w:type="dxa"/>
            <w:vAlign w:val="bottom"/>
            <w:tcBorders>
              <w:bottom w:val="single" w:sz="8" w:color="auto"/>
              <w:right w:val="single" w:sz="8" w:color="auto"/>
            </w:tcBorders>
          </w:tcPr>
          <w:p>
            <w:pPr>
              <w:spacing w:after="0"/>
              <w:rPr>
                <w:sz w:val="11"/>
                <w:szCs w:val="11"/>
                <w:color w:val="auto"/>
              </w:rPr>
            </w:pPr>
          </w:p>
        </w:tc>
        <w:tc>
          <w:tcPr>
            <w:tcW w:w="1520" w:type="dxa"/>
            <w:vAlign w:val="bottom"/>
            <w:tcBorders>
              <w:bottom w:val="single" w:sz="8" w:color="auto"/>
              <w:right w:val="single" w:sz="8" w:color="auto"/>
            </w:tcBorders>
          </w:tcPr>
          <w:p>
            <w:pPr>
              <w:spacing w:after="0"/>
              <w:rPr>
                <w:sz w:val="11"/>
                <w:szCs w:val="11"/>
                <w:color w:val="auto"/>
              </w:rPr>
            </w:pPr>
          </w:p>
        </w:tc>
        <w:tc>
          <w:tcPr>
            <w:tcW w:w="1540" w:type="dxa"/>
            <w:vAlign w:val="bottom"/>
            <w:tcBorders>
              <w:bottom w:val="single" w:sz="8" w:color="auto"/>
              <w:right w:val="single" w:sz="8" w:color="auto"/>
            </w:tcBorders>
          </w:tcPr>
          <w:p>
            <w:pPr>
              <w:spacing w:after="0"/>
              <w:rPr>
                <w:sz w:val="11"/>
                <w:szCs w:val="11"/>
                <w:color w:val="auto"/>
              </w:rPr>
            </w:pPr>
          </w:p>
        </w:tc>
        <w:tc>
          <w:tcPr>
            <w:tcW w:w="1520" w:type="dxa"/>
            <w:vAlign w:val="bottom"/>
            <w:tcBorders>
              <w:bottom w:val="single" w:sz="8" w:color="auto"/>
              <w:right w:val="single" w:sz="8" w:color="auto"/>
            </w:tcBorders>
          </w:tcPr>
          <w:p>
            <w:pPr>
              <w:spacing w:after="0"/>
              <w:rPr>
                <w:sz w:val="11"/>
                <w:szCs w:val="11"/>
                <w:color w:val="auto"/>
              </w:rPr>
            </w:pPr>
          </w:p>
        </w:tc>
        <w:tc>
          <w:tcPr>
            <w:tcW w:w="15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1980" w:type="dxa"/>
            <w:vAlign w:val="bottom"/>
            <w:tcBorders>
              <w:left w:val="single" w:sz="8" w:color="auto"/>
              <w:right w:val="single" w:sz="8" w:color="auto"/>
            </w:tcBorders>
            <w:vMerge w:val="continue"/>
          </w:tcPr>
          <w:p>
            <w:pPr>
              <w:spacing w:after="0"/>
              <w:rPr>
                <w:sz w:val="17"/>
                <w:szCs w:val="17"/>
                <w:color w:val="auto"/>
              </w:rPr>
            </w:pPr>
          </w:p>
        </w:tc>
        <w:tc>
          <w:tcPr>
            <w:tcW w:w="300" w:type="dxa"/>
            <w:vAlign w:val="bottom"/>
            <w:tcBorders>
              <w:right w:val="single" w:sz="8" w:color="auto"/>
            </w:tcBorders>
            <w:vMerge w:val="continue"/>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1980" w:type="dxa"/>
            <w:vAlign w:val="bottom"/>
            <w:tcBorders>
              <w:left w:val="single" w:sz="8" w:color="auto"/>
              <w:right w:val="single" w:sz="8" w:color="auto"/>
            </w:tcBorders>
            <w:vMerge w:val="restart"/>
          </w:tcPr>
          <w:p>
            <w:pPr>
              <w:spacing w:after="0"/>
              <w:rPr>
                <w:sz w:val="11"/>
                <w:szCs w:val="11"/>
                <w:color w:val="auto"/>
              </w:rPr>
            </w:pPr>
          </w:p>
        </w:tc>
        <w:tc>
          <w:tcPr>
            <w:tcW w:w="300" w:type="dxa"/>
            <w:vAlign w:val="bottom"/>
            <w:tcBorders>
              <w:right w:val="single" w:sz="8" w:color="auto"/>
            </w:tcBorders>
            <w:vMerge w:val="restart"/>
          </w:tcPr>
          <w:p>
            <w:pPr>
              <w:jc w:val="right"/>
              <w:ind w:right="6"/>
              <w:spacing w:after="0"/>
              <w:rPr>
                <w:sz w:val="20"/>
                <w:szCs w:val="20"/>
                <w:color w:val="auto"/>
              </w:rPr>
            </w:pPr>
            <w:r>
              <w:rPr>
                <w:rFonts w:ascii="Arial" w:cs="Arial" w:eastAsia="Arial" w:hAnsi="Arial"/>
                <w:sz w:val="19"/>
                <w:szCs w:val="19"/>
                <w:b w:val="1"/>
                <w:bCs w:val="1"/>
                <w:color w:val="auto"/>
              </w:rPr>
              <w:t>7</w:t>
            </w:r>
          </w:p>
        </w:tc>
        <w:tc>
          <w:tcPr>
            <w:tcW w:w="1540" w:type="dxa"/>
            <w:vAlign w:val="bottom"/>
            <w:tcBorders>
              <w:bottom w:val="single" w:sz="8" w:color="auto"/>
              <w:right w:val="single" w:sz="8" w:color="auto"/>
            </w:tcBorders>
          </w:tcPr>
          <w:p>
            <w:pPr>
              <w:spacing w:after="0"/>
              <w:rPr>
                <w:sz w:val="11"/>
                <w:szCs w:val="11"/>
                <w:color w:val="auto"/>
              </w:rPr>
            </w:pPr>
          </w:p>
        </w:tc>
        <w:tc>
          <w:tcPr>
            <w:tcW w:w="1520" w:type="dxa"/>
            <w:vAlign w:val="bottom"/>
            <w:tcBorders>
              <w:bottom w:val="single" w:sz="8" w:color="auto"/>
              <w:right w:val="single" w:sz="8" w:color="auto"/>
            </w:tcBorders>
          </w:tcPr>
          <w:p>
            <w:pPr>
              <w:spacing w:after="0"/>
              <w:rPr>
                <w:sz w:val="11"/>
                <w:szCs w:val="11"/>
                <w:color w:val="auto"/>
              </w:rPr>
            </w:pPr>
          </w:p>
        </w:tc>
        <w:tc>
          <w:tcPr>
            <w:tcW w:w="1540" w:type="dxa"/>
            <w:vAlign w:val="bottom"/>
            <w:tcBorders>
              <w:bottom w:val="single" w:sz="8" w:color="auto"/>
              <w:right w:val="single" w:sz="8" w:color="auto"/>
            </w:tcBorders>
          </w:tcPr>
          <w:p>
            <w:pPr>
              <w:spacing w:after="0"/>
              <w:rPr>
                <w:sz w:val="11"/>
                <w:szCs w:val="11"/>
                <w:color w:val="auto"/>
              </w:rPr>
            </w:pPr>
          </w:p>
        </w:tc>
        <w:tc>
          <w:tcPr>
            <w:tcW w:w="1520" w:type="dxa"/>
            <w:vAlign w:val="bottom"/>
            <w:tcBorders>
              <w:bottom w:val="single" w:sz="8" w:color="auto"/>
              <w:right w:val="single" w:sz="8" w:color="auto"/>
            </w:tcBorders>
          </w:tcPr>
          <w:p>
            <w:pPr>
              <w:spacing w:after="0"/>
              <w:rPr>
                <w:sz w:val="11"/>
                <w:szCs w:val="11"/>
                <w:color w:val="auto"/>
              </w:rPr>
            </w:pPr>
          </w:p>
        </w:tc>
        <w:tc>
          <w:tcPr>
            <w:tcW w:w="15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1980" w:type="dxa"/>
            <w:vAlign w:val="bottom"/>
            <w:tcBorders>
              <w:left w:val="single" w:sz="8" w:color="auto"/>
              <w:right w:val="single" w:sz="8" w:color="auto"/>
            </w:tcBorders>
            <w:vMerge w:val="continue"/>
          </w:tcPr>
          <w:p>
            <w:pPr>
              <w:spacing w:after="0"/>
              <w:rPr>
                <w:sz w:val="17"/>
                <w:szCs w:val="17"/>
                <w:color w:val="auto"/>
              </w:rPr>
            </w:pPr>
          </w:p>
        </w:tc>
        <w:tc>
          <w:tcPr>
            <w:tcW w:w="300" w:type="dxa"/>
            <w:vAlign w:val="bottom"/>
            <w:tcBorders>
              <w:right w:val="single" w:sz="8" w:color="auto"/>
            </w:tcBorders>
            <w:vMerge w:val="continue"/>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1980" w:type="dxa"/>
            <w:vAlign w:val="bottom"/>
            <w:tcBorders>
              <w:left w:val="single" w:sz="8" w:color="auto"/>
              <w:bottom w:val="single" w:sz="8" w:color="auto"/>
              <w:right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540" w:type="dxa"/>
            <w:vAlign w:val="bottom"/>
            <w:tcBorders>
              <w:bottom w:val="single" w:sz="8" w:color="auto"/>
              <w:right w:val="single" w:sz="8" w:color="auto"/>
            </w:tcBorders>
          </w:tcPr>
          <w:p>
            <w:pPr>
              <w:spacing w:after="0"/>
              <w:rPr>
                <w:sz w:val="11"/>
                <w:szCs w:val="11"/>
                <w:color w:val="auto"/>
              </w:rPr>
            </w:pPr>
          </w:p>
        </w:tc>
        <w:tc>
          <w:tcPr>
            <w:tcW w:w="1520" w:type="dxa"/>
            <w:vAlign w:val="bottom"/>
            <w:tcBorders>
              <w:bottom w:val="single" w:sz="8" w:color="auto"/>
              <w:right w:val="single" w:sz="8" w:color="auto"/>
            </w:tcBorders>
          </w:tcPr>
          <w:p>
            <w:pPr>
              <w:spacing w:after="0"/>
              <w:rPr>
                <w:sz w:val="11"/>
                <w:szCs w:val="11"/>
                <w:color w:val="auto"/>
              </w:rPr>
            </w:pPr>
          </w:p>
        </w:tc>
        <w:tc>
          <w:tcPr>
            <w:tcW w:w="1540" w:type="dxa"/>
            <w:vAlign w:val="bottom"/>
            <w:tcBorders>
              <w:bottom w:val="single" w:sz="8" w:color="auto"/>
              <w:right w:val="single" w:sz="8" w:color="auto"/>
            </w:tcBorders>
          </w:tcPr>
          <w:p>
            <w:pPr>
              <w:spacing w:after="0"/>
              <w:rPr>
                <w:sz w:val="11"/>
                <w:szCs w:val="11"/>
                <w:color w:val="auto"/>
              </w:rPr>
            </w:pPr>
          </w:p>
        </w:tc>
        <w:tc>
          <w:tcPr>
            <w:tcW w:w="1520" w:type="dxa"/>
            <w:vAlign w:val="bottom"/>
            <w:tcBorders>
              <w:bottom w:val="single" w:sz="8" w:color="auto"/>
              <w:right w:val="single" w:sz="8" w:color="auto"/>
            </w:tcBorders>
          </w:tcPr>
          <w:p>
            <w:pPr>
              <w:spacing w:after="0"/>
              <w:rPr>
                <w:sz w:val="11"/>
                <w:szCs w:val="11"/>
                <w:color w:val="auto"/>
              </w:rPr>
            </w:pPr>
          </w:p>
        </w:tc>
        <w:tc>
          <w:tcPr>
            <w:tcW w:w="15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93"/>
        </w:trPr>
        <w:tc>
          <w:tcPr>
            <w:tcW w:w="198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1980" w:type="dxa"/>
            <w:vAlign w:val="bottom"/>
            <w:tcBorders>
              <w:left w:val="single" w:sz="8" w:color="auto"/>
              <w:right w:val="single" w:sz="8" w:color="auto"/>
            </w:tcBorders>
          </w:tcPr>
          <w:p>
            <w:pPr>
              <w:ind w:left="100"/>
              <w:spacing w:after="0" w:line="179" w:lineRule="exact"/>
              <w:rPr>
                <w:sz w:val="20"/>
                <w:szCs w:val="20"/>
                <w:color w:val="auto"/>
              </w:rPr>
            </w:pPr>
            <w:r>
              <w:rPr>
                <w:rFonts w:ascii="Arial" w:cs="Arial" w:eastAsia="Arial" w:hAnsi="Arial"/>
                <w:sz w:val="19"/>
                <w:szCs w:val="19"/>
                <w:b w:val="1"/>
                <w:bCs w:val="1"/>
                <w:color w:val="auto"/>
              </w:rPr>
              <w:t>SUBSIDIARY /</w:t>
            </w:r>
          </w:p>
        </w:tc>
        <w:tc>
          <w:tcPr>
            <w:tcW w:w="3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1980" w:type="dxa"/>
            <w:vAlign w:val="bottom"/>
            <w:tcBorders>
              <w:left w:val="single" w:sz="8" w:color="auto"/>
              <w:right w:val="single" w:sz="8" w:color="auto"/>
            </w:tcBorders>
          </w:tcPr>
          <w:p>
            <w:pPr>
              <w:ind w:left="100"/>
              <w:spacing w:after="0" w:line="213" w:lineRule="exact"/>
              <w:rPr>
                <w:sz w:val="20"/>
                <w:szCs w:val="20"/>
                <w:color w:val="auto"/>
              </w:rPr>
            </w:pPr>
            <w:r>
              <w:rPr>
                <w:rFonts w:ascii="Arial" w:cs="Arial" w:eastAsia="Arial" w:hAnsi="Arial"/>
                <w:sz w:val="19"/>
                <w:szCs w:val="19"/>
                <w:b w:val="1"/>
                <w:bCs w:val="1"/>
                <w:color w:val="auto"/>
              </w:rPr>
              <w:t>AFFILIATE</w:t>
            </w:r>
          </w:p>
        </w:tc>
        <w:tc>
          <w:tcPr>
            <w:tcW w:w="1840" w:type="dxa"/>
            <w:vAlign w:val="bottom"/>
            <w:gridSpan w:val="2"/>
          </w:tcPr>
          <w:p>
            <w:pPr>
              <w:spacing w:after="0"/>
              <w:rPr>
                <w:sz w:val="18"/>
                <w:szCs w:val="18"/>
                <w:color w:val="auto"/>
              </w:rPr>
            </w:pPr>
          </w:p>
        </w:tc>
        <w:tc>
          <w:tcPr>
            <w:tcW w:w="15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19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9"/>
                <w:szCs w:val="19"/>
                <w:b w:val="1"/>
                <w:bCs w:val="1"/>
                <w:color w:val="auto"/>
              </w:rPr>
              <w:t>Name/Address</w:t>
            </w:r>
          </w:p>
        </w:tc>
        <w:tc>
          <w:tcPr>
            <w:tcW w:w="1840" w:type="dxa"/>
            <w:vAlign w:val="bottom"/>
            <w:gridSpan w:val="2"/>
          </w:tcPr>
          <w:p>
            <w:pPr>
              <w:spacing w:after="0"/>
              <w:rPr>
                <w:sz w:val="21"/>
                <w:szCs w:val="21"/>
                <w:color w:val="auto"/>
              </w:rPr>
            </w:pPr>
          </w:p>
        </w:tc>
        <w:tc>
          <w:tcPr>
            <w:tcW w:w="15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5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1980" w:type="dxa"/>
            <w:vAlign w:val="bottom"/>
            <w:tcBorders>
              <w:left w:val="single" w:sz="8" w:color="auto"/>
              <w:bottom w:val="single" w:sz="8" w:color="auto"/>
              <w:right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15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980" w:type="dxa"/>
            <w:vAlign w:val="bottom"/>
            <w:tcBorders>
              <w:left w:val="single" w:sz="8" w:color="auto"/>
              <w:right w:val="single" w:sz="8" w:color="auto"/>
            </w:tcBorders>
          </w:tcPr>
          <w:p>
            <w:pPr>
              <w:spacing w:after="0"/>
              <w:rPr>
                <w:sz w:val="20"/>
                <w:szCs w:val="20"/>
                <w:color w:val="auto"/>
              </w:rPr>
            </w:pPr>
          </w:p>
        </w:tc>
        <w:tc>
          <w:tcPr>
            <w:tcW w:w="300" w:type="dxa"/>
            <w:vAlign w:val="bottom"/>
            <w:tcBorders>
              <w:right w:val="single" w:sz="8" w:color="auto"/>
            </w:tcBorders>
          </w:tcPr>
          <w:p>
            <w:pPr>
              <w:jc w:val="right"/>
              <w:ind w:right="6"/>
              <w:spacing w:after="0"/>
              <w:rPr>
                <w:sz w:val="20"/>
                <w:szCs w:val="20"/>
                <w:color w:val="auto"/>
              </w:rPr>
            </w:pPr>
            <w:r>
              <w:rPr>
                <w:rFonts w:ascii="Arial" w:cs="Arial" w:eastAsia="Arial" w:hAnsi="Arial"/>
                <w:sz w:val="19"/>
                <w:szCs w:val="19"/>
                <w:b w:val="1"/>
                <w:bCs w:val="1"/>
                <w:color w:val="auto"/>
              </w:rPr>
              <w:t>1</w:t>
            </w:r>
          </w:p>
        </w:tc>
        <w:tc>
          <w:tcPr>
            <w:tcW w:w="1540" w:type="dxa"/>
            <w:vAlign w:val="bottom"/>
            <w:tcBorders>
              <w:right w:val="single" w:sz="8" w:color="auto"/>
            </w:tcBorders>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1540" w:type="dxa"/>
            <w:vAlign w:val="bottom"/>
            <w:tcBorders>
              <w:right w:val="single" w:sz="8" w:color="auto"/>
            </w:tcBorders>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1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97"/>
        </w:trPr>
        <w:tc>
          <w:tcPr>
            <w:tcW w:w="1980" w:type="dxa"/>
            <w:vAlign w:val="bottom"/>
            <w:tcBorders>
              <w:left w:val="single" w:sz="8" w:color="auto"/>
              <w:right w:val="single" w:sz="8" w:color="auto"/>
            </w:tcBorders>
            <w:vMerge w:val="restart"/>
          </w:tcPr>
          <w:p>
            <w:pPr>
              <w:spacing w:after="0"/>
              <w:rPr>
                <w:sz w:val="8"/>
                <w:szCs w:val="8"/>
                <w:color w:val="auto"/>
              </w:rPr>
            </w:pPr>
          </w:p>
        </w:tc>
        <w:tc>
          <w:tcPr>
            <w:tcW w:w="300" w:type="dxa"/>
            <w:vAlign w:val="bottom"/>
            <w:tcBorders>
              <w:right w:val="single" w:sz="8" w:color="auto"/>
            </w:tcBorders>
            <w:vMerge w:val="restart"/>
          </w:tcPr>
          <w:p>
            <w:pPr>
              <w:jc w:val="right"/>
              <w:ind w:right="6"/>
              <w:spacing w:after="0"/>
              <w:rPr>
                <w:sz w:val="20"/>
                <w:szCs w:val="20"/>
                <w:color w:val="auto"/>
              </w:rPr>
            </w:pPr>
            <w:r>
              <w:rPr>
                <w:rFonts w:ascii="Arial" w:cs="Arial" w:eastAsia="Arial" w:hAnsi="Arial"/>
                <w:sz w:val="19"/>
                <w:szCs w:val="19"/>
                <w:b w:val="1"/>
                <w:bCs w:val="1"/>
                <w:color w:val="auto"/>
              </w:rPr>
              <w:t>2</w:t>
            </w:r>
          </w:p>
        </w:tc>
        <w:tc>
          <w:tcPr>
            <w:tcW w:w="1540" w:type="dxa"/>
            <w:vAlign w:val="bottom"/>
            <w:tcBorders>
              <w:bottom w:val="single" w:sz="8" w:color="auto"/>
              <w:right w:val="single" w:sz="8" w:color="auto"/>
            </w:tcBorders>
          </w:tcPr>
          <w:p>
            <w:pPr>
              <w:spacing w:after="0"/>
              <w:rPr>
                <w:sz w:val="8"/>
                <w:szCs w:val="8"/>
                <w:color w:val="auto"/>
              </w:rPr>
            </w:pPr>
          </w:p>
        </w:tc>
        <w:tc>
          <w:tcPr>
            <w:tcW w:w="1520" w:type="dxa"/>
            <w:vAlign w:val="bottom"/>
            <w:tcBorders>
              <w:bottom w:val="single" w:sz="8" w:color="auto"/>
              <w:right w:val="single" w:sz="8" w:color="auto"/>
            </w:tcBorders>
          </w:tcPr>
          <w:p>
            <w:pPr>
              <w:spacing w:after="0"/>
              <w:rPr>
                <w:sz w:val="8"/>
                <w:szCs w:val="8"/>
                <w:color w:val="auto"/>
              </w:rPr>
            </w:pPr>
          </w:p>
        </w:tc>
        <w:tc>
          <w:tcPr>
            <w:tcW w:w="1540" w:type="dxa"/>
            <w:vAlign w:val="bottom"/>
            <w:tcBorders>
              <w:bottom w:val="single" w:sz="8" w:color="auto"/>
              <w:right w:val="single" w:sz="8" w:color="auto"/>
            </w:tcBorders>
          </w:tcPr>
          <w:p>
            <w:pPr>
              <w:spacing w:after="0"/>
              <w:rPr>
                <w:sz w:val="8"/>
                <w:szCs w:val="8"/>
                <w:color w:val="auto"/>
              </w:rPr>
            </w:pPr>
          </w:p>
        </w:tc>
        <w:tc>
          <w:tcPr>
            <w:tcW w:w="1520" w:type="dxa"/>
            <w:vAlign w:val="bottom"/>
            <w:tcBorders>
              <w:bottom w:val="single" w:sz="8" w:color="auto"/>
              <w:right w:val="single" w:sz="8" w:color="auto"/>
            </w:tcBorders>
          </w:tcPr>
          <w:p>
            <w:pPr>
              <w:spacing w:after="0"/>
              <w:rPr>
                <w:sz w:val="8"/>
                <w:szCs w:val="8"/>
                <w:color w:val="auto"/>
              </w:rPr>
            </w:pPr>
          </w:p>
        </w:tc>
        <w:tc>
          <w:tcPr>
            <w:tcW w:w="15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1980" w:type="dxa"/>
            <w:vAlign w:val="bottom"/>
            <w:tcBorders>
              <w:left w:val="single" w:sz="8" w:color="auto"/>
              <w:right w:val="single" w:sz="8" w:color="auto"/>
            </w:tcBorders>
            <w:vMerge w:val="continue"/>
          </w:tcPr>
          <w:p>
            <w:pPr>
              <w:spacing w:after="0"/>
              <w:rPr>
                <w:sz w:val="17"/>
                <w:szCs w:val="17"/>
                <w:color w:val="auto"/>
              </w:rPr>
            </w:pPr>
          </w:p>
        </w:tc>
        <w:tc>
          <w:tcPr>
            <w:tcW w:w="300" w:type="dxa"/>
            <w:vAlign w:val="bottom"/>
            <w:tcBorders>
              <w:right w:val="single" w:sz="8" w:color="auto"/>
            </w:tcBorders>
            <w:vMerge w:val="continue"/>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1980" w:type="dxa"/>
            <w:vAlign w:val="bottom"/>
            <w:tcBorders>
              <w:left w:val="single" w:sz="8" w:color="auto"/>
              <w:right w:val="single" w:sz="8" w:color="auto"/>
            </w:tcBorders>
            <w:vMerge w:val="restart"/>
          </w:tcPr>
          <w:p>
            <w:pPr>
              <w:spacing w:after="0"/>
              <w:rPr>
                <w:sz w:val="11"/>
                <w:szCs w:val="11"/>
                <w:color w:val="auto"/>
              </w:rPr>
            </w:pPr>
          </w:p>
        </w:tc>
        <w:tc>
          <w:tcPr>
            <w:tcW w:w="300" w:type="dxa"/>
            <w:vAlign w:val="bottom"/>
            <w:tcBorders>
              <w:right w:val="single" w:sz="8" w:color="auto"/>
            </w:tcBorders>
            <w:vMerge w:val="restart"/>
          </w:tcPr>
          <w:p>
            <w:pPr>
              <w:jc w:val="right"/>
              <w:ind w:right="6"/>
              <w:spacing w:after="0"/>
              <w:rPr>
                <w:sz w:val="20"/>
                <w:szCs w:val="20"/>
                <w:color w:val="auto"/>
              </w:rPr>
            </w:pPr>
            <w:r>
              <w:rPr>
                <w:rFonts w:ascii="Arial" w:cs="Arial" w:eastAsia="Arial" w:hAnsi="Arial"/>
                <w:sz w:val="19"/>
                <w:szCs w:val="19"/>
                <w:b w:val="1"/>
                <w:bCs w:val="1"/>
                <w:color w:val="auto"/>
              </w:rPr>
              <w:t>3</w:t>
            </w:r>
          </w:p>
        </w:tc>
        <w:tc>
          <w:tcPr>
            <w:tcW w:w="1540" w:type="dxa"/>
            <w:vAlign w:val="bottom"/>
            <w:tcBorders>
              <w:bottom w:val="single" w:sz="8" w:color="auto"/>
              <w:right w:val="single" w:sz="8" w:color="auto"/>
            </w:tcBorders>
          </w:tcPr>
          <w:p>
            <w:pPr>
              <w:spacing w:after="0"/>
              <w:rPr>
                <w:sz w:val="11"/>
                <w:szCs w:val="11"/>
                <w:color w:val="auto"/>
              </w:rPr>
            </w:pPr>
          </w:p>
        </w:tc>
        <w:tc>
          <w:tcPr>
            <w:tcW w:w="1520" w:type="dxa"/>
            <w:vAlign w:val="bottom"/>
            <w:tcBorders>
              <w:bottom w:val="single" w:sz="8" w:color="auto"/>
              <w:right w:val="single" w:sz="8" w:color="auto"/>
            </w:tcBorders>
          </w:tcPr>
          <w:p>
            <w:pPr>
              <w:spacing w:after="0"/>
              <w:rPr>
                <w:sz w:val="11"/>
                <w:szCs w:val="11"/>
                <w:color w:val="auto"/>
              </w:rPr>
            </w:pPr>
          </w:p>
        </w:tc>
        <w:tc>
          <w:tcPr>
            <w:tcW w:w="1540" w:type="dxa"/>
            <w:vAlign w:val="bottom"/>
            <w:tcBorders>
              <w:bottom w:val="single" w:sz="8" w:color="auto"/>
              <w:right w:val="single" w:sz="8" w:color="auto"/>
            </w:tcBorders>
          </w:tcPr>
          <w:p>
            <w:pPr>
              <w:spacing w:after="0"/>
              <w:rPr>
                <w:sz w:val="11"/>
                <w:szCs w:val="11"/>
                <w:color w:val="auto"/>
              </w:rPr>
            </w:pPr>
          </w:p>
        </w:tc>
        <w:tc>
          <w:tcPr>
            <w:tcW w:w="1520" w:type="dxa"/>
            <w:vAlign w:val="bottom"/>
            <w:tcBorders>
              <w:bottom w:val="single" w:sz="8" w:color="auto"/>
              <w:right w:val="single" w:sz="8" w:color="auto"/>
            </w:tcBorders>
          </w:tcPr>
          <w:p>
            <w:pPr>
              <w:spacing w:after="0"/>
              <w:rPr>
                <w:sz w:val="11"/>
                <w:szCs w:val="11"/>
                <w:color w:val="auto"/>
              </w:rPr>
            </w:pPr>
          </w:p>
        </w:tc>
        <w:tc>
          <w:tcPr>
            <w:tcW w:w="15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1980" w:type="dxa"/>
            <w:vAlign w:val="bottom"/>
            <w:tcBorders>
              <w:left w:val="single" w:sz="8" w:color="auto"/>
              <w:right w:val="single" w:sz="8" w:color="auto"/>
            </w:tcBorders>
            <w:vMerge w:val="continue"/>
          </w:tcPr>
          <w:p>
            <w:pPr>
              <w:spacing w:after="0"/>
              <w:rPr>
                <w:sz w:val="17"/>
                <w:szCs w:val="17"/>
                <w:color w:val="auto"/>
              </w:rPr>
            </w:pPr>
          </w:p>
        </w:tc>
        <w:tc>
          <w:tcPr>
            <w:tcW w:w="300" w:type="dxa"/>
            <w:vAlign w:val="bottom"/>
            <w:tcBorders>
              <w:right w:val="single" w:sz="8" w:color="auto"/>
            </w:tcBorders>
            <w:vMerge w:val="continue"/>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1980" w:type="dxa"/>
            <w:vAlign w:val="bottom"/>
            <w:tcBorders>
              <w:left w:val="single" w:sz="8" w:color="auto"/>
              <w:right w:val="single" w:sz="8" w:color="auto"/>
            </w:tcBorders>
            <w:vMerge w:val="restart"/>
          </w:tcPr>
          <w:p>
            <w:pPr>
              <w:spacing w:after="0"/>
              <w:rPr>
                <w:sz w:val="11"/>
                <w:szCs w:val="11"/>
                <w:color w:val="auto"/>
              </w:rPr>
            </w:pPr>
          </w:p>
        </w:tc>
        <w:tc>
          <w:tcPr>
            <w:tcW w:w="300" w:type="dxa"/>
            <w:vAlign w:val="bottom"/>
            <w:tcBorders>
              <w:right w:val="single" w:sz="8" w:color="auto"/>
            </w:tcBorders>
            <w:vMerge w:val="restart"/>
          </w:tcPr>
          <w:p>
            <w:pPr>
              <w:jc w:val="right"/>
              <w:ind w:right="6"/>
              <w:spacing w:after="0"/>
              <w:rPr>
                <w:sz w:val="20"/>
                <w:szCs w:val="20"/>
                <w:color w:val="auto"/>
              </w:rPr>
            </w:pPr>
            <w:r>
              <w:rPr>
                <w:rFonts w:ascii="Arial" w:cs="Arial" w:eastAsia="Arial" w:hAnsi="Arial"/>
                <w:sz w:val="19"/>
                <w:szCs w:val="19"/>
                <w:b w:val="1"/>
                <w:bCs w:val="1"/>
                <w:color w:val="auto"/>
              </w:rPr>
              <w:t>4</w:t>
            </w:r>
          </w:p>
        </w:tc>
        <w:tc>
          <w:tcPr>
            <w:tcW w:w="1540" w:type="dxa"/>
            <w:vAlign w:val="bottom"/>
            <w:tcBorders>
              <w:bottom w:val="single" w:sz="8" w:color="auto"/>
              <w:right w:val="single" w:sz="8" w:color="auto"/>
            </w:tcBorders>
          </w:tcPr>
          <w:p>
            <w:pPr>
              <w:spacing w:after="0"/>
              <w:rPr>
                <w:sz w:val="11"/>
                <w:szCs w:val="11"/>
                <w:color w:val="auto"/>
              </w:rPr>
            </w:pPr>
          </w:p>
        </w:tc>
        <w:tc>
          <w:tcPr>
            <w:tcW w:w="1520" w:type="dxa"/>
            <w:vAlign w:val="bottom"/>
            <w:tcBorders>
              <w:bottom w:val="single" w:sz="8" w:color="auto"/>
              <w:right w:val="single" w:sz="8" w:color="auto"/>
            </w:tcBorders>
          </w:tcPr>
          <w:p>
            <w:pPr>
              <w:spacing w:after="0"/>
              <w:rPr>
                <w:sz w:val="11"/>
                <w:szCs w:val="11"/>
                <w:color w:val="auto"/>
              </w:rPr>
            </w:pPr>
          </w:p>
        </w:tc>
        <w:tc>
          <w:tcPr>
            <w:tcW w:w="1540" w:type="dxa"/>
            <w:vAlign w:val="bottom"/>
            <w:tcBorders>
              <w:bottom w:val="single" w:sz="8" w:color="auto"/>
              <w:right w:val="single" w:sz="8" w:color="auto"/>
            </w:tcBorders>
          </w:tcPr>
          <w:p>
            <w:pPr>
              <w:spacing w:after="0"/>
              <w:rPr>
                <w:sz w:val="11"/>
                <w:szCs w:val="11"/>
                <w:color w:val="auto"/>
              </w:rPr>
            </w:pPr>
          </w:p>
        </w:tc>
        <w:tc>
          <w:tcPr>
            <w:tcW w:w="1520" w:type="dxa"/>
            <w:vAlign w:val="bottom"/>
            <w:tcBorders>
              <w:bottom w:val="single" w:sz="8" w:color="auto"/>
              <w:right w:val="single" w:sz="8" w:color="auto"/>
            </w:tcBorders>
          </w:tcPr>
          <w:p>
            <w:pPr>
              <w:spacing w:after="0"/>
              <w:rPr>
                <w:sz w:val="11"/>
                <w:szCs w:val="11"/>
                <w:color w:val="auto"/>
              </w:rPr>
            </w:pPr>
          </w:p>
        </w:tc>
        <w:tc>
          <w:tcPr>
            <w:tcW w:w="15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1980" w:type="dxa"/>
            <w:vAlign w:val="bottom"/>
            <w:tcBorders>
              <w:left w:val="single" w:sz="8" w:color="auto"/>
              <w:right w:val="single" w:sz="8" w:color="auto"/>
            </w:tcBorders>
            <w:vMerge w:val="continue"/>
          </w:tcPr>
          <w:p>
            <w:pPr>
              <w:spacing w:after="0"/>
              <w:rPr>
                <w:sz w:val="17"/>
                <w:szCs w:val="17"/>
                <w:color w:val="auto"/>
              </w:rPr>
            </w:pPr>
          </w:p>
        </w:tc>
        <w:tc>
          <w:tcPr>
            <w:tcW w:w="300" w:type="dxa"/>
            <w:vAlign w:val="bottom"/>
            <w:tcBorders>
              <w:right w:val="single" w:sz="8" w:color="auto"/>
            </w:tcBorders>
            <w:vMerge w:val="continue"/>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1980" w:type="dxa"/>
            <w:vAlign w:val="bottom"/>
            <w:tcBorders>
              <w:left w:val="single" w:sz="8" w:color="auto"/>
              <w:right w:val="single" w:sz="8" w:color="auto"/>
            </w:tcBorders>
            <w:vMerge w:val="restart"/>
          </w:tcPr>
          <w:p>
            <w:pPr>
              <w:spacing w:after="0"/>
              <w:rPr>
                <w:sz w:val="11"/>
                <w:szCs w:val="11"/>
                <w:color w:val="auto"/>
              </w:rPr>
            </w:pPr>
          </w:p>
        </w:tc>
        <w:tc>
          <w:tcPr>
            <w:tcW w:w="300" w:type="dxa"/>
            <w:vAlign w:val="bottom"/>
            <w:tcBorders>
              <w:right w:val="single" w:sz="8" w:color="auto"/>
            </w:tcBorders>
            <w:vMerge w:val="restart"/>
          </w:tcPr>
          <w:p>
            <w:pPr>
              <w:jc w:val="right"/>
              <w:ind w:right="6"/>
              <w:spacing w:after="0"/>
              <w:rPr>
                <w:sz w:val="20"/>
                <w:szCs w:val="20"/>
                <w:color w:val="auto"/>
              </w:rPr>
            </w:pPr>
            <w:r>
              <w:rPr>
                <w:rFonts w:ascii="Arial" w:cs="Arial" w:eastAsia="Arial" w:hAnsi="Arial"/>
                <w:sz w:val="19"/>
                <w:szCs w:val="19"/>
                <w:b w:val="1"/>
                <w:bCs w:val="1"/>
                <w:color w:val="auto"/>
              </w:rPr>
              <w:t>5</w:t>
            </w:r>
          </w:p>
        </w:tc>
        <w:tc>
          <w:tcPr>
            <w:tcW w:w="1540" w:type="dxa"/>
            <w:vAlign w:val="bottom"/>
            <w:tcBorders>
              <w:bottom w:val="single" w:sz="8" w:color="auto"/>
              <w:right w:val="single" w:sz="8" w:color="auto"/>
            </w:tcBorders>
          </w:tcPr>
          <w:p>
            <w:pPr>
              <w:spacing w:after="0"/>
              <w:rPr>
                <w:sz w:val="11"/>
                <w:szCs w:val="11"/>
                <w:color w:val="auto"/>
              </w:rPr>
            </w:pPr>
          </w:p>
        </w:tc>
        <w:tc>
          <w:tcPr>
            <w:tcW w:w="1520" w:type="dxa"/>
            <w:vAlign w:val="bottom"/>
            <w:tcBorders>
              <w:bottom w:val="single" w:sz="8" w:color="auto"/>
              <w:right w:val="single" w:sz="8" w:color="auto"/>
            </w:tcBorders>
          </w:tcPr>
          <w:p>
            <w:pPr>
              <w:spacing w:after="0"/>
              <w:rPr>
                <w:sz w:val="11"/>
                <w:szCs w:val="11"/>
                <w:color w:val="auto"/>
              </w:rPr>
            </w:pPr>
          </w:p>
        </w:tc>
        <w:tc>
          <w:tcPr>
            <w:tcW w:w="1540" w:type="dxa"/>
            <w:vAlign w:val="bottom"/>
            <w:tcBorders>
              <w:bottom w:val="single" w:sz="8" w:color="auto"/>
              <w:right w:val="single" w:sz="8" w:color="auto"/>
            </w:tcBorders>
          </w:tcPr>
          <w:p>
            <w:pPr>
              <w:spacing w:after="0"/>
              <w:rPr>
                <w:sz w:val="11"/>
                <w:szCs w:val="11"/>
                <w:color w:val="auto"/>
              </w:rPr>
            </w:pPr>
          </w:p>
        </w:tc>
        <w:tc>
          <w:tcPr>
            <w:tcW w:w="1520" w:type="dxa"/>
            <w:vAlign w:val="bottom"/>
            <w:tcBorders>
              <w:bottom w:val="single" w:sz="8" w:color="auto"/>
              <w:right w:val="single" w:sz="8" w:color="auto"/>
            </w:tcBorders>
          </w:tcPr>
          <w:p>
            <w:pPr>
              <w:spacing w:after="0"/>
              <w:rPr>
                <w:sz w:val="11"/>
                <w:szCs w:val="11"/>
                <w:color w:val="auto"/>
              </w:rPr>
            </w:pPr>
          </w:p>
        </w:tc>
        <w:tc>
          <w:tcPr>
            <w:tcW w:w="15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1980" w:type="dxa"/>
            <w:vAlign w:val="bottom"/>
            <w:tcBorders>
              <w:left w:val="single" w:sz="8" w:color="auto"/>
              <w:right w:val="single" w:sz="8" w:color="auto"/>
            </w:tcBorders>
            <w:vMerge w:val="continue"/>
          </w:tcPr>
          <w:p>
            <w:pPr>
              <w:spacing w:after="0"/>
              <w:rPr>
                <w:sz w:val="17"/>
                <w:szCs w:val="17"/>
                <w:color w:val="auto"/>
              </w:rPr>
            </w:pPr>
          </w:p>
        </w:tc>
        <w:tc>
          <w:tcPr>
            <w:tcW w:w="300" w:type="dxa"/>
            <w:vAlign w:val="bottom"/>
            <w:tcBorders>
              <w:right w:val="single" w:sz="8" w:color="auto"/>
            </w:tcBorders>
            <w:vMerge w:val="continue"/>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1980" w:type="dxa"/>
            <w:vAlign w:val="bottom"/>
            <w:tcBorders>
              <w:left w:val="single" w:sz="8" w:color="auto"/>
              <w:right w:val="single" w:sz="8" w:color="auto"/>
            </w:tcBorders>
            <w:vMerge w:val="restart"/>
          </w:tcPr>
          <w:p>
            <w:pPr>
              <w:spacing w:after="0"/>
              <w:rPr>
                <w:sz w:val="11"/>
                <w:szCs w:val="11"/>
                <w:color w:val="auto"/>
              </w:rPr>
            </w:pPr>
          </w:p>
        </w:tc>
        <w:tc>
          <w:tcPr>
            <w:tcW w:w="300" w:type="dxa"/>
            <w:vAlign w:val="bottom"/>
            <w:tcBorders>
              <w:right w:val="single" w:sz="8" w:color="auto"/>
            </w:tcBorders>
            <w:vMerge w:val="restart"/>
          </w:tcPr>
          <w:p>
            <w:pPr>
              <w:jc w:val="right"/>
              <w:ind w:right="6"/>
              <w:spacing w:after="0"/>
              <w:rPr>
                <w:sz w:val="20"/>
                <w:szCs w:val="20"/>
                <w:color w:val="auto"/>
              </w:rPr>
            </w:pPr>
            <w:r>
              <w:rPr>
                <w:rFonts w:ascii="Arial" w:cs="Arial" w:eastAsia="Arial" w:hAnsi="Arial"/>
                <w:sz w:val="19"/>
                <w:szCs w:val="19"/>
                <w:b w:val="1"/>
                <w:bCs w:val="1"/>
                <w:color w:val="auto"/>
              </w:rPr>
              <w:t>6</w:t>
            </w:r>
          </w:p>
        </w:tc>
        <w:tc>
          <w:tcPr>
            <w:tcW w:w="1540" w:type="dxa"/>
            <w:vAlign w:val="bottom"/>
            <w:tcBorders>
              <w:bottom w:val="single" w:sz="8" w:color="auto"/>
              <w:right w:val="single" w:sz="8" w:color="auto"/>
            </w:tcBorders>
          </w:tcPr>
          <w:p>
            <w:pPr>
              <w:spacing w:after="0"/>
              <w:rPr>
                <w:sz w:val="11"/>
                <w:szCs w:val="11"/>
                <w:color w:val="auto"/>
              </w:rPr>
            </w:pPr>
          </w:p>
        </w:tc>
        <w:tc>
          <w:tcPr>
            <w:tcW w:w="1520" w:type="dxa"/>
            <w:vAlign w:val="bottom"/>
            <w:tcBorders>
              <w:bottom w:val="single" w:sz="8" w:color="auto"/>
              <w:right w:val="single" w:sz="8" w:color="auto"/>
            </w:tcBorders>
          </w:tcPr>
          <w:p>
            <w:pPr>
              <w:spacing w:after="0"/>
              <w:rPr>
                <w:sz w:val="11"/>
                <w:szCs w:val="11"/>
                <w:color w:val="auto"/>
              </w:rPr>
            </w:pPr>
          </w:p>
        </w:tc>
        <w:tc>
          <w:tcPr>
            <w:tcW w:w="1540" w:type="dxa"/>
            <w:vAlign w:val="bottom"/>
            <w:tcBorders>
              <w:bottom w:val="single" w:sz="8" w:color="auto"/>
              <w:right w:val="single" w:sz="8" w:color="auto"/>
            </w:tcBorders>
          </w:tcPr>
          <w:p>
            <w:pPr>
              <w:spacing w:after="0"/>
              <w:rPr>
                <w:sz w:val="11"/>
                <w:szCs w:val="11"/>
                <w:color w:val="auto"/>
              </w:rPr>
            </w:pPr>
          </w:p>
        </w:tc>
        <w:tc>
          <w:tcPr>
            <w:tcW w:w="1520" w:type="dxa"/>
            <w:vAlign w:val="bottom"/>
            <w:tcBorders>
              <w:bottom w:val="single" w:sz="8" w:color="auto"/>
              <w:right w:val="single" w:sz="8" w:color="auto"/>
            </w:tcBorders>
          </w:tcPr>
          <w:p>
            <w:pPr>
              <w:spacing w:after="0"/>
              <w:rPr>
                <w:sz w:val="11"/>
                <w:szCs w:val="11"/>
                <w:color w:val="auto"/>
              </w:rPr>
            </w:pPr>
          </w:p>
        </w:tc>
        <w:tc>
          <w:tcPr>
            <w:tcW w:w="15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1980" w:type="dxa"/>
            <w:vAlign w:val="bottom"/>
            <w:tcBorders>
              <w:left w:val="single" w:sz="8" w:color="auto"/>
              <w:right w:val="single" w:sz="8" w:color="auto"/>
            </w:tcBorders>
            <w:vMerge w:val="continue"/>
          </w:tcPr>
          <w:p>
            <w:pPr>
              <w:spacing w:after="0"/>
              <w:rPr>
                <w:sz w:val="17"/>
                <w:szCs w:val="17"/>
                <w:color w:val="auto"/>
              </w:rPr>
            </w:pPr>
          </w:p>
        </w:tc>
        <w:tc>
          <w:tcPr>
            <w:tcW w:w="300" w:type="dxa"/>
            <w:vAlign w:val="bottom"/>
            <w:tcBorders>
              <w:right w:val="single" w:sz="8" w:color="auto"/>
            </w:tcBorders>
            <w:vMerge w:val="continue"/>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1980" w:type="dxa"/>
            <w:vAlign w:val="bottom"/>
            <w:tcBorders>
              <w:left w:val="single" w:sz="8" w:color="auto"/>
              <w:right w:val="single" w:sz="8" w:color="auto"/>
            </w:tcBorders>
            <w:vMerge w:val="restart"/>
          </w:tcPr>
          <w:p>
            <w:pPr>
              <w:spacing w:after="0"/>
              <w:rPr>
                <w:sz w:val="11"/>
                <w:szCs w:val="11"/>
                <w:color w:val="auto"/>
              </w:rPr>
            </w:pPr>
          </w:p>
        </w:tc>
        <w:tc>
          <w:tcPr>
            <w:tcW w:w="300" w:type="dxa"/>
            <w:vAlign w:val="bottom"/>
            <w:tcBorders>
              <w:right w:val="single" w:sz="8" w:color="auto"/>
            </w:tcBorders>
            <w:vMerge w:val="restart"/>
          </w:tcPr>
          <w:p>
            <w:pPr>
              <w:jc w:val="right"/>
              <w:ind w:right="6"/>
              <w:spacing w:after="0"/>
              <w:rPr>
                <w:sz w:val="20"/>
                <w:szCs w:val="20"/>
                <w:color w:val="auto"/>
              </w:rPr>
            </w:pPr>
            <w:r>
              <w:rPr>
                <w:rFonts w:ascii="Arial" w:cs="Arial" w:eastAsia="Arial" w:hAnsi="Arial"/>
                <w:sz w:val="19"/>
                <w:szCs w:val="19"/>
                <w:b w:val="1"/>
                <w:bCs w:val="1"/>
                <w:color w:val="auto"/>
              </w:rPr>
              <w:t>7</w:t>
            </w:r>
          </w:p>
        </w:tc>
        <w:tc>
          <w:tcPr>
            <w:tcW w:w="1540" w:type="dxa"/>
            <w:vAlign w:val="bottom"/>
            <w:tcBorders>
              <w:bottom w:val="single" w:sz="8" w:color="auto"/>
              <w:right w:val="single" w:sz="8" w:color="auto"/>
            </w:tcBorders>
          </w:tcPr>
          <w:p>
            <w:pPr>
              <w:spacing w:after="0"/>
              <w:rPr>
                <w:sz w:val="11"/>
                <w:szCs w:val="11"/>
                <w:color w:val="auto"/>
              </w:rPr>
            </w:pPr>
          </w:p>
        </w:tc>
        <w:tc>
          <w:tcPr>
            <w:tcW w:w="1520" w:type="dxa"/>
            <w:vAlign w:val="bottom"/>
            <w:tcBorders>
              <w:bottom w:val="single" w:sz="8" w:color="auto"/>
              <w:right w:val="single" w:sz="8" w:color="auto"/>
            </w:tcBorders>
          </w:tcPr>
          <w:p>
            <w:pPr>
              <w:spacing w:after="0"/>
              <w:rPr>
                <w:sz w:val="11"/>
                <w:szCs w:val="11"/>
                <w:color w:val="auto"/>
              </w:rPr>
            </w:pPr>
          </w:p>
        </w:tc>
        <w:tc>
          <w:tcPr>
            <w:tcW w:w="1540" w:type="dxa"/>
            <w:vAlign w:val="bottom"/>
            <w:tcBorders>
              <w:bottom w:val="single" w:sz="8" w:color="auto"/>
              <w:right w:val="single" w:sz="8" w:color="auto"/>
            </w:tcBorders>
          </w:tcPr>
          <w:p>
            <w:pPr>
              <w:spacing w:after="0"/>
              <w:rPr>
                <w:sz w:val="11"/>
                <w:szCs w:val="11"/>
                <w:color w:val="auto"/>
              </w:rPr>
            </w:pPr>
          </w:p>
        </w:tc>
        <w:tc>
          <w:tcPr>
            <w:tcW w:w="1520" w:type="dxa"/>
            <w:vAlign w:val="bottom"/>
            <w:tcBorders>
              <w:bottom w:val="single" w:sz="8" w:color="auto"/>
              <w:right w:val="single" w:sz="8" w:color="auto"/>
            </w:tcBorders>
          </w:tcPr>
          <w:p>
            <w:pPr>
              <w:spacing w:after="0"/>
              <w:rPr>
                <w:sz w:val="11"/>
                <w:szCs w:val="11"/>
                <w:color w:val="auto"/>
              </w:rPr>
            </w:pPr>
          </w:p>
        </w:tc>
        <w:tc>
          <w:tcPr>
            <w:tcW w:w="15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1980" w:type="dxa"/>
            <w:vAlign w:val="bottom"/>
            <w:tcBorders>
              <w:left w:val="single" w:sz="8" w:color="auto"/>
              <w:right w:val="single" w:sz="8" w:color="auto"/>
            </w:tcBorders>
            <w:vMerge w:val="continue"/>
          </w:tcPr>
          <w:p>
            <w:pPr>
              <w:spacing w:after="0"/>
              <w:rPr>
                <w:sz w:val="17"/>
                <w:szCs w:val="17"/>
                <w:color w:val="auto"/>
              </w:rPr>
            </w:pPr>
          </w:p>
        </w:tc>
        <w:tc>
          <w:tcPr>
            <w:tcW w:w="300" w:type="dxa"/>
            <w:vAlign w:val="bottom"/>
            <w:tcBorders>
              <w:right w:val="single" w:sz="8" w:color="auto"/>
            </w:tcBorders>
            <w:vMerge w:val="continue"/>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1980" w:type="dxa"/>
            <w:vAlign w:val="bottom"/>
            <w:tcBorders>
              <w:left w:val="single" w:sz="8" w:color="auto"/>
              <w:bottom w:val="single" w:sz="8" w:color="auto"/>
              <w:right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540" w:type="dxa"/>
            <w:vAlign w:val="bottom"/>
            <w:tcBorders>
              <w:bottom w:val="single" w:sz="8" w:color="auto"/>
              <w:right w:val="single" w:sz="8" w:color="auto"/>
            </w:tcBorders>
          </w:tcPr>
          <w:p>
            <w:pPr>
              <w:spacing w:after="0"/>
              <w:rPr>
                <w:sz w:val="11"/>
                <w:szCs w:val="11"/>
                <w:color w:val="auto"/>
              </w:rPr>
            </w:pPr>
          </w:p>
        </w:tc>
        <w:tc>
          <w:tcPr>
            <w:tcW w:w="1520" w:type="dxa"/>
            <w:vAlign w:val="bottom"/>
            <w:tcBorders>
              <w:bottom w:val="single" w:sz="8" w:color="auto"/>
              <w:right w:val="single" w:sz="8" w:color="auto"/>
            </w:tcBorders>
          </w:tcPr>
          <w:p>
            <w:pPr>
              <w:spacing w:after="0"/>
              <w:rPr>
                <w:sz w:val="11"/>
                <w:szCs w:val="11"/>
                <w:color w:val="auto"/>
              </w:rPr>
            </w:pPr>
          </w:p>
        </w:tc>
        <w:tc>
          <w:tcPr>
            <w:tcW w:w="1540" w:type="dxa"/>
            <w:vAlign w:val="bottom"/>
            <w:tcBorders>
              <w:bottom w:val="single" w:sz="8" w:color="auto"/>
              <w:right w:val="single" w:sz="8" w:color="auto"/>
            </w:tcBorders>
          </w:tcPr>
          <w:p>
            <w:pPr>
              <w:spacing w:after="0"/>
              <w:rPr>
                <w:sz w:val="11"/>
                <w:szCs w:val="11"/>
                <w:color w:val="auto"/>
              </w:rPr>
            </w:pPr>
          </w:p>
        </w:tc>
        <w:tc>
          <w:tcPr>
            <w:tcW w:w="1520" w:type="dxa"/>
            <w:vAlign w:val="bottom"/>
            <w:tcBorders>
              <w:bottom w:val="single" w:sz="8" w:color="auto"/>
              <w:right w:val="single" w:sz="8" w:color="auto"/>
            </w:tcBorders>
          </w:tcPr>
          <w:p>
            <w:pPr>
              <w:spacing w:after="0"/>
              <w:rPr>
                <w:sz w:val="11"/>
                <w:szCs w:val="11"/>
                <w:color w:val="auto"/>
              </w:rPr>
            </w:pPr>
          </w:p>
        </w:tc>
        <w:tc>
          <w:tcPr>
            <w:tcW w:w="15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34"/>
        </w:trPr>
        <w:tc>
          <w:tcPr>
            <w:tcW w:w="198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81"/>
        </w:trPr>
        <w:tc>
          <w:tcPr>
            <w:tcW w:w="19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780" w:right="979" w:bottom="1440" w:gutter="0" w:footer="0" w:header="0"/>
        </w:sectPr>
      </w:pPr>
    </w:p>
    <w:bookmarkStart w:id="197" w:name="page198"/>
    <w:bookmarkEnd w:id="197"/>
    <w:p>
      <w:pPr>
        <w:spacing w:after="0"/>
        <w:rPr>
          <w:sz w:val="20"/>
          <w:szCs w:val="20"/>
          <w:color w:val="auto"/>
        </w:rPr>
      </w:pPr>
      <w:r>
        <w:rPr>
          <w:rFonts w:ascii="Arial" w:cs="Arial" w:eastAsia="Arial" w:hAnsi="Arial"/>
          <w:sz w:val="19"/>
          <w:szCs w:val="19"/>
          <w:u w:val="single" w:color="auto"/>
          <w:color w:val="auto"/>
        </w:rPr>
        <w:t>Section 7.20 - Financial Covenants</w:t>
      </w:r>
    </w:p>
    <w:p>
      <w:pPr>
        <w:spacing w:after="0" w:line="193" w:lineRule="exact"/>
        <w:rPr>
          <w:sz w:val="20"/>
          <w:szCs w:val="20"/>
          <w:color w:val="auto"/>
        </w:rPr>
      </w:pPr>
    </w:p>
    <w:tbl>
      <w:tblPr>
        <w:tblLayout w:type="fixed"/>
        <w:tblInd w:w="10" w:type="dxa"/>
        <w:tblCellMar>
          <w:top w:w="0" w:type="dxa"/>
          <w:left w:w="0" w:type="dxa"/>
          <w:bottom w:w="0" w:type="dxa"/>
          <w:right w:w="0" w:type="dxa"/>
        </w:tblCellMar>
      </w:tblPr>
      <w:tr>
        <w:trPr>
          <w:trHeight w:val="199"/>
        </w:trPr>
        <w:tc>
          <w:tcPr>
            <w:tcW w:w="2720" w:type="dxa"/>
            <w:vAlign w:val="bottom"/>
            <w:tcBorders>
              <w:top w:val="single" w:sz="8" w:color="auto"/>
              <w:left w:val="single" w:sz="8" w:color="auto"/>
              <w:right w:val="single" w:sz="8" w:color="auto"/>
            </w:tcBorders>
          </w:tcPr>
          <w:p>
            <w:pPr>
              <w:ind w:left="100"/>
              <w:spacing w:after="0" w:line="199" w:lineRule="exact"/>
              <w:rPr>
                <w:sz w:val="20"/>
                <w:szCs w:val="20"/>
                <w:color w:val="auto"/>
              </w:rPr>
            </w:pPr>
            <w:r>
              <w:rPr>
                <w:rFonts w:ascii="Arial" w:cs="Arial" w:eastAsia="Arial" w:hAnsi="Arial"/>
                <w:sz w:val="19"/>
                <w:szCs w:val="19"/>
                <w:b w:val="1"/>
                <w:bCs w:val="1"/>
                <w:color w:val="auto"/>
              </w:rPr>
              <w:t>Financial</w:t>
            </w:r>
          </w:p>
        </w:tc>
        <w:tc>
          <w:tcPr>
            <w:tcW w:w="3220" w:type="dxa"/>
            <w:vAlign w:val="bottom"/>
            <w:tcBorders>
              <w:top w:val="single" w:sz="8" w:color="auto"/>
            </w:tcBorders>
          </w:tcPr>
          <w:p>
            <w:pPr>
              <w:ind w:left="80"/>
              <w:spacing w:after="0" w:line="199" w:lineRule="exact"/>
              <w:rPr>
                <w:sz w:val="20"/>
                <w:szCs w:val="20"/>
                <w:color w:val="auto"/>
              </w:rPr>
            </w:pPr>
            <w:r>
              <w:rPr>
                <w:rFonts w:ascii="Arial" w:cs="Arial" w:eastAsia="Arial" w:hAnsi="Arial"/>
                <w:sz w:val="19"/>
                <w:szCs w:val="19"/>
                <w:b w:val="1"/>
                <w:bCs w:val="1"/>
                <w:color w:val="auto"/>
              </w:rPr>
              <w:t>Required</w:t>
            </w:r>
          </w:p>
        </w:tc>
        <w:tc>
          <w:tcPr>
            <w:tcW w:w="1340" w:type="dxa"/>
            <w:vAlign w:val="bottom"/>
            <w:tcBorders>
              <w:top w:val="single" w:sz="8" w:color="auto"/>
              <w:right w:val="single" w:sz="8" w:color="auto"/>
            </w:tcBorders>
          </w:tcPr>
          <w:p>
            <w:pPr>
              <w:spacing w:after="0"/>
              <w:rPr>
                <w:sz w:val="17"/>
                <w:szCs w:val="17"/>
                <w:color w:val="auto"/>
              </w:rPr>
            </w:pPr>
          </w:p>
        </w:tc>
        <w:tc>
          <w:tcPr>
            <w:tcW w:w="1220" w:type="dxa"/>
            <w:vAlign w:val="bottom"/>
            <w:tcBorders>
              <w:top w:val="single" w:sz="8" w:color="auto"/>
              <w:right w:val="single" w:sz="8" w:color="auto"/>
            </w:tcBorders>
          </w:tcPr>
          <w:p>
            <w:pPr>
              <w:ind w:left="80"/>
              <w:spacing w:after="0" w:line="199" w:lineRule="exact"/>
              <w:rPr>
                <w:sz w:val="20"/>
                <w:szCs w:val="20"/>
                <w:color w:val="auto"/>
              </w:rPr>
            </w:pPr>
            <w:r>
              <w:rPr>
                <w:rFonts w:ascii="Arial" w:cs="Arial" w:eastAsia="Arial" w:hAnsi="Arial"/>
                <w:sz w:val="19"/>
                <w:szCs w:val="19"/>
                <w:b w:val="1"/>
                <w:bCs w:val="1"/>
                <w:color w:val="auto"/>
              </w:rPr>
              <w:t>Actual</w:t>
            </w:r>
          </w:p>
        </w:tc>
        <w:tc>
          <w:tcPr>
            <w:tcW w:w="1460" w:type="dxa"/>
            <w:vAlign w:val="bottom"/>
            <w:tcBorders>
              <w:top w:val="single" w:sz="8" w:color="auto"/>
              <w:right w:val="single" w:sz="8" w:color="auto"/>
            </w:tcBorders>
          </w:tcPr>
          <w:p>
            <w:pPr>
              <w:ind w:left="80"/>
              <w:spacing w:after="0" w:line="199" w:lineRule="exact"/>
              <w:rPr>
                <w:sz w:val="20"/>
                <w:szCs w:val="20"/>
                <w:color w:val="auto"/>
              </w:rPr>
            </w:pPr>
            <w:r>
              <w:rPr>
                <w:rFonts w:ascii="Arial" w:cs="Arial" w:eastAsia="Arial" w:hAnsi="Arial"/>
                <w:sz w:val="19"/>
                <w:szCs w:val="19"/>
                <w:b w:val="1"/>
                <w:bCs w:val="1"/>
                <w:color w:val="auto"/>
              </w:rPr>
              <w:t>In</w:t>
            </w:r>
          </w:p>
        </w:tc>
        <w:tc>
          <w:tcPr>
            <w:tcW w:w="0" w:type="dxa"/>
            <w:vAlign w:val="bottom"/>
          </w:tcPr>
          <w:p>
            <w:pPr>
              <w:spacing w:after="0"/>
              <w:rPr>
                <w:sz w:val="1"/>
                <w:szCs w:val="1"/>
                <w:color w:val="auto"/>
              </w:rPr>
            </w:pPr>
          </w:p>
        </w:tc>
      </w:tr>
      <w:tr>
        <w:trPr>
          <w:trHeight w:val="237"/>
        </w:trPr>
        <w:tc>
          <w:tcPr>
            <w:tcW w:w="27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9"/>
                <w:szCs w:val="19"/>
                <w:b w:val="1"/>
                <w:bCs w:val="1"/>
                <w:color w:val="auto"/>
              </w:rPr>
              <w:t>Covenant</w:t>
            </w:r>
          </w:p>
        </w:tc>
        <w:tc>
          <w:tcPr>
            <w:tcW w:w="3220" w:type="dxa"/>
            <w:vAlign w:val="bottom"/>
            <w:tcBorders>
              <w:bottom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9"/>
                <w:szCs w:val="19"/>
                <w:b w:val="1"/>
                <w:bCs w:val="1"/>
                <w:color w:val="auto"/>
              </w:rPr>
              <w:t>Compliance?</w:t>
            </w:r>
          </w:p>
        </w:tc>
        <w:tc>
          <w:tcPr>
            <w:tcW w:w="0" w:type="dxa"/>
            <w:vAlign w:val="bottom"/>
          </w:tcPr>
          <w:p>
            <w:pPr>
              <w:spacing w:after="0"/>
              <w:rPr>
                <w:sz w:val="1"/>
                <w:szCs w:val="1"/>
                <w:color w:val="auto"/>
              </w:rPr>
            </w:pPr>
          </w:p>
        </w:tc>
      </w:tr>
      <w:tr>
        <w:trPr>
          <w:trHeight w:val="185"/>
        </w:trPr>
        <w:tc>
          <w:tcPr>
            <w:tcW w:w="2720" w:type="dxa"/>
            <w:vAlign w:val="bottom"/>
            <w:tcBorders>
              <w:left w:val="single" w:sz="8" w:color="auto"/>
              <w:right w:val="single" w:sz="8" w:color="auto"/>
            </w:tcBorders>
          </w:tcPr>
          <w:p>
            <w:pPr>
              <w:ind w:left="100"/>
              <w:spacing w:after="0" w:line="185" w:lineRule="exact"/>
              <w:rPr>
                <w:sz w:val="20"/>
                <w:szCs w:val="20"/>
                <w:color w:val="auto"/>
              </w:rPr>
            </w:pPr>
            <w:r>
              <w:rPr>
                <w:rFonts w:ascii="Arial" w:cs="Arial" w:eastAsia="Arial" w:hAnsi="Arial"/>
                <w:sz w:val="19"/>
                <w:szCs w:val="19"/>
                <w:color w:val="auto"/>
              </w:rPr>
              <w:t>Minimum Cash</w:t>
            </w:r>
          </w:p>
        </w:tc>
        <w:tc>
          <w:tcPr>
            <w:tcW w:w="4560" w:type="dxa"/>
            <w:vAlign w:val="bottom"/>
            <w:tcBorders>
              <w:right w:val="single" w:sz="8" w:color="auto"/>
            </w:tcBorders>
            <w:gridSpan w:val="2"/>
          </w:tcPr>
          <w:p>
            <w:pPr>
              <w:ind w:left="80"/>
              <w:spacing w:after="0" w:line="185" w:lineRule="exact"/>
              <w:rPr>
                <w:sz w:val="20"/>
                <w:szCs w:val="20"/>
                <w:color w:val="auto"/>
              </w:rPr>
            </w:pPr>
            <w:r>
              <w:rPr>
                <w:rFonts w:ascii="Arial" w:cs="Arial" w:eastAsia="Arial" w:hAnsi="Arial"/>
                <w:sz w:val="19"/>
                <w:szCs w:val="19"/>
                <w:color w:val="auto"/>
                <w:w w:val="92"/>
              </w:rPr>
              <w:t xml:space="preserve">Greater than or equal to the sum of $15,000,000 </w:t>
            </w:r>
            <w:r>
              <w:rPr>
                <w:rFonts w:ascii="Arial" w:cs="Arial" w:eastAsia="Arial" w:hAnsi="Arial"/>
                <w:sz w:val="19"/>
                <w:szCs w:val="19"/>
                <w:i w:val="1"/>
                <w:iCs w:val="1"/>
                <w:color w:val="auto"/>
                <w:w w:val="92"/>
              </w:rPr>
              <w:t>plus</w:t>
            </w:r>
            <w:r>
              <w:rPr>
                <w:rFonts w:ascii="Arial" w:cs="Arial" w:eastAsia="Arial" w:hAnsi="Arial"/>
                <w:sz w:val="19"/>
                <w:szCs w:val="19"/>
                <w:color w:val="auto"/>
                <w:w w:val="92"/>
              </w:rPr>
              <w:t xml:space="preserve"> the</w:t>
            </w:r>
          </w:p>
        </w:tc>
        <w:tc>
          <w:tcPr>
            <w:tcW w:w="1220" w:type="dxa"/>
            <w:vAlign w:val="bottom"/>
            <w:tcBorders>
              <w:right w:val="single" w:sz="8" w:color="auto"/>
            </w:tcBorders>
          </w:tcPr>
          <w:p>
            <w:pPr>
              <w:ind w:left="80"/>
              <w:spacing w:after="0" w:line="185" w:lineRule="exact"/>
              <w:rPr>
                <w:sz w:val="20"/>
                <w:szCs w:val="20"/>
                <w:color w:val="auto"/>
              </w:rPr>
            </w:pPr>
            <w:r>
              <w:rPr>
                <w:rFonts w:ascii="Arial" w:cs="Arial" w:eastAsia="Arial" w:hAnsi="Arial"/>
                <w:sz w:val="19"/>
                <w:szCs w:val="19"/>
                <w:color w:val="auto"/>
              </w:rPr>
              <w:t>[   ]</w:t>
            </w:r>
          </w:p>
        </w:tc>
        <w:tc>
          <w:tcPr>
            <w:tcW w:w="1460" w:type="dxa"/>
            <w:vAlign w:val="bottom"/>
            <w:tcBorders>
              <w:right w:val="single" w:sz="8" w:color="auto"/>
            </w:tcBorders>
          </w:tcPr>
          <w:p>
            <w:pPr>
              <w:ind w:left="80"/>
              <w:spacing w:after="0" w:line="185" w:lineRule="exact"/>
              <w:rPr>
                <w:sz w:val="20"/>
                <w:szCs w:val="20"/>
                <w:color w:val="auto"/>
              </w:rPr>
            </w:pPr>
            <w:r>
              <w:rPr>
                <w:rFonts w:ascii="Arial" w:cs="Arial" w:eastAsia="Arial" w:hAnsi="Arial"/>
                <w:sz w:val="19"/>
                <w:szCs w:val="19"/>
                <w:color w:val="auto"/>
              </w:rPr>
              <w:t>Yes</w:t>
            </w:r>
          </w:p>
        </w:tc>
        <w:tc>
          <w:tcPr>
            <w:tcW w:w="0" w:type="dxa"/>
            <w:vAlign w:val="bottom"/>
          </w:tcPr>
          <w:p>
            <w:pPr>
              <w:spacing w:after="0"/>
              <w:rPr>
                <w:sz w:val="1"/>
                <w:szCs w:val="1"/>
                <w:color w:val="auto"/>
              </w:rPr>
            </w:pPr>
          </w:p>
        </w:tc>
      </w:tr>
      <w:tr>
        <w:trPr>
          <w:trHeight w:val="212"/>
        </w:trPr>
        <w:tc>
          <w:tcPr>
            <w:tcW w:w="2720" w:type="dxa"/>
            <w:vAlign w:val="bottom"/>
            <w:tcBorders>
              <w:left w:val="single" w:sz="8" w:color="auto"/>
              <w:right w:val="single" w:sz="8" w:color="auto"/>
            </w:tcBorders>
          </w:tcPr>
          <w:p>
            <w:pPr>
              <w:ind w:left="100"/>
              <w:spacing w:after="0" w:line="213" w:lineRule="exact"/>
              <w:rPr>
                <w:sz w:val="20"/>
                <w:szCs w:val="20"/>
                <w:color w:val="auto"/>
              </w:rPr>
            </w:pPr>
            <w:r>
              <w:rPr>
                <w:rFonts w:ascii="Arial" w:cs="Arial" w:eastAsia="Arial" w:hAnsi="Arial"/>
                <w:sz w:val="19"/>
                <w:szCs w:val="19"/>
                <w:i w:val="1"/>
                <w:iCs w:val="1"/>
                <w:color w:val="auto"/>
              </w:rPr>
              <w:t>Section 7.20(a)(i) of the Loan</w:t>
            </w:r>
          </w:p>
        </w:tc>
        <w:tc>
          <w:tcPr>
            <w:tcW w:w="3220" w:type="dxa"/>
            <w:vAlign w:val="bottom"/>
          </w:tcPr>
          <w:p>
            <w:pPr>
              <w:ind w:left="80"/>
              <w:spacing w:after="0" w:line="213" w:lineRule="exact"/>
              <w:rPr>
                <w:sz w:val="20"/>
                <w:szCs w:val="20"/>
                <w:color w:val="auto"/>
              </w:rPr>
            </w:pPr>
            <w:r>
              <w:rPr>
                <w:rFonts w:ascii="Arial" w:cs="Arial" w:eastAsia="Arial" w:hAnsi="Arial"/>
                <w:sz w:val="19"/>
                <w:szCs w:val="19"/>
                <w:color w:val="auto"/>
              </w:rPr>
              <w:t>Qualified Cash A/P Amount</w:t>
            </w:r>
          </w:p>
        </w:tc>
        <w:tc>
          <w:tcPr>
            <w:tcW w:w="13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7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9"/>
                <w:szCs w:val="19"/>
                <w:i w:val="1"/>
                <w:iCs w:val="1"/>
                <w:color w:val="auto"/>
              </w:rPr>
              <w:t>Agreement</w:t>
            </w:r>
          </w:p>
        </w:tc>
        <w:tc>
          <w:tcPr>
            <w:tcW w:w="3220" w:type="dxa"/>
            <w:vAlign w:val="bottom"/>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ind w:left="80"/>
              <w:spacing w:after="0"/>
              <w:rPr>
                <w:sz w:val="20"/>
                <w:szCs w:val="20"/>
                <w:color w:val="auto"/>
              </w:rPr>
            </w:pPr>
            <w:r>
              <w:rPr>
                <w:rFonts w:ascii="Arial" w:cs="Arial" w:eastAsia="Arial" w:hAnsi="Arial"/>
                <w:sz w:val="19"/>
                <w:szCs w:val="19"/>
                <w:color w:val="auto"/>
              </w:rPr>
              <w:t>No</w:t>
            </w:r>
          </w:p>
        </w:tc>
        <w:tc>
          <w:tcPr>
            <w:tcW w:w="0" w:type="dxa"/>
            <w:vAlign w:val="bottom"/>
          </w:tcPr>
          <w:p>
            <w:pPr>
              <w:spacing w:after="0"/>
              <w:rPr>
                <w:sz w:val="1"/>
                <w:szCs w:val="1"/>
                <w:color w:val="auto"/>
              </w:rPr>
            </w:pPr>
          </w:p>
        </w:tc>
      </w:tr>
      <w:tr>
        <w:trPr>
          <w:trHeight w:val="416"/>
        </w:trPr>
        <w:tc>
          <w:tcPr>
            <w:tcW w:w="2720" w:type="dxa"/>
            <w:vAlign w:val="bottom"/>
            <w:tcBorders>
              <w:left w:val="single" w:sz="8" w:color="auto"/>
              <w:bottom w:val="single" w:sz="8" w:color="auto"/>
              <w:right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N/A</w:t>
            </w: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5"/>
        </w:trPr>
        <w:tc>
          <w:tcPr>
            <w:tcW w:w="2720" w:type="dxa"/>
            <w:vAlign w:val="bottom"/>
            <w:tcBorders>
              <w:left w:val="single" w:sz="8" w:color="auto"/>
              <w:right w:val="single" w:sz="8" w:color="auto"/>
            </w:tcBorders>
          </w:tcPr>
          <w:p>
            <w:pPr>
              <w:ind w:left="100"/>
              <w:spacing w:after="0" w:line="185" w:lineRule="exact"/>
              <w:rPr>
                <w:sz w:val="20"/>
                <w:szCs w:val="20"/>
                <w:color w:val="auto"/>
              </w:rPr>
            </w:pPr>
            <w:r>
              <w:rPr>
                <w:rFonts w:ascii="Arial" w:cs="Arial" w:eastAsia="Arial" w:hAnsi="Arial"/>
                <w:sz w:val="19"/>
                <w:szCs w:val="19"/>
                <w:color w:val="auto"/>
              </w:rPr>
              <w:t>Performance Covenant A</w:t>
            </w:r>
            <w:r>
              <w:rPr>
                <w:rFonts w:ascii="Arial" w:cs="Arial" w:eastAsia="Arial" w:hAnsi="Arial"/>
                <w:sz w:val="14"/>
                <w:szCs w:val="14"/>
                <w:color w:val="auto"/>
              </w:rPr>
              <w:t>5</w:t>
            </w:r>
          </w:p>
        </w:tc>
        <w:tc>
          <w:tcPr>
            <w:tcW w:w="4560" w:type="dxa"/>
            <w:vAlign w:val="bottom"/>
            <w:tcBorders>
              <w:right w:val="single" w:sz="8" w:color="auto"/>
            </w:tcBorders>
            <w:gridSpan w:val="2"/>
          </w:tcPr>
          <w:p>
            <w:pPr>
              <w:ind w:left="80"/>
              <w:spacing w:after="0" w:line="185" w:lineRule="exact"/>
              <w:rPr>
                <w:sz w:val="20"/>
                <w:szCs w:val="20"/>
                <w:color w:val="auto"/>
              </w:rPr>
            </w:pPr>
            <w:r>
              <w:rPr>
                <w:rFonts w:ascii="Arial" w:cs="Arial" w:eastAsia="Arial" w:hAnsi="Arial"/>
                <w:sz w:val="19"/>
                <w:szCs w:val="19"/>
                <w:color w:val="auto"/>
                <w:w w:val="94"/>
              </w:rPr>
              <w:t>(i) Borrower’s Market Capitalization exceeds Two Billion</w:t>
            </w:r>
          </w:p>
        </w:tc>
        <w:tc>
          <w:tcPr>
            <w:tcW w:w="1220" w:type="dxa"/>
            <w:vAlign w:val="bottom"/>
            <w:tcBorders>
              <w:right w:val="single" w:sz="8" w:color="auto"/>
            </w:tcBorders>
          </w:tcPr>
          <w:p>
            <w:pPr>
              <w:ind w:left="80"/>
              <w:spacing w:after="0" w:line="185" w:lineRule="exact"/>
              <w:rPr>
                <w:sz w:val="20"/>
                <w:szCs w:val="20"/>
                <w:color w:val="auto"/>
              </w:rPr>
            </w:pPr>
            <w:r>
              <w:rPr>
                <w:rFonts w:ascii="Arial" w:cs="Arial" w:eastAsia="Arial" w:hAnsi="Arial"/>
                <w:sz w:val="19"/>
                <w:szCs w:val="19"/>
                <w:color w:val="auto"/>
              </w:rPr>
              <w:t>[   ]</w:t>
            </w:r>
          </w:p>
        </w:tc>
        <w:tc>
          <w:tcPr>
            <w:tcW w:w="1460" w:type="dxa"/>
            <w:vAlign w:val="bottom"/>
            <w:tcBorders>
              <w:right w:val="single" w:sz="8" w:color="auto"/>
            </w:tcBorders>
          </w:tcPr>
          <w:p>
            <w:pPr>
              <w:ind w:left="80"/>
              <w:spacing w:after="0" w:line="185" w:lineRule="exact"/>
              <w:rPr>
                <w:sz w:val="20"/>
                <w:szCs w:val="20"/>
                <w:color w:val="auto"/>
              </w:rPr>
            </w:pPr>
            <w:r>
              <w:rPr>
                <w:rFonts w:ascii="Arial" w:cs="Arial" w:eastAsia="Arial" w:hAnsi="Arial"/>
                <w:sz w:val="19"/>
                <w:szCs w:val="19"/>
                <w:color w:val="auto"/>
              </w:rPr>
              <w:t>Yes</w:t>
            </w:r>
          </w:p>
        </w:tc>
        <w:tc>
          <w:tcPr>
            <w:tcW w:w="0" w:type="dxa"/>
            <w:vAlign w:val="bottom"/>
          </w:tcPr>
          <w:p>
            <w:pPr>
              <w:spacing w:after="0"/>
              <w:rPr>
                <w:sz w:val="1"/>
                <w:szCs w:val="1"/>
                <w:color w:val="auto"/>
              </w:rPr>
            </w:pPr>
          </w:p>
        </w:tc>
      </w:tr>
      <w:tr>
        <w:trPr>
          <w:trHeight w:val="212"/>
        </w:trPr>
        <w:tc>
          <w:tcPr>
            <w:tcW w:w="2720" w:type="dxa"/>
            <w:vAlign w:val="bottom"/>
            <w:tcBorders>
              <w:left w:val="single" w:sz="8" w:color="auto"/>
              <w:right w:val="single" w:sz="8" w:color="auto"/>
            </w:tcBorders>
          </w:tcPr>
          <w:p>
            <w:pPr>
              <w:ind w:left="100"/>
              <w:spacing w:after="0" w:line="213" w:lineRule="exact"/>
              <w:rPr>
                <w:sz w:val="20"/>
                <w:szCs w:val="20"/>
                <w:color w:val="auto"/>
              </w:rPr>
            </w:pPr>
            <w:r>
              <w:rPr>
                <w:rFonts w:ascii="Arial" w:cs="Arial" w:eastAsia="Arial" w:hAnsi="Arial"/>
                <w:sz w:val="19"/>
                <w:szCs w:val="19"/>
                <w:i w:val="1"/>
                <w:iCs w:val="1"/>
                <w:color w:val="auto"/>
              </w:rPr>
              <w:t>Section 7.20(b) of the Loan</w:t>
            </w:r>
          </w:p>
        </w:tc>
        <w:tc>
          <w:tcPr>
            <w:tcW w:w="4560" w:type="dxa"/>
            <w:vAlign w:val="bottom"/>
            <w:tcBorders>
              <w:right w:val="single" w:sz="8" w:color="auto"/>
            </w:tcBorders>
            <w:gridSpan w:val="2"/>
          </w:tcPr>
          <w:p>
            <w:pPr>
              <w:ind w:left="80"/>
              <w:spacing w:after="0" w:line="213" w:lineRule="exact"/>
              <w:rPr>
                <w:sz w:val="20"/>
                <w:szCs w:val="20"/>
                <w:color w:val="auto"/>
              </w:rPr>
            </w:pPr>
            <w:r>
              <w:rPr>
                <w:rFonts w:ascii="Arial" w:cs="Arial" w:eastAsia="Arial" w:hAnsi="Arial"/>
                <w:sz w:val="19"/>
                <w:szCs w:val="19"/>
                <w:color w:val="auto"/>
              </w:rPr>
              <w:t>Dollars ($2,000,000,000) and (ii) Borrower maintains</w:t>
            </w:r>
          </w:p>
        </w:tc>
        <w:tc>
          <w:tcPr>
            <w:tcW w:w="122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720" w:type="dxa"/>
            <w:vAlign w:val="bottom"/>
            <w:tcBorders>
              <w:left w:val="single" w:sz="8" w:color="auto"/>
              <w:right w:val="single" w:sz="8" w:color="auto"/>
            </w:tcBorders>
          </w:tcPr>
          <w:p>
            <w:pPr>
              <w:ind w:left="100"/>
              <w:spacing w:after="0" w:line="213" w:lineRule="exact"/>
              <w:rPr>
                <w:sz w:val="20"/>
                <w:szCs w:val="20"/>
                <w:color w:val="auto"/>
              </w:rPr>
            </w:pPr>
            <w:r>
              <w:rPr>
                <w:rFonts w:ascii="Arial" w:cs="Arial" w:eastAsia="Arial" w:hAnsi="Arial"/>
                <w:sz w:val="19"/>
                <w:szCs w:val="19"/>
                <w:i w:val="1"/>
                <w:iCs w:val="1"/>
                <w:color w:val="auto"/>
              </w:rPr>
              <w:t>Agreement</w:t>
            </w:r>
          </w:p>
        </w:tc>
        <w:tc>
          <w:tcPr>
            <w:tcW w:w="4560" w:type="dxa"/>
            <w:vAlign w:val="bottom"/>
            <w:tcBorders>
              <w:right w:val="single" w:sz="8" w:color="auto"/>
            </w:tcBorders>
            <w:gridSpan w:val="2"/>
          </w:tcPr>
          <w:p>
            <w:pPr>
              <w:ind w:left="80"/>
              <w:spacing w:after="0" w:line="213" w:lineRule="exact"/>
              <w:rPr>
                <w:sz w:val="20"/>
                <w:szCs w:val="20"/>
                <w:color w:val="auto"/>
              </w:rPr>
            </w:pPr>
            <w:r>
              <w:rPr>
                <w:rFonts w:ascii="Arial" w:cs="Arial" w:eastAsia="Arial" w:hAnsi="Arial"/>
                <w:sz w:val="19"/>
                <w:szCs w:val="19"/>
                <w:color w:val="auto"/>
              </w:rPr>
              <w:t>Qualified Cash in an amount not less than sixty five</w:t>
            </w:r>
          </w:p>
        </w:tc>
        <w:tc>
          <w:tcPr>
            <w:tcW w:w="122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ind w:left="80"/>
              <w:spacing w:after="0" w:line="213" w:lineRule="exact"/>
              <w:rPr>
                <w:sz w:val="20"/>
                <w:szCs w:val="20"/>
                <w:color w:val="auto"/>
              </w:rPr>
            </w:pPr>
            <w:r>
              <w:rPr>
                <w:rFonts w:ascii="Arial" w:cs="Arial" w:eastAsia="Arial" w:hAnsi="Arial"/>
                <w:sz w:val="19"/>
                <w:szCs w:val="19"/>
                <w:color w:val="auto"/>
              </w:rPr>
              <w:t>No</w:t>
            </w:r>
          </w:p>
        </w:tc>
        <w:tc>
          <w:tcPr>
            <w:tcW w:w="0" w:type="dxa"/>
            <w:vAlign w:val="bottom"/>
          </w:tcPr>
          <w:p>
            <w:pPr>
              <w:spacing w:after="0"/>
              <w:rPr>
                <w:sz w:val="1"/>
                <w:szCs w:val="1"/>
                <w:color w:val="auto"/>
              </w:rPr>
            </w:pPr>
          </w:p>
        </w:tc>
      </w:tr>
      <w:tr>
        <w:trPr>
          <w:trHeight w:val="212"/>
        </w:trPr>
        <w:tc>
          <w:tcPr>
            <w:tcW w:w="2720" w:type="dxa"/>
            <w:vAlign w:val="bottom"/>
            <w:tcBorders>
              <w:left w:val="single" w:sz="8" w:color="auto"/>
              <w:right w:val="single" w:sz="8" w:color="auto"/>
            </w:tcBorders>
          </w:tcPr>
          <w:p>
            <w:pPr>
              <w:spacing w:after="0"/>
              <w:rPr>
                <w:sz w:val="18"/>
                <w:szCs w:val="18"/>
                <w:color w:val="auto"/>
              </w:rPr>
            </w:pPr>
          </w:p>
        </w:tc>
        <w:tc>
          <w:tcPr>
            <w:tcW w:w="4560" w:type="dxa"/>
            <w:vAlign w:val="bottom"/>
            <w:tcBorders>
              <w:right w:val="single" w:sz="8" w:color="auto"/>
            </w:tcBorders>
            <w:gridSpan w:val="2"/>
          </w:tcPr>
          <w:p>
            <w:pPr>
              <w:ind w:left="80"/>
              <w:spacing w:after="0" w:line="213" w:lineRule="exact"/>
              <w:rPr>
                <w:sz w:val="20"/>
                <w:szCs w:val="20"/>
                <w:color w:val="auto"/>
              </w:rPr>
            </w:pPr>
            <w:r>
              <w:rPr>
                <w:rFonts w:ascii="Arial" w:cs="Arial" w:eastAsia="Arial" w:hAnsi="Arial"/>
                <w:sz w:val="19"/>
                <w:szCs w:val="19"/>
                <w:color w:val="auto"/>
                <w:w w:val="99"/>
              </w:rPr>
              <w:t>percent (65%) of the sum of the outstanding principal</w:t>
            </w:r>
          </w:p>
        </w:tc>
        <w:tc>
          <w:tcPr>
            <w:tcW w:w="122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720" w:type="dxa"/>
            <w:vAlign w:val="bottom"/>
            <w:tcBorders>
              <w:left w:val="single" w:sz="8" w:color="auto"/>
              <w:right w:val="single" w:sz="8" w:color="auto"/>
            </w:tcBorders>
          </w:tcPr>
          <w:p>
            <w:pPr>
              <w:spacing w:after="0"/>
              <w:rPr>
                <w:sz w:val="18"/>
                <w:szCs w:val="18"/>
                <w:color w:val="auto"/>
              </w:rPr>
            </w:pPr>
          </w:p>
        </w:tc>
        <w:tc>
          <w:tcPr>
            <w:tcW w:w="4560" w:type="dxa"/>
            <w:vAlign w:val="bottom"/>
            <w:tcBorders>
              <w:right w:val="single" w:sz="8" w:color="auto"/>
            </w:tcBorders>
            <w:gridSpan w:val="2"/>
          </w:tcPr>
          <w:p>
            <w:pPr>
              <w:ind w:left="80"/>
              <w:spacing w:after="0" w:line="213" w:lineRule="exact"/>
              <w:rPr>
                <w:sz w:val="20"/>
                <w:szCs w:val="20"/>
                <w:color w:val="auto"/>
              </w:rPr>
            </w:pPr>
            <w:r>
              <w:rPr>
                <w:rFonts w:ascii="Arial" w:cs="Arial" w:eastAsia="Arial" w:hAnsi="Arial"/>
                <w:sz w:val="19"/>
                <w:szCs w:val="19"/>
                <w:color w:val="auto"/>
                <w:w w:val="97"/>
              </w:rPr>
              <w:t xml:space="preserve">amount of the Term Loan Advances </w:t>
            </w:r>
            <w:r>
              <w:rPr>
                <w:rFonts w:ascii="Arial" w:cs="Arial" w:eastAsia="Arial" w:hAnsi="Arial"/>
                <w:sz w:val="19"/>
                <w:szCs w:val="19"/>
                <w:i w:val="1"/>
                <w:iCs w:val="1"/>
                <w:color w:val="auto"/>
                <w:w w:val="97"/>
              </w:rPr>
              <w:t>plus</w:t>
            </w:r>
            <w:r>
              <w:rPr>
                <w:rFonts w:ascii="Arial" w:cs="Arial" w:eastAsia="Arial" w:hAnsi="Arial"/>
                <w:sz w:val="19"/>
                <w:szCs w:val="19"/>
                <w:color w:val="auto"/>
                <w:w w:val="97"/>
              </w:rPr>
              <w:t xml:space="preserve"> the Qualified</w:t>
            </w:r>
          </w:p>
        </w:tc>
        <w:tc>
          <w:tcPr>
            <w:tcW w:w="122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ind w:left="80"/>
              <w:spacing w:after="0" w:line="213" w:lineRule="exact"/>
              <w:rPr>
                <w:sz w:val="20"/>
                <w:szCs w:val="20"/>
                <w:color w:val="auto"/>
              </w:rPr>
            </w:pPr>
            <w:r>
              <w:rPr>
                <w:rFonts w:ascii="Arial" w:cs="Arial" w:eastAsia="Arial" w:hAnsi="Arial"/>
                <w:sz w:val="19"/>
                <w:szCs w:val="19"/>
                <w:color w:val="auto"/>
              </w:rPr>
              <w:t>N/A</w:t>
            </w: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31"/>
        </w:trPr>
        <w:tc>
          <w:tcPr>
            <w:tcW w:w="2720" w:type="dxa"/>
            <w:vAlign w:val="bottom"/>
            <w:tcBorders>
              <w:left w:val="single" w:sz="8" w:color="auto"/>
              <w:bottom w:val="single" w:sz="8" w:color="auto"/>
              <w:right w:val="single" w:sz="8" w:color="auto"/>
            </w:tcBorders>
          </w:tcPr>
          <w:p>
            <w:pPr>
              <w:spacing w:after="0"/>
              <w:rPr>
                <w:sz w:val="20"/>
                <w:szCs w:val="20"/>
                <w:color w:val="auto"/>
              </w:rPr>
            </w:pPr>
          </w:p>
        </w:tc>
        <w:tc>
          <w:tcPr>
            <w:tcW w:w="3220" w:type="dxa"/>
            <w:vAlign w:val="bottom"/>
            <w:tcBorders>
              <w:bottom w:val="single" w:sz="8" w:color="auto"/>
            </w:tcBorders>
          </w:tcPr>
          <w:p>
            <w:pPr>
              <w:ind w:left="80"/>
              <w:spacing w:after="0"/>
              <w:rPr>
                <w:sz w:val="20"/>
                <w:szCs w:val="20"/>
                <w:color w:val="auto"/>
              </w:rPr>
            </w:pPr>
            <w:r>
              <w:rPr>
                <w:rFonts w:ascii="Arial" w:cs="Arial" w:eastAsia="Arial" w:hAnsi="Arial"/>
                <w:sz w:val="19"/>
                <w:szCs w:val="19"/>
                <w:color w:val="auto"/>
              </w:rPr>
              <w:t>Cash A/P Amount</w:t>
            </w:r>
          </w:p>
        </w:tc>
        <w:tc>
          <w:tcPr>
            <w:tcW w:w="134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2720" w:type="dxa"/>
            <w:vAlign w:val="bottom"/>
            <w:tcBorders>
              <w:left w:val="single" w:sz="8" w:color="auto"/>
              <w:right w:val="single" w:sz="8" w:color="auto"/>
            </w:tcBorders>
          </w:tcPr>
          <w:p>
            <w:pPr>
              <w:ind w:left="100"/>
              <w:spacing w:after="0" w:line="185" w:lineRule="exact"/>
              <w:rPr>
                <w:sz w:val="20"/>
                <w:szCs w:val="20"/>
                <w:color w:val="auto"/>
              </w:rPr>
            </w:pPr>
            <w:r>
              <w:rPr>
                <w:rFonts w:ascii="Arial" w:cs="Arial" w:eastAsia="Arial" w:hAnsi="Arial"/>
                <w:sz w:val="19"/>
                <w:szCs w:val="19"/>
                <w:color w:val="auto"/>
              </w:rPr>
              <w:t>Performance Covenant B</w:t>
            </w:r>
          </w:p>
        </w:tc>
        <w:tc>
          <w:tcPr>
            <w:tcW w:w="4560" w:type="dxa"/>
            <w:vAlign w:val="bottom"/>
            <w:tcBorders>
              <w:right w:val="single" w:sz="8" w:color="auto"/>
            </w:tcBorders>
            <w:gridSpan w:val="2"/>
          </w:tcPr>
          <w:p>
            <w:pPr>
              <w:ind w:left="80"/>
              <w:spacing w:after="0" w:line="185" w:lineRule="exact"/>
              <w:rPr>
                <w:sz w:val="20"/>
                <w:szCs w:val="20"/>
                <w:color w:val="auto"/>
              </w:rPr>
            </w:pPr>
            <w:r>
              <w:rPr>
                <w:rFonts w:ascii="Arial" w:cs="Arial" w:eastAsia="Arial" w:hAnsi="Arial"/>
                <w:sz w:val="19"/>
                <w:szCs w:val="19"/>
                <w:color w:val="auto"/>
                <w:w w:val="92"/>
              </w:rPr>
              <w:t>Borrower maintains Qualified Cash in an amount not less</w:t>
            </w:r>
          </w:p>
        </w:tc>
        <w:tc>
          <w:tcPr>
            <w:tcW w:w="1220" w:type="dxa"/>
            <w:vAlign w:val="bottom"/>
            <w:tcBorders>
              <w:right w:val="single" w:sz="8" w:color="auto"/>
            </w:tcBorders>
          </w:tcPr>
          <w:p>
            <w:pPr>
              <w:ind w:left="80"/>
              <w:spacing w:after="0" w:line="185" w:lineRule="exact"/>
              <w:rPr>
                <w:sz w:val="20"/>
                <w:szCs w:val="20"/>
                <w:color w:val="auto"/>
              </w:rPr>
            </w:pPr>
            <w:r>
              <w:rPr>
                <w:rFonts w:ascii="Arial" w:cs="Arial" w:eastAsia="Arial" w:hAnsi="Arial"/>
                <w:sz w:val="19"/>
                <w:szCs w:val="19"/>
                <w:color w:val="auto"/>
              </w:rPr>
              <w:t>[   ]</w:t>
            </w:r>
          </w:p>
        </w:tc>
        <w:tc>
          <w:tcPr>
            <w:tcW w:w="1460" w:type="dxa"/>
            <w:vAlign w:val="bottom"/>
            <w:tcBorders>
              <w:right w:val="single" w:sz="8" w:color="auto"/>
            </w:tcBorders>
          </w:tcPr>
          <w:p>
            <w:pPr>
              <w:ind w:left="80"/>
              <w:spacing w:after="0" w:line="185" w:lineRule="exact"/>
              <w:rPr>
                <w:sz w:val="20"/>
                <w:szCs w:val="20"/>
                <w:color w:val="auto"/>
              </w:rPr>
            </w:pPr>
            <w:r>
              <w:rPr>
                <w:rFonts w:ascii="Arial" w:cs="Arial" w:eastAsia="Arial" w:hAnsi="Arial"/>
                <w:sz w:val="19"/>
                <w:szCs w:val="19"/>
                <w:color w:val="auto"/>
              </w:rPr>
              <w:t>Yes</w:t>
            </w:r>
          </w:p>
        </w:tc>
        <w:tc>
          <w:tcPr>
            <w:tcW w:w="0" w:type="dxa"/>
            <w:vAlign w:val="bottom"/>
          </w:tcPr>
          <w:p>
            <w:pPr>
              <w:spacing w:after="0"/>
              <w:rPr>
                <w:sz w:val="1"/>
                <w:szCs w:val="1"/>
                <w:color w:val="auto"/>
              </w:rPr>
            </w:pPr>
          </w:p>
        </w:tc>
      </w:tr>
      <w:tr>
        <w:trPr>
          <w:trHeight w:val="212"/>
        </w:trPr>
        <w:tc>
          <w:tcPr>
            <w:tcW w:w="2720" w:type="dxa"/>
            <w:vAlign w:val="bottom"/>
            <w:tcBorders>
              <w:left w:val="single" w:sz="8" w:color="auto"/>
              <w:right w:val="single" w:sz="8" w:color="auto"/>
            </w:tcBorders>
          </w:tcPr>
          <w:p>
            <w:pPr>
              <w:ind w:left="100"/>
              <w:spacing w:after="0" w:line="213" w:lineRule="exact"/>
              <w:rPr>
                <w:sz w:val="20"/>
                <w:szCs w:val="20"/>
                <w:color w:val="auto"/>
              </w:rPr>
            </w:pPr>
            <w:r>
              <w:rPr>
                <w:rFonts w:ascii="Arial" w:cs="Arial" w:eastAsia="Arial" w:hAnsi="Arial"/>
                <w:sz w:val="19"/>
                <w:szCs w:val="19"/>
                <w:i w:val="1"/>
                <w:iCs w:val="1"/>
                <w:color w:val="auto"/>
              </w:rPr>
              <w:t>Section 7.20(b) of the Loan</w:t>
            </w:r>
          </w:p>
        </w:tc>
        <w:tc>
          <w:tcPr>
            <w:tcW w:w="4560" w:type="dxa"/>
            <w:vAlign w:val="bottom"/>
            <w:tcBorders>
              <w:right w:val="single" w:sz="8" w:color="auto"/>
            </w:tcBorders>
            <w:gridSpan w:val="2"/>
          </w:tcPr>
          <w:p>
            <w:pPr>
              <w:ind w:left="80"/>
              <w:spacing w:after="0" w:line="213" w:lineRule="exact"/>
              <w:rPr>
                <w:sz w:val="20"/>
                <w:szCs w:val="20"/>
                <w:color w:val="auto"/>
              </w:rPr>
            </w:pPr>
            <w:r>
              <w:rPr>
                <w:rFonts w:ascii="Arial" w:cs="Arial" w:eastAsia="Arial" w:hAnsi="Arial"/>
                <w:sz w:val="19"/>
                <w:szCs w:val="19"/>
                <w:color w:val="auto"/>
              </w:rPr>
              <w:t>than one hundred percent (100%) of the sum of the</w:t>
            </w:r>
          </w:p>
        </w:tc>
        <w:tc>
          <w:tcPr>
            <w:tcW w:w="122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720" w:type="dxa"/>
            <w:vAlign w:val="bottom"/>
            <w:tcBorders>
              <w:left w:val="single" w:sz="8" w:color="auto"/>
              <w:right w:val="single" w:sz="8" w:color="auto"/>
            </w:tcBorders>
          </w:tcPr>
          <w:p>
            <w:pPr>
              <w:ind w:left="100"/>
              <w:spacing w:after="0" w:line="213" w:lineRule="exact"/>
              <w:rPr>
                <w:sz w:val="20"/>
                <w:szCs w:val="20"/>
                <w:color w:val="auto"/>
              </w:rPr>
            </w:pPr>
            <w:r>
              <w:rPr>
                <w:rFonts w:ascii="Arial" w:cs="Arial" w:eastAsia="Arial" w:hAnsi="Arial"/>
                <w:sz w:val="19"/>
                <w:szCs w:val="19"/>
                <w:i w:val="1"/>
                <w:iCs w:val="1"/>
                <w:color w:val="auto"/>
              </w:rPr>
              <w:t>Agreement</w:t>
            </w:r>
          </w:p>
        </w:tc>
        <w:tc>
          <w:tcPr>
            <w:tcW w:w="4560" w:type="dxa"/>
            <w:vAlign w:val="bottom"/>
            <w:tcBorders>
              <w:right w:val="single" w:sz="8" w:color="auto"/>
            </w:tcBorders>
            <w:gridSpan w:val="2"/>
          </w:tcPr>
          <w:p>
            <w:pPr>
              <w:ind w:left="80"/>
              <w:spacing w:after="0" w:line="213" w:lineRule="exact"/>
              <w:rPr>
                <w:sz w:val="20"/>
                <w:szCs w:val="20"/>
                <w:color w:val="auto"/>
              </w:rPr>
            </w:pPr>
            <w:r>
              <w:rPr>
                <w:rFonts w:ascii="Arial" w:cs="Arial" w:eastAsia="Arial" w:hAnsi="Arial"/>
                <w:sz w:val="19"/>
                <w:szCs w:val="19"/>
                <w:color w:val="auto"/>
                <w:w w:val="92"/>
              </w:rPr>
              <w:t>outstanding principal amount of the Term Loan Advances</w:t>
            </w:r>
          </w:p>
        </w:tc>
        <w:tc>
          <w:tcPr>
            <w:tcW w:w="122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ind w:left="80"/>
              <w:spacing w:after="0" w:line="213" w:lineRule="exact"/>
              <w:rPr>
                <w:sz w:val="20"/>
                <w:szCs w:val="20"/>
                <w:color w:val="auto"/>
              </w:rPr>
            </w:pPr>
            <w:r>
              <w:rPr>
                <w:rFonts w:ascii="Arial" w:cs="Arial" w:eastAsia="Arial" w:hAnsi="Arial"/>
                <w:sz w:val="19"/>
                <w:szCs w:val="19"/>
                <w:color w:val="auto"/>
              </w:rPr>
              <w:t>No</w:t>
            </w:r>
          </w:p>
        </w:tc>
        <w:tc>
          <w:tcPr>
            <w:tcW w:w="0" w:type="dxa"/>
            <w:vAlign w:val="bottom"/>
          </w:tcPr>
          <w:p>
            <w:pPr>
              <w:spacing w:after="0"/>
              <w:rPr>
                <w:sz w:val="1"/>
                <w:szCs w:val="1"/>
                <w:color w:val="auto"/>
              </w:rPr>
            </w:pPr>
          </w:p>
        </w:tc>
      </w:tr>
      <w:tr>
        <w:trPr>
          <w:trHeight w:val="240"/>
        </w:trPr>
        <w:tc>
          <w:tcPr>
            <w:tcW w:w="2720" w:type="dxa"/>
            <w:vAlign w:val="bottom"/>
            <w:tcBorders>
              <w:left w:val="single" w:sz="8" w:color="auto"/>
              <w:right w:val="single" w:sz="8" w:color="auto"/>
            </w:tcBorders>
          </w:tcPr>
          <w:p>
            <w:pPr>
              <w:spacing w:after="0"/>
              <w:rPr>
                <w:sz w:val="20"/>
                <w:szCs w:val="20"/>
                <w:color w:val="auto"/>
              </w:rPr>
            </w:pPr>
          </w:p>
        </w:tc>
        <w:tc>
          <w:tcPr>
            <w:tcW w:w="3220" w:type="dxa"/>
            <w:vAlign w:val="bottom"/>
          </w:tcPr>
          <w:p>
            <w:pPr>
              <w:ind w:left="80"/>
              <w:spacing w:after="0"/>
              <w:rPr>
                <w:sz w:val="20"/>
                <w:szCs w:val="20"/>
                <w:color w:val="auto"/>
              </w:rPr>
            </w:pPr>
            <w:r>
              <w:rPr>
                <w:rFonts w:ascii="Arial" w:cs="Arial" w:eastAsia="Arial" w:hAnsi="Arial"/>
                <w:sz w:val="19"/>
                <w:szCs w:val="19"/>
                <w:i w:val="1"/>
                <w:iCs w:val="1"/>
                <w:color w:val="auto"/>
              </w:rPr>
              <w:t xml:space="preserve">plus </w:t>
            </w:r>
            <w:r>
              <w:rPr>
                <w:rFonts w:ascii="Arial" w:cs="Arial" w:eastAsia="Arial" w:hAnsi="Arial"/>
                <w:sz w:val="19"/>
                <w:szCs w:val="19"/>
                <w:color w:val="auto"/>
              </w:rPr>
              <w:t>the Qualified Cash A/P Amount</w:t>
            </w:r>
          </w:p>
        </w:tc>
        <w:tc>
          <w:tcPr>
            <w:tcW w:w="134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vMerge w:val="restart"/>
          </w:tcPr>
          <w:p>
            <w:pPr>
              <w:ind w:left="80"/>
              <w:spacing w:after="0"/>
              <w:rPr>
                <w:sz w:val="20"/>
                <w:szCs w:val="20"/>
                <w:color w:val="auto"/>
              </w:rPr>
            </w:pPr>
            <w:r>
              <w:rPr>
                <w:rFonts w:ascii="Arial" w:cs="Arial" w:eastAsia="Arial" w:hAnsi="Arial"/>
                <w:sz w:val="19"/>
                <w:szCs w:val="19"/>
                <w:color w:val="auto"/>
              </w:rPr>
              <w:t>N/A</w:t>
            </w:r>
          </w:p>
        </w:tc>
        <w:tc>
          <w:tcPr>
            <w:tcW w:w="0" w:type="dxa"/>
            <w:vAlign w:val="bottom"/>
          </w:tcPr>
          <w:p>
            <w:pPr>
              <w:spacing w:after="0"/>
              <w:rPr>
                <w:sz w:val="1"/>
                <w:szCs w:val="1"/>
                <w:color w:val="auto"/>
              </w:rPr>
            </w:pPr>
          </w:p>
        </w:tc>
      </w:tr>
      <w:tr>
        <w:trPr>
          <w:trHeight w:val="203"/>
        </w:trPr>
        <w:tc>
          <w:tcPr>
            <w:tcW w:w="2720" w:type="dxa"/>
            <w:vAlign w:val="bottom"/>
            <w:tcBorders>
              <w:left w:val="single" w:sz="8" w:color="auto"/>
              <w:bottom w:val="single" w:sz="8" w:color="auto"/>
              <w:right w:val="single" w:sz="8" w:color="auto"/>
            </w:tcBorders>
          </w:tcPr>
          <w:p>
            <w:pPr>
              <w:spacing w:after="0"/>
              <w:rPr>
                <w:sz w:val="17"/>
                <w:szCs w:val="17"/>
                <w:color w:val="auto"/>
              </w:rPr>
            </w:pPr>
          </w:p>
        </w:tc>
        <w:tc>
          <w:tcPr>
            <w:tcW w:w="3220" w:type="dxa"/>
            <w:vAlign w:val="bottom"/>
            <w:tcBorders>
              <w:bottom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spacing w:after="0"/>
              <w:rPr>
                <w:sz w:val="17"/>
                <w:szCs w:val="17"/>
                <w:color w:val="auto"/>
              </w:rPr>
            </w:pPr>
          </w:p>
        </w:tc>
        <w:tc>
          <w:tcPr>
            <w:tcW w:w="1220" w:type="dxa"/>
            <w:vAlign w:val="bottom"/>
            <w:tcBorders>
              <w:bottom w:val="single" w:sz="8" w:color="auto"/>
              <w:right w:val="single" w:sz="8" w:color="auto"/>
            </w:tcBorders>
          </w:tcPr>
          <w:p>
            <w:pPr>
              <w:spacing w:after="0"/>
              <w:rPr>
                <w:sz w:val="17"/>
                <w:szCs w:val="17"/>
                <w:color w:val="auto"/>
              </w:rPr>
            </w:pPr>
          </w:p>
        </w:tc>
        <w:tc>
          <w:tcPr>
            <w:tcW w:w="146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720" w:type="dxa"/>
            <w:vAlign w:val="bottom"/>
            <w:tcBorders>
              <w:left w:val="single" w:sz="8" w:color="auto"/>
              <w:right w:val="single" w:sz="8" w:color="auto"/>
            </w:tcBorders>
          </w:tcPr>
          <w:p>
            <w:pPr>
              <w:ind w:left="100"/>
              <w:spacing w:after="0" w:line="185" w:lineRule="exact"/>
              <w:rPr>
                <w:sz w:val="20"/>
                <w:szCs w:val="20"/>
                <w:color w:val="auto"/>
              </w:rPr>
            </w:pPr>
            <w:r>
              <w:rPr>
                <w:rFonts w:ascii="Arial" w:cs="Arial" w:eastAsia="Arial" w:hAnsi="Arial"/>
                <w:sz w:val="19"/>
                <w:szCs w:val="19"/>
                <w:color w:val="auto"/>
              </w:rPr>
              <w:t>Performance Covenant C</w:t>
            </w:r>
          </w:p>
        </w:tc>
        <w:tc>
          <w:tcPr>
            <w:tcW w:w="4560" w:type="dxa"/>
            <w:vAlign w:val="bottom"/>
            <w:tcBorders>
              <w:right w:val="single" w:sz="8" w:color="auto"/>
            </w:tcBorders>
            <w:gridSpan w:val="2"/>
          </w:tcPr>
          <w:p>
            <w:pPr>
              <w:ind w:left="80"/>
              <w:spacing w:after="0" w:line="185" w:lineRule="exact"/>
              <w:rPr>
                <w:sz w:val="20"/>
                <w:szCs w:val="20"/>
                <w:color w:val="auto"/>
              </w:rPr>
            </w:pPr>
            <w:r>
              <w:rPr>
                <w:rFonts w:ascii="Arial" w:cs="Arial" w:eastAsia="Arial" w:hAnsi="Arial"/>
                <w:sz w:val="19"/>
                <w:szCs w:val="19"/>
                <w:color w:val="auto"/>
                <w:w w:val="93"/>
              </w:rPr>
              <w:t>Borrower achieves T6M Net Product Revenue of at least</w:t>
            </w:r>
          </w:p>
        </w:tc>
        <w:tc>
          <w:tcPr>
            <w:tcW w:w="1220" w:type="dxa"/>
            <w:vAlign w:val="bottom"/>
            <w:tcBorders>
              <w:right w:val="single" w:sz="8" w:color="auto"/>
            </w:tcBorders>
          </w:tcPr>
          <w:p>
            <w:pPr>
              <w:ind w:left="80"/>
              <w:spacing w:after="0" w:line="185" w:lineRule="exact"/>
              <w:rPr>
                <w:sz w:val="20"/>
                <w:szCs w:val="20"/>
                <w:color w:val="auto"/>
              </w:rPr>
            </w:pPr>
            <w:r>
              <w:rPr>
                <w:rFonts w:ascii="Arial" w:cs="Arial" w:eastAsia="Arial" w:hAnsi="Arial"/>
                <w:sz w:val="19"/>
                <w:szCs w:val="19"/>
                <w:color w:val="auto"/>
              </w:rPr>
              <w:t>[   ]</w:t>
            </w:r>
          </w:p>
        </w:tc>
        <w:tc>
          <w:tcPr>
            <w:tcW w:w="1460" w:type="dxa"/>
            <w:vAlign w:val="bottom"/>
            <w:tcBorders>
              <w:right w:val="single" w:sz="8" w:color="auto"/>
            </w:tcBorders>
          </w:tcPr>
          <w:p>
            <w:pPr>
              <w:ind w:left="80"/>
              <w:spacing w:after="0" w:line="185" w:lineRule="exact"/>
              <w:rPr>
                <w:sz w:val="20"/>
                <w:szCs w:val="20"/>
                <w:color w:val="auto"/>
              </w:rPr>
            </w:pPr>
            <w:r>
              <w:rPr>
                <w:rFonts w:ascii="Arial" w:cs="Arial" w:eastAsia="Arial" w:hAnsi="Arial"/>
                <w:sz w:val="19"/>
                <w:szCs w:val="19"/>
                <w:color w:val="auto"/>
              </w:rPr>
              <w:t>Yes</w:t>
            </w:r>
          </w:p>
        </w:tc>
        <w:tc>
          <w:tcPr>
            <w:tcW w:w="0" w:type="dxa"/>
            <w:vAlign w:val="bottom"/>
          </w:tcPr>
          <w:p>
            <w:pPr>
              <w:spacing w:after="0"/>
              <w:rPr>
                <w:sz w:val="1"/>
                <w:szCs w:val="1"/>
                <w:color w:val="auto"/>
              </w:rPr>
            </w:pPr>
          </w:p>
        </w:tc>
      </w:tr>
      <w:tr>
        <w:trPr>
          <w:trHeight w:val="212"/>
        </w:trPr>
        <w:tc>
          <w:tcPr>
            <w:tcW w:w="2720" w:type="dxa"/>
            <w:vAlign w:val="bottom"/>
            <w:tcBorders>
              <w:left w:val="single" w:sz="8" w:color="auto"/>
              <w:right w:val="single" w:sz="8" w:color="auto"/>
            </w:tcBorders>
          </w:tcPr>
          <w:p>
            <w:pPr>
              <w:ind w:left="100"/>
              <w:spacing w:after="0" w:line="213" w:lineRule="exact"/>
              <w:rPr>
                <w:sz w:val="20"/>
                <w:szCs w:val="20"/>
                <w:color w:val="auto"/>
              </w:rPr>
            </w:pPr>
            <w:r>
              <w:rPr>
                <w:rFonts w:ascii="Arial" w:cs="Arial" w:eastAsia="Arial" w:hAnsi="Arial"/>
                <w:sz w:val="19"/>
                <w:szCs w:val="19"/>
                <w:i w:val="1"/>
                <w:iCs w:val="1"/>
                <w:color w:val="auto"/>
              </w:rPr>
              <w:t>Section 7.20(b) of the Loan</w:t>
            </w:r>
          </w:p>
        </w:tc>
        <w:tc>
          <w:tcPr>
            <w:tcW w:w="4560" w:type="dxa"/>
            <w:vAlign w:val="bottom"/>
            <w:tcBorders>
              <w:right w:val="single" w:sz="8" w:color="auto"/>
            </w:tcBorders>
            <w:gridSpan w:val="2"/>
          </w:tcPr>
          <w:p>
            <w:pPr>
              <w:ind w:left="80"/>
              <w:spacing w:after="0" w:line="213" w:lineRule="exact"/>
              <w:rPr>
                <w:sz w:val="20"/>
                <w:szCs w:val="20"/>
                <w:color w:val="auto"/>
              </w:rPr>
            </w:pPr>
            <w:r>
              <w:rPr>
                <w:rFonts w:ascii="Arial" w:cs="Arial" w:eastAsia="Arial" w:hAnsi="Arial"/>
                <w:sz w:val="19"/>
                <w:szCs w:val="19"/>
                <w:color w:val="auto"/>
                <w:w w:val="98"/>
              </w:rPr>
              <w:t>60% of the T6M Net Product Revenue included in the</w:t>
            </w:r>
          </w:p>
        </w:tc>
        <w:tc>
          <w:tcPr>
            <w:tcW w:w="1220" w:type="dxa"/>
            <w:vAlign w:val="bottom"/>
            <w:tcBorders>
              <w:right w:val="single" w:sz="8" w:color="auto"/>
            </w:tcBorders>
          </w:tcPr>
          <w:p>
            <w:pPr>
              <w:spacing w:after="0"/>
              <w:rPr>
                <w:sz w:val="18"/>
                <w:szCs w:val="18"/>
                <w:color w:val="auto"/>
              </w:rPr>
            </w:pPr>
          </w:p>
        </w:tc>
        <w:tc>
          <w:tcPr>
            <w:tcW w:w="1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7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9"/>
                <w:szCs w:val="19"/>
                <w:i w:val="1"/>
                <w:iCs w:val="1"/>
                <w:color w:val="auto"/>
              </w:rPr>
              <w:t>Agreement</w:t>
            </w:r>
          </w:p>
        </w:tc>
        <w:tc>
          <w:tcPr>
            <w:tcW w:w="3220" w:type="dxa"/>
            <w:vAlign w:val="bottom"/>
          </w:tcPr>
          <w:p>
            <w:pPr>
              <w:ind w:left="80"/>
              <w:spacing w:after="0"/>
              <w:rPr>
                <w:sz w:val="20"/>
                <w:szCs w:val="20"/>
                <w:color w:val="auto"/>
              </w:rPr>
            </w:pPr>
            <w:r>
              <w:rPr>
                <w:rFonts w:ascii="Arial" w:cs="Arial" w:eastAsia="Arial" w:hAnsi="Arial"/>
                <w:sz w:val="19"/>
                <w:szCs w:val="19"/>
                <w:color w:val="auto"/>
                <w:w w:val="88"/>
              </w:rPr>
              <w:t>Forecast, determined on a quarterly basis</w:t>
            </w:r>
          </w:p>
        </w:tc>
        <w:tc>
          <w:tcPr>
            <w:tcW w:w="134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ind w:left="80"/>
              <w:spacing w:after="0"/>
              <w:rPr>
                <w:sz w:val="20"/>
                <w:szCs w:val="20"/>
                <w:color w:val="auto"/>
              </w:rPr>
            </w:pPr>
            <w:r>
              <w:rPr>
                <w:rFonts w:ascii="Arial" w:cs="Arial" w:eastAsia="Arial" w:hAnsi="Arial"/>
                <w:sz w:val="19"/>
                <w:szCs w:val="19"/>
                <w:color w:val="auto"/>
              </w:rPr>
              <w:t>No</w:t>
            </w:r>
          </w:p>
        </w:tc>
        <w:tc>
          <w:tcPr>
            <w:tcW w:w="0" w:type="dxa"/>
            <w:vAlign w:val="bottom"/>
          </w:tcPr>
          <w:p>
            <w:pPr>
              <w:spacing w:after="0"/>
              <w:rPr>
                <w:sz w:val="1"/>
                <w:szCs w:val="1"/>
                <w:color w:val="auto"/>
              </w:rPr>
            </w:pPr>
          </w:p>
        </w:tc>
      </w:tr>
      <w:tr>
        <w:trPr>
          <w:trHeight w:val="416"/>
        </w:trPr>
        <w:tc>
          <w:tcPr>
            <w:tcW w:w="2720" w:type="dxa"/>
            <w:vAlign w:val="bottom"/>
            <w:tcBorders>
              <w:left w:val="single" w:sz="8" w:color="auto"/>
              <w:bottom w:val="single" w:sz="8" w:color="auto"/>
              <w:right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N/A</w:t>
            </w:r>
          </w:p>
        </w:tc>
        <w:tc>
          <w:tcPr>
            <w:tcW w:w="0" w:type="dxa"/>
            <w:vAlign w:val="bottom"/>
          </w:tcPr>
          <w:p>
            <w:pPr>
              <w:spacing w:after="0"/>
              <w:rPr>
                <w:sz w:val="1"/>
                <w:szCs w:val="1"/>
                <w:color w:val="auto"/>
              </w:rPr>
            </w:pPr>
          </w:p>
        </w:tc>
      </w:tr>
      <w:tr>
        <w:trPr>
          <w:trHeight w:val="401"/>
        </w:trPr>
        <w:tc>
          <w:tcPr>
            <w:tcW w:w="5940" w:type="dxa"/>
            <w:vAlign w:val="bottom"/>
            <w:gridSpan w:val="2"/>
          </w:tcPr>
          <w:p>
            <w:pPr>
              <w:spacing w:after="0"/>
              <w:rPr>
                <w:sz w:val="20"/>
                <w:szCs w:val="20"/>
                <w:color w:val="auto"/>
              </w:rPr>
            </w:pPr>
            <w:r>
              <w:rPr>
                <w:rFonts w:ascii="Arial" w:cs="Arial" w:eastAsia="Arial" w:hAnsi="Arial"/>
                <w:sz w:val="19"/>
                <w:szCs w:val="19"/>
                <w:color w:val="auto"/>
                <w:w w:val="95"/>
              </w:rPr>
              <w:t>Is Borrower complying with at least one Performance Covenant? Yes____</w:t>
            </w:r>
          </w:p>
        </w:tc>
        <w:tc>
          <w:tcPr>
            <w:tcW w:w="2560" w:type="dxa"/>
            <w:vAlign w:val="bottom"/>
            <w:gridSpan w:val="2"/>
          </w:tcPr>
          <w:p>
            <w:pPr>
              <w:ind w:left="40"/>
              <w:spacing w:after="0"/>
              <w:rPr>
                <w:sz w:val="20"/>
                <w:szCs w:val="20"/>
                <w:color w:val="auto"/>
              </w:rPr>
            </w:pPr>
            <w:r>
              <w:rPr>
                <w:rFonts w:ascii="Arial" w:cs="Arial" w:eastAsia="Arial" w:hAnsi="Arial"/>
                <w:sz w:val="19"/>
                <w:szCs w:val="19"/>
                <w:color w:val="auto"/>
              </w:rPr>
              <w:t>No_____   N/A_____</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8"/>
        </w:trPr>
        <w:tc>
          <w:tcPr>
            <w:tcW w:w="272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781" w:right="979" w:bottom="1440" w:gutter="0" w:footer="0" w:header="0"/>
        </w:sectPr>
      </w:pPr>
    </w:p>
    <w:bookmarkStart w:id="198" w:name="page199"/>
    <w:bookmarkEnd w:id="198"/>
    <w:p>
      <w:pPr>
        <w:ind w:left="4"/>
        <w:spacing w:after="0"/>
        <w:rPr>
          <w:sz w:val="20"/>
          <w:szCs w:val="20"/>
          <w:color w:val="auto"/>
        </w:rPr>
      </w:pPr>
      <w:r>
        <w:rPr>
          <w:rFonts w:ascii="Arial" w:cs="Arial" w:eastAsia="Arial" w:hAnsi="Arial"/>
          <w:sz w:val="19"/>
          <w:szCs w:val="19"/>
          <w:u w:val="single" w:color="auto"/>
          <w:color w:val="auto"/>
        </w:rPr>
        <w:t>Section 7.21 – Intellectual Property</w:t>
      </w:r>
    </w:p>
    <w:p>
      <w:pPr>
        <w:spacing w:after="0" w:line="182" w:lineRule="exact"/>
        <w:rPr>
          <w:sz w:val="20"/>
          <w:szCs w:val="20"/>
          <w:color w:val="auto"/>
        </w:rPr>
      </w:pPr>
    </w:p>
    <w:p>
      <w:pPr>
        <w:ind w:left="4" w:right="160"/>
        <w:spacing w:after="0" w:line="256" w:lineRule="auto"/>
        <w:rPr>
          <w:sz w:val="20"/>
          <w:szCs w:val="20"/>
          <w:color w:val="auto"/>
        </w:rPr>
      </w:pPr>
      <w:r>
        <w:rPr>
          <w:rFonts w:ascii="Arial" w:cs="Arial" w:eastAsia="Arial" w:hAnsi="Arial"/>
          <w:sz w:val="19"/>
          <w:szCs w:val="19"/>
          <w:color w:val="auto"/>
        </w:rPr>
        <w:t>Has Borrower filed any application for any Patent or the registration of any Copyright, mask work or Trademark, or acquired any new registered Trademark since the last reported period? Yes____ No_____</w:t>
      </w:r>
    </w:p>
    <w:p>
      <w:pPr>
        <w:spacing w:after="0" w:line="147" w:lineRule="exact"/>
        <w:rPr>
          <w:sz w:val="20"/>
          <w:szCs w:val="20"/>
          <w:color w:val="auto"/>
        </w:rPr>
      </w:pPr>
    </w:p>
    <w:p>
      <w:pPr>
        <w:ind w:left="4" w:right="200"/>
        <w:spacing w:after="0" w:line="256" w:lineRule="auto"/>
        <w:rPr>
          <w:sz w:val="20"/>
          <w:szCs w:val="20"/>
          <w:color w:val="auto"/>
        </w:rPr>
      </w:pPr>
      <w:r>
        <w:rPr>
          <w:rFonts w:ascii="Arial" w:cs="Arial" w:eastAsia="Arial" w:hAnsi="Arial"/>
          <w:sz w:val="19"/>
          <w:szCs w:val="19"/>
          <w:color w:val="auto"/>
        </w:rPr>
        <w:t>If yes: Borrower shall supplement such intellectual property security agreements and or other documents as needed to maintain a first priority perfected security interest in favor of Agent within 90 days of the date hereof.</w:t>
      </w:r>
    </w:p>
    <w:p>
      <w:pPr>
        <w:spacing w:after="0" w:line="383" w:lineRule="exact"/>
        <w:rPr>
          <w:sz w:val="20"/>
          <w:szCs w:val="20"/>
          <w:color w:val="auto"/>
        </w:rPr>
      </w:pPr>
    </w:p>
    <w:p>
      <w:pPr>
        <w:ind w:left="4924"/>
        <w:spacing w:after="0"/>
        <w:rPr>
          <w:sz w:val="20"/>
          <w:szCs w:val="20"/>
          <w:color w:val="auto"/>
        </w:rPr>
      </w:pPr>
      <w:r>
        <w:rPr>
          <w:rFonts w:ascii="Arial" w:cs="Arial" w:eastAsia="Arial" w:hAnsi="Arial"/>
          <w:sz w:val="19"/>
          <w:szCs w:val="19"/>
          <w:color w:val="auto"/>
        </w:rPr>
        <w:t>Very Truly Yours,</w:t>
      </w:r>
    </w:p>
    <w:p>
      <w:pPr>
        <w:spacing w:after="0" w:line="206" w:lineRule="exact"/>
        <w:rPr>
          <w:sz w:val="20"/>
          <w:szCs w:val="20"/>
          <w:color w:val="auto"/>
        </w:rPr>
      </w:pPr>
    </w:p>
    <w:p>
      <w:pPr>
        <w:ind w:left="4924"/>
        <w:spacing w:after="0"/>
        <w:rPr>
          <w:sz w:val="20"/>
          <w:szCs w:val="20"/>
          <w:color w:val="auto"/>
        </w:rPr>
      </w:pPr>
      <w:r>
        <w:rPr>
          <w:rFonts w:ascii="Arial" w:cs="Arial" w:eastAsia="Arial" w:hAnsi="Arial"/>
          <w:sz w:val="19"/>
          <w:szCs w:val="19"/>
          <w:color w:val="auto"/>
        </w:rPr>
        <w:t>AXSOME THERAPEUTICS, INC.</w:t>
      </w:r>
    </w:p>
    <w:p>
      <w:pPr>
        <w:spacing w:after="0" w:line="206" w:lineRule="exact"/>
        <w:rPr>
          <w:sz w:val="20"/>
          <w:szCs w:val="20"/>
          <w:color w:val="auto"/>
        </w:rPr>
      </w:pPr>
    </w:p>
    <w:p>
      <w:pPr>
        <w:ind w:left="4924"/>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3495040</wp:posOffset>
            </wp:positionH>
            <wp:positionV relativeFrom="paragraph">
              <wp:posOffset>8255</wp:posOffset>
            </wp:positionV>
            <wp:extent cx="2814955" cy="76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2814955" cy="7620"/>
                    </a:xfrm>
                    <a:prstGeom prst="rect">
                      <a:avLst/>
                    </a:prstGeom>
                    <a:noFill/>
                  </pic:spPr>
                </pic:pic>
              </a:graphicData>
            </a:graphic>
          </wp:anchor>
        </w:drawing>
      </w:r>
    </w:p>
    <w:p>
      <w:pPr>
        <w:spacing w:after="0" w:line="198" w:lineRule="exact"/>
        <w:rPr>
          <w:sz w:val="20"/>
          <w:szCs w:val="20"/>
          <w:color w:val="auto"/>
        </w:rPr>
      </w:pPr>
    </w:p>
    <w:p>
      <w:pPr>
        <w:ind w:left="4924"/>
        <w:spacing w:after="0"/>
        <w:rPr>
          <w:sz w:val="20"/>
          <w:szCs w:val="20"/>
          <w:color w:val="auto"/>
        </w:rPr>
      </w:pPr>
      <w:r>
        <w:rPr>
          <w:rFonts w:ascii="Arial" w:cs="Arial" w:eastAsia="Arial" w:hAnsi="Arial"/>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3495040</wp:posOffset>
            </wp:positionH>
            <wp:positionV relativeFrom="paragraph">
              <wp:posOffset>8255</wp:posOffset>
            </wp:positionV>
            <wp:extent cx="2814955" cy="76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2814955" cy="7620"/>
                    </a:xfrm>
                    <a:prstGeom prst="rect">
                      <a:avLst/>
                    </a:prstGeom>
                    <a:noFill/>
                  </pic:spPr>
                </pic:pic>
              </a:graphicData>
            </a:graphic>
          </wp:anchor>
        </w:drawing>
      </w:r>
    </w:p>
    <w:p>
      <w:pPr>
        <w:spacing w:after="0" w:line="198" w:lineRule="exact"/>
        <w:rPr>
          <w:sz w:val="20"/>
          <w:szCs w:val="20"/>
          <w:color w:val="auto"/>
        </w:rPr>
      </w:pPr>
    </w:p>
    <w:p>
      <w:pPr>
        <w:jc w:val="center"/>
        <w:ind w:right="-143"/>
        <w:spacing w:after="0"/>
        <w:rPr>
          <w:sz w:val="20"/>
          <w:szCs w:val="20"/>
          <w:color w:val="auto"/>
        </w:rPr>
      </w:pPr>
      <w:r>
        <w:rPr>
          <w:rFonts w:ascii="Arial" w:cs="Arial" w:eastAsia="Arial" w:hAnsi="Arial"/>
          <w:sz w:val="19"/>
          <w:szCs w:val="19"/>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3495040</wp:posOffset>
            </wp:positionH>
            <wp:positionV relativeFrom="paragraph">
              <wp:posOffset>8255</wp:posOffset>
            </wp:positionV>
            <wp:extent cx="2814955" cy="76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2814955" cy="76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225425</wp:posOffset>
            </wp:positionV>
            <wp:extent cx="1579880" cy="76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1579880" cy="762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4" w:hanging="4"/>
        <w:spacing w:after="0" w:line="241" w:lineRule="auto"/>
        <w:tabs>
          <w:tab w:leader="none" w:pos="122" w:val="left"/>
        </w:tabs>
        <w:numPr>
          <w:ilvl w:val="0"/>
          <w:numId w:val="114"/>
        </w:numPr>
        <w:rPr>
          <w:rFonts w:ascii="Arial" w:cs="Arial" w:eastAsia="Arial" w:hAnsi="Arial"/>
          <w:sz w:val="14"/>
          <w:szCs w:val="14"/>
          <w:color w:val="auto"/>
        </w:rPr>
      </w:pPr>
      <w:r>
        <w:rPr>
          <w:rFonts w:ascii="Arial" w:cs="Arial" w:eastAsia="Arial" w:hAnsi="Arial"/>
          <w:sz w:val="19"/>
          <w:szCs w:val="19"/>
          <w:color w:val="auto"/>
        </w:rPr>
        <w:t>Only tested if the Initial Minimum Cash Test Date has passed (i.e. after the outstanding amount of the Term Loan Advances is equal to or greater than Fifty Five Million Dollars ($55,000,000)).</w:t>
      </w:r>
    </w:p>
    <w:p>
      <w:pPr>
        <w:spacing w:after="0" w:line="1" w:lineRule="exact"/>
        <w:rPr>
          <w:rFonts w:ascii="Arial" w:cs="Arial" w:eastAsia="Arial" w:hAnsi="Arial"/>
          <w:sz w:val="14"/>
          <w:szCs w:val="14"/>
          <w:color w:val="auto"/>
        </w:rPr>
      </w:pPr>
    </w:p>
    <w:p>
      <w:pPr>
        <w:ind w:left="4"/>
        <w:spacing w:after="0"/>
        <w:rPr>
          <w:rFonts w:ascii="Arial" w:cs="Arial" w:eastAsia="Arial" w:hAnsi="Arial"/>
          <w:sz w:val="14"/>
          <w:szCs w:val="14"/>
          <w:color w:val="auto"/>
        </w:rPr>
      </w:pPr>
      <w:r>
        <w:rPr>
          <w:rFonts w:ascii="Arial" w:cs="Arial" w:eastAsia="Arial" w:hAnsi="Arial"/>
          <w:sz w:val="14"/>
          <w:szCs w:val="14"/>
          <w:color w:val="auto"/>
        </w:rPr>
        <w:t xml:space="preserve">5 </w:t>
      </w:r>
      <w:r>
        <w:rPr>
          <w:rFonts w:ascii="Arial" w:cs="Arial" w:eastAsia="Arial" w:hAnsi="Arial"/>
          <w:sz w:val="18"/>
          <w:szCs w:val="18"/>
          <w:color w:val="auto"/>
        </w:rPr>
        <w:t>Borrower must satisfy any one of Performance Covenant A, Performance Covenant B or Performance Covenant C.</w:t>
      </w:r>
    </w:p>
    <w:p>
      <w:pPr>
        <w:spacing w:after="0" w:line="5" w:lineRule="exact"/>
        <w:rPr>
          <w:rFonts w:ascii="Arial" w:cs="Arial" w:eastAsia="Arial" w:hAnsi="Arial"/>
          <w:sz w:val="14"/>
          <w:szCs w:val="14"/>
          <w:color w:val="auto"/>
        </w:rPr>
      </w:pPr>
    </w:p>
    <w:p>
      <w:pPr>
        <w:jc w:val="both"/>
        <w:ind w:left="4"/>
        <w:spacing w:after="0" w:line="252" w:lineRule="auto"/>
        <w:rPr>
          <w:rFonts w:ascii="Arial" w:cs="Arial" w:eastAsia="Arial" w:hAnsi="Arial"/>
          <w:sz w:val="14"/>
          <w:szCs w:val="14"/>
          <w:color w:val="auto"/>
        </w:rPr>
      </w:pPr>
      <w:r>
        <w:rPr>
          <w:rFonts w:ascii="Arial" w:cs="Arial" w:eastAsia="Arial" w:hAnsi="Arial"/>
          <w:sz w:val="14"/>
          <w:szCs w:val="14"/>
          <w:color w:val="auto"/>
        </w:rPr>
        <w:t xml:space="preserve">6 </w:t>
      </w:r>
      <w:r>
        <w:rPr>
          <w:rFonts w:ascii="Arial" w:cs="Arial" w:eastAsia="Arial" w:hAnsi="Arial"/>
          <w:sz w:val="18"/>
          <w:szCs w:val="18"/>
          <w:color w:val="auto"/>
        </w:rPr>
        <w:t>Performance Covenant only tested if the Initial Performance Covenant Test Date has passed (i.e. after the outstanding amount of</w:t>
      </w:r>
      <w:r>
        <w:rPr>
          <w:rFonts w:ascii="Arial" w:cs="Arial" w:eastAsia="Arial" w:hAnsi="Arial"/>
          <w:sz w:val="14"/>
          <w:szCs w:val="14"/>
          <w:color w:val="auto"/>
        </w:rPr>
        <w:t xml:space="preserve"> </w:t>
      </w:r>
      <w:r>
        <w:rPr>
          <w:rFonts w:ascii="Arial" w:cs="Arial" w:eastAsia="Arial" w:hAnsi="Arial"/>
          <w:sz w:val="18"/>
          <w:szCs w:val="18"/>
          <w:color w:val="auto"/>
        </w:rPr>
        <w:t>the Term Loan Advances is equal to or greater than Sixty Five Million Dollars ($65,000,000) and the last calendar month of the calendar quarter that is twelve months following the earlier of (x) the AXS-05 Milestone Date and (y) the AXS-07 Milestone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797560</wp:posOffset>
            </wp:positionV>
            <wp:extent cx="6311265" cy="2222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924"/>
          </w:cols>
          <w:pgMar w:left="976" w:top="781" w:right="999" w:bottom="1440" w:gutter="0" w:footer="0" w:header="0"/>
        </w:sectPr>
      </w:pPr>
    </w:p>
    <w:bookmarkStart w:id="199" w:name="page200"/>
    <w:bookmarkEnd w:id="199"/>
    <w:p>
      <w:pPr>
        <w:jc w:val="center"/>
        <w:ind w:right="-3"/>
        <w:spacing w:after="0"/>
        <w:rPr>
          <w:sz w:val="20"/>
          <w:szCs w:val="20"/>
          <w:color w:val="auto"/>
        </w:rPr>
      </w:pPr>
      <w:r>
        <w:rPr>
          <w:rFonts w:ascii="Arial" w:cs="Arial" w:eastAsia="Arial" w:hAnsi="Arial"/>
          <w:sz w:val="19"/>
          <w:szCs w:val="19"/>
          <w:b w:val="1"/>
          <w:bCs w:val="1"/>
          <w:color w:val="auto"/>
        </w:rPr>
        <w:t>EXHIBIT F</w:t>
      </w:r>
    </w:p>
    <w:p>
      <w:pPr>
        <w:spacing w:after="0" w:line="182" w:lineRule="exact"/>
        <w:rPr>
          <w:sz w:val="20"/>
          <w:szCs w:val="20"/>
          <w:color w:val="auto"/>
        </w:rPr>
      </w:pPr>
    </w:p>
    <w:p>
      <w:pPr>
        <w:jc w:val="center"/>
        <w:ind w:right="-3"/>
        <w:spacing w:after="0"/>
        <w:rPr>
          <w:sz w:val="20"/>
          <w:szCs w:val="20"/>
          <w:color w:val="auto"/>
        </w:rPr>
      </w:pPr>
      <w:r>
        <w:rPr>
          <w:rFonts w:ascii="Arial" w:cs="Arial" w:eastAsia="Arial" w:hAnsi="Arial"/>
          <w:sz w:val="19"/>
          <w:szCs w:val="19"/>
          <w:b w:val="1"/>
          <w:bCs w:val="1"/>
          <w:color w:val="auto"/>
        </w:rPr>
        <w:t>FORM OF JOINDER AGREEMENT</w:t>
      </w:r>
    </w:p>
    <w:p>
      <w:pPr>
        <w:spacing w:after="0" w:line="188" w:lineRule="exact"/>
        <w:rPr>
          <w:sz w:val="20"/>
          <w:szCs w:val="20"/>
          <w:color w:val="auto"/>
        </w:rPr>
      </w:pPr>
    </w:p>
    <w:p>
      <w:pPr>
        <w:ind w:left="564"/>
        <w:spacing w:after="0"/>
        <w:tabs>
          <w:tab w:leader="none" w:pos="7163" w:val="left"/>
        </w:tabs>
        <w:rPr>
          <w:sz w:val="20"/>
          <w:szCs w:val="20"/>
          <w:color w:val="auto"/>
        </w:rPr>
      </w:pPr>
      <w:r>
        <w:rPr>
          <w:rFonts w:ascii="Arial" w:cs="Arial" w:eastAsia="Arial" w:hAnsi="Arial"/>
          <w:sz w:val="19"/>
          <w:szCs w:val="19"/>
          <w:color w:val="auto"/>
        </w:rPr>
        <w:t>This Joinder Agreement (the “Joinder Agreement”) is made and dated as of [</w:t>
      </w:r>
      <w:r>
        <w:rPr>
          <w:sz w:val="20"/>
          <w:szCs w:val="20"/>
          <w:color w:val="auto"/>
        </w:rPr>
        <w:tab/>
      </w:r>
      <w:r>
        <w:rPr>
          <w:rFonts w:ascii="Arial" w:cs="Arial" w:eastAsia="Arial" w:hAnsi="Arial"/>
          <w:sz w:val="18"/>
          <w:szCs w:val="18"/>
          <w:color w:val="auto"/>
        </w:rPr>
        <w:t>], 20[  ], and is entered into by and</w:t>
      </w:r>
    </w:p>
    <w:p>
      <w:pPr>
        <w:spacing w:after="0" w:line="10" w:lineRule="exact"/>
        <w:rPr>
          <w:sz w:val="20"/>
          <w:szCs w:val="20"/>
          <w:color w:val="auto"/>
        </w:rPr>
      </w:pPr>
    </w:p>
    <w:p>
      <w:pPr>
        <w:ind w:left="4"/>
        <w:spacing w:after="0"/>
        <w:rPr>
          <w:sz w:val="20"/>
          <w:szCs w:val="20"/>
          <w:color w:val="auto"/>
        </w:rPr>
      </w:pPr>
      <w:r>
        <w:rPr>
          <w:rFonts w:ascii="Arial" w:cs="Arial" w:eastAsia="Arial" w:hAnsi="Arial"/>
          <w:sz w:val="18"/>
          <w:szCs w:val="18"/>
          <w:color w:val="auto"/>
        </w:rPr>
        <w:t>between__________________., a ___________ corporation (“Subsidiary”), and HERCULES CAPITAL, INC., a Maryland</w:t>
      </w:r>
    </w:p>
    <w:p>
      <w:pPr>
        <w:spacing w:after="0" w:line="5" w:lineRule="exact"/>
        <w:rPr>
          <w:sz w:val="20"/>
          <w:szCs w:val="20"/>
          <w:color w:val="auto"/>
        </w:rPr>
      </w:pPr>
    </w:p>
    <w:p>
      <w:pPr>
        <w:ind w:left="4"/>
        <w:spacing w:after="0"/>
        <w:rPr>
          <w:sz w:val="20"/>
          <w:szCs w:val="20"/>
          <w:color w:val="auto"/>
        </w:rPr>
      </w:pPr>
      <w:r>
        <w:rPr>
          <w:rFonts w:ascii="Arial" w:cs="Arial" w:eastAsia="Arial" w:hAnsi="Arial"/>
          <w:sz w:val="19"/>
          <w:szCs w:val="19"/>
          <w:color w:val="auto"/>
        </w:rPr>
        <w:t>corporation (as “Agent”).</w:t>
      </w:r>
    </w:p>
    <w:p>
      <w:pPr>
        <w:spacing w:after="0" w:line="160" w:lineRule="exact"/>
        <w:rPr>
          <w:sz w:val="20"/>
          <w:szCs w:val="20"/>
          <w:color w:val="auto"/>
        </w:rPr>
      </w:pPr>
    </w:p>
    <w:p>
      <w:pPr>
        <w:jc w:val="center"/>
        <w:ind w:right="-3"/>
        <w:spacing w:after="0"/>
        <w:rPr>
          <w:sz w:val="20"/>
          <w:szCs w:val="20"/>
          <w:color w:val="auto"/>
        </w:rPr>
      </w:pPr>
      <w:r>
        <w:rPr>
          <w:rFonts w:ascii="Arial" w:cs="Arial" w:eastAsia="Arial" w:hAnsi="Arial"/>
          <w:sz w:val="19"/>
          <w:szCs w:val="19"/>
          <w:b w:val="1"/>
          <w:bCs w:val="1"/>
          <w:color w:val="auto"/>
        </w:rPr>
        <w:t>RECITALS</w:t>
      </w:r>
    </w:p>
    <w:p>
      <w:pPr>
        <w:spacing w:after="0" w:line="188" w:lineRule="exact"/>
        <w:rPr>
          <w:sz w:val="20"/>
          <w:szCs w:val="20"/>
          <w:color w:val="auto"/>
        </w:rPr>
      </w:pPr>
    </w:p>
    <w:p>
      <w:pPr>
        <w:jc w:val="both"/>
        <w:ind w:left="4" w:firstLine="562"/>
        <w:spacing w:after="0" w:line="241" w:lineRule="auto"/>
        <w:tabs>
          <w:tab w:leader="none" w:pos="942" w:val="left"/>
        </w:tabs>
        <w:numPr>
          <w:ilvl w:val="0"/>
          <w:numId w:val="115"/>
        </w:numPr>
        <w:rPr>
          <w:rFonts w:ascii="Arial" w:cs="Arial" w:eastAsia="Arial" w:hAnsi="Arial"/>
          <w:sz w:val="19"/>
          <w:szCs w:val="19"/>
          <w:color w:val="auto"/>
        </w:rPr>
      </w:pPr>
      <w:r>
        <w:rPr>
          <w:rFonts w:ascii="Arial" w:cs="Arial" w:eastAsia="Arial" w:hAnsi="Arial"/>
          <w:sz w:val="19"/>
          <w:szCs w:val="19"/>
          <w:color w:val="auto"/>
        </w:rPr>
        <w:t>Subsidiary’s Affiliate, Axsome Therapeutics, Inc. (“Company”) has entered into that certain Loan and Security Agreement dated September 25, 2020, with the several banks and other financial institutions or entities from time to time party thereto as lender (collectively, the “Lenders”) and the Agent, as such agreement may be amended (the “Loan Agreement”), together with the other agreements executed and delivered in connection therewith;</w:t>
      </w:r>
    </w:p>
    <w:p>
      <w:pPr>
        <w:spacing w:after="0" w:line="159" w:lineRule="exact"/>
        <w:rPr>
          <w:rFonts w:ascii="Arial" w:cs="Arial" w:eastAsia="Arial" w:hAnsi="Arial"/>
          <w:sz w:val="19"/>
          <w:szCs w:val="19"/>
          <w:color w:val="auto"/>
        </w:rPr>
      </w:pPr>
    </w:p>
    <w:p>
      <w:pPr>
        <w:ind w:left="4" w:firstLine="562"/>
        <w:spacing w:after="0" w:line="256" w:lineRule="auto"/>
        <w:tabs>
          <w:tab w:leader="none" w:pos="866" w:val="left"/>
        </w:tabs>
        <w:numPr>
          <w:ilvl w:val="0"/>
          <w:numId w:val="115"/>
        </w:numPr>
        <w:rPr>
          <w:rFonts w:ascii="Arial" w:cs="Arial" w:eastAsia="Arial" w:hAnsi="Arial"/>
          <w:sz w:val="19"/>
          <w:szCs w:val="19"/>
          <w:color w:val="auto"/>
        </w:rPr>
      </w:pPr>
      <w:r>
        <w:rPr>
          <w:rFonts w:ascii="Arial" w:cs="Arial" w:eastAsia="Arial" w:hAnsi="Arial"/>
          <w:sz w:val="19"/>
          <w:szCs w:val="19"/>
          <w:color w:val="auto"/>
        </w:rPr>
        <w:t>Subsidiary acknowledges and agrees that it will benefit both directly and indirectly from Company’s execution of the Loan Agreement and the other agreements executed and delivered in connection therewith;</w:t>
      </w:r>
    </w:p>
    <w:p>
      <w:pPr>
        <w:spacing w:after="0" w:line="141" w:lineRule="exact"/>
        <w:rPr>
          <w:sz w:val="20"/>
          <w:szCs w:val="20"/>
          <w:color w:val="auto"/>
        </w:rPr>
      </w:pPr>
    </w:p>
    <w:p>
      <w:pPr>
        <w:ind w:left="4344"/>
        <w:spacing w:after="0"/>
        <w:rPr>
          <w:sz w:val="20"/>
          <w:szCs w:val="20"/>
          <w:color w:val="auto"/>
        </w:rPr>
      </w:pPr>
      <w:r>
        <w:rPr>
          <w:rFonts w:ascii="Arial" w:cs="Arial" w:eastAsia="Arial" w:hAnsi="Arial"/>
          <w:sz w:val="19"/>
          <w:szCs w:val="19"/>
          <w:b w:val="1"/>
          <w:bCs w:val="1"/>
          <w:color w:val="auto"/>
        </w:rPr>
        <w:t>AGREEMENT</w:t>
      </w:r>
    </w:p>
    <w:p>
      <w:pPr>
        <w:spacing w:after="0" w:line="188" w:lineRule="exact"/>
        <w:rPr>
          <w:sz w:val="20"/>
          <w:szCs w:val="20"/>
          <w:color w:val="auto"/>
        </w:rPr>
      </w:pPr>
    </w:p>
    <w:p>
      <w:pPr>
        <w:ind w:left="564"/>
        <w:spacing w:after="0"/>
        <w:rPr>
          <w:sz w:val="20"/>
          <w:szCs w:val="20"/>
          <w:color w:val="auto"/>
        </w:rPr>
      </w:pPr>
      <w:r>
        <w:rPr>
          <w:rFonts w:ascii="Arial" w:cs="Arial" w:eastAsia="Arial" w:hAnsi="Arial"/>
          <w:sz w:val="19"/>
          <w:szCs w:val="19"/>
          <w:color w:val="auto"/>
        </w:rPr>
        <w:t>NOW THEREFORE, Subsidiary and Agent agree as follows:</w:t>
      </w:r>
    </w:p>
    <w:p>
      <w:pPr>
        <w:spacing w:after="0" w:line="182" w:lineRule="exact"/>
        <w:rPr>
          <w:sz w:val="20"/>
          <w:szCs w:val="20"/>
          <w:color w:val="auto"/>
        </w:rPr>
      </w:pPr>
    </w:p>
    <w:p>
      <w:pPr>
        <w:ind w:left="284" w:right="20" w:hanging="284"/>
        <w:spacing w:after="0" w:line="256" w:lineRule="auto"/>
        <w:tabs>
          <w:tab w:leader="none" w:pos="346" w:val="left"/>
        </w:tabs>
        <w:numPr>
          <w:ilvl w:val="0"/>
          <w:numId w:val="116"/>
        </w:numPr>
        <w:rPr>
          <w:rFonts w:ascii="Arial" w:cs="Arial" w:eastAsia="Arial" w:hAnsi="Arial"/>
          <w:sz w:val="19"/>
          <w:szCs w:val="19"/>
          <w:color w:val="auto"/>
        </w:rPr>
      </w:pPr>
      <w:r>
        <w:rPr>
          <w:rFonts w:ascii="Arial" w:cs="Arial" w:eastAsia="Arial" w:hAnsi="Arial"/>
          <w:sz w:val="19"/>
          <w:szCs w:val="19"/>
          <w:color w:val="auto"/>
        </w:rPr>
        <w:t>The recitals set forth above are incorporated into and made part of this Joinder Agreement. Capitalized terms not defined herein shall have the meaning provided in the Loan Agreement.</w:t>
      </w:r>
    </w:p>
    <w:p>
      <w:pPr>
        <w:spacing w:after="0" w:line="146" w:lineRule="exact"/>
        <w:rPr>
          <w:rFonts w:ascii="Arial" w:cs="Arial" w:eastAsia="Arial" w:hAnsi="Arial"/>
          <w:sz w:val="19"/>
          <w:szCs w:val="19"/>
          <w:color w:val="auto"/>
        </w:rPr>
      </w:pPr>
    </w:p>
    <w:p>
      <w:pPr>
        <w:jc w:val="both"/>
        <w:ind w:left="284" w:right="20" w:hanging="284"/>
        <w:spacing w:after="0" w:line="267" w:lineRule="auto"/>
        <w:tabs>
          <w:tab w:leader="none" w:pos="299" w:val="left"/>
        </w:tabs>
        <w:numPr>
          <w:ilvl w:val="0"/>
          <w:numId w:val="116"/>
        </w:numPr>
        <w:rPr>
          <w:rFonts w:ascii="Arial" w:cs="Arial" w:eastAsia="Arial" w:hAnsi="Arial"/>
          <w:sz w:val="17"/>
          <w:szCs w:val="17"/>
          <w:color w:val="auto"/>
        </w:rPr>
      </w:pPr>
      <w:r>
        <w:rPr>
          <w:rFonts w:ascii="Arial" w:cs="Arial" w:eastAsia="Arial" w:hAnsi="Arial"/>
          <w:sz w:val="17"/>
          <w:szCs w:val="17"/>
          <w:color w:val="auto"/>
        </w:rPr>
        <w:t>By signing this Joinder Agreement, Subsidiary shall be bound by the terms and conditions of the Loan Agreement the same as if it were the Borrower (as defined in the Loan Agreement) under the Loan Agreement, mutatis mutandis, provided however, that (a) with respect to (i) Section 5.1 of the Loan Agreement, Subsidiary represents that it is an entity duly organized, legally</w:t>
      </w:r>
    </w:p>
    <w:p>
      <w:pPr>
        <w:jc w:val="both"/>
        <w:ind w:left="284"/>
        <w:spacing w:after="0" w:line="264" w:lineRule="auto"/>
        <w:rPr>
          <w:rFonts w:ascii="Arial" w:cs="Arial" w:eastAsia="Arial" w:hAnsi="Arial"/>
          <w:sz w:val="17"/>
          <w:szCs w:val="17"/>
          <w:color w:val="auto"/>
        </w:rPr>
      </w:pPr>
      <w:r>
        <w:rPr>
          <w:rFonts w:ascii="Arial" w:cs="Arial" w:eastAsia="Arial" w:hAnsi="Arial"/>
          <w:sz w:val="17"/>
          <w:szCs w:val="17"/>
          <w:color w:val="auto"/>
        </w:rPr>
        <w:t>existing and in good standing under the laws of [ ], (b) neither Agent nor the Lenders shall have any duties, responsibilities or obligations to Subsidiary arising under or related to the Loan Agreement or the other Loan Documents, (c) that if Subsidiary is covered by Company’s insurance, Subsidiary shall not be required to maintain separate insurance or comply with the provisions of Sections 6.1 and 6.2 of the Loan Agreement, and (d) that as long as Company satisfies the requirements of Section 7.1 of the Loan Agreement, Subsidiary shall not have to provide Agent separate Financial Statements. To the extent that Agent or the Lenders has any duties, responsibilities or obligations arising under or related to the Loan Agreement or the other Loan Documents, those duties, responsibilities or obligations shall flow only to Company and not to Subsidiary or any other Person or entity. By way of example (and not an exclusive list): (i) Agent’s providing notice to Company in accordance with the Loan Agreement or as otherwise agreed among Company, Agent and the Lenders shall be deemed provided to Subsidiary; (ii) a Lender’s providing an Advance to Company shall be deemed an Advance to Subsidiary; and (iii) Subsidiary shall have no right to request an Advance or make any other demand on the Lenders.</w:t>
      </w:r>
    </w:p>
    <w:p>
      <w:pPr>
        <w:spacing w:after="0" w:line="94" w:lineRule="exact"/>
        <w:rPr>
          <w:rFonts w:ascii="Arial" w:cs="Arial" w:eastAsia="Arial" w:hAnsi="Arial"/>
          <w:sz w:val="17"/>
          <w:szCs w:val="17"/>
          <w:color w:val="auto"/>
        </w:rPr>
      </w:pPr>
    </w:p>
    <w:p>
      <w:pPr>
        <w:jc w:val="both"/>
        <w:ind w:left="284" w:right="20" w:hanging="284"/>
        <w:spacing w:after="0" w:line="244" w:lineRule="auto"/>
        <w:tabs>
          <w:tab w:leader="none" w:pos="422" w:val="left"/>
        </w:tabs>
        <w:numPr>
          <w:ilvl w:val="0"/>
          <w:numId w:val="116"/>
        </w:numPr>
        <w:rPr>
          <w:rFonts w:ascii="Arial" w:cs="Arial" w:eastAsia="Arial" w:hAnsi="Arial"/>
          <w:sz w:val="19"/>
          <w:szCs w:val="19"/>
          <w:color w:val="auto"/>
        </w:rPr>
      </w:pPr>
      <w:r>
        <w:rPr>
          <w:rFonts w:ascii="Arial" w:cs="Arial" w:eastAsia="Arial" w:hAnsi="Arial"/>
          <w:sz w:val="19"/>
          <w:szCs w:val="19"/>
          <w:color w:val="auto"/>
        </w:rPr>
        <w:t>Subsidiary agrees not to certificate its equity securities without Agent’s prior written consent, which consent may be conditioned on the delivery of such equity securities to Agent in order to perfect Agent’s security interest in such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891540</wp:posOffset>
            </wp:positionV>
            <wp:extent cx="6311265" cy="2222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944"/>
          </w:cols>
          <w:pgMar w:left="976" w:top="775" w:right="979" w:bottom="1440" w:gutter="0" w:footer="0" w:header="0"/>
        </w:sectPr>
      </w:pPr>
    </w:p>
    <w:bookmarkStart w:id="200" w:name="page201"/>
    <w:bookmarkEnd w:id="200"/>
    <w:p>
      <w:pPr>
        <w:ind w:left="284" w:hanging="284"/>
        <w:spacing w:after="0" w:line="256" w:lineRule="auto"/>
        <w:tabs>
          <w:tab w:leader="none" w:pos="310" w:val="left"/>
        </w:tabs>
        <w:numPr>
          <w:ilvl w:val="0"/>
          <w:numId w:val="117"/>
        </w:numPr>
        <w:rPr>
          <w:rFonts w:ascii="Arial" w:cs="Arial" w:eastAsia="Arial" w:hAnsi="Arial"/>
          <w:sz w:val="19"/>
          <w:szCs w:val="19"/>
          <w:color w:val="auto"/>
        </w:rPr>
      </w:pPr>
      <w:r>
        <w:rPr>
          <w:rFonts w:ascii="Arial" w:cs="Arial" w:eastAsia="Arial" w:hAnsi="Arial"/>
          <w:sz w:val="19"/>
          <w:szCs w:val="19"/>
          <w:color w:val="auto"/>
        </w:rPr>
        <w:t>Subsidiary acknowledges that it benefits, both directly and indirectly, from the Loan Agreement, and hereby waives, for itself and on behalf on any and all successors in interest</w:t>
      </w:r>
    </w:p>
    <w:p>
      <w:pPr>
        <w:spacing w:after="0" w:line="100" w:lineRule="exact"/>
        <w:rPr>
          <w:sz w:val="20"/>
          <w:szCs w:val="20"/>
          <w:color w:val="auto"/>
        </w:rPr>
      </w:pPr>
    </w:p>
    <w:p>
      <w:pPr>
        <w:jc w:val="both"/>
        <w:ind w:left="284" w:right="20"/>
        <w:spacing w:after="0" w:line="239" w:lineRule="auto"/>
        <w:rPr>
          <w:sz w:val="20"/>
          <w:szCs w:val="20"/>
          <w:color w:val="auto"/>
        </w:rPr>
      </w:pPr>
      <w:r>
        <w:rPr>
          <w:rFonts w:ascii="Arial" w:cs="Arial" w:eastAsia="Arial" w:hAnsi="Arial"/>
          <w:sz w:val="19"/>
          <w:szCs w:val="19"/>
          <w:color w:val="auto"/>
        </w:rPr>
        <w:t>(including without limitation any assignee for the benefit of creditors, receiver, bankruptcy trustee or itself as debtor-in-possession under any bankruptcy proceeding) to the fullest extent provided by law, any and all claims, rights or defenses to the enforcement of this Joinder Agreement on the basis that (a) it failed to receive adequate consideration for the execution and delivery of this Joinder Agreement or (b) its obligations under this Joinder Agreement are avoidable as a fraudulent conveyance.</w:t>
      </w:r>
    </w:p>
    <w:p>
      <w:pPr>
        <w:spacing w:after="0" w:line="115" w:lineRule="exact"/>
        <w:rPr>
          <w:sz w:val="20"/>
          <w:szCs w:val="20"/>
          <w:color w:val="auto"/>
        </w:rPr>
      </w:pPr>
    </w:p>
    <w:p>
      <w:pPr>
        <w:jc w:val="both"/>
        <w:ind w:left="284" w:right="20" w:hanging="284"/>
        <w:spacing w:after="0" w:line="244" w:lineRule="auto"/>
        <w:tabs>
          <w:tab w:leader="none" w:pos="273" w:val="left"/>
        </w:tabs>
        <w:numPr>
          <w:ilvl w:val="0"/>
          <w:numId w:val="118"/>
        </w:numPr>
        <w:rPr>
          <w:rFonts w:ascii="Arial" w:cs="Arial" w:eastAsia="Arial" w:hAnsi="Arial"/>
          <w:sz w:val="19"/>
          <w:szCs w:val="19"/>
          <w:color w:val="auto"/>
        </w:rPr>
      </w:pPr>
      <w:r>
        <w:rPr>
          <w:rFonts w:ascii="Arial" w:cs="Arial" w:eastAsia="Arial" w:hAnsi="Arial"/>
          <w:sz w:val="19"/>
          <w:szCs w:val="19"/>
          <w:color w:val="auto"/>
        </w:rPr>
        <w:t>As security for the prompt, complete and indefeasible payment when due (whether on the payment dates or otherwise) of all the Secured Obligations, Subsidiary grants to Agent a security interest in all of Subsidiary’s right, title, and interest in and to the Collateral.</w:t>
      </w:r>
    </w:p>
    <w:p>
      <w:pPr>
        <w:spacing w:after="0" w:line="112" w:lineRule="exact"/>
        <w:rPr>
          <w:sz w:val="20"/>
          <w:szCs w:val="20"/>
          <w:color w:val="auto"/>
        </w:rPr>
      </w:pPr>
    </w:p>
    <w:p>
      <w:pPr>
        <w:jc w:val="center"/>
        <w:ind w:right="-3"/>
        <w:spacing w:after="0"/>
        <w:rPr>
          <w:sz w:val="20"/>
          <w:szCs w:val="20"/>
          <w:color w:val="auto"/>
        </w:rPr>
      </w:pPr>
      <w:r>
        <w:rPr>
          <w:rFonts w:ascii="Arial" w:cs="Arial" w:eastAsia="Arial" w:hAnsi="Arial"/>
          <w:sz w:val="19"/>
          <w:szCs w:val="19"/>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913765</wp:posOffset>
            </wp:positionV>
            <wp:extent cx="6311265" cy="152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6311265" cy="15240"/>
                    </a:xfrm>
                    <a:prstGeom prst="rect">
                      <a:avLst/>
                    </a:prstGeom>
                    <a:noFill/>
                  </pic:spPr>
                </pic:pic>
              </a:graphicData>
            </a:graphic>
          </wp:anchor>
        </w:drawing>
      </w:r>
    </w:p>
    <w:p>
      <w:pPr>
        <w:sectPr>
          <w:pgSz w:w="11900" w:h="16838" w:orient="portrait"/>
          <w:cols w:equalWidth="0" w:num="1">
            <w:col w:w="9944"/>
          </w:cols>
          <w:pgMar w:left="976" w:top="781" w:right="979" w:bottom="1440" w:gutter="0" w:footer="0" w:header="0"/>
        </w:sectPr>
      </w:pPr>
    </w:p>
    <w:bookmarkStart w:id="201" w:name="page202"/>
    <w:bookmarkEnd w:id="201"/>
    <w:p>
      <w:pPr>
        <w:jc w:val="right"/>
        <w:ind w:right="2499"/>
        <w:spacing w:after="0"/>
        <w:rPr>
          <w:sz w:val="20"/>
          <w:szCs w:val="20"/>
          <w:color w:val="auto"/>
        </w:rPr>
      </w:pPr>
      <w:r>
        <w:rPr>
          <w:rFonts w:ascii="Arial" w:cs="Arial" w:eastAsia="Arial" w:hAnsi="Arial"/>
          <w:sz w:val="19"/>
          <w:szCs w:val="19"/>
          <w:color w:val="auto"/>
        </w:rPr>
        <w:t>[SIGNATURE PAGE TO JOINDER AGREEMENT]</w:t>
      </w:r>
    </w:p>
    <w:p>
      <w:pPr>
        <w:spacing w:after="0" w:line="135" w:lineRule="exact"/>
        <w:rPr>
          <w:sz w:val="20"/>
          <w:szCs w:val="20"/>
          <w:color w:val="auto"/>
        </w:rPr>
      </w:pPr>
    </w:p>
    <w:p>
      <w:pPr>
        <w:ind w:left="60"/>
        <w:spacing w:after="0"/>
        <w:rPr>
          <w:sz w:val="20"/>
          <w:szCs w:val="20"/>
          <w:color w:val="auto"/>
        </w:rPr>
      </w:pPr>
      <w:r>
        <w:rPr>
          <w:rFonts w:ascii="Arial" w:cs="Arial" w:eastAsia="Arial" w:hAnsi="Arial"/>
          <w:sz w:val="19"/>
          <w:szCs w:val="19"/>
          <w:color w:val="auto"/>
        </w:rPr>
        <w:t>SUBSIDIARY:</w:t>
      </w:r>
    </w:p>
    <w:p>
      <w:pPr>
        <w:spacing w:after="0" w:line="88" w:lineRule="exact"/>
        <w:rPr>
          <w:sz w:val="20"/>
          <w:szCs w:val="20"/>
          <w:color w:val="auto"/>
        </w:rPr>
      </w:pPr>
    </w:p>
    <w:p>
      <w:pPr>
        <w:ind w:left="60"/>
        <w:spacing w:after="0"/>
        <w:rPr>
          <w:sz w:val="20"/>
          <w:szCs w:val="20"/>
          <w:color w:val="auto"/>
        </w:rPr>
      </w:pPr>
      <w:r>
        <w:rPr>
          <w:rFonts w:ascii="Arial" w:cs="Arial" w:eastAsia="Arial" w:hAnsi="Arial"/>
          <w:sz w:val="19"/>
          <w:szCs w:val="19"/>
          <w:color w:val="auto"/>
        </w:rPr>
        <w:t>_________________________________.</w:t>
      </w:r>
    </w:p>
    <w:p>
      <w:pPr>
        <w:spacing w:after="0" w:line="300" w:lineRule="exact"/>
        <w:rPr>
          <w:sz w:val="20"/>
          <w:szCs w:val="20"/>
          <w:color w:val="auto"/>
        </w:rPr>
      </w:pPr>
    </w:p>
    <w:p>
      <w:pPr>
        <w:ind w:left="1820"/>
        <w:spacing w:after="0"/>
        <w:rPr>
          <w:sz w:val="20"/>
          <w:szCs w:val="20"/>
          <w:color w:val="auto"/>
        </w:rPr>
      </w:pPr>
      <w:r>
        <w:rPr>
          <w:rFonts w:ascii="Arial" w:cs="Arial" w:eastAsia="Arial" w:hAnsi="Arial"/>
          <w:sz w:val="19"/>
          <w:szCs w:val="19"/>
          <w:color w:val="auto"/>
        </w:rPr>
        <w:t>By:</w:t>
      </w:r>
    </w:p>
    <w:p>
      <w:pPr>
        <w:spacing w:after="0" w:line="3" w:lineRule="exact"/>
        <w:rPr>
          <w:sz w:val="20"/>
          <w:szCs w:val="20"/>
          <w:color w:val="auto"/>
        </w:rPr>
      </w:pPr>
    </w:p>
    <w:p>
      <w:pPr>
        <w:ind w:left="1820"/>
        <w:spacing w:after="0"/>
        <w:rPr>
          <w:sz w:val="20"/>
          <w:szCs w:val="20"/>
          <w:color w:val="auto"/>
        </w:rPr>
      </w:pPr>
      <w:r>
        <w:rPr>
          <w:rFonts w:ascii="Arial" w:cs="Arial" w:eastAsia="Arial" w:hAnsi="Arial"/>
          <w:sz w:val="19"/>
          <w:szCs w:val="19"/>
          <w:color w:val="auto"/>
        </w:rPr>
        <w:t>Name:</w:t>
      </w:r>
    </w:p>
    <w:p>
      <w:pPr>
        <w:ind w:left="1820"/>
        <w:spacing w:after="0"/>
        <w:rPr>
          <w:sz w:val="20"/>
          <w:szCs w:val="20"/>
          <w:color w:val="auto"/>
        </w:rPr>
      </w:pPr>
      <w:r>
        <w:rPr>
          <w:rFonts w:ascii="Arial" w:cs="Arial" w:eastAsia="Arial" w:hAnsi="Arial"/>
          <w:sz w:val="19"/>
          <w:szCs w:val="19"/>
          <w:color w:val="auto"/>
        </w:rPr>
        <w:t>Title:</w:t>
      </w:r>
    </w:p>
    <w:p>
      <w:pPr>
        <w:spacing w:after="0" w:line="190" w:lineRule="exact"/>
        <w:rPr>
          <w:sz w:val="20"/>
          <w:szCs w:val="20"/>
          <w:color w:val="auto"/>
        </w:rPr>
      </w:pPr>
    </w:p>
    <w:p>
      <w:pPr>
        <w:ind w:left="1820"/>
        <w:spacing w:after="0"/>
        <w:rPr>
          <w:sz w:val="20"/>
          <w:szCs w:val="20"/>
          <w:color w:val="auto"/>
        </w:rPr>
      </w:pPr>
      <w:r>
        <w:rPr>
          <w:rFonts w:ascii="Arial" w:cs="Arial" w:eastAsia="Arial" w:hAnsi="Arial"/>
          <w:sz w:val="19"/>
          <w:szCs w:val="19"/>
          <w:color w:val="auto"/>
        </w:rPr>
        <w:t>Address:</w:t>
      </w:r>
    </w:p>
    <w:p>
      <w:pPr>
        <w:spacing w:after="0" w:line="200" w:lineRule="exact"/>
        <w:rPr>
          <w:sz w:val="20"/>
          <w:szCs w:val="20"/>
          <w:color w:val="auto"/>
        </w:rPr>
      </w:pPr>
    </w:p>
    <w:p>
      <w:pPr>
        <w:spacing w:after="0" w:line="218" w:lineRule="exact"/>
        <w:rPr>
          <w:sz w:val="20"/>
          <w:szCs w:val="20"/>
          <w:color w:val="auto"/>
        </w:rPr>
      </w:pPr>
    </w:p>
    <w:p>
      <w:pPr>
        <w:ind w:left="1820"/>
        <w:spacing w:after="0"/>
        <w:rPr>
          <w:sz w:val="20"/>
          <w:szCs w:val="20"/>
          <w:color w:val="auto"/>
        </w:rPr>
      </w:pPr>
      <w:r>
        <w:rPr>
          <w:rFonts w:ascii="Arial" w:cs="Arial" w:eastAsia="Arial" w:hAnsi="Arial"/>
          <w:sz w:val="19"/>
          <w:szCs w:val="19"/>
          <w:color w:val="auto"/>
        </w:rPr>
        <w:t>Telephone:</w:t>
      </w:r>
    </w:p>
    <w:p>
      <w:pPr>
        <w:spacing w:after="0" w:line="10" w:lineRule="exact"/>
        <w:rPr>
          <w:sz w:val="20"/>
          <w:szCs w:val="20"/>
          <w:color w:val="auto"/>
        </w:rPr>
      </w:pPr>
    </w:p>
    <w:p>
      <w:pPr>
        <w:ind w:left="1820"/>
        <w:spacing w:after="0"/>
        <w:rPr>
          <w:sz w:val="20"/>
          <w:szCs w:val="20"/>
          <w:color w:val="auto"/>
        </w:rPr>
      </w:pPr>
      <w:r>
        <w:rPr>
          <w:rFonts w:ascii="Arial" w:cs="Arial" w:eastAsia="Arial" w:hAnsi="Arial"/>
          <w:sz w:val="19"/>
          <w:szCs w:val="19"/>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1785620</wp:posOffset>
            </wp:positionH>
            <wp:positionV relativeFrom="paragraph">
              <wp:posOffset>5715</wp:posOffset>
            </wp:positionV>
            <wp:extent cx="2261235" cy="76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2261235" cy="7620"/>
                    </a:xfrm>
                    <a:prstGeom prst="rect">
                      <a:avLst/>
                    </a:prstGeom>
                    <a:noFill/>
                  </pic:spPr>
                </pic:pic>
              </a:graphicData>
            </a:graphic>
          </wp:anchor>
        </w:drawing>
        <w:drawing>
          <wp:anchor simplePos="0" relativeHeight="251657728" behindDoc="1" locked="0" layoutInCell="0" allowOverlap="1">
            <wp:simplePos x="0" y="0"/>
            <wp:positionH relativeFrom="column">
              <wp:posOffset>1785620</wp:posOffset>
            </wp:positionH>
            <wp:positionV relativeFrom="paragraph">
              <wp:posOffset>-135890</wp:posOffset>
            </wp:positionV>
            <wp:extent cx="2261235" cy="76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2261235" cy="7620"/>
                    </a:xfrm>
                    <a:prstGeom prst="rect">
                      <a:avLst/>
                    </a:prstGeom>
                    <a:noFill/>
                  </pic:spPr>
                </pic:pic>
              </a:graphicData>
            </a:graphic>
          </wp:anchor>
        </w:drawing>
      </w:r>
    </w:p>
    <w:p>
      <w:pPr>
        <w:spacing w:after="0" w:line="194" w:lineRule="exact"/>
        <w:rPr>
          <w:sz w:val="20"/>
          <w:szCs w:val="20"/>
          <w:color w:val="auto"/>
        </w:rPr>
      </w:pPr>
    </w:p>
    <w:p>
      <w:pPr>
        <w:spacing w:after="0"/>
        <w:rPr>
          <w:sz w:val="20"/>
          <w:szCs w:val="20"/>
          <w:color w:val="auto"/>
        </w:rPr>
      </w:pPr>
      <w:r>
        <w:rPr>
          <w:rFonts w:ascii="Arial" w:cs="Arial" w:eastAsia="Arial" w:hAnsi="Arial"/>
          <w:sz w:val="19"/>
          <w:szCs w:val="19"/>
          <w:color w:val="auto"/>
        </w:rPr>
        <w:t>AGENT:</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HERCULES CAPITAL, INC.</w:t>
      </w:r>
    </w:p>
    <w:p>
      <w:pPr>
        <w:spacing w:after="0" w:line="206" w:lineRule="exact"/>
        <w:rPr>
          <w:sz w:val="20"/>
          <w:szCs w:val="20"/>
          <w:color w:val="auto"/>
        </w:rPr>
      </w:pPr>
    </w:p>
    <w:p>
      <w:pPr>
        <w:ind w:left="1820"/>
        <w:spacing w:after="0"/>
        <w:rPr>
          <w:sz w:val="20"/>
          <w:szCs w:val="20"/>
          <w:color w:val="auto"/>
        </w:rPr>
      </w:pPr>
      <w:r>
        <w:rPr>
          <w:rFonts w:ascii="Arial" w:cs="Arial" w:eastAsia="Arial" w:hAnsi="Arial"/>
          <w:sz w:val="19"/>
          <w:szCs w:val="19"/>
          <w:color w:val="auto"/>
        </w:rPr>
        <w:t>By:</w:t>
      </w:r>
    </w:p>
    <w:p>
      <w:pPr>
        <w:spacing w:after="0" w:line="10" w:lineRule="exact"/>
        <w:rPr>
          <w:sz w:val="20"/>
          <w:szCs w:val="20"/>
          <w:color w:val="auto"/>
        </w:rPr>
      </w:pPr>
    </w:p>
    <w:p>
      <w:pPr>
        <w:ind w:left="1820"/>
        <w:spacing w:after="0"/>
        <w:rPr>
          <w:sz w:val="20"/>
          <w:szCs w:val="20"/>
          <w:color w:val="auto"/>
        </w:rPr>
      </w:pPr>
      <w:r>
        <w:rPr>
          <w:rFonts w:ascii="Arial" w:cs="Arial" w:eastAsia="Arial" w:hAnsi="Arial"/>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1785620</wp:posOffset>
            </wp:positionH>
            <wp:positionV relativeFrom="paragraph">
              <wp:posOffset>-135890</wp:posOffset>
            </wp:positionV>
            <wp:extent cx="2261235" cy="76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2261235" cy="7620"/>
                    </a:xfrm>
                    <a:prstGeom prst="rect">
                      <a:avLst/>
                    </a:prstGeom>
                    <a:noFill/>
                  </pic:spPr>
                </pic:pic>
              </a:graphicData>
            </a:graphic>
          </wp:anchor>
        </w:drawing>
      </w:r>
    </w:p>
    <w:p>
      <w:pPr>
        <w:ind w:left="1820"/>
        <w:spacing w:after="0"/>
        <w:rPr>
          <w:sz w:val="20"/>
          <w:szCs w:val="20"/>
          <w:color w:val="auto"/>
        </w:rPr>
      </w:pPr>
      <w:r>
        <w:rPr>
          <w:rFonts w:ascii="Arial" w:cs="Arial" w:eastAsia="Arial" w:hAnsi="Arial"/>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1785620</wp:posOffset>
            </wp:positionH>
            <wp:positionV relativeFrom="paragraph">
              <wp:posOffset>5715</wp:posOffset>
            </wp:positionV>
            <wp:extent cx="2261235" cy="76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2261235" cy="7620"/>
                    </a:xfrm>
                    <a:prstGeom prst="rect">
                      <a:avLst/>
                    </a:prstGeom>
                    <a:noFill/>
                  </pic:spPr>
                </pic:pic>
              </a:graphicData>
            </a:graphic>
          </wp:anchor>
        </w:drawing>
        <w:drawing>
          <wp:anchor simplePos="0" relativeHeight="251657728" behindDoc="1" locked="0" layoutInCell="0" allowOverlap="1">
            <wp:simplePos x="0" y="0"/>
            <wp:positionH relativeFrom="column">
              <wp:posOffset>1785620</wp:posOffset>
            </wp:positionH>
            <wp:positionV relativeFrom="paragraph">
              <wp:posOffset>-135890</wp:posOffset>
            </wp:positionV>
            <wp:extent cx="2261235" cy="76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2261235" cy="7620"/>
                    </a:xfrm>
                    <a:prstGeom prst="rect">
                      <a:avLst/>
                    </a:prstGeom>
                    <a:noFill/>
                  </pic:spPr>
                </pic:pic>
              </a:graphicData>
            </a:graphic>
          </wp:anchor>
        </w:drawing>
      </w:r>
    </w:p>
    <w:p>
      <w:pPr>
        <w:spacing w:after="0" w:line="194" w:lineRule="exact"/>
        <w:rPr>
          <w:sz w:val="20"/>
          <w:szCs w:val="20"/>
          <w:color w:val="auto"/>
        </w:rPr>
      </w:pPr>
    </w:p>
    <w:p>
      <w:pPr>
        <w:ind w:left="1820"/>
        <w:spacing w:after="0"/>
        <w:rPr>
          <w:sz w:val="20"/>
          <w:szCs w:val="20"/>
          <w:color w:val="auto"/>
        </w:rPr>
      </w:pPr>
      <w:r>
        <w:rPr>
          <w:rFonts w:ascii="Arial" w:cs="Arial" w:eastAsia="Arial" w:hAnsi="Arial"/>
          <w:sz w:val="19"/>
          <w:szCs w:val="19"/>
          <w:color w:val="auto"/>
        </w:rPr>
        <w:t>Address:</w:t>
      </w:r>
    </w:p>
    <w:p>
      <w:pPr>
        <w:spacing w:after="0" w:line="3" w:lineRule="exact"/>
        <w:rPr>
          <w:sz w:val="20"/>
          <w:szCs w:val="20"/>
          <w:color w:val="auto"/>
        </w:rPr>
      </w:pPr>
    </w:p>
    <w:p>
      <w:pPr>
        <w:ind w:left="1820"/>
        <w:spacing w:after="0"/>
        <w:rPr>
          <w:sz w:val="20"/>
          <w:szCs w:val="20"/>
          <w:color w:val="auto"/>
        </w:rPr>
      </w:pPr>
      <w:r>
        <w:rPr>
          <w:rFonts w:ascii="Arial" w:cs="Arial" w:eastAsia="Arial" w:hAnsi="Arial"/>
          <w:sz w:val="19"/>
          <w:szCs w:val="19"/>
          <w:color w:val="auto"/>
        </w:rPr>
        <w:t>400 Hamilton Ave., Suite 310</w:t>
      </w:r>
    </w:p>
    <w:p>
      <w:pPr>
        <w:ind w:left="1820"/>
        <w:spacing w:after="0" w:line="233" w:lineRule="auto"/>
        <w:rPr>
          <w:sz w:val="20"/>
          <w:szCs w:val="20"/>
          <w:color w:val="auto"/>
        </w:rPr>
      </w:pPr>
      <w:r>
        <w:rPr>
          <w:rFonts w:ascii="Arial" w:cs="Arial" w:eastAsia="Arial" w:hAnsi="Arial"/>
          <w:sz w:val="19"/>
          <w:szCs w:val="19"/>
          <w:color w:val="auto"/>
        </w:rPr>
        <w:t>Palo Alto, CA 94301</w:t>
      </w:r>
    </w:p>
    <w:p>
      <w:pPr>
        <w:ind w:left="1820"/>
        <w:spacing w:after="0" w:line="233" w:lineRule="auto"/>
        <w:rPr>
          <w:sz w:val="20"/>
          <w:szCs w:val="20"/>
          <w:color w:val="auto"/>
        </w:rPr>
      </w:pPr>
      <w:r>
        <w:rPr>
          <w:rFonts w:ascii="Arial" w:cs="Arial" w:eastAsia="Arial" w:hAnsi="Arial"/>
          <w:sz w:val="19"/>
          <w:szCs w:val="19"/>
          <w:color w:val="auto"/>
        </w:rPr>
        <w:t>email: legal@htgc.com</w:t>
      </w:r>
    </w:p>
    <w:p>
      <w:pPr>
        <w:ind w:left="1820"/>
        <w:spacing w:after="0"/>
        <w:rPr>
          <w:sz w:val="20"/>
          <w:szCs w:val="20"/>
          <w:color w:val="auto"/>
        </w:rPr>
      </w:pPr>
      <w:r>
        <w:rPr>
          <w:rFonts w:ascii="Arial" w:cs="Arial" w:eastAsia="Arial" w:hAnsi="Arial"/>
          <w:sz w:val="19"/>
          <w:szCs w:val="19"/>
          <w:color w:val="auto"/>
        </w:rPr>
        <w:t>Telephone: 650-289-3060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926465</wp:posOffset>
            </wp:positionV>
            <wp:extent cx="6311265" cy="2222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479"/>
          </w:cols>
          <w:pgMar w:left="980" w:top="781" w:right="1440" w:bottom="1440" w:gutter="0" w:footer="0" w:header="0"/>
        </w:sectPr>
      </w:pPr>
    </w:p>
    <w:bookmarkStart w:id="202" w:name="page203"/>
    <w:bookmarkEnd w:id="202"/>
    <w:p>
      <w:pPr>
        <w:jc w:val="center"/>
        <w:ind w:right="19"/>
        <w:spacing w:after="0"/>
        <w:rPr>
          <w:sz w:val="20"/>
          <w:szCs w:val="20"/>
          <w:color w:val="auto"/>
        </w:rPr>
      </w:pPr>
      <w:r>
        <w:rPr>
          <w:rFonts w:ascii="Arial" w:cs="Arial" w:eastAsia="Arial" w:hAnsi="Arial"/>
          <w:sz w:val="19"/>
          <w:szCs w:val="19"/>
          <w:b w:val="1"/>
          <w:bCs w:val="1"/>
          <w:color w:val="auto"/>
        </w:rPr>
        <w:t>EXHIBIT G</w:t>
      </w:r>
    </w:p>
    <w:p>
      <w:pPr>
        <w:sectPr>
          <w:pgSz w:w="11900" w:h="16838" w:orient="portrait"/>
          <w:cols w:equalWidth="0" w:num="1">
            <w:col w:w="9019"/>
          </w:cols>
          <w:pgMar w:left="1440" w:top="775" w:right="1440" w:bottom="144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951230</wp:posOffset>
            </wp:positionV>
            <wp:extent cx="6311265" cy="2222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019"/>
          </w:cols>
          <w:pgMar w:left="1440" w:top="775" w:right="1440" w:bottom="1440" w:gutter="0" w:footer="0" w:header="0"/>
          <w:type w:val="continuous"/>
        </w:sectPr>
      </w:pPr>
    </w:p>
    <w:bookmarkStart w:id="203" w:name="page204"/>
    <w:bookmarkEnd w:id="203"/>
    <w:p>
      <w:pPr>
        <w:jc w:val="center"/>
        <w:spacing w:after="0"/>
        <w:rPr>
          <w:sz w:val="20"/>
          <w:szCs w:val="20"/>
          <w:color w:val="auto"/>
        </w:rPr>
      </w:pPr>
      <w:r>
        <w:rPr>
          <w:rFonts w:ascii="Arial" w:cs="Arial" w:eastAsia="Arial" w:hAnsi="Arial"/>
          <w:sz w:val="19"/>
          <w:szCs w:val="19"/>
          <w:b w:val="1"/>
          <w:bCs w:val="1"/>
          <w:color w:val="auto"/>
        </w:rPr>
        <w:t>EXHIBIT H</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ACH DEBIT AUTHORIZATION AGREEMENT</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color w:val="auto"/>
        </w:rPr>
        <w:t>Hercules Capital, Inc.</w:t>
      </w:r>
    </w:p>
    <w:p>
      <w:pPr>
        <w:spacing w:after="0" w:line="3" w:lineRule="exact"/>
        <w:rPr>
          <w:sz w:val="20"/>
          <w:szCs w:val="20"/>
          <w:color w:val="auto"/>
        </w:rPr>
      </w:pPr>
    </w:p>
    <w:p>
      <w:pPr>
        <w:spacing w:after="0"/>
        <w:rPr>
          <w:sz w:val="20"/>
          <w:szCs w:val="20"/>
          <w:color w:val="auto"/>
        </w:rPr>
      </w:pPr>
      <w:r>
        <w:rPr>
          <w:rFonts w:ascii="Arial" w:cs="Arial" w:eastAsia="Arial" w:hAnsi="Arial"/>
          <w:sz w:val="19"/>
          <w:szCs w:val="19"/>
          <w:color w:val="auto"/>
        </w:rPr>
        <w:t>400 Hamilton Avenue, Suite 310</w:t>
      </w:r>
    </w:p>
    <w:p>
      <w:pPr>
        <w:spacing w:after="0"/>
        <w:rPr>
          <w:sz w:val="20"/>
          <w:szCs w:val="20"/>
          <w:color w:val="auto"/>
        </w:rPr>
      </w:pPr>
      <w:r>
        <w:rPr>
          <w:rFonts w:ascii="Arial" w:cs="Arial" w:eastAsia="Arial" w:hAnsi="Arial"/>
          <w:sz w:val="19"/>
          <w:szCs w:val="19"/>
          <w:color w:val="auto"/>
        </w:rPr>
        <w:t>Palo Alto, CA 94301</w:t>
      </w:r>
    </w:p>
    <w:p>
      <w:pPr>
        <w:spacing w:after="0" w:line="166" w:lineRule="exact"/>
        <w:rPr>
          <w:sz w:val="20"/>
          <w:szCs w:val="20"/>
          <w:color w:val="auto"/>
        </w:rPr>
      </w:pPr>
    </w:p>
    <w:p>
      <w:pPr>
        <w:jc w:val="both"/>
        <w:ind w:left="560" w:right="20"/>
        <w:spacing w:after="0" w:line="241" w:lineRule="auto"/>
        <w:rPr>
          <w:sz w:val="20"/>
          <w:szCs w:val="20"/>
          <w:color w:val="auto"/>
        </w:rPr>
      </w:pPr>
      <w:r>
        <w:rPr>
          <w:rFonts w:ascii="Arial" w:cs="Arial" w:eastAsia="Arial" w:hAnsi="Arial"/>
          <w:sz w:val="19"/>
          <w:szCs w:val="19"/>
          <w:color w:val="auto"/>
        </w:rPr>
        <w:t>Re: Loan and Security Agreement dated September 25, 2020 (the “Agreement”) by and among Axsome Therapeutics, Inc., a Delaware corporation and each of its Subsidiaries (as defined therein) other than Excluded Subsidiaries (as defined therein) (individually and collectively, “Borrower”), and Hercules Capital, Inc., as agent (“Company”) and the lenders party thereto (collectively, the “Lenders”)</w:t>
      </w:r>
    </w:p>
    <w:p>
      <w:pPr>
        <w:spacing w:after="0" w:line="160" w:lineRule="exact"/>
        <w:rPr>
          <w:sz w:val="20"/>
          <w:szCs w:val="20"/>
          <w:color w:val="auto"/>
        </w:rPr>
      </w:pPr>
    </w:p>
    <w:p>
      <w:pPr>
        <w:jc w:val="both"/>
        <w:ind w:right="20"/>
        <w:spacing w:after="0" w:line="241" w:lineRule="auto"/>
        <w:rPr>
          <w:sz w:val="20"/>
          <w:szCs w:val="20"/>
          <w:color w:val="auto"/>
        </w:rPr>
      </w:pPr>
      <w:r>
        <w:rPr>
          <w:rFonts w:ascii="Arial" w:cs="Arial" w:eastAsia="Arial" w:hAnsi="Arial"/>
          <w:sz w:val="19"/>
          <w:szCs w:val="19"/>
          <w:color w:val="auto"/>
        </w:rPr>
        <w:t>In connection with the above referenced Agreement, the Borrower hereby authorizes the Company to initiate debit entries for (i) the periodic payments due under the Agreement and (ii) reasonable, documented out-of-pocket legal fees and costs incurred by Agent or the Lenders pursuant to Section 11.12 of the Agreement to the Borrower’s account indicated below. The Borrower authorizes the depository institution named below to debit to such account.</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9"/>
          <w:szCs w:val="19"/>
          <w:color w:val="auto"/>
        </w:rPr>
        <w:t>[IF FILED PUBLICLY, ACCOUNT INFO REDACTED FOR SECURITY PURPOSES]</w:t>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498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9"/>
                <w:szCs w:val="19"/>
                <w:color w:val="auto"/>
              </w:rPr>
              <w:t>DEPOSITORY NAME</w:t>
            </w:r>
          </w:p>
        </w:tc>
        <w:tc>
          <w:tcPr>
            <w:tcW w:w="49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BRANCH</w:t>
            </w:r>
          </w:p>
        </w:tc>
      </w:tr>
      <w:tr>
        <w:trPr>
          <w:trHeight w:val="196"/>
        </w:trPr>
        <w:tc>
          <w:tcPr>
            <w:tcW w:w="4980" w:type="dxa"/>
            <w:vAlign w:val="bottom"/>
            <w:tcBorders>
              <w:left w:val="single" w:sz="8" w:color="auto"/>
              <w:bottom w:val="single" w:sz="8" w:color="auto"/>
              <w:right w:val="single" w:sz="8" w:color="auto"/>
            </w:tcBorders>
          </w:tcPr>
          <w:p>
            <w:pPr>
              <w:spacing w:after="0"/>
              <w:rPr>
                <w:sz w:val="17"/>
                <w:szCs w:val="17"/>
                <w:color w:val="auto"/>
              </w:rPr>
            </w:pPr>
          </w:p>
        </w:tc>
        <w:tc>
          <w:tcPr>
            <w:tcW w:w="4980" w:type="dxa"/>
            <w:vAlign w:val="bottom"/>
            <w:tcBorders>
              <w:bottom w:val="single" w:sz="8" w:color="auto"/>
              <w:right w:val="single" w:sz="8" w:color="auto"/>
            </w:tcBorders>
          </w:tcPr>
          <w:p>
            <w:pPr>
              <w:spacing w:after="0"/>
              <w:rPr>
                <w:sz w:val="17"/>
                <w:szCs w:val="17"/>
                <w:color w:val="auto"/>
              </w:rPr>
            </w:pPr>
          </w:p>
        </w:tc>
      </w:tr>
      <w:tr>
        <w:trPr>
          <w:trHeight w:val="232"/>
        </w:trPr>
        <w:tc>
          <w:tcPr>
            <w:tcW w:w="49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9"/>
                <w:szCs w:val="19"/>
                <w:color w:val="auto"/>
              </w:rPr>
              <w:t>CITY</w:t>
            </w:r>
          </w:p>
        </w:tc>
        <w:tc>
          <w:tcPr>
            <w:tcW w:w="4980" w:type="dxa"/>
            <w:vAlign w:val="bottom"/>
            <w:tcBorders>
              <w:right w:val="single" w:sz="8" w:color="auto"/>
            </w:tcBorders>
          </w:tcPr>
          <w:p>
            <w:pPr>
              <w:ind w:left="80"/>
              <w:spacing w:after="0"/>
              <w:rPr>
                <w:sz w:val="20"/>
                <w:szCs w:val="20"/>
                <w:color w:val="auto"/>
              </w:rPr>
            </w:pPr>
            <w:r>
              <w:rPr>
                <w:rFonts w:ascii="Arial" w:cs="Arial" w:eastAsia="Arial" w:hAnsi="Arial"/>
                <w:sz w:val="19"/>
                <w:szCs w:val="19"/>
                <w:color w:val="auto"/>
              </w:rPr>
              <w:t>STATE AND ZIP CODE</w:t>
            </w:r>
          </w:p>
        </w:tc>
      </w:tr>
      <w:tr>
        <w:trPr>
          <w:trHeight w:val="196"/>
        </w:trPr>
        <w:tc>
          <w:tcPr>
            <w:tcW w:w="4980" w:type="dxa"/>
            <w:vAlign w:val="bottom"/>
            <w:tcBorders>
              <w:left w:val="single" w:sz="8" w:color="auto"/>
              <w:bottom w:val="single" w:sz="8" w:color="auto"/>
              <w:right w:val="single" w:sz="8" w:color="auto"/>
            </w:tcBorders>
          </w:tcPr>
          <w:p>
            <w:pPr>
              <w:spacing w:after="0"/>
              <w:rPr>
                <w:sz w:val="17"/>
                <w:szCs w:val="17"/>
                <w:color w:val="auto"/>
              </w:rPr>
            </w:pPr>
          </w:p>
        </w:tc>
        <w:tc>
          <w:tcPr>
            <w:tcW w:w="4980" w:type="dxa"/>
            <w:vAlign w:val="bottom"/>
            <w:tcBorders>
              <w:bottom w:val="single" w:sz="8" w:color="auto"/>
              <w:right w:val="single" w:sz="8" w:color="auto"/>
            </w:tcBorders>
          </w:tcPr>
          <w:p>
            <w:pPr>
              <w:spacing w:after="0"/>
              <w:rPr>
                <w:sz w:val="17"/>
                <w:szCs w:val="17"/>
                <w:color w:val="auto"/>
              </w:rPr>
            </w:pPr>
          </w:p>
        </w:tc>
      </w:tr>
      <w:tr>
        <w:trPr>
          <w:trHeight w:val="232"/>
        </w:trPr>
        <w:tc>
          <w:tcPr>
            <w:tcW w:w="49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9"/>
                <w:szCs w:val="19"/>
                <w:color w:val="auto"/>
              </w:rPr>
              <w:t>TRANSIT/ABA NUMBER</w:t>
            </w:r>
          </w:p>
        </w:tc>
        <w:tc>
          <w:tcPr>
            <w:tcW w:w="4980" w:type="dxa"/>
            <w:vAlign w:val="bottom"/>
            <w:tcBorders>
              <w:right w:val="single" w:sz="8" w:color="auto"/>
            </w:tcBorders>
          </w:tcPr>
          <w:p>
            <w:pPr>
              <w:ind w:left="80"/>
              <w:spacing w:after="0"/>
              <w:rPr>
                <w:sz w:val="20"/>
                <w:szCs w:val="20"/>
                <w:color w:val="auto"/>
              </w:rPr>
            </w:pPr>
            <w:r>
              <w:rPr>
                <w:rFonts w:ascii="Arial" w:cs="Arial" w:eastAsia="Arial" w:hAnsi="Arial"/>
                <w:sz w:val="19"/>
                <w:szCs w:val="19"/>
                <w:color w:val="auto"/>
              </w:rPr>
              <w:t>ACCOUNT NUMBER</w:t>
            </w:r>
          </w:p>
        </w:tc>
      </w:tr>
      <w:tr>
        <w:trPr>
          <w:trHeight w:val="196"/>
        </w:trPr>
        <w:tc>
          <w:tcPr>
            <w:tcW w:w="4980" w:type="dxa"/>
            <w:vAlign w:val="bottom"/>
            <w:tcBorders>
              <w:left w:val="single" w:sz="8" w:color="auto"/>
              <w:bottom w:val="single" w:sz="8" w:color="auto"/>
              <w:right w:val="single" w:sz="8" w:color="auto"/>
            </w:tcBorders>
          </w:tcPr>
          <w:p>
            <w:pPr>
              <w:spacing w:after="0"/>
              <w:rPr>
                <w:sz w:val="17"/>
                <w:szCs w:val="17"/>
                <w:color w:val="auto"/>
              </w:rPr>
            </w:pPr>
          </w:p>
        </w:tc>
        <w:tc>
          <w:tcPr>
            <w:tcW w:w="4980" w:type="dxa"/>
            <w:vAlign w:val="bottom"/>
            <w:tcBorders>
              <w:bottom w:val="single" w:sz="8" w:color="auto"/>
              <w:right w:val="single" w:sz="8" w:color="auto"/>
            </w:tcBorders>
          </w:tcPr>
          <w:p>
            <w:pPr>
              <w:spacing w:after="0"/>
              <w:rPr>
                <w:sz w:val="17"/>
                <w:szCs w:val="17"/>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9"/>
          <w:szCs w:val="19"/>
          <w:color w:val="auto"/>
        </w:rPr>
        <w:t>This authority will remain in full force and effect so long as any amounts are due under the Agreement.</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9"/>
          <w:szCs w:val="19"/>
          <w:color w:val="auto"/>
        </w:rPr>
        <w:t>(Borrower)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-133350</wp:posOffset>
            </wp:positionV>
            <wp:extent cx="3121660" cy="76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3121660" cy="762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wp:posOffset>
            </wp:positionH>
            <wp:positionV relativeFrom="paragraph">
              <wp:posOffset>8255</wp:posOffset>
            </wp:positionV>
            <wp:extent cx="2650490" cy="76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2650490" cy="7620"/>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wp:posOffset>
            </wp:positionH>
            <wp:positionV relativeFrom="paragraph">
              <wp:posOffset>8255</wp:posOffset>
            </wp:positionV>
            <wp:extent cx="2650490" cy="76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2650490" cy="7620"/>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9"/>
          <w:szCs w:val="19"/>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943610</wp:posOffset>
            </wp:positionV>
            <wp:extent cx="6311265" cy="2222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6311265" cy="22225"/>
                    </a:xfrm>
                    <a:prstGeom prst="rect">
                      <a:avLst/>
                    </a:prstGeom>
                    <a:noFill/>
                  </pic:spPr>
                </pic:pic>
              </a:graphicData>
            </a:graphic>
          </wp:anchor>
        </w:drawing>
        <w:drawing>
          <wp:anchor simplePos="0" relativeHeight="251657728" behindDoc="1" locked="0" layoutInCell="0" allowOverlap="1">
            <wp:simplePos x="0" y="0"/>
            <wp:positionH relativeFrom="column">
              <wp:posOffset>475615</wp:posOffset>
            </wp:positionH>
            <wp:positionV relativeFrom="paragraph">
              <wp:posOffset>8255</wp:posOffset>
            </wp:positionV>
            <wp:extent cx="2650490" cy="76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2650490" cy="7620"/>
                    </a:xfrm>
                    <a:prstGeom prst="rect">
                      <a:avLst/>
                    </a:prstGeom>
                    <a:noFill/>
                  </pic:spPr>
                </pic:pic>
              </a:graphicData>
            </a:graphic>
          </wp:anchor>
        </w:drawing>
      </w:r>
    </w:p>
    <w:p>
      <w:pPr>
        <w:sectPr>
          <w:pgSz w:w="11900" w:h="16838" w:orient="portrait"/>
          <w:cols w:equalWidth="0" w:num="1">
            <w:col w:w="9940"/>
          </w:cols>
          <w:pgMar w:left="980" w:top="775" w:right="979" w:bottom="1440" w:gutter="0" w:footer="0" w:header="0"/>
        </w:sectPr>
      </w:pPr>
    </w:p>
    <w:bookmarkStart w:id="204" w:name="page205"/>
    <w:bookmarkEnd w:id="204"/>
    <w:p>
      <w:pPr>
        <w:jc w:val="center"/>
        <w:ind w:right="19"/>
        <w:spacing w:after="0"/>
        <w:rPr>
          <w:sz w:val="20"/>
          <w:szCs w:val="20"/>
          <w:color w:val="auto"/>
        </w:rPr>
      </w:pPr>
      <w:r>
        <w:rPr>
          <w:rFonts w:ascii="Arial" w:cs="Arial" w:eastAsia="Arial" w:hAnsi="Arial"/>
          <w:sz w:val="19"/>
          <w:szCs w:val="19"/>
          <w:b w:val="1"/>
          <w:bCs w:val="1"/>
          <w:color w:val="auto"/>
        </w:rPr>
        <w:t>EXHIBIT I</w:t>
      </w:r>
    </w:p>
    <w:p>
      <w:pPr>
        <w:sectPr>
          <w:pgSz w:w="11900" w:h="16838" w:orient="portrait"/>
          <w:cols w:equalWidth="0" w:num="1">
            <w:col w:w="9019"/>
          </w:cols>
          <w:pgMar w:left="1440" w:top="775" w:right="1440" w:bottom="144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951230</wp:posOffset>
            </wp:positionV>
            <wp:extent cx="6311265" cy="2222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019"/>
          </w:cols>
          <w:pgMar w:left="1440" w:top="775" w:right="1440" w:bottom="1440" w:gutter="0" w:footer="0" w:header="0"/>
          <w:type w:val="continuous"/>
        </w:sectPr>
      </w:pPr>
    </w:p>
    <w:bookmarkStart w:id="205" w:name="page206"/>
    <w:bookmarkEnd w:id="205"/>
    <w:p>
      <w:pPr>
        <w:jc w:val="center"/>
        <w:spacing w:after="0"/>
        <w:rPr>
          <w:sz w:val="20"/>
          <w:szCs w:val="20"/>
          <w:color w:val="auto"/>
        </w:rPr>
      </w:pPr>
      <w:r>
        <w:rPr>
          <w:rFonts w:ascii="Arial" w:cs="Arial" w:eastAsia="Arial" w:hAnsi="Arial"/>
          <w:sz w:val="19"/>
          <w:szCs w:val="19"/>
          <w:b w:val="1"/>
          <w:bCs w:val="1"/>
          <w:color w:val="auto"/>
        </w:rPr>
        <w:t>EXHIBIT J-1</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FORM OF U.S. TAX COMPLIANCE CERTIFICATE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(For Foreign Lenders That Are Not Partnerships For U.S. Federal Income Tax Purposes)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Reference is hereby made to the Loan and Security Agreement dated as of ________ ___, 20___ (as amended,</w:t>
      </w:r>
    </w:p>
    <w:p>
      <w:pPr>
        <w:spacing w:after="0" w:line="21" w:lineRule="exact"/>
        <w:rPr>
          <w:sz w:val="20"/>
          <w:szCs w:val="20"/>
          <w:color w:val="auto"/>
        </w:rPr>
      </w:pPr>
    </w:p>
    <w:p>
      <w:pPr>
        <w:jc w:val="both"/>
        <w:spacing w:after="0" w:line="235" w:lineRule="auto"/>
        <w:rPr>
          <w:sz w:val="20"/>
          <w:szCs w:val="20"/>
          <w:color w:val="auto"/>
        </w:rPr>
      </w:pPr>
      <w:r>
        <w:rPr>
          <w:rFonts w:ascii="Arial" w:cs="Arial" w:eastAsia="Arial" w:hAnsi="Arial"/>
          <w:sz w:val="19"/>
          <w:szCs w:val="19"/>
          <w:color w:val="auto"/>
        </w:rPr>
        <w:t>supplemented or otherwise modified from time to time, the “Loan Agreement”) by and among Axsome Therapeutics, Inc., a Delaware corporation and each of its Subsidiaries (as defined in the Loan Agreement) other than Excluded Subsidiaries (as defined in the Loan Agreement) (hereinafter collectively referred to as the “Borrower”), the several banks and other financial institutions or entities from time to time parties to the Loan Agreement (collectively, referred to as the “Lenders”), and HERCULES CAPITAL, INC., a Maryland corporation, in its capacity as administrative agent and collateral agent for itself and the Lenders (in such capacity, the “Agent”).</w:t>
      </w:r>
    </w:p>
    <w:p>
      <w:pPr>
        <w:spacing w:after="0" w:line="162" w:lineRule="exact"/>
        <w:rPr>
          <w:sz w:val="20"/>
          <w:szCs w:val="20"/>
          <w:color w:val="auto"/>
        </w:rPr>
      </w:pPr>
    </w:p>
    <w:p>
      <w:pPr>
        <w:jc w:val="both"/>
        <w:ind w:firstLine="566"/>
        <w:spacing w:after="0" w:line="255" w:lineRule="auto"/>
        <w:rPr>
          <w:sz w:val="20"/>
          <w:szCs w:val="20"/>
          <w:color w:val="auto"/>
        </w:rPr>
      </w:pPr>
      <w:r>
        <w:rPr>
          <w:rFonts w:ascii="Arial" w:cs="Arial" w:eastAsia="Arial" w:hAnsi="Arial"/>
          <w:sz w:val="18"/>
          <w:szCs w:val="18"/>
          <w:color w:val="auto"/>
        </w:rPr>
        <w:t>Pursuant to the provisions of Addendum 1 of the Loan Agreement, the undersigned hereby certifies that (i) it is the sole record and beneficial owner of the Loan(s) (as well as any promissory note(s) evidencing such Loan(s)) in respect of which it is providing this certificate, (ii) it is not a “bank” within the meaning of Section 881(c)(3)(A) of the Code, (iii) it is not a “ten percent shareholder” of the Borrower within the meaning of Section 871(h)(3)(B) of the Code and (iv) it is not a “controlled foreign corporation” related to the Borrower as described in Section 881(c)(3)(C) of the Code.</w:t>
      </w:r>
    </w:p>
    <w:p>
      <w:pPr>
        <w:spacing w:after="0" w:line="150" w:lineRule="exact"/>
        <w:rPr>
          <w:sz w:val="20"/>
          <w:szCs w:val="20"/>
          <w:color w:val="auto"/>
        </w:rPr>
      </w:pPr>
    </w:p>
    <w:p>
      <w:pPr>
        <w:jc w:val="both"/>
        <w:ind w:firstLine="566"/>
        <w:spacing w:after="0" w:line="274" w:lineRule="auto"/>
        <w:rPr>
          <w:sz w:val="20"/>
          <w:szCs w:val="20"/>
          <w:color w:val="auto"/>
        </w:rPr>
      </w:pPr>
      <w:r>
        <w:rPr>
          <w:rFonts w:ascii="Arial" w:cs="Arial" w:eastAsia="Arial" w:hAnsi="Arial"/>
          <w:sz w:val="17"/>
          <w:szCs w:val="17"/>
          <w:color w:val="auto"/>
        </w:rPr>
        <w:t>The undersigned has furnished the Agent and the Borrower with a certificate of its non-U.S. Person status on IRS Form W-8BEN or IRS Form W-8BEN-E. By executing this certificate, the undersigned agrees that (1) if the information provided in this certificate changes, the undersigned shall promptly so inform the Borrower and the Agent, and (2) the undersigned shall have at all times furnished the Borrower and the Agent with a properly completed and currently effective certificate in either the calendar year in which each payment is to be made to the undersigned, or in either of the two calendar years preceding such payments.</w:t>
      </w:r>
    </w:p>
    <w:p>
      <w:pPr>
        <w:spacing w:after="0" w:line="134" w:lineRule="exact"/>
        <w:rPr>
          <w:sz w:val="20"/>
          <w:szCs w:val="20"/>
          <w:color w:val="auto"/>
        </w:rPr>
      </w:pPr>
    </w:p>
    <w:p>
      <w:pPr>
        <w:jc w:val="both"/>
        <w:ind w:right="20" w:firstLine="566"/>
        <w:spacing w:after="0" w:line="256" w:lineRule="auto"/>
        <w:rPr>
          <w:sz w:val="20"/>
          <w:szCs w:val="20"/>
          <w:color w:val="auto"/>
        </w:rPr>
      </w:pPr>
      <w:r>
        <w:rPr>
          <w:rFonts w:ascii="Arial" w:cs="Arial" w:eastAsia="Arial" w:hAnsi="Arial"/>
          <w:sz w:val="19"/>
          <w:szCs w:val="19"/>
          <w:color w:val="auto"/>
        </w:rPr>
        <w:t>Unless otherwise defined herein, terms defined in the Loan Agreement and used herein shall have the meanings given to them in the Loan Agreement.</w:t>
      </w:r>
    </w:p>
    <w:p>
      <w:pPr>
        <w:spacing w:after="0" w:line="147" w:lineRule="exact"/>
        <w:rPr>
          <w:sz w:val="20"/>
          <w:szCs w:val="20"/>
          <w:color w:val="auto"/>
        </w:rPr>
      </w:pPr>
    </w:p>
    <w:p>
      <w:pPr>
        <w:ind w:left="180"/>
        <w:spacing w:after="0"/>
        <w:tabs>
          <w:tab w:leader="none" w:pos="4740" w:val="left"/>
        </w:tabs>
        <w:rPr>
          <w:sz w:val="20"/>
          <w:szCs w:val="20"/>
          <w:color w:val="auto"/>
        </w:rPr>
      </w:pPr>
      <w:r>
        <w:rPr>
          <w:rFonts w:ascii="Arial" w:cs="Arial" w:eastAsia="Arial" w:hAnsi="Arial"/>
          <w:sz w:val="19"/>
          <w:szCs w:val="19"/>
          <w:color w:val="auto"/>
        </w:rPr>
        <w:t>Date: _____________ ___, 20___</w:t>
      </w:r>
      <w:r>
        <w:rPr>
          <w:sz w:val="20"/>
          <w:szCs w:val="20"/>
          <w:color w:val="auto"/>
        </w:rPr>
        <w:tab/>
      </w:r>
      <w:r>
        <w:rPr>
          <w:rFonts w:ascii="Arial" w:cs="Arial" w:eastAsia="Arial" w:hAnsi="Arial"/>
          <w:sz w:val="18"/>
          <w:szCs w:val="18"/>
          <w:color w:val="auto"/>
        </w:rPr>
        <w:t>[NAME OF LENDER]</w:t>
      </w:r>
    </w:p>
    <w:p>
      <w:pPr>
        <w:spacing w:after="0" w:line="206" w:lineRule="exact"/>
        <w:rPr>
          <w:sz w:val="20"/>
          <w:szCs w:val="20"/>
          <w:color w:val="auto"/>
        </w:rPr>
      </w:pPr>
    </w:p>
    <w:p>
      <w:pPr>
        <w:ind w:left="476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8255</wp:posOffset>
            </wp:positionV>
            <wp:extent cx="2762250" cy="76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2762250" cy="7620"/>
                    </a:xfrm>
                    <a:prstGeom prst="rect">
                      <a:avLst/>
                    </a:prstGeom>
                    <a:noFill/>
                  </pic:spPr>
                </pic:pic>
              </a:graphicData>
            </a:graphic>
          </wp:anchor>
        </w:drawing>
      </w:r>
    </w:p>
    <w:p>
      <w:pPr>
        <w:spacing w:after="0" w:line="2" w:lineRule="exact"/>
        <w:rPr>
          <w:sz w:val="20"/>
          <w:szCs w:val="20"/>
          <w:color w:val="auto"/>
        </w:rPr>
      </w:pPr>
    </w:p>
    <w:p>
      <w:pPr>
        <w:ind w:left="4760"/>
        <w:spacing w:after="0"/>
        <w:rPr>
          <w:sz w:val="20"/>
          <w:szCs w:val="20"/>
          <w:color w:val="auto"/>
        </w:rPr>
      </w:pPr>
      <w:r>
        <w:rPr>
          <w:rFonts w:ascii="Arial" w:cs="Arial" w:eastAsia="Arial" w:hAnsi="Arial"/>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-1270</wp:posOffset>
            </wp:positionV>
            <wp:extent cx="2762250" cy="76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2762250" cy="762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948690</wp:posOffset>
            </wp:positionV>
            <wp:extent cx="6311265" cy="2222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6311265" cy="2222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-1270</wp:posOffset>
            </wp:positionV>
            <wp:extent cx="2762250" cy="76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2762250" cy="7620"/>
                    </a:xfrm>
                    <a:prstGeom prst="rect">
                      <a:avLst/>
                    </a:prstGeom>
                    <a:noFill/>
                  </pic:spPr>
                </pic:pic>
              </a:graphicData>
            </a:graphic>
          </wp:anchor>
        </w:drawing>
      </w:r>
    </w:p>
    <w:p>
      <w:pPr>
        <w:sectPr>
          <w:pgSz w:w="11900" w:h="16838" w:orient="portrait"/>
          <w:cols w:equalWidth="0" w:num="1">
            <w:col w:w="9940"/>
          </w:cols>
          <w:pgMar w:left="980" w:top="774" w:right="979" w:bottom="1440" w:gutter="0" w:footer="0" w:header="0"/>
        </w:sectPr>
      </w:pPr>
    </w:p>
    <w:bookmarkStart w:id="206" w:name="page207"/>
    <w:bookmarkEnd w:id="206"/>
    <w:p>
      <w:pPr>
        <w:jc w:val="center"/>
        <w:spacing w:after="0"/>
        <w:rPr>
          <w:sz w:val="20"/>
          <w:szCs w:val="20"/>
          <w:color w:val="auto"/>
        </w:rPr>
      </w:pPr>
      <w:r>
        <w:rPr>
          <w:rFonts w:ascii="Arial" w:cs="Arial" w:eastAsia="Arial" w:hAnsi="Arial"/>
          <w:sz w:val="19"/>
          <w:szCs w:val="19"/>
          <w:b w:val="1"/>
          <w:bCs w:val="1"/>
          <w:color w:val="auto"/>
        </w:rPr>
        <w:t>EXHIBIT J-2</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FORM OF U.S. TAX COMPLIANCE CERTIFICATE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(For Foreign Participants That Are Not Partnerships For U.S. Federal Income Tax Purposes)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Reference is hereby made to the Loan and Security Agreement dated as of ________ ___, 20___ (as amended,</w:t>
      </w:r>
    </w:p>
    <w:p>
      <w:pPr>
        <w:spacing w:after="0" w:line="21" w:lineRule="exact"/>
        <w:rPr>
          <w:sz w:val="20"/>
          <w:szCs w:val="20"/>
          <w:color w:val="auto"/>
        </w:rPr>
      </w:pPr>
    </w:p>
    <w:p>
      <w:pPr>
        <w:jc w:val="both"/>
        <w:spacing w:after="0" w:line="235" w:lineRule="auto"/>
        <w:rPr>
          <w:sz w:val="20"/>
          <w:szCs w:val="20"/>
          <w:color w:val="auto"/>
        </w:rPr>
      </w:pPr>
      <w:r>
        <w:rPr>
          <w:rFonts w:ascii="Arial" w:cs="Arial" w:eastAsia="Arial" w:hAnsi="Arial"/>
          <w:sz w:val="19"/>
          <w:szCs w:val="19"/>
          <w:color w:val="auto"/>
        </w:rPr>
        <w:t>supplemented or otherwise modified from time to time, the “Loan Agreement”) by and among Axsome Therapeutics, Inc., a Delaware corporation and each of its Subsidiaries (as defined in the Loan Agreement) other than Excluded Subsidiaries (as defined in the Loan Agreement) (hereinafter collectively referred to as the “Borrower”), the several banks and other financial institutions or entities from time to time parties to the Loan Agreement (collectively, referred to as the “Lenders”), and HERCULES CAPITAL, INC., a Maryland corporation, in its capacity as administrative agent and collateral agent for itself and the Lenders (in such capacity, the “Agent”).</w:t>
      </w:r>
    </w:p>
    <w:p>
      <w:pPr>
        <w:spacing w:after="0" w:line="162" w:lineRule="exact"/>
        <w:rPr>
          <w:sz w:val="20"/>
          <w:szCs w:val="20"/>
          <w:color w:val="auto"/>
        </w:rPr>
      </w:pPr>
    </w:p>
    <w:p>
      <w:pPr>
        <w:jc w:val="both"/>
        <w:ind w:firstLine="566"/>
        <w:spacing w:after="0" w:line="239" w:lineRule="auto"/>
        <w:rPr>
          <w:sz w:val="20"/>
          <w:szCs w:val="20"/>
          <w:color w:val="auto"/>
        </w:rPr>
      </w:pPr>
      <w:r>
        <w:rPr>
          <w:rFonts w:ascii="Arial" w:cs="Arial" w:eastAsia="Arial" w:hAnsi="Arial"/>
          <w:sz w:val="19"/>
          <w:szCs w:val="19"/>
          <w:color w:val="auto"/>
        </w:rPr>
        <w:t>Pursuant to the provisions of Addendum 1 of the Loan Agreement, the undersigned hereby certifies that (i) it is the sole record and beneficial owner of the participation in respect of which it is providing this certificate, (ii) it is not a “bank” within the meaning of Section 881(c)(3)(A) of the Code, (iii) it is not a “ten percent shareholder” of the Borrower within the meaning of Section 871(h)(3)(B) of the Code and (iv) it is not a “controlled foreign corporation” related to the Borrower as described in Section 881(c)(3)(C) of the Code.</w:t>
      </w:r>
    </w:p>
    <w:p>
      <w:pPr>
        <w:spacing w:after="0" w:line="162" w:lineRule="exact"/>
        <w:rPr>
          <w:sz w:val="20"/>
          <w:szCs w:val="20"/>
          <w:color w:val="auto"/>
        </w:rPr>
      </w:pPr>
    </w:p>
    <w:p>
      <w:pPr>
        <w:jc w:val="both"/>
        <w:ind w:firstLine="566"/>
        <w:spacing w:after="0" w:line="255" w:lineRule="auto"/>
        <w:rPr>
          <w:sz w:val="20"/>
          <w:szCs w:val="20"/>
          <w:color w:val="auto"/>
        </w:rPr>
      </w:pPr>
      <w:r>
        <w:rPr>
          <w:rFonts w:ascii="Arial" w:cs="Arial" w:eastAsia="Arial" w:hAnsi="Arial"/>
          <w:sz w:val="18"/>
          <w:szCs w:val="18"/>
          <w:color w:val="auto"/>
        </w:rPr>
        <w:t>The undersigned has furnished its participating Lender with a certificate of its non-U.S. Person status on IRS Form W-8BEN or IRS Form W-8BEN-E. By executing this certificate, the undersigned agrees that (1) if the information provided in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50" w:lineRule="exact"/>
        <w:rPr>
          <w:sz w:val="20"/>
          <w:szCs w:val="20"/>
          <w:color w:val="auto"/>
        </w:rPr>
      </w:pPr>
    </w:p>
    <w:p>
      <w:pPr>
        <w:jc w:val="both"/>
        <w:ind w:right="20" w:firstLine="566"/>
        <w:spacing w:after="0" w:line="256" w:lineRule="auto"/>
        <w:rPr>
          <w:sz w:val="20"/>
          <w:szCs w:val="20"/>
          <w:color w:val="auto"/>
        </w:rPr>
      </w:pPr>
      <w:r>
        <w:rPr>
          <w:rFonts w:ascii="Arial" w:cs="Arial" w:eastAsia="Arial" w:hAnsi="Arial"/>
          <w:sz w:val="19"/>
          <w:szCs w:val="19"/>
          <w:color w:val="auto"/>
        </w:rPr>
        <w:t>Unless otherwise defined herein, terms defined in the Loan Agreement and used herein shall have the meanings given to them in the Loan Agreement.</w:t>
      </w:r>
    </w:p>
    <w:p>
      <w:pPr>
        <w:spacing w:after="0" w:line="359" w:lineRule="exact"/>
        <w:rPr>
          <w:sz w:val="20"/>
          <w:szCs w:val="20"/>
          <w:color w:val="auto"/>
        </w:rPr>
      </w:pPr>
    </w:p>
    <w:p>
      <w:pPr>
        <w:ind w:left="180"/>
        <w:spacing w:after="0"/>
        <w:tabs>
          <w:tab w:leader="none" w:pos="4740" w:val="left"/>
        </w:tabs>
        <w:rPr>
          <w:sz w:val="20"/>
          <w:szCs w:val="20"/>
          <w:color w:val="auto"/>
        </w:rPr>
      </w:pPr>
      <w:r>
        <w:rPr>
          <w:rFonts w:ascii="Arial" w:cs="Arial" w:eastAsia="Arial" w:hAnsi="Arial"/>
          <w:sz w:val="19"/>
          <w:szCs w:val="19"/>
          <w:color w:val="auto"/>
        </w:rPr>
        <w:t>Date: _____________ ___, 20___</w:t>
      </w:r>
      <w:r>
        <w:rPr>
          <w:sz w:val="20"/>
          <w:szCs w:val="20"/>
          <w:color w:val="auto"/>
        </w:rPr>
        <w:tab/>
      </w:r>
      <w:r>
        <w:rPr>
          <w:rFonts w:ascii="Arial" w:cs="Arial" w:eastAsia="Arial" w:hAnsi="Arial"/>
          <w:sz w:val="18"/>
          <w:szCs w:val="18"/>
          <w:color w:val="auto"/>
        </w:rPr>
        <w:t>[NAME OF PARTICIPANT]</w:t>
      </w:r>
    </w:p>
    <w:p>
      <w:pPr>
        <w:spacing w:after="0" w:line="206" w:lineRule="exact"/>
        <w:rPr>
          <w:sz w:val="20"/>
          <w:szCs w:val="20"/>
          <w:color w:val="auto"/>
        </w:rPr>
      </w:pPr>
    </w:p>
    <w:p>
      <w:pPr>
        <w:ind w:left="476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8255</wp:posOffset>
            </wp:positionV>
            <wp:extent cx="2762250" cy="762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2762250" cy="7620"/>
                    </a:xfrm>
                    <a:prstGeom prst="rect">
                      <a:avLst/>
                    </a:prstGeom>
                    <a:noFill/>
                  </pic:spPr>
                </pic:pic>
              </a:graphicData>
            </a:graphic>
          </wp:anchor>
        </w:drawing>
      </w:r>
    </w:p>
    <w:p>
      <w:pPr>
        <w:spacing w:after="0" w:line="2" w:lineRule="exact"/>
        <w:rPr>
          <w:sz w:val="20"/>
          <w:szCs w:val="20"/>
          <w:color w:val="auto"/>
        </w:rPr>
      </w:pPr>
    </w:p>
    <w:p>
      <w:pPr>
        <w:ind w:left="4760"/>
        <w:spacing w:after="0"/>
        <w:rPr>
          <w:sz w:val="20"/>
          <w:szCs w:val="20"/>
          <w:color w:val="auto"/>
        </w:rPr>
      </w:pPr>
      <w:r>
        <w:rPr>
          <w:rFonts w:ascii="Arial" w:cs="Arial" w:eastAsia="Arial" w:hAnsi="Arial"/>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-1270</wp:posOffset>
            </wp:positionV>
            <wp:extent cx="2762250" cy="76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2762250" cy="762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948690</wp:posOffset>
            </wp:positionV>
            <wp:extent cx="6311265" cy="2222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6311265" cy="2222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-1270</wp:posOffset>
            </wp:positionV>
            <wp:extent cx="2762250" cy="76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2762250" cy="7620"/>
                    </a:xfrm>
                    <a:prstGeom prst="rect">
                      <a:avLst/>
                    </a:prstGeom>
                    <a:noFill/>
                  </pic:spPr>
                </pic:pic>
              </a:graphicData>
            </a:graphic>
          </wp:anchor>
        </w:drawing>
      </w:r>
    </w:p>
    <w:p>
      <w:pPr>
        <w:sectPr>
          <w:pgSz w:w="11900" w:h="16838" w:orient="portrait"/>
          <w:cols w:equalWidth="0" w:num="1">
            <w:col w:w="9940"/>
          </w:cols>
          <w:pgMar w:left="980" w:top="774" w:right="979" w:bottom="1440" w:gutter="0" w:footer="0" w:header="0"/>
        </w:sectPr>
      </w:pPr>
    </w:p>
    <w:bookmarkStart w:id="207" w:name="page208"/>
    <w:bookmarkEnd w:id="207"/>
    <w:p>
      <w:pPr>
        <w:jc w:val="center"/>
        <w:spacing w:after="0"/>
        <w:rPr>
          <w:sz w:val="20"/>
          <w:szCs w:val="20"/>
          <w:color w:val="auto"/>
        </w:rPr>
      </w:pPr>
      <w:r>
        <w:rPr>
          <w:rFonts w:ascii="Arial" w:cs="Arial" w:eastAsia="Arial" w:hAnsi="Arial"/>
          <w:sz w:val="19"/>
          <w:szCs w:val="19"/>
          <w:b w:val="1"/>
          <w:bCs w:val="1"/>
          <w:color w:val="auto"/>
        </w:rPr>
        <w:t>EXHIBIT J-3</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FORM OF U.S. TAX COMPLIANCE CERTIFICATE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(For Foreign Participants That Are Partnerships For U.S. Federal Income Tax Purposes)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Reference is hereby made to the Loan and Security Agreement dated as of ________ ___, 20___ (as amended,</w:t>
      </w:r>
    </w:p>
    <w:p>
      <w:pPr>
        <w:spacing w:after="0" w:line="21" w:lineRule="exact"/>
        <w:rPr>
          <w:sz w:val="20"/>
          <w:szCs w:val="20"/>
          <w:color w:val="auto"/>
        </w:rPr>
      </w:pPr>
    </w:p>
    <w:p>
      <w:pPr>
        <w:jc w:val="both"/>
        <w:spacing w:after="0" w:line="235" w:lineRule="auto"/>
        <w:rPr>
          <w:sz w:val="20"/>
          <w:szCs w:val="20"/>
          <w:color w:val="auto"/>
        </w:rPr>
      </w:pPr>
      <w:r>
        <w:rPr>
          <w:rFonts w:ascii="Arial" w:cs="Arial" w:eastAsia="Arial" w:hAnsi="Arial"/>
          <w:sz w:val="19"/>
          <w:szCs w:val="19"/>
          <w:color w:val="auto"/>
        </w:rPr>
        <w:t>supplemented or otherwise modified from time to time, the “Loan Agreement”) by and among Axsome Therapeutics, Inc., a Delaware corporation and each of its Subsidiaries (as defined in the Loan Agreement) other than Excluded Subsidiaries (as defined in the Loan Agreement) (hereinafter collectively referred to as the “Borrower”), the several banks and other financial institutions or entities from time to time parties to the Loan Agreement (collectively, referred to as the “Lenders”), and HERCULES CAPITAL, INC., a Maryland corporation, in its capacity as administrative agent and collateral agent for itself and the Lenders (in such capacity, the “Agent”).</w:t>
      </w:r>
    </w:p>
    <w:p>
      <w:pPr>
        <w:spacing w:after="0" w:line="162" w:lineRule="exact"/>
        <w:rPr>
          <w:sz w:val="20"/>
          <w:szCs w:val="20"/>
          <w:color w:val="auto"/>
        </w:rPr>
      </w:pPr>
    </w:p>
    <w:p>
      <w:pPr>
        <w:jc w:val="both"/>
        <w:ind w:firstLine="566"/>
        <w:spacing w:after="0" w:line="236" w:lineRule="auto"/>
        <w:rPr>
          <w:sz w:val="20"/>
          <w:szCs w:val="20"/>
          <w:color w:val="auto"/>
        </w:rPr>
      </w:pPr>
      <w:r>
        <w:rPr>
          <w:rFonts w:ascii="Arial" w:cs="Arial" w:eastAsia="Arial" w:hAnsi="Arial"/>
          <w:sz w:val="19"/>
          <w:szCs w:val="19"/>
          <w:color w:val="auto"/>
        </w:rPr>
        <w:t>Pursuant to the provisions of Addendum 1 of the Loan Agreement, the undersigned hereby certifies that (i) it is the sole record owner of the participation in respect of which it is providing this certificate, (ii) its direct or indirect partners/members are the sole beneficial owners of such participation, (iii) with respect to such participation,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Borrower within the meaning of Section 871(h)(3)(B) of the Code and (v) none of its direct or indirect partners/members is a “controlled foreign corporation” related to the Borrower as described in Section 881(c)(3)(C) of the Code.</w:t>
      </w:r>
    </w:p>
    <w:p>
      <w:pPr>
        <w:spacing w:after="0" w:line="168" w:lineRule="exact"/>
        <w:rPr>
          <w:sz w:val="20"/>
          <w:szCs w:val="20"/>
          <w:color w:val="auto"/>
        </w:rPr>
      </w:pPr>
    </w:p>
    <w:p>
      <w:pPr>
        <w:jc w:val="both"/>
        <w:ind w:right="20" w:firstLine="566"/>
        <w:spacing w:after="0" w:line="236" w:lineRule="auto"/>
        <w:rPr>
          <w:sz w:val="20"/>
          <w:szCs w:val="20"/>
          <w:color w:val="auto"/>
        </w:rPr>
      </w:pPr>
      <w:r>
        <w:rPr>
          <w:rFonts w:ascii="Arial" w:cs="Arial" w:eastAsia="Arial" w:hAnsi="Arial"/>
          <w:sz w:val="19"/>
          <w:szCs w:val="19"/>
          <w:color w:val="auto"/>
        </w:rPr>
        <w:t>The undersigned has furnished its participating Lender with IRS Form W-8IMY accompanied by one of the following forms from each of its partners/members that is claiming the portfolio interest exemption: (i) an IRS Form W-8BEN or IRS Form W-8BEN-E or (ii) an IRS Form W-8IMY accompanied by an IRS Form W-8BEN or IRS Form W-8BEN-E from each of such partner’s/member’s beneficial owners that is claiming the portfolio interest exemption. By executing this certificate, the undersigned agrees that (1) if the information provided in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68" w:lineRule="exact"/>
        <w:rPr>
          <w:sz w:val="20"/>
          <w:szCs w:val="20"/>
          <w:color w:val="auto"/>
        </w:rPr>
      </w:pPr>
    </w:p>
    <w:p>
      <w:pPr>
        <w:jc w:val="both"/>
        <w:ind w:right="20" w:firstLine="566"/>
        <w:spacing w:after="0" w:line="256" w:lineRule="auto"/>
        <w:rPr>
          <w:sz w:val="20"/>
          <w:szCs w:val="20"/>
          <w:color w:val="auto"/>
        </w:rPr>
      </w:pPr>
      <w:r>
        <w:rPr>
          <w:rFonts w:ascii="Arial" w:cs="Arial" w:eastAsia="Arial" w:hAnsi="Arial"/>
          <w:sz w:val="19"/>
          <w:szCs w:val="19"/>
          <w:color w:val="auto"/>
        </w:rPr>
        <w:t>Unless otherwise defined herein, terms defined in the Loan Agreement and used herein shall have the meanings given to them in the Loan Agreement.</w:t>
      </w:r>
    </w:p>
    <w:p>
      <w:pPr>
        <w:spacing w:after="0" w:line="147" w:lineRule="exact"/>
        <w:rPr>
          <w:sz w:val="20"/>
          <w:szCs w:val="20"/>
          <w:color w:val="auto"/>
        </w:rPr>
      </w:pPr>
    </w:p>
    <w:p>
      <w:pPr>
        <w:ind w:left="180"/>
        <w:spacing w:after="0"/>
        <w:tabs>
          <w:tab w:leader="none" w:pos="4740" w:val="left"/>
        </w:tabs>
        <w:rPr>
          <w:sz w:val="20"/>
          <w:szCs w:val="20"/>
          <w:color w:val="auto"/>
        </w:rPr>
      </w:pPr>
      <w:r>
        <w:rPr>
          <w:rFonts w:ascii="Arial" w:cs="Arial" w:eastAsia="Arial" w:hAnsi="Arial"/>
          <w:sz w:val="19"/>
          <w:szCs w:val="19"/>
          <w:color w:val="auto"/>
        </w:rPr>
        <w:t>Date: _____________ ___, 20___</w:t>
      </w:r>
      <w:r>
        <w:rPr>
          <w:sz w:val="20"/>
          <w:szCs w:val="20"/>
          <w:color w:val="auto"/>
        </w:rPr>
        <w:tab/>
      </w:r>
      <w:r>
        <w:rPr>
          <w:rFonts w:ascii="Arial" w:cs="Arial" w:eastAsia="Arial" w:hAnsi="Arial"/>
          <w:sz w:val="18"/>
          <w:szCs w:val="18"/>
          <w:color w:val="auto"/>
        </w:rPr>
        <w:t>[NAME OF PARTICIPANT]</w:t>
      </w:r>
    </w:p>
    <w:p>
      <w:pPr>
        <w:spacing w:after="0" w:line="206" w:lineRule="exact"/>
        <w:rPr>
          <w:sz w:val="20"/>
          <w:szCs w:val="20"/>
          <w:color w:val="auto"/>
        </w:rPr>
      </w:pPr>
    </w:p>
    <w:p>
      <w:pPr>
        <w:ind w:left="476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8255</wp:posOffset>
            </wp:positionV>
            <wp:extent cx="2762250" cy="76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2762250" cy="7620"/>
                    </a:xfrm>
                    <a:prstGeom prst="rect">
                      <a:avLst/>
                    </a:prstGeom>
                    <a:noFill/>
                  </pic:spPr>
                </pic:pic>
              </a:graphicData>
            </a:graphic>
          </wp:anchor>
        </w:drawing>
      </w:r>
    </w:p>
    <w:p>
      <w:pPr>
        <w:spacing w:after="0" w:line="2" w:lineRule="exact"/>
        <w:rPr>
          <w:sz w:val="20"/>
          <w:szCs w:val="20"/>
          <w:color w:val="auto"/>
        </w:rPr>
      </w:pPr>
    </w:p>
    <w:p>
      <w:pPr>
        <w:ind w:left="4760"/>
        <w:spacing w:after="0"/>
        <w:rPr>
          <w:sz w:val="20"/>
          <w:szCs w:val="20"/>
          <w:color w:val="auto"/>
        </w:rPr>
      </w:pPr>
      <w:r>
        <w:rPr>
          <w:rFonts w:ascii="Arial" w:cs="Arial" w:eastAsia="Arial" w:hAnsi="Arial"/>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-1270</wp:posOffset>
            </wp:positionV>
            <wp:extent cx="2762250" cy="762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2762250" cy="762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948690</wp:posOffset>
            </wp:positionV>
            <wp:extent cx="6311265" cy="2222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6311265" cy="2222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-1270</wp:posOffset>
            </wp:positionV>
            <wp:extent cx="2762250" cy="76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2762250" cy="7620"/>
                    </a:xfrm>
                    <a:prstGeom prst="rect">
                      <a:avLst/>
                    </a:prstGeom>
                    <a:noFill/>
                  </pic:spPr>
                </pic:pic>
              </a:graphicData>
            </a:graphic>
          </wp:anchor>
        </w:drawing>
      </w:r>
    </w:p>
    <w:p>
      <w:pPr>
        <w:sectPr>
          <w:pgSz w:w="11900" w:h="16838" w:orient="portrait"/>
          <w:cols w:equalWidth="0" w:num="1">
            <w:col w:w="9940"/>
          </w:cols>
          <w:pgMar w:left="980" w:top="775" w:right="979" w:bottom="1440" w:gutter="0" w:footer="0" w:header="0"/>
        </w:sectPr>
      </w:pPr>
    </w:p>
    <w:bookmarkStart w:id="208" w:name="page209"/>
    <w:bookmarkEnd w:id="208"/>
    <w:p>
      <w:pPr>
        <w:jc w:val="center"/>
        <w:ind w:right="-3"/>
        <w:spacing w:after="0"/>
        <w:rPr>
          <w:sz w:val="20"/>
          <w:szCs w:val="20"/>
          <w:color w:val="auto"/>
        </w:rPr>
      </w:pPr>
      <w:r>
        <w:rPr>
          <w:rFonts w:ascii="Arial" w:cs="Arial" w:eastAsia="Arial" w:hAnsi="Arial"/>
          <w:sz w:val="19"/>
          <w:szCs w:val="19"/>
          <w:b w:val="1"/>
          <w:bCs w:val="1"/>
          <w:color w:val="auto"/>
        </w:rPr>
        <w:t>EXHIBIT J-4</w:t>
      </w:r>
    </w:p>
    <w:p>
      <w:pPr>
        <w:spacing w:after="0" w:line="182" w:lineRule="exact"/>
        <w:rPr>
          <w:sz w:val="20"/>
          <w:szCs w:val="20"/>
          <w:color w:val="auto"/>
        </w:rPr>
      </w:pPr>
    </w:p>
    <w:p>
      <w:pPr>
        <w:jc w:val="center"/>
        <w:ind w:right="-3"/>
        <w:spacing w:after="0"/>
        <w:rPr>
          <w:sz w:val="20"/>
          <w:szCs w:val="20"/>
          <w:color w:val="auto"/>
        </w:rPr>
      </w:pPr>
      <w:r>
        <w:rPr>
          <w:rFonts w:ascii="Arial" w:cs="Arial" w:eastAsia="Arial" w:hAnsi="Arial"/>
          <w:sz w:val="19"/>
          <w:szCs w:val="19"/>
          <w:b w:val="1"/>
          <w:bCs w:val="1"/>
          <w:color w:val="auto"/>
        </w:rPr>
        <w:t>FORM OF U.S. TAX COMPLIANCE CERTIFICATE</w:t>
      </w:r>
    </w:p>
    <w:p>
      <w:pPr>
        <w:spacing w:after="0" w:line="182" w:lineRule="exact"/>
        <w:rPr>
          <w:sz w:val="20"/>
          <w:szCs w:val="20"/>
          <w:color w:val="auto"/>
        </w:rPr>
      </w:pPr>
    </w:p>
    <w:p>
      <w:pPr>
        <w:jc w:val="center"/>
        <w:ind w:right="-3"/>
        <w:spacing w:after="0"/>
        <w:rPr>
          <w:sz w:val="20"/>
          <w:szCs w:val="20"/>
          <w:color w:val="auto"/>
        </w:rPr>
      </w:pPr>
      <w:r>
        <w:rPr>
          <w:rFonts w:ascii="Arial" w:cs="Arial" w:eastAsia="Arial" w:hAnsi="Arial"/>
          <w:sz w:val="19"/>
          <w:szCs w:val="19"/>
          <w:b w:val="1"/>
          <w:bCs w:val="1"/>
          <w:color w:val="auto"/>
        </w:rPr>
        <w:t>(For Foreign Lenders That Are Partnerships For U.S. Federal Income Tax Purposes)</w:t>
      </w:r>
    </w:p>
    <w:p>
      <w:pPr>
        <w:spacing w:after="0" w:line="188" w:lineRule="exact"/>
        <w:rPr>
          <w:sz w:val="20"/>
          <w:szCs w:val="20"/>
          <w:color w:val="auto"/>
        </w:rPr>
      </w:pPr>
    </w:p>
    <w:p>
      <w:pPr>
        <w:ind w:left="564"/>
        <w:spacing w:after="0"/>
        <w:rPr>
          <w:sz w:val="20"/>
          <w:szCs w:val="20"/>
          <w:color w:val="auto"/>
        </w:rPr>
      </w:pPr>
      <w:r>
        <w:rPr>
          <w:rFonts w:ascii="Arial" w:cs="Arial" w:eastAsia="Arial" w:hAnsi="Arial"/>
          <w:sz w:val="18"/>
          <w:szCs w:val="18"/>
          <w:color w:val="auto"/>
        </w:rPr>
        <w:t>Reference is hereby made to the Loan and Security Agreement dated as of ________ ___, 20___ (as amended,</w:t>
      </w:r>
    </w:p>
    <w:p>
      <w:pPr>
        <w:spacing w:after="0" w:line="21" w:lineRule="exact"/>
        <w:rPr>
          <w:sz w:val="20"/>
          <w:szCs w:val="20"/>
          <w:color w:val="auto"/>
        </w:rPr>
      </w:pPr>
    </w:p>
    <w:p>
      <w:pPr>
        <w:jc w:val="both"/>
        <w:ind w:left="4"/>
        <w:spacing w:after="0" w:line="235" w:lineRule="auto"/>
        <w:rPr>
          <w:sz w:val="20"/>
          <w:szCs w:val="20"/>
          <w:color w:val="auto"/>
        </w:rPr>
      </w:pPr>
      <w:r>
        <w:rPr>
          <w:rFonts w:ascii="Arial" w:cs="Arial" w:eastAsia="Arial" w:hAnsi="Arial"/>
          <w:sz w:val="19"/>
          <w:szCs w:val="19"/>
          <w:color w:val="auto"/>
        </w:rPr>
        <w:t>supplemented or otherwise modified from time to time, the “Loan Agreement”) by and among Axsome Therapeutics, Inc., a Delaware corporation and each of its Subsidiaries (as defined in the Loan Agreement) other than Excluded Subsidiaries (as defined in the Loan Agreement) (hereinafter collectively referred to as the “Borrower”), the several banks and other financial institutions or entities from time to time parties to the Loan Agreement (collectively, referred to as the “Lenders”), and HERCULES CAPITAL, INC., a Maryland corporation, in its capacity as administrative agent and collateral agent for itself and the Lenders (in such capacity, the “Agent”).</w:t>
      </w:r>
    </w:p>
    <w:p>
      <w:pPr>
        <w:spacing w:after="0" w:line="162" w:lineRule="exact"/>
        <w:rPr>
          <w:sz w:val="20"/>
          <w:szCs w:val="20"/>
          <w:color w:val="auto"/>
        </w:rPr>
      </w:pPr>
    </w:p>
    <w:p>
      <w:pPr>
        <w:jc w:val="both"/>
        <w:ind w:left="4" w:firstLine="566"/>
        <w:spacing w:after="0" w:line="263" w:lineRule="auto"/>
        <w:rPr>
          <w:sz w:val="20"/>
          <w:szCs w:val="20"/>
          <w:color w:val="auto"/>
        </w:rPr>
      </w:pPr>
      <w:r>
        <w:rPr>
          <w:rFonts w:ascii="Arial" w:cs="Arial" w:eastAsia="Arial" w:hAnsi="Arial"/>
          <w:sz w:val="17"/>
          <w:szCs w:val="17"/>
          <w:color w:val="auto"/>
        </w:rPr>
        <w:t>Pursuant to the provisions of Addendum 1 of the Loan Agreement, the undersigned hereby certifies that (i) it is the sole record owner of the Loan(s) (as well as any promissory note(s) evidencing such Loan(s)) in respect of which it is providing this certificate, (ii) its direct or indirect partners/members are the sole beneficial owners of such Loan(s) (as well as any promissory note(s) evidencing such Loan(s)), (iii) with respect to the extension of credit pursuant to this Loan Agreement or any other Loan Document, neither the undersigned nor any of its direct or indirect partners/members is a “bank” extending credit pursuant to a loan agreement entered into in the ordinary course of its trade or business within the meaning of Section 881(c)(3)(A) of the Code,</w:t>
      </w:r>
    </w:p>
    <w:p>
      <w:pPr>
        <w:spacing w:after="0" w:line="4" w:lineRule="exact"/>
        <w:rPr>
          <w:sz w:val="20"/>
          <w:szCs w:val="20"/>
          <w:color w:val="auto"/>
        </w:rPr>
      </w:pPr>
    </w:p>
    <w:p>
      <w:pPr>
        <w:jc w:val="both"/>
        <w:ind w:left="4" w:right="20" w:hanging="4"/>
        <w:spacing w:after="0" w:line="237" w:lineRule="auto"/>
        <w:tabs>
          <w:tab w:leader="none" w:pos="336" w:val="left"/>
        </w:tabs>
        <w:numPr>
          <w:ilvl w:val="0"/>
          <w:numId w:val="119"/>
        </w:numPr>
        <w:rPr>
          <w:rFonts w:ascii="Arial" w:cs="Arial" w:eastAsia="Arial" w:hAnsi="Arial"/>
          <w:sz w:val="19"/>
          <w:szCs w:val="19"/>
          <w:color w:val="auto"/>
        </w:rPr>
      </w:pPr>
      <w:r>
        <w:rPr>
          <w:rFonts w:ascii="Arial" w:cs="Arial" w:eastAsia="Arial" w:hAnsi="Arial"/>
          <w:sz w:val="19"/>
          <w:szCs w:val="19"/>
          <w:color w:val="auto"/>
        </w:rPr>
        <w:t>none of its direct or indirect partners/members is a “ten percent shareholder” of the Borrower within the meaning of Section 871(h)(3)(B) of the Code and (v) none of its direct or indirect partners/members is a “controlled foreign corporation” related to the Borrower as described in Section 881(c)(3)(C) of the Code.</w:t>
      </w:r>
    </w:p>
    <w:p>
      <w:pPr>
        <w:spacing w:after="0" w:line="162" w:lineRule="exact"/>
        <w:rPr>
          <w:sz w:val="20"/>
          <w:szCs w:val="20"/>
          <w:color w:val="auto"/>
        </w:rPr>
      </w:pPr>
    </w:p>
    <w:p>
      <w:pPr>
        <w:jc w:val="both"/>
        <w:ind w:left="4" w:firstLine="566"/>
        <w:spacing w:after="0" w:line="251" w:lineRule="auto"/>
        <w:rPr>
          <w:sz w:val="20"/>
          <w:szCs w:val="20"/>
          <w:color w:val="auto"/>
        </w:rPr>
      </w:pPr>
      <w:r>
        <w:rPr>
          <w:rFonts w:ascii="Arial" w:cs="Arial" w:eastAsia="Arial" w:hAnsi="Arial"/>
          <w:sz w:val="18"/>
          <w:szCs w:val="18"/>
          <w:color w:val="auto"/>
        </w:rPr>
        <w:t>The undersigned has furnished the Agent and the Borrower with IRS Form W-8IMY accompanied by one of the following forms from each of its partners/members that is claiming the portfolio interest exemption: (i) an IRS Form W-8BEN or IRS Form W-8BEN-E or (ii) an IRS Form W-8IMY accompanied by an IRS Form W-8BEN or IRS Form W-8BEN-E from each of such partner’s/member’s beneficial owners that is claiming the portfolio interest exemption. By executing this certificate, the undersigned agrees that (1) if the information provided in this certificate changes, the undersigned shall promptly so inform the Borrower and the Agent, and (2) the undersigned shall have at all times furnished the Borrower and the Agent with a properly completed and currently effective certificate in either the calendar year in which each payment is to be made to the undersigned, or in either of the two calendar years preceding such payments.</w:t>
      </w:r>
    </w:p>
    <w:p>
      <w:pPr>
        <w:spacing w:after="0" w:line="155" w:lineRule="exact"/>
        <w:rPr>
          <w:sz w:val="20"/>
          <w:szCs w:val="20"/>
          <w:color w:val="auto"/>
        </w:rPr>
      </w:pPr>
    </w:p>
    <w:p>
      <w:pPr>
        <w:jc w:val="both"/>
        <w:ind w:left="4" w:right="20" w:firstLine="566"/>
        <w:spacing w:after="0" w:line="256" w:lineRule="auto"/>
        <w:rPr>
          <w:sz w:val="20"/>
          <w:szCs w:val="20"/>
          <w:color w:val="auto"/>
        </w:rPr>
      </w:pPr>
      <w:r>
        <w:rPr>
          <w:rFonts w:ascii="Arial" w:cs="Arial" w:eastAsia="Arial" w:hAnsi="Arial"/>
          <w:sz w:val="19"/>
          <w:szCs w:val="19"/>
          <w:color w:val="auto"/>
        </w:rPr>
        <w:t>Unless otherwise defined herein, terms defined in the Loan Agreement and used herein shall have the meanings given to them in the Loan Agreement.</w:t>
      </w:r>
    </w:p>
    <w:p>
      <w:pPr>
        <w:spacing w:after="0" w:line="359" w:lineRule="exact"/>
        <w:rPr>
          <w:sz w:val="20"/>
          <w:szCs w:val="20"/>
          <w:color w:val="auto"/>
        </w:rPr>
      </w:pPr>
    </w:p>
    <w:p>
      <w:pPr>
        <w:ind w:left="184"/>
        <w:spacing w:after="0"/>
        <w:tabs>
          <w:tab w:leader="none" w:pos="4743" w:val="left"/>
        </w:tabs>
        <w:rPr>
          <w:sz w:val="20"/>
          <w:szCs w:val="20"/>
          <w:color w:val="auto"/>
        </w:rPr>
      </w:pPr>
      <w:r>
        <w:rPr>
          <w:rFonts w:ascii="Arial" w:cs="Arial" w:eastAsia="Arial" w:hAnsi="Arial"/>
          <w:sz w:val="19"/>
          <w:szCs w:val="19"/>
          <w:color w:val="auto"/>
        </w:rPr>
        <w:t>Date: _____________ ___, 20___</w:t>
      </w:r>
      <w:r>
        <w:rPr>
          <w:sz w:val="20"/>
          <w:szCs w:val="20"/>
          <w:color w:val="auto"/>
        </w:rPr>
        <w:tab/>
      </w:r>
      <w:r>
        <w:rPr>
          <w:rFonts w:ascii="Arial" w:cs="Arial" w:eastAsia="Arial" w:hAnsi="Arial"/>
          <w:sz w:val="18"/>
          <w:szCs w:val="18"/>
          <w:color w:val="auto"/>
        </w:rPr>
        <w:t>[NAME OF LENDER]</w:t>
      </w:r>
    </w:p>
    <w:p>
      <w:pPr>
        <w:spacing w:after="0" w:line="206" w:lineRule="exact"/>
        <w:rPr>
          <w:sz w:val="20"/>
          <w:szCs w:val="20"/>
          <w:color w:val="auto"/>
        </w:rPr>
      </w:pPr>
    </w:p>
    <w:p>
      <w:pPr>
        <w:ind w:left="4764"/>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3427730</wp:posOffset>
            </wp:positionH>
            <wp:positionV relativeFrom="paragraph">
              <wp:posOffset>8255</wp:posOffset>
            </wp:positionV>
            <wp:extent cx="2762250" cy="76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2762250" cy="7620"/>
                    </a:xfrm>
                    <a:prstGeom prst="rect">
                      <a:avLst/>
                    </a:prstGeom>
                    <a:noFill/>
                  </pic:spPr>
                </pic:pic>
              </a:graphicData>
            </a:graphic>
          </wp:anchor>
        </w:drawing>
      </w:r>
    </w:p>
    <w:p>
      <w:pPr>
        <w:spacing w:after="0" w:line="2" w:lineRule="exact"/>
        <w:rPr>
          <w:sz w:val="20"/>
          <w:szCs w:val="20"/>
          <w:color w:val="auto"/>
        </w:rPr>
      </w:pPr>
    </w:p>
    <w:p>
      <w:pPr>
        <w:ind w:left="4764"/>
        <w:spacing w:after="0"/>
        <w:rPr>
          <w:sz w:val="20"/>
          <w:szCs w:val="20"/>
          <w:color w:val="auto"/>
        </w:rPr>
      </w:pPr>
      <w:r>
        <w:rPr>
          <w:rFonts w:ascii="Arial" w:cs="Arial" w:eastAsia="Arial" w:hAnsi="Arial"/>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3427730</wp:posOffset>
            </wp:positionH>
            <wp:positionV relativeFrom="paragraph">
              <wp:posOffset>-1270</wp:posOffset>
            </wp:positionV>
            <wp:extent cx="2762250" cy="762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2762250" cy="7620"/>
                    </a:xfrm>
                    <a:prstGeom prst="rect">
                      <a:avLst/>
                    </a:prstGeom>
                    <a:noFill/>
                  </pic:spPr>
                </pic:pic>
              </a:graphicData>
            </a:graphic>
          </wp:anchor>
        </w:drawing>
      </w:r>
    </w:p>
    <w:p>
      <w:pPr>
        <w:jc w:val="center"/>
        <w:ind w:right="-3"/>
        <w:spacing w:after="0"/>
        <w:rPr>
          <w:sz w:val="20"/>
          <w:szCs w:val="20"/>
          <w:color w:val="auto"/>
        </w:rPr>
      </w:pPr>
      <w:r>
        <w:rPr>
          <w:rFonts w:ascii="Arial" w:cs="Arial" w:eastAsia="Arial" w:hAnsi="Arial"/>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948690</wp:posOffset>
            </wp:positionV>
            <wp:extent cx="6311265" cy="2222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6311265" cy="22225"/>
                    </a:xfrm>
                    <a:prstGeom prst="rect">
                      <a:avLst/>
                    </a:prstGeom>
                    <a:noFill/>
                  </pic:spPr>
                </pic:pic>
              </a:graphicData>
            </a:graphic>
          </wp:anchor>
        </w:drawing>
        <w:drawing>
          <wp:anchor simplePos="0" relativeHeight="251657728" behindDoc="1" locked="0" layoutInCell="0" allowOverlap="1">
            <wp:simplePos x="0" y="0"/>
            <wp:positionH relativeFrom="column">
              <wp:posOffset>3427730</wp:posOffset>
            </wp:positionH>
            <wp:positionV relativeFrom="paragraph">
              <wp:posOffset>-1270</wp:posOffset>
            </wp:positionV>
            <wp:extent cx="2762250" cy="762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2762250" cy="7620"/>
                    </a:xfrm>
                    <a:prstGeom prst="rect">
                      <a:avLst/>
                    </a:prstGeom>
                    <a:noFill/>
                  </pic:spPr>
                </pic:pic>
              </a:graphicData>
            </a:graphic>
          </wp:anchor>
        </w:drawing>
      </w:r>
    </w:p>
    <w:p>
      <w:pPr>
        <w:sectPr>
          <w:pgSz w:w="11900" w:h="16838" w:orient="portrait"/>
          <w:cols w:equalWidth="0" w:num="1">
            <w:col w:w="9944"/>
          </w:cols>
          <w:pgMar w:left="976" w:top="774" w:right="979" w:bottom="1440" w:gutter="0" w:footer="0" w:header="0"/>
        </w:sectPr>
      </w:pPr>
    </w:p>
    <w:bookmarkStart w:id="209" w:name="page210"/>
    <w:bookmarkEnd w:id="209"/>
    <w:p>
      <w:pPr>
        <w:jc w:val="center"/>
        <w:ind w:right="760"/>
        <w:spacing w:after="0"/>
        <w:rPr>
          <w:sz w:val="20"/>
          <w:szCs w:val="20"/>
          <w:color w:val="auto"/>
        </w:rPr>
      </w:pPr>
      <w:r>
        <w:rPr>
          <w:rFonts w:ascii="Arial" w:cs="Arial" w:eastAsia="Arial" w:hAnsi="Arial"/>
          <w:sz w:val="19"/>
          <w:szCs w:val="19"/>
          <w:b w:val="1"/>
          <w:bCs w:val="1"/>
          <w:u w:val="single" w:color="auto"/>
          <w:color w:val="auto"/>
        </w:rPr>
        <w:t>SCHEDULE 1.1</w:t>
      </w:r>
    </w:p>
    <w:p>
      <w:pPr>
        <w:spacing w:after="0" w:line="182" w:lineRule="exact"/>
        <w:rPr>
          <w:sz w:val="20"/>
          <w:szCs w:val="20"/>
          <w:color w:val="auto"/>
        </w:rPr>
      </w:pPr>
    </w:p>
    <w:p>
      <w:pPr>
        <w:jc w:val="center"/>
        <w:ind w:right="760"/>
        <w:spacing w:after="0"/>
        <w:rPr>
          <w:sz w:val="20"/>
          <w:szCs w:val="20"/>
          <w:color w:val="auto"/>
        </w:rPr>
      </w:pPr>
      <w:r>
        <w:rPr>
          <w:rFonts w:ascii="Arial" w:cs="Arial" w:eastAsia="Arial" w:hAnsi="Arial"/>
          <w:sz w:val="19"/>
          <w:szCs w:val="19"/>
          <w:b w:val="1"/>
          <w:bCs w:val="1"/>
          <w:color w:val="auto"/>
        </w:rPr>
        <w:t>COMMITMENTS</w:t>
      </w:r>
    </w:p>
    <w:p>
      <w:pPr>
        <w:spacing w:after="0" w:line="199" w:lineRule="exact"/>
        <w:rPr>
          <w:sz w:val="20"/>
          <w:szCs w:val="20"/>
          <w:color w:val="auto"/>
        </w:rPr>
      </w:pPr>
    </w:p>
    <w:tbl>
      <w:tblPr>
        <w:tblLayout w:type="fixed"/>
        <w:tblInd w:w="10" w:type="dxa"/>
        <w:tblCellMar>
          <w:top w:w="0" w:type="dxa"/>
          <w:left w:w="0" w:type="dxa"/>
          <w:bottom w:w="0" w:type="dxa"/>
          <w:right w:w="0" w:type="dxa"/>
        </w:tblCellMar>
      </w:tblPr>
      <w:tr>
        <w:trPr>
          <w:trHeight w:val="205"/>
        </w:trPr>
        <w:tc>
          <w:tcPr>
            <w:tcW w:w="1260" w:type="dxa"/>
            <w:vAlign w:val="bottom"/>
            <w:tcBorders>
              <w:top w:val="single" w:sz="8" w:color="auto"/>
              <w:left w:val="single" w:sz="8" w:color="auto"/>
              <w:right w:val="single" w:sz="8" w:color="auto"/>
            </w:tcBorders>
          </w:tcPr>
          <w:p>
            <w:pPr>
              <w:jc w:val="center"/>
              <w:spacing w:after="0" w:line="205" w:lineRule="exact"/>
              <w:rPr>
                <w:sz w:val="20"/>
                <w:szCs w:val="20"/>
                <w:color w:val="auto"/>
              </w:rPr>
            </w:pPr>
            <w:r>
              <w:rPr>
                <w:rFonts w:ascii="Arial" w:cs="Arial" w:eastAsia="Arial" w:hAnsi="Arial"/>
                <w:sz w:val="19"/>
                <w:szCs w:val="19"/>
                <w:color w:val="auto"/>
                <w:w w:val="93"/>
              </w:rPr>
              <w:t>LENDERS</w:t>
            </w:r>
          </w:p>
        </w:tc>
        <w:tc>
          <w:tcPr>
            <w:tcW w:w="1240" w:type="dxa"/>
            <w:vAlign w:val="bottom"/>
            <w:tcBorders>
              <w:top w:val="single" w:sz="8" w:color="auto"/>
              <w:right w:val="single" w:sz="8" w:color="auto"/>
            </w:tcBorders>
          </w:tcPr>
          <w:p>
            <w:pPr>
              <w:jc w:val="center"/>
              <w:spacing w:after="0" w:line="205" w:lineRule="exact"/>
              <w:rPr>
                <w:sz w:val="20"/>
                <w:szCs w:val="20"/>
                <w:color w:val="auto"/>
              </w:rPr>
            </w:pPr>
            <w:r>
              <w:rPr>
                <w:rFonts w:ascii="Arial" w:cs="Arial" w:eastAsia="Arial" w:hAnsi="Arial"/>
                <w:sz w:val="19"/>
                <w:szCs w:val="19"/>
                <w:color w:val="auto"/>
                <w:w w:val="95"/>
              </w:rPr>
              <w:t>TRANCHE</w:t>
            </w:r>
          </w:p>
        </w:tc>
        <w:tc>
          <w:tcPr>
            <w:tcW w:w="1220" w:type="dxa"/>
            <w:vAlign w:val="bottom"/>
            <w:tcBorders>
              <w:top w:val="single" w:sz="8" w:color="auto"/>
              <w:right w:val="single" w:sz="8" w:color="auto"/>
            </w:tcBorders>
          </w:tcPr>
          <w:p>
            <w:pPr>
              <w:jc w:val="center"/>
              <w:spacing w:after="0" w:line="205" w:lineRule="exact"/>
              <w:rPr>
                <w:sz w:val="20"/>
                <w:szCs w:val="20"/>
                <w:color w:val="auto"/>
              </w:rPr>
            </w:pPr>
            <w:r>
              <w:rPr>
                <w:rFonts w:ascii="Arial" w:cs="Arial" w:eastAsia="Arial" w:hAnsi="Arial"/>
                <w:sz w:val="19"/>
                <w:szCs w:val="19"/>
                <w:color w:val="auto"/>
                <w:w w:val="95"/>
              </w:rPr>
              <w:t>TRANCHE</w:t>
            </w:r>
          </w:p>
        </w:tc>
        <w:tc>
          <w:tcPr>
            <w:tcW w:w="1360" w:type="dxa"/>
            <w:vAlign w:val="bottom"/>
            <w:tcBorders>
              <w:top w:val="single" w:sz="8" w:color="auto"/>
              <w:right w:val="single" w:sz="8" w:color="auto"/>
            </w:tcBorders>
          </w:tcPr>
          <w:p>
            <w:pPr>
              <w:jc w:val="center"/>
              <w:spacing w:after="0" w:line="205" w:lineRule="exact"/>
              <w:rPr>
                <w:sz w:val="20"/>
                <w:szCs w:val="20"/>
                <w:color w:val="auto"/>
              </w:rPr>
            </w:pPr>
            <w:r>
              <w:rPr>
                <w:rFonts w:ascii="Arial" w:cs="Arial" w:eastAsia="Arial" w:hAnsi="Arial"/>
                <w:sz w:val="19"/>
                <w:szCs w:val="19"/>
                <w:color w:val="auto"/>
                <w:w w:val="97"/>
              </w:rPr>
              <w:t>TRANCHE</w:t>
            </w:r>
          </w:p>
        </w:tc>
        <w:tc>
          <w:tcPr>
            <w:tcW w:w="1360" w:type="dxa"/>
            <w:vAlign w:val="bottom"/>
            <w:tcBorders>
              <w:top w:val="single" w:sz="8" w:color="auto"/>
              <w:right w:val="single" w:sz="8" w:color="auto"/>
            </w:tcBorders>
          </w:tcPr>
          <w:p>
            <w:pPr>
              <w:jc w:val="center"/>
              <w:spacing w:after="0" w:line="205" w:lineRule="exact"/>
              <w:rPr>
                <w:sz w:val="20"/>
                <w:szCs w:val="20"/>
                <w:color w:val="auto"/>
              </w:rPr>
            </w:pPr>
            <w:r>
              <w:rPr>
                <w:rFonts w:ascii="Arial" w:cs="Arial" w:eastAsia="Arial" w:hAnsi="Arial"/>
                <w:sz w:val="19"/>
                <w:szCs w:val="19"/>
                <w:color w:val="auto"/>
                <w:w w:val="97"/>
              </w:rPr>
              <w:t>TRANCHE</w:t>
            </w:r>
          </w:p>
        </w:tc>
        <w:tc>
          <w:tcPr>
            <w:tcW w:w="1360" w:type="dxa"/>
            <w:vAlign w:val="bottom"/>
            <w:tcBorders>
              <w:top w:val="single" w:sz="8" w:color="auto"/>
              <w:right w:val="single" w:sz="8" w:color="auto"/>
            </w:tcBorders>
          </w:tcPr>
          <w:p>
            <w:pPr>
              <w:jc w:val="center"/>
              <w:spacing w:after="0" w:line="205" w:lineRule="exact"/>
              <w:rPr>
                <w:sz w:val="20"/>
                <w:szCs w:val="20"/>
                <w:color w:val="auto"/>
              </w:rPr>
            </w:pPr>
            <w:r>
              <w:rPr>
                <w:rFonts w:ascii="Arial" w:cs="Arial" w:eastAsia="Arial" w:hAnsi="Arial"/>
                <w:sz w:val="19"/>
                <w:szCs w:val="19"/>
                <w:color w:val="auto"/>
                <w:w w:val="97"/>
              </w:rPr>
              <w:t>TRANCHE</w:t>
            </w:r>
          </w:p>
        </w:tc>
        <w:tc>
          <w:tcPr>
            <w:tcW w:w="1440" w:type="dxa"/>
            <w:vAlign w:val="bottom"/>
            <w:tcBorders>
              <w:top w:val="single" w:sz="8" w:color="auto"/>
              <w:right w:val="single" w:sz="8" w:color="auto"/>
            </w:tcBorders>
          </w:tcPr>
          <w:p>
            <w:pPr>
              <w:jc w:val="center"/>
              <w:spacing w:after="0" w:line="205" w:lineRule="exact"/>
              <w:rPr>
                <w:sz w:val="20"/>
                <w:szCs w:val="20"/>
                <w:color w:val="auto"/>
              </w:rPr>
            </w:pPr>
            <w:r>
              <w:rPr>
                <w:rFonts w:ascii="Arial" w:cs="Arial" w:eastAsia="Arial" w:hAnsi="Arial"/>
                <w:sz w:val="19"/>
                <w:szCs w:val="19"/>
                <w:color w:val="auto"/>
                <w:w w:val="97"/>
              </w:rPr>
              <w:t>TRANCHE</w:t>
            </w:r>
          </w:p>
        </w:tc>
        <w:tc>
          <w:tcPr>
            <w:tcW w:w="144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9"/>
                <w:szCs w:val="19"/>
                <w:color w:val="auto"/>
                <w:w w:val="96"/>
              </w:rPr>
              <w:t>TERM</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260" w:type="dxa"/>
            <w:vAlign w:val="bottom"/>
            <w:tcBorders>
              <w:left w:val="single" w:sz="8" w:color="auto"/>
              <w:right w:val="single" w:sz="8" w:color="auto"/>
            </w:tcBorders>
          </w:tcPr>
          <w:p>
            <w:pPr>
              <w:spacing w:after="0"/>
              <w:rPr>
                <w:sz w:val="18"/>
                <w:szCs w:val="18"/>
                <w:color w:val="auto"/>
              </w:rPr>
            </w:pPr>
          </w:p>
        </w:tc>
        <w:tc>
          <w:tcPr>
            <w:tcW w:w="1240" w:type="dxa"/>
            <w:vAlign w:val="bottom"/>
            <w:tcBorders>
              <w:right w:val="single" w:sz="8" w:color="auto"/>
            </w:tcBorders>
          </w:tcPr>
          <w:p>
            <w:pPr>
              <w:jc w:val="center"/>
              <w:spacing w:after="0" w:line="213" w:lineRule="exact"/>
              <w:rPr>
                <w:sz w:val="20"/>
                <w:szCs w:val="20"/>
                <w:color w:val="auto"/>
              </w:rPr>
            </w:pPr>
            <w:r>
              <w:rPr>
                <w:rFonts w:ascii="Arial" w:cs="Arial" w:eastAsia="Arial" w:hAnsi="Arial"/>
                <w:sz w:val="19"/>
                <w:szCs w:val="19"/>
                <w:color w:val="auto"/>
                <w:w w:val="97"/>
              </w:rPr>
              <w:t>1A TERM</w:t>
            </w:r>
          </w:p>
        </w:tc>
        <w:tc>
          <w:tcPr>
            <w:tcW w:w="1220" w:type="dxa"/>
            <w:vAlign w:val="bottom"/>
            <w:tcBorders>
              <w:right w:val="single" w:sz="8" w:color="auto"/>
            </w:tcBorders>
          </w:tcPr>
          <w:p>
            <w:pPr>
              <w:jc w:val="center"/>
              <w:spacing w:after="0" w:line="213" w:lineRule="exact"/>
              <w:rPr>
                <w:sz w:val="20"/>
                <w:szCs w:val="20"/>
                <w:color w:val="auto"/>
              </w:rPr>
            </w:pPr>
            <w:r>
              <w:rPr>
                <w:rFonts w:ascii="Arial" w:cs="Arial" w:eastAsia="Arial" w:hAnsi="Arial"/>
                <w:sz w:val="19"/>
                <w:szCs w:val="19"/>
                <w:color w:val="auto"/>
                <w:w w:val="97"/>
              </w:rPr>
              <w:t>1B TERM</w:t>
            </w:r>
          </w:p>
        </w:tc>
        <w:tc>
          <w:tcPr>
            <w:tcW w:w="1360" w:type="dxa"/>
            <w:vAlign w:val="bottom"/>
            <w:tcBorders>
              <w:right w:val="single" w:sz="8" w:color="auto"/>
            </w:tcBorders>
          </w:tcPr>
          <w:p>
            <w:pPr>
              <w:jc w:val="center"/>
              <w:spacing w:after="0" w:line="213" w:lineRule="exact"/>
              <w:rPr>
                <w:sz w:val="20"/>
                <w:szCs w:val="20"/>
                <w:color w:val="auto"/>
              </w:rPr>
            </w:pPr>
            <w:r>
              <w:rPr>
                <w:rFonts w:ascii="Arial" w:cs="Arial" w:eastAsia="Arial" w:hAnsi="Arial"/>
                <w:sz w:val="19"/>
                <w:szCs w:val="19"/>
                <w:color w:val="auto"/>
                <w:w w:val="94"/>
              </w:rPr>
              <w:t>2 TERM</w:t>
            </w:r>
          </w:p>
        </w:tc>
        <w:tc>
          <w:tcPr>
            <w:tcW w:w="1360" w:type="dxa"/>
            <w:vAlign w:val="bottom"/>
            <w:tcBorders>
              <w:right w:val="single" w:sz="8" w:color="auto"/>
            </w:tcBorders>
          </w:tcPr>
          <w:p>
            <w:pPr>
              <w:jc w:val="center"/>
              <w:spacing w:after="0" w:line="213" w:lineRule="exact"/>
              <w:rPr>
                <w:sz w:val="20"/>
                <w:szCs w:val="20"/>
                <w:color w:val="auto"/>
              </w:rPr>
            </w:pPr>
            <w:r>
              <w:rPr>
                <w:rFonts w:ascii="Arial" w:cs="Arial" w:eastAsia="Arial" w:hAnsi="Arial"/>
                <w:sz w:val="19"/>
                <w:szCs w:val="19"/>
                <w:color w:val="auto"/>
                <w:w w:val="94"/>
              </w:rPr>
              <w:t>3 TERM</w:t>
            </w:r>
          </w:p>
        </w:tc>
        <w:tc>
          <w:tcPr>
            <w:tcW w:w="1360" w:type="dxa"/>
            <w:vAlign w:val="bottom"/>
            <w:tcBorders>
              <w:right w:val="single" w:sz="8" w:color="auto"/>
            </w:tcBorders>
          </w:tcPr>
          <w:p>
            <w:pPr>
              <w:jc w:val="center"/>
              <w:spacing w:after="0" w:line="213" w:lineRule="exact"/>
              <w:rPr>
                <w:sz w:val="20"/>
                <w:szCs w:val="20"/>
                <w:color w:val="auto"/>
              </w:rPr>
            </w:pPr>
            <w:r>
              <w:rPr>
                <w:rFonts w:ascii="Arial" w:cs="Arial" w:eastAsia="Arial" w:hAnsi="Arial"/>
                <w:sz w:val="19"/>
                <w:szCs w:val="19"/>
                <w:color w:val="auto"/>
                <w:w w:val="94"/>
              </w:rPr>
              <w:t>4 TERM</w:t>
            </w:r>
          </w:p>
        </w:tc>
        <w:tc>
          <w:tcPr>
            <w:tcW w:w="1440" w:type="dxa"/>
            <w:vAlign w:val="bottom"/>
            <w:tcBorders>
              <w:right w:val="single" w:sz="8" w:color="auto"/>
            </w:tcBorders>
          </w:tcPr>
          <w:p>
            <w:pPr>
              <w:jc w:val="center"/>
              <w:spacing w:after="0" w:line="213" w:lineRule="exact"/>
              <w:rPr>
                <w:sz w:val="20"/>
                <w:szCs w:val="20"/>
                <w:color w:val="auto"/>
              </w:rPr>
            </w:pPr>
            <w:r>
              <w:rPr>
                <w:rFonts w:ascii="Arial" w:cs="Arial" w:eastAsia="Arial" w:hAnsi="Arial"/>
                <w:sz w:val="19"/>
                <w:szCs w:val="19"/>
                <w:color w:val="auto"/>
                <w:w w:val="94"/>
              </w:rPr>
              <w:t>5 TERM</w:t>
            </w:r>
          </w:p>
        </w:tc>
        <w:tc>
          <w:tcPr>
            <w:tcW w:w="1460" w:type="dxa"/>
            <w:vAlign w:val="bottom"/>
            <w:gridSpan w:val="2"/>
          </w:tcPr>
          <w:p>
            <w:pPr>
              <w:jc w:val="center"/>
              <w:spacing w:after="0" w:line="213" w:lineRule="exact"/>
              <w:rPr>
                <w:sz w:val="20"/>
                <w:szCs w:val="20"/>
                <w:color w:val="auto"/>
              </w:rPr>
            </w:pPr>
            <w:r>
              <w:rPr>
                <w:rFonts w:ascii="Arial" w:cs="Arial" w:eastAsia="Arial" w:hAnsi="Arial"/>
                <w:sz w:val="19"/>
                <w:szCs w:val="19"/>
                <w:color w:val="auto"/>
              </w:rPr>
              <w:t>COMMITME</w:t>
            </w:r>
          </w:p>
        </w:tc>
        <w:tc>
          <w:tcPr>
            <w:tcW w:w="0" w:type="dxa"/>
            <w:vAlign w:val="bottom"/>
          </w:tcPr>
          <w:p>
            <w:pPr>
              <w:spacing w:after="0"/>
              <w:rPr>
                <w:sz w:val="1"/>
                <w:szCs w:val="1"/>
                <w:color w:val="auto"/>
              </w:rPr>
            </w:pPr>
          </w:p>
        </w:tc>
      </w:tr>
      <w:tr>
        <w:trPr>
          <w:trHeight w:val="212"/>
        </w:trPr>
        <w:tc>
          <w:tcPr>
            <w:tcW w:w="1260" w:type="dxa"/>
            <w:vAlign w:val="bottom"/>
            <w:tcBorders>
              <w:left w:val="single" w:sz="8" w:color="auto"/>
              <w:right w:val="single" w:sz="8" w:color="auto"/>
            </w:tcBorders>
          </w:tcPr>
          <w:p>
            <w:pPr>
              <w:spacing w:after="0"/>
              <w:rPr>
                <w:sz w:val="18"/>
                <w:szCs w:val="18"/>
                <w:color w:val="auto"/>
              </w:rPr>
            </w:pPr>
          </w:p>
        </w:tc>
        <w:tc>
          <w:tcPr>
            <w:tcW w:w="1240" w:type="dxa"/>
            <w:vAlign w:val="bottom"/>
            <w:tcBorders>
              <w:right w:val="single" w:sz="8" w:color="auto"/>
            </w:tcBorders>
          </w:tcPr>
          <w:p>
            <w:pPr>
              <w:jc w:val="center"/>
              <w:spacing w:after="0" w:line="213" w:lineRule="exact"/>
              <w:rPr>
                <w:sz w:val="20"/>
                <w:szCs w:val="20"/>
                <w:color w:val="auto"/>
              </w:rPr>
            </w:pPr>
            <w:r>
              <w:rPr>
                <w:rFonts w:ascii="Arial" w:cs="Arial" w:eastAsia="Arial" w:hAnsi="Arial"/>
                <w:sz w:val="19"/>
                <w:szCs w:val="19"/>
                <w:color w:val="auto"/>
              </w:rPr>
              <w:t>COMMITME</w:t>
            </w:r>
          </w:p>
        </w:tc>
        <w:tc>
          <w:tcPr>
            <w:tcW w:w="1220" w:type="dxa"/>
            <w:vAlign w:val="bottom"/>
            <w:tcBorders>
              <w:right w:val="single" w:sz="8" w:color="auto"/>
            </w:tcBorders>
          </w:tcPr>
          <w:p>
            <w:pPr>
              <w:jc w:val="center"/>
              <w:spacing w:after="0" w:line="213" w:lineRule="exact"/>
              <w:rPr>
                <w:sz w:val="20"/>
                <w:szCs w:val="20"/>
                <w:color w:val="auto"/>
              </w:rPr>
            </w:pPr>
            <w:r>
              <w:rPr>
                <w:rFonts w:ascii="Arial" w:cs="Arial" w:eastAsia="Arial" w:hAnsi="Arial"/>
                <w:sz w:val="19"/>
                <w:szCs w:val="19"/>
                <w:color w:val="auto"/>
              </w:rPr>
              <w:t>COMMITME</w:t>
            </w:r>
          </w:p>
        </w:tc>
        <w:tc>
          <w:tcPr>
            <w:tcW w:w="1360" w:type="dxa"/>
            <w:vAlign w:val="bottom"/>
            <w:tcBorders>
              <w:right w:val="single" w:sz="8" w:color="auto"/>
            </w:tcBorders>
          </w:tcPr>
          <w:p>
            <w:pPr>
              <w:jc w:val="center"/>
              <w:spacing w:after="0" w:line="213" w:lineRule="exact"/>
              <w:rPr>
                <w:sz w:val="20"/>
                <w:szCs w:val="20"/>
                <w:color w:val="auto"/>
              </w:rPr>
            </w:pPr>
            <w:r>
              <w:rPr>
                <w:rFonts w:ascii="Arial" w:cs="Arial" w:eastAsia="Arial" w:hAnsi="Arial"/>
                <w:sz w:val="19"/>
                <w:szCs w:val="19"/>
                <w:color w:val="auto"/>
              </w:rPr>
              <w:t>COMMITME</w:t>
            </w:r>
          </w:p>
        </w:tc>
        <w:tc>
          <w:tcPr>
            <w:tcW w:w="1360" w:type="dxa"/>
            <w:vAlign w:val="bottom"/>
            <w:tcBorders>
              <w:right w:val="single" w:sz="8" w:color="auto"/>
            </w:tcBorders>
          </w:tcPr>
          <w:p>
            <w:pPr>
              <w:jc w:val="center"/>
              <w:spacing w:after="0" w:line="213" w:lineRule="exact"/>
              <w:rPr>
                <w:sz w:val="20"/>
                <w:szCs w:val="20"/>
                <w:color w:val="auto"/>
              </w:rPr>
            </w:pPr>
            <w:r>
              <w:rPr>
                <w:rFonts w:ascii="Arial" w:cs="Arial" w:eastAsia="Arial" w:hAnsi="Arial"/>
                <w:sz w:val="19"/>
                <w:szCs w:val="19"/>
                <w:color w:val="auto"/>
              </w:rPr>
              <w:t>COMMITME</w:t>
            </w:r>
          </w:p>
        </w:tc>
        <w:tc>
          <w:tcPr>
            <w:tcW w:w="1360" w:type="dxa"/>
            <w:vAlign w:val="bottom"/>
            <w:tcBorders>
              <w:right w:val="single" w:sz="8" w:color="auto"/>
            </w:tcBorders>
          </w:tcPr>
          <w:p>
            <w:pPr>
              <w:jc w:val="center"/>
              <w:spacing w:after="0" w:line="213" w:lineRule="exact"/>
              <w:rPr>
                <w:sz w:val="20"/>
                <w:szCs w:val="20"/>
                <w:color w:val="auto"/>
              </w:rPr>
            </w:pPr>
            <w:r>
              <w:rPr>
                <w:rFonts w:ascii="Arial" w:cs="Arial" w:eastAsia="Arial" w:hAnsi="Arial"/>
                <w:sz w:val="19"/>
                <w:szCs w:val="19"/>
                <w:color w:val="auto"/>
              </w:rPr>
              <w:t>COMMITME</w:t>
            </w:r>
          </w:p>
        </w:tc>
        <w:tc>
          <w:tcPr>
            <w:tcW w:w="1440" w:type="dxa"/>
            <w:vAlign w:val="bottom"/>
            <w:tcBorders>
              <w:right w:val="single" w:sz="8" w:color="auto"/>
            </w:tcBorders>
          </w:tcPr>
          <w:p>
            <w:pPr>
              <w:jc w:val="center"/>
              <w:spacing w:after="0" w:line="213" w:lineRule="exact"/>
              <w:rPr>
                <w:sz w:val="20"/>
                <w:szCs w:val="20"/>
                <w:color w:val="auto"/>
              </w:rPr>
            </w:pPr>
            <w:r>
              <w:rPr>
                <w:rFonts w:ascii="Arial" w:cs="Arial" w:eastAsia="Arial" w:hAnsi="Arial"/>
                <w:sz w:val="19"/>
                <w:szCs w:val="19"/>
                <w:color w:val="auto"/>
              </w:rPr>
              <w:t>COMMITME</w:t>
            </w:r>
          </w:p>
        </w:tc>
        <w:tc>
          <w:tcPr>
            <w:tcW w:w="1460" w:type="dxa"/>
            <w:vAlign w:val="bottom"/>
            <w:gridSpan w:val="2"/>
          </w:tcPr>
          <w:p>
            <w:pPr>
              <w:jc w:val="center"/>
              <w:spacing w:after="0" w:line="213" w:lineRule="exact"/>
              <w:rPr>
                <w:sz w:val="20"/>
                <w:szCs w:val="20"/>
                <w:color w:val="auto"/>
              </w:rPr>
            </w:pPr>
            <w:r>
              <w:rPr>
                <w:rFonts w:ascii="Arial" w:cs="Arial" w:eastAsia="Arial" w:hAnsi="Arial"/>
                <w:sz w:val="19"/>
                <w:szCs w:val="19"/>
                <w:color w:val="auto"/>
              </w:rPr>
              <w:t>NT*</w:t>
            </w:r>
          </w:p>
        </w:tc>
        <w:tc>
          <w:tcPr>
            <w:tcW w:w="0" w:type="dxa"/>
            <w:vAlign w:val="bottom"/>
          </w:tcPr>
          <w:p>
            <w:pPr>
              <w:spacing w:after="0"/>
              <w:rPr>
                <w:sz w:val="1"/>
                <w:szCs w:val="1"/>
                <w:color w:val="auto"/>
              </w:rPr>
            </w:pPr>
          </w:p>
        </w:tc>
      </w:tr>
      <w:tr>
        <w:trPr>
          <w:trHeight w:val="240"/>
        </w:trPr>
        <w:tc>
          <w:tcPr>
            <w:tcW w:w="1260" w:type="dxa"/>
            <w:vAlign w:val="bottom"/>
            <w:tcBorders>
              <w:left w:val="single" w:sz="8" w:color="auto"/>
              <w:right w:val="single" w:sz="8" w:color="auto"/>
            </w:tcBorders>
          </w:tcPr>
          <w:p>
            <w:pPr>
              <w:spacing w:after="0"/>
              <w:rPr>
                <w:sz w:val="20"/>
                <w:szCs w:val="20"/>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4"/>
              </w:rPr>
              <w:t>NT</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4"/>
              </w:rPr>
              <w:t>NT</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NT</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NT</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NT</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NT*</w:t>
            </w: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1260" w:type="dxa"/>
            <w:vAlign w:val="bottom"/>
            <w:tcBorders>
              <w:left w:val="single" w:sz="8" w:color="auto"/>
              <w:bottom w:val="single" w:sz="8" w:color="auto"/>
              <w:right w:val="single" w:sz="8" w:color="auto"/>
            </w:tcBorders>
          </w:tcPr>
          <w:p>
            <w:pPr>
              <w:spacing w:after="0"/>
              <w:rPr>
                <w:sz w:val="15"/>
                <w:szCs w:val="15"/>
                <w:color w:val="auto"/>
              </w:rPr>
            </w:pPr>
          </w:p>
        </w:tc>
        <w:tc>
          <w:tcPr>
            <w:tcW w:w="1240" w:type="dxa"/>
            <w:vAlign w:val="bottom"/>
            <w:tcBorders>
              <w:bottom w:val="single" w:sz="8" w:color="auto"/>
              <w:right w:val="single" w:sz="8" w:color="auto"/>
            </w:tcBorders>
          </w:tcPr>
          <w:p>
            <w:pPr>
              <w:spacing w:after="0"/>
              <w:rPr>
                <w:sz w:val="15"/>
                <w:szCs w:val="15"/>
                <w:color w:val="auto"/>
              </w:rPr>
            </w:pPr>
          </w:p>
        </w:tc>
        <w:tc>
          <w:tcPr>
            <w:tcW w:w="122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440" w:type="dxa"/>
            <w:vAlign w:val="bottom"/>
            <w:tcBorders>
              <w:bottom w:val="single" w:sz="8" w:color="auto"/>
              <w:right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260" w:type="dxa"/>
            <w:vAlign w:val="bottom"/>
            <w:tcBorders>
              <w:left w:val="single" w:sz="8" w:color="auto"/>
              <w:right w:val="single" w:sz="8" w:color="auto"/>
            </w:tcBorders>
          </w:tcPr>
          <w:p>
            <w:pPr>
              <w:jc w:val="center"/>
              <w:spacing w:after="0" w:line="185" w:lineRule="exact"/>
              <w:rPr>
                <w:sz w:val="20"/>
                <w:szCs w:val="20"/>
                <w:color w:val="auto"/>
              </w:rPr>
            </w:pPr>
            <w:r>
              <w:rPr>
                <w:rFonts w:ascii="Arial" w:cs="Arial" w:eastAsia="Arial" w:hAnsi="Arial"/>
                <w:sz w:val="19"/>
                <w:szCs w:val="19"/>
                <w:color w:val="auto"/>
                <w:w w:val="90"/>
              </w:rPr>
              <w:t>Hercules</w:t>
            </w:r>
          </w:p>
        </w:tc>
        <w:tc>
          <w:tcPr>
            <w:tcW w:w="1240" w:type="dxa"/>
            <w:vAlign w:val="bottom"/>
            <w:tcBorders>
              <w:right w:val="single" w:sz="8" w:color="auto"/>
            </w:tcBorders>
          </w:tcPr>
          <w:p>
            <w:pPr>
              <w:jc w:val="center"/>
              <w:spacing w:after="0" w:line="185" w:lineRule="exact"/>
              <w:rPr>
                <w:sz w:val="20"/>
                <w:szCs w:val="20"/>
                <w:color w:val="auto"/>
              </w:rPr>
            </w:pPr>
            <w:r>
              <w:rPr>
                <w:rFonts w:ascii="Arial" w:cs="Arial" w:eastAsia="Arial" w:hAnsi="Arial"/>
                <w:sz w:val="19"/>
                <w:szCs w:val="19"/>
                <w:color w:val="auto"/>
                <w:w w:val="90"/>
              </w:rPr>
              <w:t>$50,000,000</w:t>
            </w:r>
          </w:p>
        </w:tc>
        <w:tc>
          <w:tcPr>
            <w:tcW w:w="1220" w:type="dxa"/>
            <w:vAlign w:val="bottom"/>
            <w:tcBorders>
              <w:right w:val="single" w:sz="8" w:color="auto"/>
            </w:tcBorders>
          </w:tcPr>
          <w:p>
            <w:pPr>
              <w:jc w:val="center"/>
              <w:spacing w:after="0" w:line="185" w:lineRule="exact"/>
              <w:rPr>
                <w:sz w:val="20"/>
                <w:szCs w:val="20"/>
                <w:color w:val="auto"/>
              </w:rPr>
            </w:pPr>
            <w:r>
              <w:rPr>
                <w:rFonts w:ascii="Arial" w:cs="Arial" w:eastAsia="Arial" w:hAnsi="Arial"/>
                <w:sz w:val="19"/>
                <w:szCs w:val="19"/>
                <w:color w:val="auto"/>
                <w:w w:val="88"/>
              </w:rPr>
              <w:t>$10,000,000</w:t>
            </w:r>
          </w:p>
        </w:tc>
        <w:tc>
          <w:tcPr>
            <w:tcW w:w="1360" w:type="dxa"/>
            <w:vAlign w:val="bottom"/>
            <w:tcBorders>
              <w:right w:val="single" w:sz="8" w:color="auto"/>
            </w:tcBorders>
          </w:tcPr>
          <w:p>
            <w:pPr>
              <w:jc w:val="center"/>
              <w:spacing w:after="0" w:line="185" w:lineRule="exact"/>
              <w:rPr>
                <w:sz w:val="20"/>
                <w:szCs w:val="20"/>
                <w:color w:val="auto"/>
              </w:rPr>
            </w:pPr>
            <w:r>
              <w:rPr>
                <w:rFonts w:ascii="Arial" w:cs="Arial" w:eastAsia="Arial" w:hAnsi="Arial"/>
                <w:sz w:val="19"/>
                <w:szCs w:val="19"/>
                <w:color w:val="auto"/>
                <w:w w:val="89"/>
              </w:rPr>
              <w:t>$35,000,000.00</w:t>
            </w:r>
          </w:p>
        </w:tc>
        <w:tc>
          <w:tcPr>
            <w:tcW w:w="1360" w:type="dxa"/>
            <w:vAlign w:val="bottom"/>
            <w:tcBorders>
              <w:right w:val="single" w:sz="8" w:color="auto"/>
            </w:tcBorders>
          </w:tcPr>
          <w:p>
            <w:pPr>
              <w:jc w:val="center"/>
              <w:spacing w:after="0" w:line="185" w:lineRule="exact"/>
              <w:rPr>
                <w:sz w:val="20"/>
                <w:szCs w:val="20"/>
                <w:color w:val="auto"/>
              </w:rPr>
            </w:pPr>
            <w:r>
              <w:rPr>
                <w:rFonts w:ascii="Arial" w:cs="Arial" w:eastAsia="Arial" w:hAnsi="Arial"/>
                <w:sz w:val="19"/>
                <w:szCs w:val="19"/>
                <w:color w:val="auto"/>
                <w:w w:val="89"/>
              </w:rPr>
              <w:t>$20,000,000.00</w:t>
            </w:r>
          </w:p>
        </w:tc>
        <w:tc>
          <w:tcPr>
            <w:tcW w:w="1360" w:type="dxa"/>
            <w:vAlign w:val="bottom"/>
            <w:tcBorders>
              <w:right w:val="single" w:sz="8" w:color="auto"/>
            </w:tcBorders>
          </w:tcPr>
          <w:p>
            <w:pPr>
              <w:jc w:val="center"/>
              <w:spacing w:after="0" w:line="185" w:lineRule="exact"/>
              <w:rPr>
                <w:sz w:val="20"/>
                <w:szCs w:val="20"/>
                <w:color w:val="auto"/>
              </w:rPr>
            </w:pPr>
            <w:r>
              <w:rPr>
                <w:rFonts w:ascii="Arial" w:cs="Arial" w:eastAsia="Arial" w:hAnsi="Arial"/>
                <w:sz w:val="19"/>
                <w:szCs w:val="19"/>
                <w:color w:val="auto"/>
                <w:w w:val="89"/>
              </w:rPr>
              <w:t>$60,000,000.00</w:t>
            </w:r>
          </w:p>
        </w:tc>
        <w:tc>
          <w:tcPr>
            <w:tcW w:w="1440" w:type="dxa"/>
            <w:vAlign w:val="bottom"/>
            <w:tcBorders>
              <w:right w:val="single" w:sz="8" w:color="auto"/>
            </w:tcBorders>
          </w:tcPr>
          <w:p>
            <w:pPr>
              <w:jc w:val="center"/>
              <w:spacing w:after="0" w:line="185" w:lineRule="exact"/>
              <w:rPr>
                <w:sz w:val="20"/>
                <w:szCs w:val="20"/>
                <w:color w:val="auto"/>
              </w:rPr>
            </w:pPr>
            <w:r>
              <w:rPr>
                <w:rFonts w:ascii="Arial" w:cs="Arial" w:eastAsia="Arial" w:hAnsi="Arial"/>
                <w:sz w:val="19"/>
                <w:szCs w:val="19"/>
                <w:color w:val="auto"/>
                <w:w w:val="90"/>
              </w:rPr>
              <w:t>$50,000,000.00*</w:t>
            </w:r>
          </w:p>
        </w:tc>
        <w:tc>
          <w:tcPr>
            <w:tcW w:w="1440" w:type="dxa"/>
            <w:vAlign w:val="bottom"/>
          </w:tcPr>
          <w:p>
            <w:pPr>
              <w:jc w:val="center"/>
              <w:spacing w:after="0" w:line="185" w:lineRule="exact"/>
              <w:rPr>
                <w:sz w:val="20"/>
                <w:szCs w:val="20"/>
                <w:color w:val="auto"/>
              </w:rPr>
            </w:pPr>
            <w:r>
              <w:rPr>
                <w:rFonts w:ascii="Arial" w:cs="Arial" w:eastAsia="Arial" w:hAnsi="Arial"/>
                <w:sz w:val="19"/>
                <w:szCs w:val="19"/>
                <w:color w:val="auto"/>
                <w:w w:val="90"/>
              </w:rPr>
              <w:t>$225,000,000.00*</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260" w:type="dxa"/>
            <w:vAlign w:val="bottom"/>
            <w:tcBorders>
              <w:left w:val="single" w:sz="8" w:color="auto"/>
              <w:right w:val="single" w:sz="8" w:color="auto"/>
            </w:tcBorders>
          </w:tcPr>
          <w:p>
            <w:pPr>
              <w:jc w:val="center"/>
              <w:spacing w:after="0" w:line="213" w:lineRule="exact"/>
              <w:rPr>
                <w:sz w:val="20"/>
                <w:szCs w:val="20"/>
                <w:color w:val="auto"/>
              </w:rPr>
            </w:pPr>
            <w:r>
              <w:rPr>
                <w:rFonts w:ascii="Arial" w:cs="Arial" w:eastAsia="Arial" w:hAnsi="Arial"/>
                <w:sz w:val="19"/>
                <w:szCs w:val="19"/>
                <w:color w:val="auto"/>
                <w:w w:val="93"/>
              </w:rPr>
              <w:t>Capital,</w:t>
            </w:r>
          </w:p>
        </w:tc>
        <w:tc>
          <w:tcPr>
            <w:tcW w:w="12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1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1"/>
              </w:rPr>
              <w:t>Inc.</w:t>
            </w:r>
          </w:p>
        </w:tc>
        <w:tc>
          <w:tcPr>
            <w:tcW w:w="124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1260" w:type="dxa"/>
            <w:vAlign w:val="bottom"/>
            <w:tcBorders>
              <w:left w:val="single" w:sz="8" w:color="auto"/>
              <w:bottom w:val="single" w:sz="8" w:color="auto"/>
              <w:right w:val="single" w:sz="8" w:color="auto"/>
            </w:tcBorders>
          </w:tcPr>
          <w:p>
            <w:pPr>
              <w:spacing w:after="0"/>
              <w:rPr>
                <w:sz w:val="15"/>
                <w:szCs w:val="15"/>
                <w:color w:val="auto"/>
              </w:rPr>
            </w:pPr>
          </w:p>
        </w:tc>
        <w:tc>
          <w:tcPr>
            <w:tcW w:w="1240" w:type="dxa"/>
            <w:vAlign w:val="bottom"/>
            <w:tcBorders>
              <w:bottom w:val="single" w:sz="8" w:color="auto"/>
              <w:right w:val="single" w:sz="8" w:color="auto"/>
            </w:tcBorders>
          </w:tcPr>
          <w:p>
            <w:pPr>
              <w:spacing w:after="0"/>
              <w:rPr>
                <w:sz w:val="15"/>
                <w:szCs w:val="15"/>
                <w:color w:val="auto"/>
              </w:rPr>
            </w:pPr>
          </w:p>
        </w:tc>
        <w:tc>
          <w:tcPr>
            <w:tcW w:w="122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440" w:type="dxa"/>
            <w:vAlign w:val="bottom"/>
            <w:tcBorders>
              <w:bottom w:val="single" w:sz="8" w:color="auto"/>
              <w:right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260" w:type="dxa"/>
            <w:vAlign w:val="bottom"/>
            <w:tcBorders>
              <w:left w:val="single" w:sz="8" w:color="auto"/>
              <w:right w:val="single" w:sz="8" w:color="auto"/>
            </w:tcBorders>
          </w:tcPr>
          <w:p>
            <w:pPr>
              <w:jc w:val="center"/>
              <w:spacing w:after="0" w:line="185" w:lineRule="exact"/>
              <w:rPr>
                <w:sz w:val="20"/>
                <w:szCs w:val="20"/>
                <w:color w:val="auto"/>
              </w:rPr>
            </w:pPr>
            <w:r>
              <w:rPr>
                <w:rFonts w:ascii="Arial" w:cs="Arial" w:eastAsia="Arial" w:hAnsi="Arial"/>
                <w:sz w:val="19"/>
                <w:szCs w:val="19"/>
                <w:color w:val="auto"/>
                <w:w w:val="97"/>
              </w:rPr>
              <w:t>TOTAL</w:t>
            </w:r>
          </w:p>
        </w:tc>
        <w:tc>
          <w:tcPr>
            <w:tcW w:w="1240" w:type="dxa"/>
            <w:vAlign w:val="bottom"/>
            <w:tcBorders>
              <w:right w:val="single" w:sz="8" w:color="auto"/>
            </w:tcBorders>
          </w:tcPr>
          <w:p>
            <w:pPr>
              <w:jc w:val="center"/>
              <w:spacing w:after="0" w:line="185" w:lineRule="exact"/>
              <w:rPr>
                <w:sz w:val="20"/>
                <w:szCs w:val="20"/>
                <w:color w:val="auto"/>
              </w:rPr>
            </w:pPr>
            <w:r>
              <w:rPr>
                <w:rFonts w:ascii="Arial" w:cs="Arial" w:eastAsia="Arial" w:hAnsi="Arial"/>
                <w:sz w:val="19"/>
                <w:szCs w:val="19"/>
                <w:color w:val="auto"/>
                <w:w w:val="90"/>
              </w:rPr>
              <w:t>$50,000,000</w:t>
            </w:r>
          </w:p>
        </w:tc>
        <w:tc>
          <w:tcPr>
            <w:tcW w:w="1220" w:type="dxa"/>
            <w:vAlign w:val="bottom"/>
            <w:tcBorders>
              <w:right w:val="single" w:sz="8" w:color="auto"/>
            </w:tcBorders>
          </w:tcPr>
          <w:p>
            <w:pPr>
              <w:jc w:val="center"/>
              <w:spacing w:after="0" w:line="185" w:lineRule="exact"/>
              <w:rPr>
                <w:sz w:val="20"/>
                <w:szCs w:val="20"/>
                <w:color w:val="auto"/>
              </w:rPr>
            </w:pPr>
            <w:r>
              <w:rPr>
                <w:rFonts w:ascii="Arial" w:cs="Arial" w:eastAsia="Arial" w:hAnsi="Arial"/>
                <w:sz w:val="19"/>
                <w:szCs w:val="19"/>
                <w:color w:val="auto"/>
                <w:w w:val="88"/>
              </w:rPr>
              <w:t>$10,000,000</w:t>
            </w:r>
          </w:p>
        </w:tc>
        <w:tc>
          <w:tcPr>
            <w:tcW w:w="1360" w:type="dxa"/>
            <w:vAlign w:val="bottom"/>
            <w:tcBorders>
              <w:right w:val="single" w:sz="8" w:color="auto"/>
            </w:tcBorders>
          </w:tcPr>
          <w:p>
            <w:pPr>
              <w:jc w:val="center"/>
              <w:spacing w:after="0" w:line="185" w:lineRule="exact"/>
              <w:rPr>
                <w:sz w:val="20"/>
                <w:szCs w:val="20"/>
                <w:color w:val="auto"/>
              </w:rPr>
            </w:pPr>
            <w:r>
              <w:rPr>
                <w:rFonts w:ascii="Arial" w:cs="Arial" w:eastAsia="Arial" w:hAnsi="Arial"/>
                <w:sz w:val="19"/>
                <w:szCs w:val="19"/>
                <w:color w:val="auto"/>
                <w:w w:val="89"/>
              </w:rPr>
              <w:t>$35,000,000.00</w:t>
            </w:r>
          </w:p>
        </w:tc>
        <w:tc>
          <w:tcPr>
            <w:tcW w:w="1360" w:type="dxa"/>
            <w:vAlign w:val="bottom"/>
            <w:tcBorders>
              <w:right w:val="single" w:sz="8" w:color="auto"/>
            </w:tcBorders>
          </w:tcPr>
          <w:p>
            <w:pPr>
              <w:jc w:val="center"/>
              <w:spacing w:after="0" w:line="185" w:lineRule="exact"/>
              <w:rPr>
                <w:sz w:val="20"/>
                <w:szCs w:val="20"/>
                <w:color w:val="auto"/>
              </w:rPr>
            </w:pPr>
            <w:r>
              <w:rPr>
                <w:rFonts w:ascii="Arial" w:cs="Arial" w:eastAsia="Arial" w:hAnsi="Arial"/>
                <w:sz w:val="19"/>
                <w:szCs w:val="19"/>
                <w:color w:val="auto"/>
                <w:w w:val="89"/>
              </w:rPr>
              <w:t>$20,000,000.00</w:t>
            </w:r>
          </w:p>
        </w:tc>
        <w:tc>
          <w:tcPr>
            <w:tcW w:w="1360" w:type="dxa"/>
            <w:vAlign w:val="bottom"/>
            <w:tcBorders>
              <w:right w:val="single" w:sz="8" w:color="auto"/>
            </w:tcBorders>
          </w:tcPr>
          <w:p>
            <w:pPr>
              <w:jc w:val="center"/>
              <w:spacing w:after="0" w:line="185" w:lineRule="exact"/>
              <w:rPr>
                <w:sz w:val="20"/>
                <w:szCs w:val="20"/>
                <w:color w:val="auto"/>
              </w:rPr>
            </w:pPr>
            <w:r>
              <w:rPr>
                <w:rFonts w:ascii="Arial" w:cs="Arial" w:eastAsia="Arial" w:hAnsi="Arial"/>
                <w:sz w:val="19"/>
                <w:szCs w:val="19"/>
                <w:color w:val="auto"/>
                <w:w w:val="89"/>
              </w:rPr>
              <w:t>$60,000,000.00</w:t>
            </w:r>
          </w:p>
        </w:tc>
        <w:tc>
          <w:tcPr>
            <w:tcW w:w="1440" w:type="dxa"/>
            <w:vAlign w:val="bottom"/>
            <w:tcBorders>
              <w:right w:val="single" w:sz="8" w:color="auto"/>
            </w:tcBorders>
          </w:tcPr>
          <w:p>
            <w:pPr>
              <w:jc w:val="center"/>
              <w:spacing w:after="0" w:line="185" w:lineRule="exact"/>
              <w:rPr>
                <w:sz w:val="20"/>
                <w:szCs w:val="20"/>
                <w:color w:val="auto"/>
              </w:rPr>
            </w:pPr>
            <w:r>
              <w:rPr>
                <w:rFonts w:ascii="Arial" w:cs="Arial" w:eastAsia="Arial" w:hAnsi="Arial"/>
                <w:sz w:val="19"/>
                <w:szCs w:val="19"/>
                <w:color w:val="auto"/>
                <w:w w:val="90"/>
              </w:rPr>
              <w:t>$50,000,000.00*</w:t>
            </w:r>
          </w:p>
        </w:tc>
        <w:tc>
          <w:tcPr>
            <w:tcW w:w="1440" w:type="dxa"/>
            <w:vAlign w:val="bottom"/>
          </w:tcPr>
          <w:p>
            <w:pPr>
              <w:jc w:val="center"/>
              <w:spacing w:after="0" w:line="185" w:lineRule="exact"/>
              <w:rPr>
                <w:sz w:val="20"/>
                <w:szCs w:val="20"/>
                <w:color w:val="auto"/>
              </w:rPr>
            </w:pPr>
            <w:r>
              <w:rPr>
                <w:rFonts w:ascii="Arial" w:cs="Arial" w:eastAsia="Arial" w:hAnsi="Arial"/>
                <w:sz w:val="19"/>
                <w:szCs w:val="19"/>
                <w:color w:val="auto"/>
                <w:w w:val="90"/>
              </w:rPr>
              <w:t>$225,000,000.00*</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260" w:type="dxa"/>
            <w:vAlign w:val="bottom"/>
            <w:tcBorders>
              <w:left w:val="single" w:sz="8" w:color="auto"/>
              <w:right w:val="single" w:sz="8" w:color="auto"/>
            </w:tcBorders>
          </w:tcPr>
          <w:p>
            <w:pPr>
              <w:jc w:val="center"/>
              <w:spacing w:after="0" w:line="213" w:lineRule="exact"/>
              <w:rPr>
                <w:sz w:val="20"/>
                <w:szCs w:val="20"/>
                <w:color w:val="auto"/>
              </w:rPr>
            </w:pPr>
            <w:r>
              <w:rPr>
                <w:rFonts w:ascii="Arial" w:cs="Arial" w:eastAsia="Arial" w:hAnsi="Arial"/>
                <w:sz w:val="19"/>
                <w:szCs w:val="19"/>
                <w:color w:val="auto"/>
              </w:rPr>
              <w:t>COMMITME</w:t>
            </w:r>
          </w:p>
        </w:tc>
        <w:tc>
          <w:tcPr>
            <w:tcW w:w="12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1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4"/>
              </w:rPr>
              <w:t>NTS</w:t>
            </w:r>
          </w:p>
        </w:tc>
        <w:tc>
          <w:tcPr>
            <w:tcW w:w="124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1260" w:type="dxa"/>
            <w:vAlign w:val="bottom"/>
            <w:tcBorders>
              <w:left w:val="single" w:sz="8" w:color="auto"/>
              <w:bottom w:val="single" w:sz="8" w:color="auto"/>
              <w:right w:val="single" w:sz="8" w:color="auto"/>
            </w:tcBorders>
          </w:tcPr>
          <w:p>
            <w:pPr>
              <w:spacing w:after="0"/>
              <w:rPr>
                <w:sz w:val="15"/>
                <w:szCs w:val="15"/>
                <w:color w:val="auto"/>
              </w:rPr>
            </w:pPr>
          </w:p>
        </w:tc>
        <w:tc>
          <w:tcPr>
            <w:tcW w:w="1240" w:type="dxa"/>
            <w:vAlign w:val="bottom"/>
            <w:tcBorders>
              <w:bottom w:val="single" w:sz="8" w:color="auto"/>
              <w:right w:val="single" w:sz="8" w:color="auto"/>
            </w:tcBorders>
          </w:tcPr>
          <w:p>
            <w:pPr>
              <w:spacing w:after="0"/>
              <w:rPr>
                <w:sz w:val="15"/>
                <w:szCs w:val="15"/>
                <w:color w:val="auto"/>
              </w:rPr>
            </w:pPr>
          </w:p>
        </w:tc>
        <w:tc>
          <w:tcPr>
            <w:tcW w:w="122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spacing w:after="0"/>
              <w:rPr>
                <w:sz w:val="15"/>
                <w:szCs w:val="15"/>
                <w:color w:val="auto"/>
              </w:rPr>
            </w:pPr>
          </w:p>
        </w:tc>
        <w:tc>
          <w:tcPr>
            <w:tcW w:w="1440" w:type="dxa"/>
            <w:vAlign w:val="bottom"/>
            <w:tcBorders>
              <w:bottom w:val="single" w:sz="8" w:color="auto"/>
              <w:right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1120"/>
        <w:spacing w:after="0"/>
        <w:rPr>
          <w:sz w:val="20"/>
          <w:szCs w:val="20"/>
          <w:color w:val="auto"/>
        </w:rPr>
      </w:pPr>
      <w:r>
        <w:rPr>
          <w:rFonts w:ascii="Arial" w:cs="Arial" w:eastAsia="Arial" w:hAnsi="Arial"/>
          <w:sz w:val="19"/>
          <w:szCs w:val="19"/>
          <w:color w:val="auto"/>
        </w:rPr>
        <w:t>* Funding of Tranche 5 is subject to approval by Lender’s investment committee in its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681990</wp:posOffset>
            </wp:positionV>
            <wp:extent cx="6311265" cy="2222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10680"/>
          </w:cols>
          <w:pgMar w:left="980" w:top="775" w:right="239" w:bottom="1440" w:gutter="0" w:footer="0" w:header="0"/>
        </w:sectPr>
      </w:pPr>
    </w:p>
    <w:bookmarkStart w:id="210" w:name="page211"/>
    <w:bookmarkEnd w:id="210"/>
    <w:p>
      <w:pPr>
        <w:jc w:val="right"/>
        <w:spacing w:after="0"/>
        <w:rPr>
          <w:sz w:val="20"/>
          <w:szCs w:val="20"/>
          <w:color w:val="auto"/>
        </w:rPr>
      </w:pPr>
      <w:r>
        <w:rPr>
          <w:rFonts w:ascii="Arial" w:cs="Arial" w:eastAsia="Arial" w:hAnsi="Arial"/>
          <w:sz w:val="17"/>
          <w:szCs w:val="17"/>
          <w:b w:val="1"/>
          <w:bCs w:val="1"/>
          <w:color w:val="auto"/>
        </w:rPr>
        <w:t>Exhibit 10.4</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7"/>
          <w:szCs w:val="17"/>
          <w:b w:val="1"/>
          <w:bCs w:val="1"/>
          <w:i w:val="1"/>
          <w:iCs w:val="1"/>
          <w:color w:val="auto"/>
        </w:rPr>
        <w:t>FINAL</w:t>
      </w:r>
    </w:p>
    <w:p>
      <w:pPr>
        <w:spacing w:after="0" w:line="205" w:lineRule="exact"/>
        <w:rPr>
          <w:sz w:val="20"/>
          <w:szCs w:val="20"/>
          <w:color w:val="auto"/>
        </w:rPr>
      </w:pPr>
    </w:p>
    <w:p>
      <w:pPr>
        <w:ind w:right="240"/>
        <w:spacing w:after="0" w:line="252" w:lineRule="auto"/>
        <w:rPr>
          <w:sz w:val="20"/>
          <w:szCs w:val="20"/>
          <w:color w:val="auto"/>
        </w:rPr>
      </w:pPr>
      <w:r>
        <w:rPr>
          <w:rFonts w:ascii="Arial" w:cs="Arial" w:eastAsia="Arial" w:hAnsi="Arial"/>
          <w:sz w:val="17"/>
          <w:szCs w:val="17"/>
          <w:color w:val="auto"/>
        </w:rPr>
        <w:t>THIS WARRANT AND THE SHARES ISSUABLE UPON EXERCISE HEREOF HAVE NOT BEEN REGISTERED UNDER THE SECURITIES ACT OF 1933, AS AMENDED (THE “ACT”), OR ANY STATE SECURITIES LAWS, AND MAY NOT BE SOLD, OFFERED FOR SALE, PLEDGED, OR HYPOTHECATED IN THE ABSENCE OF AN EFFECTIVE REGISTRATION STATEMENT RELATED THERETO OR, SUBJECT TO SECTION 11 HEREOF, AN OPINION OF COUNSEL IN A FORM SATISFACTORY TO THE COMPANY THAT SUCH REGISTRATION IS NOT REQUIRED UNDER THE ACT, OR ANY APPLICABLE STATE SECURITIES LAWS.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WARRANT AGREEMENT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To Purchase Shares of the Common Stock of</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AXSOME THERAPEUTICS, INC.</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Dated as of September 25, 2020 (the “</w:t>
      </w:r>
      <w:r>
        <w:rPr>
          <w:rFonts w:ascii="Arial" w:cs="Arial" w:eastAsia="Arial" w:hAnsi="Arial"/>
          <w:sz w:val="17"/>
          <w:szCs w:val="17"/>
          <w:u w:val="single" w:color="auto"/>
          <w:color w:val="auto"/>
        </w:rPr>
        <w:t>Effective Date</w:t>
      </w:r>
      <w:r>
        <w:rPr>
          <w:rFonts w:ascii="Arial" w:cs="Arial" w:eastAsia="Arial" w:hAnsi="Arial"/>
          <w:sz w:val="17"/>
          <w:szCs w:val="17"/>
          <w:color w:val="auto"/>
        </w:rPr>
        <w:t>”)</w:t>
      </w:r>
    </w:p>
    <w:p>
      <w:pPr>
        <w:spacing w:after="0" w:line="205" w:lineRule="exact"/>
        <w:rPr>
          <w:sz w:val="20"/>
          <w:szCs w:val="20"/>
          <w:color w:val="auto"/>
        </w:rPr>
      </w:pPr>
    </w:p>
    <w:p>
      <w:pPr>
        <w:ind w:right="40" w:firstLine="566"/>
        <w:spacing w:after="0" w:line="261" w:lineRule="auto"/>
        <w:rPr>
          <w:sz w:val="20"/>
          <w:szCs w:val="20"/>
          <w:color w:val="auto"/>
        </w:rPr>
      </w:pPr>
      <w:r>
        <w:rPr>
          <w:rFonts w:ascii="Arial" w:cs="Arial" w:eastAsia="Arial" w:hAnsi="Arial"/>
          <w:sz w:val="17"/>
          <w:szCs w:val="17"/>
          <w:color w:val="auto"/>
        </w:rPr>
        <w:t>WHEREAS, Axsome Therapeutics,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has entered into a Loan and Security Agreement of even date herewith (as amended and in effect from time to time, the “</w:t>
      </w:r>
      <w:r>
        <w:rPr>
          <w:rFonts w:ascii="Arial" w:cs="Arial" w:eastAsia="Arial" w:hAnsi="Arial"/>
          <w:sz w:val="17"/>
          <w:szCs w:val="17"/>
          <w:u w:val="single" w:color="auto"/>
          <w:color w:val="auto"/>
        </w:rPr>
        <w:t>Loan Agreement</w:t>
      </w:r>
      <w:r>
        <w:rPr>
          <w:rFonts w:ascii="Arial" w:cs="Arial" w:eastAsia="Arial" w:hAnsi="Arial"/>
          <w:sz w:val="17"/>
          <w:szCs w:val="17"/>
          <w:color w:val="auto"/>
        </w:rPr>
        <w:t>”) with Hercules Capital, Inc., a Maryland corporation (the “</w:t>
      </w:r>
      <w:r>
        <w:rPr>
          <w:rFonts w:ascii="Arial" w:cs="Arial" w:eastAsia="Arial" w:hAnsi="Arial"/>
          <w:sz w:val="17"/>
          <w:szCs w:val="17"/>
          <w:u w:val="single" w:color="auto"/>
          <w:color w:val="auto"/>
        </w:rPr>
        <w:t>Warrantholder</w:t>
      </w:r>
      <w:r>
        <w:rPr>
          <w:rFonts w:ascii="Arial" w:cs="Arial" w:eastAsia="Arial" w:hAnsi="Arial"/>
          <w:sz w:val="17"/>
          <w:szCs w:val="17"/>
          <w:color w:val="auto"/>
        </w:rPr>
        <w:t>”), in its capacity as administrative agent, and the lender parties thereto;</w:t>
      </w:r>
    </w:p>
    <w:p>
      <w:pPr>
        <w:spacing w:after="0" w:line="164" w:lineRule="exact"/>
        <w:rPr>
          <w:sz w:val="20"/>
          <w:szCs w:val="20"/>
          <w:color w:val="auto"/>
        </w:rPr>
      </w:pPr>
    </w:p>
    <w:p>
      <w:pPr>
        <w:ind w:right="80" w:firstLine="1132"/>
        <w:spacing w:after="0" w:line="284" w:lineRule="auto"/>
        <w:rPr>
          <w:sz w:val="20"/>
          <w:szCs w:val="20"/>
          <w:color w:val="auto"/>
        </w:rPr>
      </w:pPr>
      <w:r>
        <w:rPr>
          <w:rFonts w:ascii="Arial" w:cs="Arial" w:eastAsia="Arial" w:hAnsi="Arial"/>
          <w:sz w:val="16"/>
          <w:szCs w:val="16"/>
          <w:color w:val="auto"/>
        </w:rPr>
        <w:t>WHEREAS, pursuant to the Loan Agreement and as additional consideration to the Warrantholder for, among other things, its agreements in the Loan Agreement, the Company has agreed to issue to the Warrantholder this Warrant Agreement, evidencing the right to purchase shares of the Company’s Common Stock (this “</w:t>
      </w:r>
      <w:r>
        <w:rPr>
          <w:rFonts w:ascii="Arial" w:cs="Arial" w:eastAsia="Arial" w:hAnsi="Arial"/>
          <w:sz w:val="16"/>
          <w:szCs w:val="16"/>
          <w:u w:val="single" w:color="auto"/>
          <w:color w:val="auto"/>
        </w:rPr>
        <w:t>Warrant</w:t>
      </w:r>
      <w:r>
        <w:rPr>
          <w:rFonts w:ascii="Arial" w:cs="Arial" w:eastAsia="Arial" w:hAnsi="Arial"/>
          <w:sz w:val="16"/>
          <w:szCs w:val="16"/>
          <w:color w:val="auto"/>
        </w:rPr>
        <w:t>”, “</w:t>
      </w:r>
      <w:r>
        <w:rPr>
          <w:rFonts w:ascii="Arial" w:cs="Arial" w:eastAsia="Arial" w:hAnsi="Arial"/>
          <w:sz w:val="16"/>
          <w:szCs w:val="16"/>
          <w:u w:val="single" w:color="auto"/>
          <w:color w:val="auto"/>
        </w:rPr>
        <w:t>Warrant Agreement</w:t>
      </w:r>
      <w:r>
        <w:rPr>
          <w:rFonts w:ascii="Arial" w:cs="Arial" w:eastAsia="Arial" w:hAnsi="Arial"/>
          <w:sz w:val="16"/>
          <w:szCs w:val="16"/>
          <w:color w:val="auto"/>
        </w:rPr>
        <w:t>”, or this “</w:t>
      </w:r>
      <w:r>
        <w:rPr>
          <w:rFonts w:ascii="Arial" w:cs="Arial" w:eastAsia="Arial" w:hAnsi="Arial"/>
          <w:sz w:val="16"/>
          <w:szCs w:val="16"/>
          <w:u w:val="single" w:color="auto"/>
          <w:color w:val="auto"/>
        </w:rPr>
        <w:t>Agreement</w:t>
      </w:r>
      <w:r>
        <w:rPr>
          <w:rFonts w:ascii="Arial" w:cs="Arial" w:eastAsia="Arial" w:hAnsi="Arial"/>
          <w:sz w:val="16"/>
          <w:szCs w:val="16"/>
          <w:color w:val="auto"/>
        </w:rPr>
        <w:t>”);</w:t>
      </w:r>
    </w:p>
    <w:p>
      <w:pPr>
        <w:spacing w:after="0" w:line="137" w:lineRule="exact"/>
        <w:rPr>
          <w:sz w:val="20"/>
          <w:szCs w:val="20"/>
          <w:color w:val="auto"/>
        </w:rPr>
      </w:pPr>
    </w:p>
    <w:p>
      <w:pPr>
        <w:ind w:right="100" w:firstLine="1132"/>
        <w:spacing w:after="0" w:line="261" w:lineRule="auto"/>
        <w:rPr>
          <w:sz w:val="20"/>
          <w:szCs w:val="20"/>
          <w:color w:val="auto"/>
        </w:rPr>
      </w:pPr>
      <w:r>
        <w:rPr>
          <w:rFonts w:ascii="Arial" w:cs="Arial" w:eastAsia="Arial" w:hAnsi="Arial"/>
          <w:sz w:val="17"/>
          <w:szCs w:val="17"/>
          <w:color w:val="auto"/>
        </w:rPr>
        <w:t>NOW, THEREFORE, in consideration of the Warrantholder having executed and delivered the Loan Agreement and provided the financial accommodations contemplated therein, and in consideration of the mutual covenants and agreements contained herein, the Company and Warrantholder agree as follows:</w:t>
      </w:r>
    </w:p>
    <w:p>
      <w:pPr>
        <w:spacing w:after="0" w:line="146" w:lineRule="exact"/>
        <w:rPr>
          <w:sz w:val="20"/>
          <w:szCs w:val="20"/>
          <w:color w:val="auto"/>
        </w:rPr>
      </w:pPr>
    </w:p>
    <w:p>
      <w:pPr>
        <w:ind w:left="980"/>
        <w:spacing w:after="0"/>
        <w:tabs>
          <w:tab w:leader="none" w:pos="2100" w:val="left"/>
        </w:tabs>
        <w:rPr>
          <w:sz w:val="20"/>
          <w:szCs w:val="20"/>
          <w:color w:val="auto"/>
        </w:rPr>
      </w:pPr>
      <w:r>
        <w:rPr>
          <w:rFonts w:ascii="Arial" w:cs="Arial" w:eastAsia="Arial" w:hAnsi="Arial"/>
          <w:sz w:val="17"/>
          <w:szCs w:val="17"/>
          <w:b w:val="1"/>
          <w:bCs w:val="1"/>
          <w:color w:val="auto"/>
        </w:rPr>
        <w:t>SECTION 1.</w:t>
      </w:r>
      <w:r>
        <w:rPr>
          <w:sz w:val="20"/>
          <w:szCs w:val="20"/>
          <w:color w:val="auto"/>
        </w:rPr>
        <w:tab/>
      </w:r>
      <w:r>
        <w:rPr>
          <w:rFonts w:ascii="Arial" w:cs="Arial" w:eastAsia="Arial" w:hAnsi="Arial"/>
          <w:sz w:val="16"/>
          <w:szCs w:val="16"/>
          <w:color w:val="auto"/>
        </w:rPr>
        <w:t>GRANT OF THE RIGHT TO PURCHASE COMMON STOCK.</w:t>
      </w:r>
    </w:p>
    <w:p>
      <w:pPr>
        <w:spacing w:after="0" w:line="105" w:lineRule="exact"/>
        <w:rPr>
          <w:sz w:val="20"/>
          <w:szCs w:val="20"/>
          <w:color w:val="auto"/>
        </w:rPr>
      </w:pPr>
    </w:p>
    <w:p>
      <w:pPr>
        <w:ind w:right="40" w:firstLine="1128"/>
        <w:spacing w:after="0" w:line="253" w:lineRule="auto"/>
        <w:tabs>
          <w:tab w:leader="none" w:pos="1698" w:val="left"/>
        </w:tabs>
        <w:numPr>
          <w:ilvl w:val="0"/>
          <w:numId w:val="120"/>
        </w:numPr>
        <w:rPr>
          <w:rFonts w:ascii="Arial" w:cs="Arial" w:eastAsia="Arial" w:hAnsi="Arial"/>
          <w:sz w:val="17"/>
          <w:szCs w:val="17"/>
          <w:color w:val="auto"/>
        </w:rPr>
      </w:pPr>
      <w:r>
        <w:rPr>
          <w:rFonts w:ascii="Arial" w:cs="Arial" w:eastAsia="Arial" w:hAnsi="Arial"/>
          <w:sz w:val="17"/>
          <w:szCs w:val="17"/>
          <w:color w:val="auto"/>
        </w:rPr>
        <w:t>For value received, the Company hereby grants to the Warrantholder, and the Warrantholder is entitled, upon the terms and subject to the conditions hereinafter set forth, to subscribe for and purchase, from the Company, up to the number of fully paid and non-assessable shares of Common Stock (as defined below) as determined pursuant to Section 1(b) below, at a purchase price per share equal to the Exercise Price (as defined below). The number and Exercise Price of such shares are subject to adjustment as provided in Section 8. As used herein, the following terms shall have the following meanings:</w:t>
      </w:r>
    </w:p>
    <w:p>
      <w:pPr>
        <w:spacing w:after="0" w:line="160"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Act</w:t>
      </w:r>
      <w:r>
        <w:rPr>
          <w:rFonts w:ascii="Arial" w:cs="Arial" w:eastAsia="Arial" w:hAnsi="Arial"/>
          <w:sz w:val="17"/>
          <w:szCs w:val="17"/>
          <w:color w:val="auto"/>
        </w:rPr>
        <w:t>” means the Securities Act of 1933, as amended.</w:t>
      </w:r>
    </w:p>
    <w:p>
      <w:pPr>
        <w:spacing w:after="0" w:line="194"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Charter</w:t>
      </w:r>
      <w:r>
        <w:rPr>
          <w:rFonts w:ascii="Arial" w:cs="Arial" w:eastAsia="Arial" w:hAnsi="Arial"/>
          <w:sz w:val="17"/>
          <w:szCs w:val="17"/>
          <w:color w:val="auto"/>
        </w:rPr>
        <w:t>” means the Company’s Certificate of Incorporation, as may be amended and in effect from time to time.</w:t>
      </w:r>
    </w:p>
    <w:p>
      <w:pPr>
        <w:spacing w:after="0" w:line="194" w:lineRule="exact"/>
        <w:rPr>
          <w:sz w:val="20"/>
          <w:szCs w:val="20"/>
          <w:color w:val="auto"/>
        </w:rPr>
      </w:pPr>
    </w:p>
    <w:p>
      <w:pPr>
        <w:ind w:left="560" w:right="80" w:firstLine="566"/>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 Stock</w:t>
      </w:r>
      <w:r>
        <w:rPr>
          <w:rFonts w:ascii="Arial" w:cs="Arial" w:eastAsia="Arial" w:hAnsi="Arial"/>
          <w:sz w:val="17"/>
          <w:szCs w:val="17"/>
          <w:color w:val="auto"/>
        </w:rPr>
        <w:t>” means the Company’s common stock, $0.0001 par value per share, as presently constituted under the Charter, and any class and/or series of Company capital stock for or into which such common stock may be converted or exchanged in a reorganization, recapitalization or similar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532765</wp:posOffset>
            </wp:positionV>
            <wp:extent cx="6311265" cy="2222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940"/>
          </w:cols>
          <w:pgMar w:left="980" w:top="120" w:right="979" w:bottom="1440" w:gutter="0" w:footer="0" w:header="0"/>
        </w:sectPr>
      </w:pPr>
    </w:p>
    <w:bookmarkStart w:id="211" w:name="page212"/>
    <w:bookmarkEnd w:id="211"/>
    <w:p>
      <w:pPr>
        <w:ind w:left="1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Exercise Price</w:t>
      </w:r>
      <w:r>
        <w:rPr>
          <w:rFonts w:ascii="Arial" w:cs="Arial" w:eastAsia="Arial" w:hAnsi="Arial"/>
          <w:sz w:val="16"/>
          <w:szCs w:val="16"/>
          <w:color w:val="auto"/>
        </w:rPr>
        <w:t>” means $80.43, subject to adjustment from time to time in accordance with the provisions of this Warrant.</w:t>
      </w:r>
    </w:p>
    <w:p>
      <w:pPr>
        <w:spacing w:after="0" w:line="205" w:lineRule="exact"/>
        <w:rPr>
          <w:sz w:val="20"/>
          <w:szCs w:val="20"/>
          <w:color w:val="auto"/>
        </w:rPr>
      </w:pPr>
    </w:p>
    <w:p>
      <w:pPr>
        <w:ind w:left="560" w:right="880" w:firstLine="566"/>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Liquid Sale</w:t>
      </w:r>
      <w:r>
        <w:rPr>
          <w:rFonts w:ascii="Arial" w:cs="Arial" w:eastAsia="Arial" w:hAnsi="Arial"/>
          <w:sz w:val="17"/>
          <w:szCs w:val="17"/>
          <w:color w:val="auto"/>
        </w:rPr>
        <w:t>” means the closing of a Merger Event in which the consideration received by the Company and/or its stockholders, as applicable, consists solely of cash and/or Marketable Securities.</w:t>
      </w:r>
    </w:p>
    <w:p>
      <w:pPr>
        <w:spacing w:after="0" w:line="140" w:lineRule="exact"/>
        <w:rPr>
          <w:sz w:val="20"/>
          <w:szCs w:val="20"/>
          <w:color w:val="auto"/>
        </w:rPr>
      </w:pPr>
    </w:p>
    <w:p>
      <w:pPr>
        <w:ind w:left="560" w:firstLine="566"/>
        <w:spacing w:after="0" w:line="26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Marketable Securities</w:t>
      </w:r>
      <w:r>
        <w:rPr>
          <w:rFonts w:ascii="Arial" w:cs="Arial" w:eastAsia="Arial" w:hAnsi="Arial"/>
          <w:sz w:val="16"/>
          <w:szCs w:val="16"/>
          <w:color w:val="auto"/>
        </w:rPr>
        <w:t>” in connection with a Merger Event means securities meeting all of the following requirements: (i) the issuer thereof is then subject to the reporting requirements of Section 13 or Section 15(d) of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and is then current in its filing of all required reports and other information under the Act and the Exchange Act; (ii) the class and series of shares or other security of the issuer that would be received by the Warrantholder in connection with the Merger Event were the Warrantholder to exercise this Warrant on or prior to the closing thereof is then traded on a national securities exchange or over-the-counter market, and (iii) following the closing of such Merger Event, Warrantholder would not be restricted from publicly re-selling all of the issuer’s shares and/or other securities that would be received by Warrantholder in such Merger Event were Warrantholder to exercise this Warrant in full on or prior to the closing of such Merger Event, except to the extent that any such restriction (x) arises solely under federal or state securities laws, rules or regulations, and (y) does not extend beyond six (6) months from the closing of such Merger Event.</w:t>
      </w:r>
    </w:p>
    <w:p>
      <w:pPr>
        <w:spacing w:after="0" w:line="154"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Merger Event</w:t>
      </w:r>
      <w:r>
        <w:rPr>
          <w:rFonts w:ascii="Arial" w:cs="Arial" w:eastAsia="Arial" w:hAnsi="Arial"/>
          <w:sz w:val="16"/>
          <w:szCs w:val="16"/>
          <w:color w:val="auto"/>
        </w:rPr>
        <w:t>” means any of the following: (i) a sale, lease or other transfer of all or substantially all assets of the Company,</w:t>
      </w:r>
    </w:p>
    <w:p>
      <w:pPr>
        <w:spacing w:after="0" w:line="30" w:lineRule="exact"/>
        <w:rPr>
          <w:sz w:val="20"/>
          <w:szCs w:val="20"/>
          <w:color w:val="auto"/>
        </w:rPr>
      </w:pPr>
    </w:p>
    <w:p>
      <w:pPr>
        <w:ind w:left="560" w:right="40" w:firstLine="2"/>
        <w:spacing w:after="0" w:line="294" w:lineRule="auto"/>
        <w:tabs>
          <w:tab w:leader="none" w:pos="814" w:val="left"/>
        </w:tabs>
        <w:numPr>
          <w:ilvl w:val="0"/>
          <w:numId w:val="121"/>
        </w:numPr>
        <w:rPr>
          <w:rFonts w:ascii="Arial" w:cs="Arial" w:eastAsia="Arial" w:hAnsi="Arial"/>
          <w:sz w:val="15"/>
          <w:szCs w:val="15"/>
          <w:color w:val="auto"/>
        </w:rPr>
      </w:pPr>
      <w:r>
        <w:rPr>
          <w:rFonts w:ascii="Arial" w:cs="Arial" w:eastAsia="Arial" w:hAnsi="Arial"/>
          <w:sz w:val="15"/>
          <w:szCs w:val="15"/>
          <w:color w:val="auto"/>
        </w:rPr>
        <w:t>any merger or consolidation involving the Company in which the Company is not the surviving entity or in which the outstanding shares of the Company’s capital stock are otherwise converted into or exchanged for shares of capital stock or other securities or property of another entity, or (iii) any sale by holders of the outstanding voting equity securities of the Company in a single transaction or series of related transactions of shares constituting a majority of the outstanding combined voting power of the Company.</w:t>
      </w:r>
    </w:p>
    <w:p>
      <w:pPr>
        <w:spacing w:after="0" w:line="131" w:lineRule="exact"/>
        <w:rPr>
          <w:sz w:val="20"/>
          <w:szCs w:val="20"/>
          <w:color w:val="auto"/>
        </w:rPr>
      </w:pPr>
    </w:p>
    <w:p>
      <w:pPr>
        <w:ind w:left="560" w:right="360" w:firstLine="566"/>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Purchase Price</w:t>
      </w:r>
      <w:r>
        <w:rPr>
          <w:rFonts w:ascii="Arial" w:cs="Arial" w:eastAsia="Arial" w:hAnsi="Arial"/>
          <w:sz w:val="17"/>
          <w:szCs w:val="17"/>
          <w:color w:val="auto"/>
        </w:rPr>
        <w:t>” means, with respect to any exercise of this Warrant, an amount equal to the then-effective Exercise Price multiplied by the number of shares of Common Stock as to which this Warrant is then exercised.</w:t>
      </w:r>
    </w:p>
    <w:p>
      <w:pPr>
        <w:spacing w:after="0" w:line="152" w:lineRule="exact"/>
        <w:rPr>
          <w:sz w:val="20"/>
          <w:szCs w:val="20"/>
          <w:color w:val="auto"/>
        </w:rPr>
      </w:pPr>
    </w:p>
    <w:p>
      <w:pPr>
        <w:jc w:val="both"/>
        <w:ind w:left="560" w:firstLine="566"/>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Warrant Coverage</w:t>
      </w:r>
      <w:r>
        <w:rPr>
          <w:rFonts w:ascii="Arial" w:cs="Arial" w:eastAsia="Arial" w:hAnsi="Arial"/>
          <w:sz w:val="17"/>
          <w:szCs w:val="17"/>
          <w:color w:val="auto"/>
        </w:rPr>
        <w:t xml:space="preserve">” means 2.50% </w:t>
      </w:r>
      <w:r>
        <w:rPr>
          <w:rFonts w:ascii="Arial" w:cs="Arial" w:eastAsia="Arial" w:hAnsi="Arial"/>
          <w:sz w:val="17"/>
          <w:szCs w:val="17"/>
          <w:u w:val="single" w:color="auto"/>
          <w:color w:val="auto"/>
        </w:rPr>
        <w:t>times</w:t>
      </w:r>
      <w:r>
        <w:rPr>
          <w:rFonts w:ascii="Arial" w:cs="Arial" w:eastAsia="Arial" w:hAnsi="Arial"/>
          <w:sz w:val="17"/>
          <w:szCs w:val="17"/>
          <w:color w:val="auto"/>
        </w:rPr>
        <w:t xml:space="preserve"> the aggregate principal amount of Term Loan Advances (as defined in the Loan Agreement) made and funded under the Loan Agreement from time to time (but exclusive of any paid-in-kind interest that is capitalized as principal).</w:t>
      </w:r>
    </w:p>
    <w:p>
      <w:pPr>
        <w:spacing w:after="0" w:line="152" w:lineRule="exact"/>
        <w:rPr>
          <w:sz w:val="20"/>
          <w:szCs w:val="20"/>
          <w:color w:val="auto"/>
        </w:rPr>
      </w:pPr>
    </w:p>
    <w:p>
      <w:pPr>
        <w:ind w:firstLine="562"/>
        <w:spacing w:after="0" w:line="261" w:lineRule="auto"/>
        <w:tabs>
          <w:tab w:leader="none" w:pos="1132" w:val="left"/>
        </w:tabs>
        <w:numPr>
          <w:ilvl w:val="0"/>
          <w:numId w:val="122"/>
        </w:numPr>
        <w:rPr>
          <w:rFonts w:ascii="Arial" w:cs="Arial" w:eastAsia="Arial" w:hAnsi="Arial"/>
          <w:sz w:val="17"/>
          <w:szCs w:val="17"/>
          <w:color w:val="auto"/>
        </w:rPr>
      </w:pPr>
      <w:r>
        <w:rPr>
          <w:rFonts w:ascii="Arial" w:cs="Arial" w:eastAsia="Arial" w:hAnsi="Arial"/>
          <w:sz w:val="17"/>
          <w:szCs w:val="17"/>
          <w:u w:val="single" w:color="auto"/>
          <w:color w:val="auto"/>
        </w:rPr>
        <w:t>Number of Shares</w:t>
      </w:r>
      <w:r>
        <w:rPr>
          <w:rFonts w:ascii="Arial" w:cs="Arial" w:eastAsia="Arial" w:hAnsi="Arial"/>
          <w:sz w:val="17"/>
          <w:szCs w:val="17"/>
          <w:color w:val="auto"/>
        </w:rPr>
        <w:t>. This Warrant shall be exercisable for a number of shares of Common Stock equal to the quotient derived by dividing (i) the Warrant Coverage by (ii) the Exercise Price, subject to adjustment from time to time in accordance with the provisions of this Warrant.</w:t>
      </w:r>
    </w:p>
    <w:p>
      <w:pPr>
        <w:spacing w:after="0" w:line="158" w:lineRule="exact"/>
        <w:rPr>
          <w:sz w:val="20"/>
          <w:szCs w:val="20"/>
          <w:color w:val="auto"/>
        </w:rPr>
      </w:pPr>
    </w:p>
    <w:p>
      <w:pPr>
        <w:ind w:left="980"/>
        <w:spacing w:after="0"/>
        <w:tabs>
          <w:tab w:leader="none" w:pos="2100" w:val="left"/>
        </w:tabs>
        <w:rPr>
          <w:sz w:val="20"/>
          <w:szCs w:val="20"/>
          <w:color w:val="auto"/>
        </w:rPr>
      </w:pPr>
      <w:r>
        <w:rPr>
          <w:rFonts w:ascii="Arial" w:cs="Arial" w:eastAsia="Arial" w:hAnsi="Arial"/>
          <w:sz w:val="17"/>
          <w:szCs w:val="17"/>
          <w:b w:val="1"/>
          <w:bCs w:val="1"/>
          <w:color w:val="auto"/>
        </w:rPr>
        <w:t>SECTION 2.</w:t>
      </w:r>
      <w:r>
        <w:rPr>
          <w:sz w:val="20"/>
          <w:szCs w:val="20"/>
          <w:color w:val="auto"/>
        </w:rPr>
        <w:tab/>
      </w:r>
      <w:r>
        <w:rPr>
          <w:rFonts w:ascii="Arial" w:cs="Arial" w:eastAsia="Arial" w:hAnsi="Arial"/>
          <w:sz w:val="16"/>
          <w:szCs w:val="16"/>
          <w:color w:val="auto"/>
        </w:rPr>
        <w:t>TERM OF THE AGREEMENT.</w:t>
      </w:r>
    </w:p>
    <w:p>
      <w:pPr>
        <w:spacing w:after="0" w:line="105" w:lineRule="exact"/>
        <w:rPr>
          <w:sz w:val="20"/>
          <w:szCs w:val="20"/>
          <w:color w:val="auto"/>
        </w:rPr>
      </w:pPr>
    </w:p>
    <w:p>
      <w:pPr>
        <w:ind w:right="100" w:firstLine="1132"/>
        <w:spacing w:after="0" w:line="308" w:lineRule="auto"/>
        <w:rPr>
          <w:sz w:val="20"/>
          <w:szCs w:val="20"/>
          <w:color w:val="auto"/>
        </w:rPr>
      </w:pPr>
      <w:r>
        <w:rPr>
          <w:rFonts w:ascii="Arial" w:cs="Arial" w:eastAsia="Arial" w:hAnsi="Arial"/>
          <w:sz w:val="16"/>
          <w:szCs w:val="16"/>
          <w:color w:val="auto"/>
        </w:rPr>
        <w:t>The term of this Agreement and the right to purchase Common Stock as granted herein shall commence on the Effective Date and, subject to Section 8(a) below, shall be exercisable for a period ending upon the seventh (7th) anniversary of the Effective Date.</w:t>
      </w:r>
    </w:p>
    <w:p>
      <w:pPr>
        <w:spacing w:after="0" w:line="111" w:lineRule="exact"/>
        <w:rPr>
          <w:sz w:val="20"/>
          <w:szCs w:val="20"/>
          <w:color w:val="auto"/>
        </w:rPr>
      </w:pPr>
    </w:p>
    <w:p>
      <w:pPr>
        <w:ind w:left="980"/>
        <w:spacing w:after="0"/>
        <w:tabs>
          <w:tab w:leader="none" w:pos="2100" w:val="left"/>
        </w:tabs>
        <w:rPr>
          <w:sz w:val="20"/>
          <w:szCs w:val="20"/>
          <w:color w:val="auto"/>
        </w:rPr>
      </w:pPr>
      <w:r>
        <w:rPr>
          <w:rFonts w:ascii="Arial" w:cs="Arial" w:eastAsia="Arial" w:hAnsi="Arial"/>
          <w:sz w:val="17"/>
          <w:szCs w:val="17"/>
          <w:b w:val="1"/>
          <w:bCs w:val="1"/>
          <w:color w:val="auto"/>
        </w:rPr>
        <w:t>SECTION 3.</w:t>
      </w:r>
      <w:r>
        <w:rPr>
          <w:sz w:val="20"/>
          <w:szCs w:val="20"/>
          <w:color w:val="auto"/>
        </w:rPr>
        <w:tab/>
      </w:r>
      <w:r>
        <w:rPr>
          <w:rFonts w:ascii="Arial" w:cs="Arial" w:eastAsia="Arial" w:hAnsi="Arial"/>
          <w:sz w:val="16"/>
          <w:szCs w:val="16"/>
          <w:color w:val="auto"/>
        </w:rPr>
        <w:t>EXERCISE OF THE PURCHASE RIGHTS.</w:t>
      </w:r>
    </w:p>
    <w:p>
      <w:pPr>
        <w:spacing w:after="0" w:line="105" w:lineRule="exact"/>
        <w:rPr>
          <w:sz w:val="20"/>
          <w:szCs w:val="20"/>
          <w:color w:val="auto"/>
        </w:rPr>
      </w:pPr>
    </w:p>
    <w:p>
      <w:pPr>
        <w:ind w:right="360" w:firstLine="562"/>
        <w:spacing w:after="0" w:line="276" w:lineRule="auto"/>
        <w:tabs>
          <w:tab w:leader="none" w:pos="1132" w:val="left"/>
        </w:tabs>
        <w:numPr>
          <w:ilvl w:val="0"/>
          <w:numId w:val="123"/>
        </w:numPr>
        <w:rPr>
          <w:rFonts w:ascii="Arial" w:cs="Arial" w:eastAsia="Arial" w:hAnsi="Arial"/>
          <w:sz w:val="17"/>
          <w:szCs w:val="17"/>
          <w:color w:val="auto"/>
        </w:rPr>
      </w:pPr>
      <w:r>
        <w:rPr>
          <w:rFonts w:ascii="Arial" w:cs="Arial" w:eastAsia="Arial" w:hAnsi="Arial"/>
          <w:sz w:val="17"/>
          <w:szCs w:val="17"/>
          <w:u w:val="single" w:color="auto"/>
          <w:color w:val="auto"/>
        </w:rPr>
        <w:t>Exercise</w:t>
      </w:r>
      <w:r>
        <w:rPr>
          <w:rFonts w:ascii="Arial" w:cs="Arial" w:eastAsia="Arial" w:hAnsi="Arial"/>
          <w:sz w:val="17"/>
          <w:szCs w:val="17"/>
          <w:color w:val="auto"/>
        </w:rPr>
        <w:t>. The purchase rights set forth in this Agreement are exercisable by the Warrantholder, in whole or in part, at any time, or from time to time, prior to the expiration of the term set</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311785</wp:posOffset>
            </wp:positionV>
            <wp:extent cx="6311265" cy="2222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920"/>
          </w:cols>
          <w:pgMar w:left="980" w:top="325" w:right="999" w:bottom="1440" w:gutter="0" w:footer="0" w:header="0"/>
        </w:sectPr>
      </w:pPr>
    </w:p>
    <w:bookmarkStart w:id="212" w:name="page213"/>
    <w:bookmarkEnd w:id="212"/>
    <w:p>
      <w:pPr>
        <w:ind w:right="120"/>
        <w:spacing w:after="0" w:line="252" w:lineRule="auto"/>
        <w:rPr>
          <w:sz w:val="20"/>
          <w:szCs w:val="20"/>
          <w:color w:val="auto"/>
        </w:rPr>
      </w:pPr>
      <w:r>
        <w:rPr>
          <w:rFonts w:ascii="Arial" w:cs="Arial" w:eastAsia="Arial" w:hAnsi="Arial"/>
          <w:sz w:val="17"/>
          <w:szCs w:val="17"/>
          <w:color w:val="auto"/>
        </w:rPr>
        <w:t xml:space="preserve">forth in Section 2, by tendering to the Company at its principal office a notice of exercise in the form attached hereto as </w:t>
      </w:r>
      <w:r>
        <w:rPr>
          <w:rFonts w:ascii="Arial" w:cs="Arial" w:eastAsia="Arial" w:hAnsi="Arial"/>
          <w:sz w:val="17"/>
          <w:szCs w:val="17"/>
          <w:u w:val="single" w:color="auto"/>
          <w:color w:val="auto"/>
        </w:rPr>
        <w:t>Exhibit I</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Notice</w:t>
      </w:r>
      <w:r>
        <w:rPr>
          <w:rFonts w:ascii="Arial" w:cs="Arial" w:eastAsia="Arial" w:hAnsi="Arial"/>
          <w:sz w:val="17"/>
          <w:szCs w:val="17"/>
          <w:color w:val="auto"/>
        </w:rPr>
        <w:t xml:space="preserve"> </w:t>
      </w:r>
      <w:r>
        <w:rPr>
          <w:rFonts w:ascii="Arial" w:cs="Arial" w:eastAsia="Arial" w:hAnsi="Arial"/>
          <w:sz w:val="17"/>
          <w:szCs w:val="17"/>
          <w:u w:val="single" w:color="auto"/>
          <w:color w:val="auto"/>
        </w:rPr>
        <w:t>of Exercise</w:t>
      </w:r>
      <w:r>
        <w:rPr>
          <w:rFonts w:ascii="Arial" w:cs="Arial" w:eastAsia="Arial" w:hAnsi="Arial"/>
          <w:sz w:val="17"/>
          <w:szCs w:val="17"/>
          <w:color w:val="auto"/>
        </w:rPr>
        <w:t xml:space="preserve">”), duly completed and executed. Promptly upon receipt of the Notice of Exercise and the payment of the Purchase Price in accordance with the terms set forth below, and in no event later than three (3) business days thereafter, the Company shall issue to the Warrantholder , via book entry, the number of shares of Common Stock purchased and shall execute the acknowledgment of exercise in the form attached hereto as </w:t>
      </w:r>
      <w:r>
        <w:rPr>
          <w:rFonts w:ascii="Arial" w:cs="Arial" w:eastAsia="Arial" w:hAnsi="Arial"/>
          <w:sz w:val="17"/>
          <w:szCs w:val="17"/>
          <w:u w:val="single" w:color="auto"/>
          <w:color w:val="auto"/>
        </w:rPr>
        <w:t>Exhibit II</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Acknowledgment of Exercise</w:t>
      </w:r>
      <w:r>
        <w:rPr>
          <w:rFonts w:ascii="Arial" w:cs="Arial" w:eastAsia="Arial" w:hAnsi="Arial"/>
          <w:sz w:val="17"/>
          <w:szCs w:val="17"/>
          <w:color w:val="auto"/>
        </w:rPr>
        <w:t>”) indicating the number of shares which remain subject to future purchases under this Warrant, if any.</w:t>
      </w:r>
    </w:p>
    <w:p>
      <w:pPr>
        <w:spacing w:after="0" w:line="172" w:lineRule="exact"/>
        <w:rPr>
          <w:sz w:val="20"/>
          <w:szCs w:val="20"/>
          <w:color w:val="auto"/>
        </w:rPr>
      </w:pPr>
    </w:p>
    <w:p>
      <w:pPr>
        <w:ind w:right="260" w:firstLine="1132"/>
        <w:spacing w:after="0" w:line="277" w:lineRule="auto"/>
        <w:rPr>
          <w:sz w:val="20"/>
          <w:szCs w:val="20"/>
          <w:color w:val="auto"/>
        </w:rPr>
      </w:pPr>
      <w:r>
        <w:rPr>
          <w:rFonts w:ascii="Arial" w:cs="Arial" w:eastAsia="Arial" w:hAnsi="Arial"/>
          <w:sz w:val="16"/>
          <w:szCs w:val="16"/>
          <w:color w:val="auto"/>
        </w:rPr>
        <w:t>The Purchase Price may be paid at the Warrantholder’s election either (i) by cash or check, or (ii) by surrender of all or a portion of the Warrant for shares of Common Stock to be exercised under this Agreement and, if applicable, an amended Agreement setting forth the remaining number of shares purchasable hereunder, as determined below (“</w:t>
      </w:r>
      <w:r>
        <w:rPr>
          <w:rFonts w:ascii="Arial" w:cs="Arial" w:eastAsia="Arial" w:hAnsi="Arial"/>
          <w:sz w:val="16"/>
          <w:szCs w:val="16"/>
          <w:u w:val="single" w:color="auto"/>
          <w:color w:val="auto"/>
        </w:rPr>
        <w:t>Net Issuance</w:t>
      </w:r>
      <w:r>
        <w:rPr>
          <w:rFonts w:ascii="Arial" w:cs="Arial" w:eastAsia="Arial" w:hAnsi="Arial"/>
          <w:sz w:val="16"/>
          <w:szCs w:val="16"/>
          <w:color w:val="auto"/>
        </w:rPr>
        <w:t>”). If the Warrantholder elects the Net Issuance method, the Company will issue shares of Common Stock in accordance with the following formula:</w:t>
      </w:r>
    </w:p>
    <w:p>
      <w:pPr>
        <w:spacing w:after="0" w:line="153"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 xml:space="preserve">X = </w:t>
      </w:r>
      <w:r>
        <w:rPr>
          <w:rFonts w:ascii="Arial" w:cs="Arial" w:eastAsia="Arial" w:hAnsi="Arial"/>
          <w:sz w:val="17"/>
          <w:szCs w:val="17"/>
          <w:u w:val="single" w:color="auto"/>
          <w:color w:val="auto"/>
        </w:rPr>
        <w:t>Y(A-B)</w:t>
      </w:r>
    </w:p>
    <w:p>
      <w:pPr>
        <w:spacing w:after="0" w:line="19"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A</w:t>
      </w:r>
    </w:p>
    <w:p>
      <w:pPr>
        <w:spacing w:after="0" w:line="191" w:lineRule="exact"/>
        <w:rPr>
          <w:sz w:val="20"/>
          <w:szCs w:val="20"/>
          <w:color w:val="auto"/>
        </w:rPr>
      </w:pPr>
    </w:p>
    <w:p>
      <w:pPr>
        <w:spacing w:after="0"/>
        <w:tabs>
          <w:tab w:leader="none" w:pos="1100" w:val="left"/>
        </w:tabs>
        <w:rPr>
          <w:sz w:val="20"/>
          <w:szCs w:val="20"/>
          <w:color w:val="auto"/>
        </w:rPr>
      </w:pPr>
      <w:r>
        <w:rPr>
          <w:rFonts w:ascii="Arial" w:cs="Arial" w:eastAsia="Arial" w:hAnsi="Arial"/>
          <w:sz w:val="17"/>
          <w:szCs w:val="17"/>
          <w:color w:val="auto"/>
        </w:rPr>
        <w:t>Where:</w:t>
      </w:r>
      <w:r>
        <w:rPr>
          <w:sz w:val="20"/>
          <w:szCs w:val="20"/>
          <w:color w:val="auto"/>
        </w:rPr>
        <w:tab/>
      </w:r>
      <w:r>
        <w:rPr>
          <w:rFonts w:ascii="Arial" w:cs="Arial" w:eastAsia="Arial" w:hAnsi="Arial"/>
          <w:sz w:val="17"/>
          <w:szCs w:val="17"/>
          <w:color w:val="auto"/>
        </w:rPr>
        <w:t>X = the number of shares of Common Stock to be issued to the Warrantholder</w:t>
      </w:r>
      <w:r>
        <w:rPr>
          <w:rFonts w:ascii="Arial" w:cs="Arial" w:eastAsia="Arial" w:hAnsi="Arial"/>
          <w:sz w:val="12"/>
          <w:szCs w:val="12"/>
          <w:color w:val="auto"/>
        </w:rPr>
        <w:t>.</w:t>
      </w:r>
    </w:p>
    <w:p>
      <w:pPr>
        <w:spacing w:after="0" w:line="99"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Y = the number of shares of Common Stock requested to be exercised under this Agreement.</w:t>
      </w:r>
    </w:p>
    <w:p>
      <w:pPr>
        <w:spacing w:after="0" w:line="99"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A = the then-current fair market value of one (1) share of Common Stock at the time of exercise.</w:t>
      </w:r>
    </w:p>
    <w:p>
      <w:pPr>
        <w:spacing w:after="0" w:line="99"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B = the then-effective Exercise Price.</w:t>
      </w:r>
    </w:p>
    <w:p>
      <w:pPr>
        <w:spacing w:after="0" w:line="99" w:lineRule="exact"/>
        <w:rPr>
          <w:sz w:val="20"/>
          <w:szCs w:val="20"/>
          <w:color w:val="auto"/>
        </w:rPr>
      </w:pPr>
    </w:p>
    <w:p>
      <w:pPr>
        <w:ind w:right="120" w:firstLine="566"/>
        <w:spacing w:after="0" w:line="276" w:lineRule="auto"/>
        <w:rPr>
          <w:sz w:val="20"/>
          <w:szCs w:val="20"/>
          <w:color w:val="auto"/>
        </w:rPr>
      </w:pPr>
      <w:r>
        <w:rPr>
          <w:rFonts w:ascii="Arial" w:cs="Arial" w:eastAsia="Arial" w:hAnsi="Arial"/>
          <w:sz w:val="17"/>
          <w:szCs w:val="17"/>
          <w:color w:val="auto"/>
        </w:rPr>
        <w:t>For purposes of the above calculation, the current fair market value of shares of Common Stock shall mean with respect to each share of Common Stock:</w:t>
      </w:r>
    </w:p>
    <w:p>
      <w:pPr>
        <w:spacing w:after="0" w:line="152" w:lineRule="exact"/>
        <w:rPr>
          <w:sz w:val="20"/>
          <w:szCs w:val="20"/>
          <w:color w:val="auto"/>
        </w:rPr>
      </w:pPr>
    </w:p>
    <w:p>
      <w:pPr>
        <w:ind w:firstLine="1128"/>
        <w:spacing w:after="0" w:line="261" w:lineRule="auto"/>
        <w:tabs>
          <w:tab w:leader="none" w:pos="1698" w:val="left"/>
        </w:tabs>
        <w:numPr>
          <w:ilvl w:val="0"/>
          <w:numId w:val="124"/>
        </w:numPr>
        <w:rPr>
          <w:rFonts w:ascii="Arial" w:cs="Arial" w:eastAsia="Arial" w:hAnsi="Arial"/>
          <w:sz w:val="17"/>
          <w:szCs w:val="17"/>
          <w:color w:val="auto"/>
        </w:rPr>
      </w:pPr>
      <w:r>
        <w:rPr>
          <w:rFonts w:ascii="Arial" w:cs="Arial" w:eastAsia="Arial" w:hAnsi="Arial"/>
          <w:sz w:val="17"/>
          <w:szCs w:val="17"/>
          <w:color w:val="auto"/>
        </w:rPr>
        <w:t>at all times when the Common Stock shall be traded on a national securities exchange, inter-dealer quotation system or over-the-counter bulletin board service, the fair market value of one (1) share of Common Stock shall be deemed to be the prior day closing price before the day the current fair market value of the securities is being determined;</w:t>
      </w:r>
    </w:p>
    <w:p>
      <w:pPr>
        <w:spacing w:after="0" w:line="163" w:lineRule="exact"/>
        <w:rPr>
          <w:rFonts w:ascii="Arial" w:cs="Arial" w:eastAsia="Arial" w:hAnsi="Arial"/>
          <w:sz w:val="17"/>
          <w:szCs w:val="17"/>
          <w:color w:val="auto"/>
        </w:rPr>
      </w:pPr>
    </w:p>
    <w:p>
      <w:pPr>
        <w:jc w:val="both"/>
        <w:ind w:right="540" w:firstLine="1128"/>
        <w:spacing w:after="0" w:line="284" w:lineRule="auto"/>
        <w:tabs>
          <w:tab w:leader="none" w:pos="1698" w:val="left"/>
        </w:tabs>
        <w:numPr>
          <w:ilvl w:val="0"/>
          <w:numId w:val="124"/>
        </w:numPr>
        <w:rPr>
          <w:rFonts w:ascii="Arial" w:cs="Arial" w:eastAsia="Arial" w:hAnsi="Arial"/>
          <w:sz w:val="16"/>
          <w:szCs w:val="16"/>
          <w:color w:val="auto"/>
        </w:rPr>
      </w:pPr>
      <w:r>
        <w:rPr>
          <w:rFonts w:ascii="Arial" w:cs="Arial" w:eastAsia="Arial" w:hAnsi="Arial"/>
          <w:sz w:val="16"/>
          <w:szCs w:val="16"/>
          <w:color w:val="auto"/>
        </w:rPr>
        <w:t>if the exercise is in connection with a Merger Event, the fair market value of a share of Common Stock shall be deemed to be the per share value received by the holders of the outstanding shares of Common Stock pursuant to such Merger Event as determined in accordance with the definitive transaction documents executed among the parties in connection therewith; or</w:t>
      </w:r>
    </w:p>
    <w:p>
      <w:pPr>
        <w:spacing w:after="0" w:line="148" w:lineRule="exact"/>
        <w:rPr>
          <w:rFonts w:ascii="Arial" w:cs="Arial" w:eastAsia="Arial" w:hAnsi="Arial"/>
          <w:sz w:val="16"/>
          <w:szCs w:val="16"/>
          <w:color w:val="auto"/>
        </w:rPr>
      </w:pPr>
    </w:p>
    <w:p>
      <w:pPr>
        <w:ind w:right="660" w:firstLine="1128"/>
        <w:spacing w:after="0" w:line="276" w:lineRule="auto"/>
        <w:tabs>
          <w:tab w:leader="none" w:pos="1698" w:val="left"/>
        </w:tabs>
        <w:numPr>
          <w:ilvl w:val="0"/>
          <w:numId w:val="124"/>
        </w:numPr>
        <w:rPr>
          <w:rFonts w:ascii="Arial" w:cs="Arial" w:eastAsia="Arial" w:hAnsi="Arial"/>
          <w:sz w:val="17"/>
          <w:szCs w:val="17"/>
          <w:color w:val="auto"/>
        </w:rPr>
      </w:pPr>
      <w:r>
        <w:rPr>
          <w:rFonts w:ascii="Arial" w:cs="Arial" w:eastAsia="Arial" w:hAnsi="Arial"/>
          <w:sz w:val="17"/>
          <w:szCs w:val="17"/>
          <w:color w:val="auto"/>
        </w:rPr>
        <w:t>in cases other than as described in the foregoing clauses (i) and (ii), the current fair market value of a share of Common Stock shall be determined in good faith by the Company’s Board of Directors.</w:t>
      </w:r>
    </w:p>
    <w:p>
      <w:pPr>
        <w:spacing w:after="0" w:line="152" w:lineRule="exact"/>
        <w:rPr>
          <w:sz w:val="20"/>
          <w:szCs w:val="20"/>
          <w:color w:val="auto"/>
        </w:rPr>
      </w:pPr>
    </w:p>
    <w:p>
      <w:pPr>
        <w:jc w:val="both"/>
        <w:ind w:right="140" w:firstLine="1132"/>
        <w:spacing w:after="0" w:line="311" w:lineRule="auto"/>
        <w:rPr>
          <w:sz w:val="20"/>
          <w:szCs w:val="20"/>
          <w:color w:val="auto"/>
        </w:rPr>
      </w:pPr>
      <w:r>
        <w:rPr>
          <w:rFonts w:ascii="Arial" w:cs="Arial" w:eastAsia="Arial" w:hAnsi="Arial"/>
          <w:sz w:val="15"/>
          <w:szCs w:val="15"/>
          <w:color w:val="auto"/>
        </w:rPr>
        <w:t>Upon partial exercise by either cash or Net Issuance, prior to the expiration or earlier termination hereof, the Company shall promptly amend this Agreement to reflect the remaining number of shares and/or other securities purchasable hereunder. All other terms and conditions of such amended Agreement shall be identical to those contained herein, including, but not limited to the Effective Date hereof.</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311785</wp:posOffset>
            </wp:positionV>
            <wp:extent cx="6311265" cy="2222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920"/>
          </w:cols>
          <w:pgMar w:left="980" w:top="325" w:right="999" w:bottom="1440" w:gutter="0" w:footer="0" w:header="0"/>
        </w:sectPr>
      </w:pPr>
    </w:p>
    <w:bookmarkStart w:id="213" w:name="page214"/>
    <w:bookmarkEnd w:id="213"/>
    <w:p>
      <w:pPr>
        <w:ind w:firstLine="562"/>
        <w:spacing w:after="0" w:line="266" w:lineRule="auto"/>
        <w:tabs>
          <w:tab w:leader="none" w:pos="1132" w:val="left"/>
        </w:tabs>
        <w:numPr>
          <w:ilvl w:val="0"/>
          <w:numId w:val="125"/>
        </w:numPr>
        <w:rPr>
          <w:rFonts w:ascii="Arial" w:cs="Arial" w:eastAsia="Arial" w:hAnsi="Arial"/>
          <w:sz w:val="16"/>
          <w:szCs w:val="16"/>
          <w:color w:val="auto"/>
        </w:rPr>
      </w:pPr>
      <w:r>
        <w:rPr>
          <w:rFonts w:ascii="Arial" w:cs="Arial" w:eastAsia="Arial" w:hAnsi="Arial"/>
          <w:sz w:val="16"/>
          <w:szCs w:val="16"/>
          <w:u w:val="single" w:color="auto"/>
          <w:color w:val="auto"/>
        </w:rPr>
        <w:t>Exercise Prior to Expiration</w:t>
      </w:r>
      <w:r>
        <w:rPr>
          <w:rFonts w:ascii="Arial" w:cs="Arial" w:eastAsia="Arial" w:hAnsi="Arial"/>
          <w:sz w:val="16"/>
          <w:szCs w:val="16"/>
          <w:color w:val="auto"/>
        </w:rPr>
        <w:t>. To the extent this Warrant is not previously exercised as to all shares subject hereto, and if the then-current fair market value of one share of Common Stock is greater than the Exercise Price then in effect, or, in the case of a Liquid Sale, where the value per share of Common Stock (as determined as of the closing of such Liquid Sale in accordance with the definitive agreements executed by the parties in connection with such Merger Event) to be paid to the holders thereof is greater than the Exercise Price then in effect, this Agreement shall be deemed automatically exercised on a Net Issuance basis pursuant to Section 3(a) (even if not surrendered) as of immediately before its expiration determined in accordance with Section 2. For purposes of such automatic exercise, the fair market value of one share of Common Stock upon such expiration shall be determined pursuant to Section 3(a). To the extent this Warrant or any portion hereof is deemed automatically exercised pursuant to this Section 3(b), the Company agrees to promptly notify the Warrantholder, upon written request, of the number of shares of Common Stock if any, the Warrantholder is to receive by reason of such automatic exercise, and shall issue the Warrantholder such shares via book entry.</w:t>
      </w:r>
    </w:p>
    <w:p>
      <w:pPr>
        <w:spacing w:after="0" w:line="160" w:lineRule="exact"/>
        <w:rPr>
          <w:sz w:val="20"/>
          <w:szCs w:val="20"/>
          <w:color w:val="auto"/>
        </w:rPr>
      </w:pPr>
    </w:p>
    <w:p>
      <w:pPr>
        <w:ind w:left="980"/>
        <w:spacing w:after="0"/>
        <w:tabs>
          <w:tab w:leader="none" w:pos="2100" w:val="left"/>
        </w:tabs>
        <w:rPr>
          <w:sz w:val="20"/>
          <w:szCs w:val="20"/>
          <w:color w:val="auto"/>
        </w:rPr>
      </w:pPr>
      <w:r>
        <w:rPr>
          <w:rFonts w:ascii="Arial" w:cs="Arial" w:eastAsia="Arial" w:hAnsi="Arial"/>
          <w:sz w:val="17"/>
          <w:szCs w:val="17"/>
          <w:b w:val="1"/>
          <w:bCs w:val="1"/>
          <w:color w:val="auto"/>
        </w:rPr>
        <w:t>SECTION 4.</w:t>
      </w:r>
      <w:r>
        <w:rPr>
          <w:sz w:val="20"/>
          <w:szCs w:val="20"/>
          <w:color w:val="auto"/>
        </w:rPr>
        <w:tab/>
      </w:r>
      <w:r>
        <w:rPr>
          <w:rFonts w:ascii="Arial" w:cs="Arial" w:eastAsia="Arial" w:hAnsi="Arial"/>
          <w:sz w:val="15"/>
          <w:szCs w:val="15"/>
          <w:color w:val="auto"/>
        </w:rPr>
        <w:t>RESERVATION OF SHARES.</w:t>
      </w:r>
    </w:p>
    <w:p>
      <w:pPr>
        <w:spacing w:after="0" w:line="105" w:lineRule="exact"/>
        <w:rPr>
          <w:sz w:val="20"/>
          <w:szCs w:val="20"/>
          <w:color w:val="auto"/>
        </w:rPr>
      </w:pPr>
    </w:p>
    <w:p>
      <w:pPr>
        <w:jc w:val="both"/>
        <w:ind w:right="160" w:firstLine="1132"/>
        <w:spacing w:after="0" w:line="276" w:lineRule="auto"/>
        <w:rPr>
          <w:sz w:val="20"/>
          <w:szCs w:val="20"/>
          <w:color w:val="auto"/>
        </w:rPr>
      </w:pPr>
      <w:r>
        <w:rPr>
          <w:rFonts w:ascii="Arial" w:cs="Arial" w:eastAsia="Arial" w:hAnsi="Arial"/>
          <w:sz w:val="17"/>
          <w:szCs w:val="17"/>
          <w:color w:val="auto"/>
        </w:rPr>
        <w:t>During the term of this Agreement, the Company will at all times have authorized and reserved a sufficient number of shares of its Common Stock to provide for the exercise of the rights to purchase Common Stock as provided for herein.</w:t>
      </w:r>
    </w:p>
    <w:p>
      <w:pPr>
        <w:spacing w:after="0" w:line="134" w:lineRule="exact"/>
        <w:rPr>
          <w:sz w:val="20"/>
          <w:szCs w:val="20"/>
          <w:color w:val="auto"/>
        </w:rPr>
      </w:pPr>
    </w:p>
    <w:p>
      <w:pPr>
        <w:ind w:left="980"/>
        <w:spacing w:after="0"/>
        <w:tabs>
          <w:tab w:leader="none" w:pos="2100" w:val="left"/>
        </w:tabs>
        <w:rPr>
          <w:sz w:val="20"/>
          <w:szCs w:val="20"/>
          <w:color w:val="auto"/>
        </w:rPr>
      </w:pPr>
      <w:r>
        <w:rPr>
          <w:rFonts w:ascii="Arial" w:cs="Arial" w:eastAsia="Arial" w:hAnsi="Arial"/>
          <w:sz w:val="17"/>
          <w:szCs w:val="17"/>
          <w:b w:val="1"/>
          <w:bCs w:val="1"/>
          <w:color w:val="auto"/>
        </w:rPr>
        <w:t>SECTION 5.</w:t>
      </w:r>
      <w:r>
        <w:rPr>
          <w:sz w:val="20"/>
          <w:szCs w:val="20"/>
          <w:color w:val="auto"/>
        </w:rPr>
        <w:tab/>
      </w:r>
      <w:r>
        <w:rPr>
          <w:rFonts w:ascii="Arial" w:cs="Arial" w:eastAsia="Arial" w:hAnsi="Arial"/>
          <w:sz w:val="16"/>
          <w:szCs w:val="16"/>
          <w:color w:val="auto"/>
        </w:rPr>
        <w:t>NO FRACTIONAL SHARES OR SCRIP.</w:t>
      </w:r>
    </w:p>
    <w:p>
      <w:pPr>
        <w:spacing w:after="0" w:line="105" w:lineRule="exact"/>
        <w:rPr>
          <w:sz w:val="20"/>
          <w:szCs w:val="20"/>
          <w:color w:val="auto"/>
        </w:rPr>
      </w:pPr>
    </w:p>
    <w:p>
      <w:pPr>
        <w:jc w:val="both"/>
        <w:ind w:right="180" w:firstLine="1132"/>
        <w:spacing w:after="0" w:line="261" w:lineRule="auto"/>
        <w:rPr>
          <w:sz w:val="20"/>
          <w:szCs w:val="20"/>
          <w:color w:val="auto"/>
        </w:rPr>
      </w:pPr>
      <w:r>
        <w:rPr>
          <w:rFonts w:ascii="Arial" w:cs="Arial" w:eastAsia="Arial" w:hAnsi="Arial"/>
          <w:sz w:val="17"/>
          <w:szCs w:val="17"/>
          <w:color w:val="auto"/>
        </w:rPr>
        <w:t>No fractional shares or scrip representing fractional shares shall be issued upon the exercise of this Agreement, but in lieu of such fractional shares the Company shall make a cash payment therefor upon the basis of the then fair market value of one share of Common Stock.</w:t>
      </w:r>
    </w:p>
    <w:p>
      <w:pPr>
        <w:spacing w:after="0" w:line="146" w:lineRule="exact"/>
        <w:rPr>
          <w:sz w:val="20"/>
          <w:szCs w:val="20"/>
          <w:color w:val="auto"/>
        </w:rPr>
      </w:pPr>
    </w:p>
    <w:p>
      <w:pPr>
        <w:ind w:left="980"/>
        <w:spacing w:after="0"/>
        <w:tabs>
          <w:tab w:leader="none" w:pos="2100" w:val="left"/>
        </w:tabs>
        <w:rPr>
          <w:sz w:val="20"/>
          <w:szCs w:val="20"/>
          <w:color w:val="auto"/>
        </w:rPr>
      </w:pPr>
      <w:r>
        <w:rPr>
          <w:rFonts w:ascii="Arial" w:cs="Arial" w:eastAsia="Arial" w:hAnsi="Arial"/>
          <w:sz w:val="17"/>
          <w:szCs w:val="17"/>
          <w:b w:val="1"/>
          <w:bCs w:val="1"/>
          <w:color w:val="auto"/>
        </w:rPr>
        <w:t>SECTION 6.</w:t>
      </w:r>
      <w:r>
        <w:rPr>
          <w:sz w:val="20"/>
          <w:szCs w:val="20"/>
          <w:color w:val="auto"/>
        </w:rPr>
        <w:tab/>
      </w:r>
      <w:r>
        <w:rPr>
          <w:rFonts w:ascii="Arial" w:cs="Arial" w:eastAsia="Arial" w:hAnsi="Arial"/>
          <w:sz w:val="16"/>
          <w:szCs w:val="16"/>
          <w:color w:val="auto"/>
        </w:rPr>
        <w:t>NO RIGHTS AS STOCKHOLDER.</w:t>
      </w:r>
    </w:p>
    <w:p>
      <w:pPr>
        <w:spacing w:after="0" w:line="105" w:lineRule="exact"/>
        <w:rPr>
          <w:sz w:val="20"/>
          <w:szCs w:val="20"/>
          <w:color w:val="auto"/>
        </w:rPr>
      </w:pPr>
    </w:p>
    <w:p>
      <w:pPr>
        <w:ind w:right="20" w:firstLine="1132"/>
        <w:spacing w:after="0" w:line="345" w:lineRule="auto"/>
        <w:rPr>
          <w:sz w:val="20"/>
          <w:szCs w:val="20"/>
          <w:color w:val="auto"/>
        </w:rPr>
      </w:pPr>
      <w:r>
        <w:rPr>
          <w:rFonts w:ascii="Arial" w:cs="Arial" w:eastAsia="Arial" w:hAnsi="Arial"/>
          <w:sz w:val="15"/>
          <w:szCs w:val="15"/>
          <w:color w:val="auto"/>
        </w:rPr>
        <w:t>Without limitation of any provision hereof, Warrantholder agrees that this Agreement does not entitle the Warrantholder to any voting rights or other rights as a stockholder of the Company prior to the exercise of any of the purchase rights set forth in this Agreement.</w:t>
      </w:r>
    </w:p>
    <w:p>
      <w:pPr>
        <w:spacing w:after="0" w:line="88" w:lineRule="exact"/>
        <w:rPr>
          <w:sz w:val="20"/>
          <w:szCs w:val="20"/>
          <w:color w:val="auto"/>
        </w:rPr>
      </w:pPr>
    </w:p>
    <w:p>
      <w:pPr>
        <w:ind w:left="980"/>
        <w:spacing w:after="0"/>
        <w:tabs>
          <w:tab w:leader="none" w:pos="2100" w:val="left"/>
        </w:tabs>
        <w:rPr>
          <w:sz w:val="20"/>
          <w:szCs w:val="20"/>
          <w:color w:val="auto"/>
        </w:rPr>
      </w:pPr>
      <w:r>
        <w:rPr>
          <w:rFonts w:ascii="Arial" w:cs="Arial" w:eastAsia="Arial" w:hAnsi="Arial"/>
          <w:sz w:val="17"/>
          <w:szCs w:val="17"/>
          <w:b w:val="1"/>
          <w:bCs w:val="1"/>
          <w:color w:val="auto"/>
        </w:rPr>
        <w:t>SECTION 7.</w:t>
      </w:r>
      <w:r>
        <w:rPr>
          <w:sz w:val="20"/>
          <w:szCs w:val="20"/>
          <w:color w:val="auto"/>
        </w:rPr>
        <w:tab/>
      </w:r>
      <w:r>
        <w:rPr>
          <w:rFonts w:ascii="Arial" w:cs="Arial" w:eastAsia="Arial" w:hAnsi="Arial"/>
          <w:sz w:val="16"/>
          <w:szCs w:val="16"/>
          <w:color w:val="auto"/>
        </w:rPr>
        <w:t>WARRANTHOLDER REGISTRY.</w:t>
      </w:r>
    </w:p>
    <w:p>
      <w:pPr>
        <w:spacing w:after="0" w:line="105" w:lineRule="exact"/>
        <w:rPr>
          <w:sz w:val="20"/>
          <w:szCs w:val="20"/>
          <w:color w:val="auto"/>
        </w:rPr>
      </w:pPr>
    </w:p>
    <w:p>
      <w:pPr>
        <w:ind w:right="180" w:firstLine="1132"/>
        <w:spacing w:after="0" w:line="261" w:lineRule="auto"/>
        <w:rPr>
          <w:sz w:val="20"/>
          <w:szCs w:val="20"/>
          <w:color w:val="auto"/>
        </w:rPr>
      </w:pPr>
      <w:r>
        <w:rPr>
          <w:rFonts w:ascii="Arial" w:cs="Arial" w:eastAsia="Arial" w:hAnsi="Arial"/>
          <w:sz w:val="17"/>
          <w:szCs w:val="17"/>
          <w:color w:val="auto"/>
        </w:rPr>
        <w:t>The Company shall maintain a registry showing the name and address of the registered holder of this Agreement. Warrantholder’s initial address, for purposes of such registry, is set forth in Section 12(g) below. Warrantholder may change such address by giving written notice of such changed address to the Company.</w:t>
      </w:r>
    </w:p>
    <w:p>
      <w:pPr>
        <w:spacing w:after="0" w:line="146" w:lineRule="exact"/>
        <w:rPr>
          <w:sz w:val="20"/>
          <w:szCs w:val="20"/>
          <w:color w:val="auto"/>
        </w:rPr>
      </w:pPr>
    </w:p>
    <w:p>
      <w:pPr>
        <w:ind w:left="980"/>
        <w:spacing w:after="0"/>
        <w:tabs>
          <w:tab w:leader="none" w:pos="2100" w:val="left"/>
        </w:tabs>
        <w:rPr>
          <w:sz w:val="20"/>
          <w:szCs w:val="20"/>
          <w:color w:val="auto"/>
        </w:rPr>
      </w:pPr>
      <w:r>
        <w:rPr>
          <w:rFonts w:ascii="Arial" w:cs="Arial" w:eastAsia="Arial" w:hAnsi="Arial"/>
          <w:sz w:val="17"/>
          <w:szCs w:val="17"/>
          <w:b w:val="1"/>
          <w:bCs w:val="1"/>
          <w:color w:val="auto"/>
        </w:rPr>
        <w:t>SECTION 8.</w:t>
      </w:r>
      <w:r>
        <w:rPr>
          <w:sz w:val="20"/>
          <w:szCs w:val="20"/>
          <w:color w:val="auto"/>
        </w:rPr>
        <w:tab/>
      </w:r>
      <w:r>
        <w:rPr>
          <w:rFonts w:ascii="Arial" w:cs="Arial" w:eastAsia="Arial" w:hAnsi="Arial"/>
          <w:sz w:val="16"/>
          <w:szCs w:val="16"/>
          <w:color w:val="auto"/>
        </w:rPr>
        <w:t>ADJUSTMENT RIGHTS.</w:t>
      </w:r>
    </w:p>
    <w:p>
      <w:pPr>
        <w:spacing w:after="0" w:line="105" w:lineRule="exact"/>
        <w:rPr>
          <w:sz w:val="20"/>
          <w:szCs w:val="20"/>
          <w:color w:val="auto"/>
        </w:rPr>
      </w:pPr>
    </w:p>
    <w:p>
      <w:pPr>
        <w:ind w:right="120" w:firstLine="1132"/>
        <w:spacing w:after="0" w:line="276" w:lineRule="auto"/>
        <w:rPr>
          <w:sz w:val="20"/>
          <w:szCs w:val="20"/>
          <w:color w:val="auto"/>
        </w:rPr>
      </w:pPr>
      <w:r>
        <w:rPr>
          <w:rFonts w:ascii="Arial" w:cs="Arial" w:eastAsia="Arial" w:hAnsi="Arial"/>
          <w:sz w:val="17"/>
          <w:szCs w:val="17"/>
          <w:color w:val="auto"/>
        </w:rPr>
        <w:t>The Exercise Price and the number of shares of Common Stock purchasable hereunder are subject to adjustment from time to time, as follows:</w:t>
      </w:r>
    </w:p>
    <w:p>
      <w:pPr>
        <w:spacing w:after="0" w:line="140" w:lineRule="exact"/>
        <w:rPr>
          <w:sz w:val="20"/>
          <w:szCs w:val="20"/>
          <w:color w:val="auto"/>
        </w:rPr>
      </w:pPr>
    </w:p>
    <w:p>
      <w:pPr>
        <w:ind w:right="20" w:firstLine="1128"/>
        <w:spacing w:after="0" w:line="250" w:lineRule="auto"/>
        <w:tabs>
          <w:tab w:leader="none" w:pos="1698" w:val="left"/>
        </w:tabs>
        <w:numPr>
          <w:ilvl w:val="0"/>
          <w:numId w:val="126"/>
        </w:numPr>
        <w:rPr>
          <w:rFonts w:ascii="Arial" w:cs="Arial" w:eastAsia="Arial" w:hAnsi="Arial"/>
          <w:sz w:val="17"/>
          <w:szCs w:val="17"/>
          <w:color w:val="auto"/>
        </w:rPr>
      </w:pPr>
      <w:r>
        <w:rPr>
          <w:rFonts w:ascii="Arial" w:cs="Arial" w:eastAsia="Arial" w:hAnsi="Arial"/>
          <w:sz w:val="17"/>
          <w:szCs w:val="17"/>
          <w:u w:val="single" w:color="auto"/>
          <w:color w:val="auto"/>
        </w:rPr>
        <w:t>Merger Event</w:t>
      </w:r>
      <w:r>
        <w:rPr>
          <w:rFonts w:ascii="Arial" w:cs="Arial" w:eastAsia="Arial" w:hAnsi="Arial"/>
          <w:sz w:val="17"/>
          <w:szCs w:val="17"/>
          <w:color w:val="auto"/>
        </w:rPr>
        <w:t>. In connection with a Merger Event that is a Liquid Sale, this Warrant shall, on and after the closing thereof, automatically and without further action on the part of any party or other person, represent the right to receive the consideration payable on or in respect of all shares of Common Stock that are issuable hereunder as of immediately prior to the closing of such Merger Event less the Purchase Price for all such shares of Common Stock (such consideration to include both the consideration payable at the closing of such Merger Event and all deferred consideration payable thereafter, if any, including, but not limited to, payments of amounts deposited at such closing into escrow and payments in the nature of earn-outs, milestone payments or other performance-based payments, subject to the terms of the definitive agreements governing the Merger Event), and such Merger Event consideration shall be paid to Warrantholder as and when it is paid to the holders of the</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311785</wp:posOffset>
            </wp:positionV>
            <wp:extent cx="6311265" cy="2222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920"/>
          </w:cols>
          <w:pgMar w:left="980" w:top="325" w:right="999" w:bottom="1440" w:gutter="0" w:footer="0" w:header="0"/>
        </w:sectPr>
      </w:pPr>
    </w:p>
    <w:bookmarkStart w:id="214" w:name="page215"/>
    <w:bookmarkEnd w:id="214"/>
    <w:p>
      <w:pPr>
        <w:ind w:right="100"/>
        <w:spacing w:after="0" w:line="251" w:lineRule="auto"/>
        <w:rPr>
          <w:sz w:val="20"/>
          <w:szCs w:val="20"/>
          <w:color w:val="auto"/>
        </w:rPr>
      </w:pPr>
      <w:r>
        <w:rPr>
          <w:rFonts w:ascii="Arial" w:cs="Arial" w:eastAsia="Arial" w:hAnsi="Arial"/>
          <w:sz w:val="17"/>
          <w:szCs w:val="17"/>
          <w:color w:val="auto"/>
        </w:rPr>
        <w:t>outstanding shares of Common Stock. In connection with a Merger Event that is not a Liquid Sale, the Company shall cause the successor or surviving entity to assume this Warrant and the obligations of the Company hereunder on the closing thereof, and, thereafter this Warrant shall be exercisable for the same number and type of securities or other property as the Warrantholder would have received in consideration for the shares of Common Stock issuable hereunder had it exercised this Warrant in full as of immediately prior to such closing, at an aggregate Exercise Price no greater than the aggregate Exercise Price in effect as of immediately prior to such closing, and subject to further adjustment from time to time in accordance with the provisions of this Warrant. The provisions of this Section 8(a) shall similarly apply to successive Merger Events.</w:t>
      </w:r>
    </w:p>
    <w:p>
      <w:pPr>
        <w:spacing w:after="0" w:line="161" w:lineRule="exact"/>
        <w:rPr>
          <w:sz w:val="20"/>
          <w:szCs w:val="20"/>
          <w:color w:val="auto"/>
        </w:rPr>
      </w:pPr>
    </w:p>
    <w:p>
      <w:pPr>
        <w:ind w:right="40" w:firstLine="1128"/>
        <w:spacing w:after="0" w:line="251" w:lineRule="auto"/>
        <w:tabs>
          <w:tab w:leader="none" w:pos="1698" w:val="left"/>
        </w:tabs>
        <w:numPr>
          <w:ilvl w:val="0"/>
          <w:numId w:val="127"/>
        </w:numPr>
        <w:rPr>
          <w:rFonts w:ascii="Arial" w:cs="Arial" w:eastAsia="Arial" w:hAnsi="Arial"/>
          <w:sz w:val="17"/>
          <w:szCs w:val="17"/>
          <w:color w:val="auto"/>
        </w:rPr>
      </w:pPr>
      <w:r>
        <w:rPr>
          <w:rFonts w:ascii="Arial" w:cs="Arial" w:eastAsia="Arial" w:hAnsi="Arial"/>
          <w:sz w:val="17"/>
          <w:szCs w:val="17"/>
          <w:u w:val="single" w:color="auto"/>
          <w:color w:val="auto"/>
        </w:rPr>
        <w:t>Reclassification of Shares</w:t>
      </w:r>
      <w:r>
        <w:rPr>
          <w:rFonts w:ascii="Arial" w:cs="Arial" w:eastAsia="Arial" w:hAnsi="Arial"/>
          <w:sz w:val="17"/>
          <w:szCs w:val="17"/>
          <w:color w:val="auto"/>
        </w:rPr>
        <w:t>. Except for Merger Events subject to Section 8(a), if the Company at any time shall, by combination, reclassification, exchange or subdivision of securities or otherwise, change any of the securities as to which purchase rights under this Agreement exist into the same or a different number of securities of any other class or classes of securities, this Agreement shall thereafter represent the right to acquire such number and kind of securities as would have been issuable as the result of such change with respect to the securities which were subject to the purchase rights under this Agreement immediately prior to such combination, reclassification, exchange, subdivision or other change. The provisions of this Section 8(b) shall similarly apply to successive combination, reclassification, exchange, subdivision or other change.</w:t>
      </w:r>
    </w:p>
    <w:p>
      <w:pPr>
        <w:spacing w:after="0" w:line="160" w:lineRule="exact"/>
        <w:rPr>
          <w:rFonts w:ascii="Arial" w:cs="Arial" w:eastAsia="Arial" w:hAnsi="Arial"/>
          <w:sz w:val="17"/>
          <w:szCs w:val="17"/>
          <w:color w:val="auto"/>
        </w:rPr>
      </w:pPr>
    </w:p>
    <w:p>
      <w:pPr>
        <w:ind w:right="60" w:firstLine="1128"/>
        <w:spacing w:after="0" w:line="256" w:lineRule="auto"/>
        <w:tabs>
          <w:tab w:leader="none" w:pos="1698" w:val="left"/>
        </w:tabs>
        <w:numPr>
          <w:ilvl w:val="0"/>
          <w:numId w:val="127"/>
        </w:numPr>
        <w:rPr>
          <w:rFonts w:ascii="Arial" w:cs="Arial" w:eastAsia="Arial" w:hAnsi="Arial"/>
          <w:sz w:val="17"/>
          <w:szCs w:val="17"/>
          <w:color w:val="auto"/>
        </w:rPr>
      </w:pPr>
      <w:r>
        <w:rPr>
          <w:rFonts w:ascii="Arial" w:cs="Arial" w:eastAsia="Arial" w:hAnsi="Arial"/>
          <w:sz w:val="17"/>
          <w:szCs w:val="17"/>
          <w:u w:val="single" w:color="auto"/>
          <w:color w:val="auto"/>
        </w:rPr>
        <w:t>Subdivision or Combination of Shares</w:t>
      </w:r>
      <w:r>
        <w:rPr>
          <w:rFonts w:ascii="Arial" w:cs="Arial" w:eastAsia="Arial" w:hAnsi="Arial"/>
          <w:sz w:val="17"/>
          <w:szCs w:val="17"/>
          <w:color w:val="auto"/>
        </w:rPr>
        <w:t>. If the Company at any time shall combine or subdivide its Common Stock, (i) in the case of a subdivision, the Exercise Price shall be proportionately decreased and the number of shares for which this Warrant is exercisable shall be proportionately increased, or (ii) in the case of a combination, the Exercise Price shall be proportionately increased and the number of shares for which this Warrant is exercisable shall be proportionately decreased.</w:t>
      </w:r>
    </w:p>
    <w:p>
      <w:pPr>
        <w:spacing w:after="0" w:line="156" w:lineRule="exact"/>
        <w:rPr>
          <w:rFonts w:ascii="Arial" w:cs="Arial" w:eastAsia="Arial" w:hAnsi="Arial"/>
          <w:sz w:val="17"/>
          <w:szCs w:val="17"/>
          <w:color w:val="auto"/>
        </w:rPr>
      </w:pPr>
    </w:p>
    <w:p>
      <w:pPr>
        <w:ind w:left="1700" w:hanging="572"/>
        <w:spacing w:after="0"/>
        <w:tabs>
          <w:tab w:leader="none" w:pos="1700" w:val="left"/>
        </w:tabs>
        <w:numPr>
          <w:ilvl w:val="0"/>
          <w:numId w:val="127"/>
        </w:numPr>
        <w:rPr>
          <w:rFonts w:ascii="Arial" w:cs="Arial" w:eastAsia="Arial" w:hAnsi="Arial"/>
          <w:sz w:val="17"/>
          <w:szCs w:val="17"/>
          <w:color w:val="auto"/>
        </w:rPr>
      </w:pPr>
      <w:r>
        <w:rPr>
          <w:rFonts w:ascii="Arial" w:cs="Arial" w:eastAsia="Arial" w:hAnsi="Arial"/>
          <w:sz w:val="17"/>
          <w:szCs w:val="17"/>
          <w:u w:val="single" w:color="auto"/>
          <w:color w:val="auto"/>
        </w:rPr>
        <w:t>Stock Dividends</w:t>
      </w:r>
      <w:r>
        <w:rPr>
          <w:rFonts w:ascii="Arial" w:cs="Arial" w:eastAsia="Arial" w:hAnsi="Arial"/>
          <w:sz w:val="17"/>
          <w:szCs w:val="17"/>
          <w:color w:val="auto"/>
        </w:rPr>
        <w:t>. If the Company at any time while this Agreement is outstanding and unexpired shall:</w:t>
      </w:r>
    </w:p>
    <w:p>
      <w:pPr>
        <w:spacing w:after="0" w:line="193" w:lineRule="exact"/>
        <w:rPr>
          <w:rFonts w:ascii="Arial" w:cs="Arial" w:eastAsia="Arial" w:hAnsi="Arial"/>
          <w:sz w:val="17"/>
          <w:szCs w:val="17"/>
          <w:color w:val="auto"/>
        </w:rPr>
      </w:pPr>
    </w:p>
    <w:p>
      <w:pPr>
        <w:ind w:firstLine="1694"/>
        <w:spacing w:after="0" w:line="252" w:lineRule="auto"/>
        <w:tabs>
          <w:tab w:leader="none" w:pos="2263" w:val="left"/>
        </w:tabs>
        <w:numPr>
          <w:ilvl w:val="1"/>
          <w:numId w:val="127"/>
        </w:numPr>
        <w:rPr>
          <w:rFonts w:ascii="Arial" w:cs="Arial" w:eastAsia="Arial" w:hAnsi="Arial"/>
          <w:sz w:val="17"/>
          <w:szCs w:val="17"/>
          <w:color w:val="auto"/>
        </w:rPr>
      </w:pPr>
      <w:r>
        <w:rPr>
          <w:rFonts w:ascii="Arial" w:cs="Arial" w:eastAsia="Arial" w:hAnsi="Arial"/>
          <w:sz w:val="17"/>
          <w:szCs w:val="17"/>
          <w:color w:val="auto"/>
        </w:rPr>
        <w:t>pay a dividend with respect to the outstanding shares of Common Stock payable in additional shares of Common Stock, then the Exercise Price shall be adjusted, to that price determined by multiplying the Exercise Price in effect immediately prior to such date of determination by a fraction (A) the numerator of which shall be the total number of shares of Common Stock outstanding immediately prior to such dividend or distribution, and (B) the denominator of which shall be the total number of shares of Common Stock outstanding immediately after such dividend or distribution, and the number of shares of Common Stock for which this Warrant is exercisable shall be proportionately increased; or</w:t>
      </w:r>
    </w:p>
    <w:p>
      <w:pPr>
        <w:spacing w:after="0" w:line="159" w:lineRule="exact"/>
        <w:rPr>
          <w:rFonts w:ascii="Arial" w:cs="Arial" w:eastAsia="Arial" w:hAnsi="Arial"/>
          <w:sz w:val="17"/>
          <w:szCs w:val="17"/>
          <w:color w:val="auto"/>
        </w:rPr>
      </w:pPr>
    </w:p>
    <w:p>
      <w:pPr>
        <w:ind w:right="180" w:firstLine="1694"/>
        <w:spacing w:after="0" w:line="295" w:lineRule="auto"/>
        <w:tabs>
          <w:tab w:leader="none" w:pos="2263" w:val="left"/>
        </w:tabs>
        <w:numPr>
          <w:ilvl w:val="1"/>
          <w:numId w:val="127"/>
        </w:numPr>
        <w:rPr>
          <w:rFonts w:ascii="Arial" w:cs="Arial" w:eastAsia="Arial" w:hAnsi="Arial"/>
          <w:sz w:val="15"/>
          <w:szCs w:val="15"/>
          <w:color w:val="auto"/>
        </w:rPr>
      </w:pPr>
      <w:r>
        <w:rPr>
          <w:rFonts w:ascii="Arial" w:cs="Arial" w:eastAsia="Arial" w:hAnsi="Arial"/>
          <w:sz w:val="15"/>
          <w:szCs w:val="15"/>
          <w:color w:val="auto"/>
        </w:rPr>
        <w:t>make any other dividend or distribution on or with respect to Common Stock, except any dividend or distribution (A) in cash, or (B) specifically provided for in any other clause of this Section 8, then, in each such case, provision shall be made by the Company such that the Warrantholder shall receive upon exercise or conversion of this Warrant a proportionate share of any such dividend or distribution as though it were the holder of the Common Stock (or other stock for which the Common Stock is convertible) as of the record date fixed for the determination of the stockholders of the Company entitled to receive such dividend or distribution.</w:t>
      </w:r>
    </w:p>
    <w:p>
      <w:pPr>
        <w:spacing w:after="0" w:line="130" w:lineRule="exact"/>
        <w:rPr>
          <w:rFonts w:ascii="Arial" w:cs="Arial" w:eastAsia="Arial" w:hAnsi="Arial"/>
          <w:sz w:val="15"/>
          <w:szCs w:val="15"/>
          <w:color w:val="auto"/>
        </w:rPr>
      </w:pPr>
    </w:p>
    <w:p>
      <w:pPr>
        <w:ind w:right="60" w:firstLine="1128"/>
        <w:spacing w:after="0" w:line="284" w:lineRule="auto"/>
        <w:tabs>
          <w:tab w:leader="none" w:pos="1698" w:val="left"/>
        </w:tabs>
        <w:numPr>
          <w:ilvl w:val="0"/>
          <w:numId w:val="127"/>
        </w:numPr>
        <w:rPr>
          <w:rFonts w:ascii="Arial" w:cs="Arial" w:eastAsia="Arial" w:hAnsi="Arial"/>
          <w:sz w:val="16"/>
          <w:szCs w:val="16"/>
          <w:color w:val="auto"/>
        </w:rPr>
      </w:pPr>
      <w:r>
        <w:rPr>
          <w:rFonts w:ascii="Arial" w:cs="Arial" w:eastAsia="Arial" w:hAnsi="Arial"/>
          <w:sz w:val="16"/>
          <w:szCs w:val="16"/>
          <w:u w:val="single" w:color="auto"/>
          <w:color w:val="auto"/>
        </w:rPr>
        <w:t>Notice of Certain Events</w:t>
      </w:r>
      <w:r>
        <w:rPr>
          <w:rFonts w:ascii="Arial" w:cs="Arial" w:eastAsia="Arial" w:hAnsi="Arial"/>
          <w:sz w:val="16"/>
          <w:szCs w:val="16"/>
          <w:color w:val="auto"/>
        </w:rPr>
        <w:t>. If: (i) the Company shall declare any dividend or distribution upon its outstanding Common Stock, payable in stock, cash, property or other securities (provided that Warrantholder in its capacity as lender under the Loan Agreement consents to such dividend); (ii) the Company shall offer for subscription pro rata to the holders of its Common Stock any</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311785</wp:posOffset>
            </wp:positionV>
            <wp:extent cx="6311265" cy="2222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940"/>
          </w:cols>
          <w:pgMar w:left="980" w:top="325" w:right="979" w:bottom="1440" w:gutter="0" w:footer="0" w:header="0"/>
        </w:sectPr>
      </w:pPr>
    </w:p>
    <w:bookmarkStart w:id="215" w:name="page216"/>
    <w:bookmarkEnd w:id="215"/>
    <w:p>
      <w:pPr>
        <w:ind w:left="4" w:right="60"/>
        <w:spacing w:after="0" w:line="284" w:lineRule="auto"/>
        <w:rPr>
          <w:sz w:val="20"/>
          <w:szCs w:val="20"/>
          <w:color w:val="auto"/>
        </w:rPr>
      </w:pPr>
      <w:r>
        <w:rPr>
          <w:rFonts w:ascii="Arial" w:cs="Arial" w:eastAsia="Arial" w:hAnsi="Arial"/>
          <w:sz w:val="16"/>
          <w:szCs w:val="16"/>
          <w:color w:val="auto"/>
        </w:rPr>
        <w:t>additional shares of stock of any class or other rights; (iii) there shall be any Merger Event; or (iv) there shall be any voluntary dissolution, liquidation or winding up of the Company; then, in connection with each such event, the Company shall give the Warrantholder notice thereof at the same time and in the same manner as it gives notice thereof to the holders of outstanding Common Stock.</w:t>
      </w:r>
    </w:p>
    <w:p>
      <w:pPr>
        <w:spacing w:after="0" w:line="143" w:lineRule="exact"/>
        <w:rPr>
          <w:sz w:val="20"/>
          <w:szCs w:val="20"/>
          <w:color w:val="auto"/>
        </w:rPr>
      </w:pPr>
    </w:p>
    <w:p>
      <w:pPr>
        <w:ind w:left="564"/>
        <w:spacing w:after="0"/>
        <w:tabs>
          <w:tab w:leader="none" w:pos="2103" w:val="left"/>
        </w:tabs>
        <w:rPr>
          <w:sz w:val="20"/>
          <w:szCs w:val="20"/>
          <w:color w:val="auto"/>
        </w:rPr>
      </w:pPr>
      <w:r>
        <w:rPr>
          <w:rFonts w:ascii="Arial" w:cs="Arial" w:eastAsia="Arial" w:hAnsi="Arial"/>
          <w:sz w:val="17"/>
          <w:szCs w:val="17"/>
          <w:b w:val="1"/>
          <w:bCs w:val="1"/>
          <w:color w:val="auto"/>
        </w:rPr>
        <w:t>SECTION 9.</w:t>
      </w:r>
      <w:r>
        <w:rPr>
          <w:sz w:val="20"/>
          <w:szCs w:val="20"/>
          <w:color w:val="auto"/>
        </w:rPr>
        <w:tab/>
      </w:r>
      <w:r>
        <w:rPr>
          <w:rFonts w:ascii="Arial" w:cs="Arial" w:eastAsia="Arial" w:hAnsi="Arial"/>
          <w:sz w:val="16"/>
          <w:szCs w:val="16"/>
          <w:color w:val="auto"/>
        </w:rPr>
        <w:t>REPRESENTATIONS, WARRANTIES AND COVENANTS OF THE COMPANY.</w:t>
      </w:r>
    </w:p>
    <w:p>
      <w:pPr>
        <w:spacing w:after="0" w:line="105" w:lineRule="exact"/>
        <w:rPr>
          <w:sz w:val="20"/>
          <w:szCs w:val="20"/>
          <w:color w:val="auto"/>
        </w:rPr>
      </w:pPr>
    </w:p>
    <w:p>
      <w:pPr>
        <w:ind w:left="4" w:right="120" w:firstLine="562"/>
        <w:spacing w:after="0" w:line="289" w:lineRule="auto"/>
        <w:tabs>
          <w:tab w:leader="none" w:pos="853" w:val="left"/>
        </w:tabs>
        <w:numPr>
          <w:ilvl w:val="1"/>
          <w:numId w:val="128"/>
        </w:numPr>
        <w:rPr>
          <w:rFonts w:ascii="Arial" w:cs="Arial" w:eastAsia="Arial" w:hAnsi="Arial"/>
          <w:sz w:val="15"/>
          <w:szCs w:val="15"/>
          <w:color w:val="auto"/>
        </w:rPr>
      </w:pPr>
      <w:r>
        <w:rPr>
          <w:rFonts w:ascii="Arial" w:cs="Arial" w:eastAsia="Arial" w:hAnsi="Arial"/>
          <w:sz w:val="15"/>
          <w:szCs w:val="15"/>
          <w:u w:val="single" w:color="auto"/>
          <w:color w:val="auto"/>
        </w:rPr>
        <w:t>Reservation of Common Stock</w:t>
      </w:r>
      <w:r>
        <w:rPr>
          <w:rFonts w:ascii="Arial" w:cs="Arial" w:eastAsia="Arial" w:hAnsi="Arial"/>
          <w:sz w:val="15"/>
          <w:szCs w:val="15"/>
          <w:color w:val="auto"/>
        </w:rPr>
        <w:t>. The Company covenants and agrees that all shares of Common Stock, if any, that may be issued upon the exercise of the rights represented by this Warrant will, upon issuance, be validly issued and outstanding, fully paid and non-assessable. The Company further covenants and agrees that the Company will, at all times during the term hereof, have authorized and reserved, free from preemptive rights, a sufficient number of shares of Common Stock to provide for the exercise of the rights represented by this Warrant. If at any time during the term hereof the number of authorized but unissued shares of Common Stock shall not be sufficient to permit exercise of this Warrant in full, the Company will take such corporate action as may, in the opinion of its counsel, be necessary to increase its authorized but unissued shares of Common Stock to such number of shares as shall be sufficient for such purposes.</w:t>
      </w:r>
    </w:p>
    <w:p>
      <w:pPr>
        <w:spacing w:after="0" w:line="43" w:lineRule="exact"/>
        <w:rPr>
          <w:rFonts w:ascii="Arial" w:cs="Arial" w:eastAsia="Arial" w:hAnsi="Arial"/>
          <w:sz w:val="15"/>
          <w:szCs w:val="15"/>
          <w:color w:val="auto"/>
        </w:rPr>
      </w:pPr>
    </w:p>
    <w:p>
      <w:pPr>
        <w:ind w:left="4" w:right="60" w:firstLine="562"/>
        <w:spacing w:after="0" w:line="285" w:lineRule="auto"/>
        <w:tabs>
          <w:tab w:leader="none" w:pos="853" w:val="left"/>
        </w:tabs>
        <w:numPr>
          <w:ilvl w:val="1"/>
          <w:numId w:val="128"/>
        </w:numPr>
        <w:rPr>
          <w:rFonts w:ascii="Arial" w:cs="Arial" w:eastAsia="Arial" w:hAnsi="Arial"/>
          <w:sz w:val="15"/>
          <w:szCs w:val="15"/>
          <w:color w:val="auto"/>
        </w:rPr>
      </w:pPr>
      <w:r>
        <w:rPr>
          <w:rFonts w:ascii="Arial" w:cs="Arial" w:eastAsia="Arial" w:hAnsi="Arial"/>
          <w:sz w:val="15"/>
          <w:szCs w:val="15"/>
          <w:u w:val="single" w:color="auto"/>
          <w:color w:val="auto"/>
        </w:rPr>
        <w:t>Due Authority</w:t>
      </w:r>
      <w:r>
        <w:rPr>
          <w:rFonts w:ascii="Arial" w:cs="Arial" w:eastAsia="Arial" w:hAnsi="Arial"/>
          <w:sz w:val="15"/>
          <w:szCs w:val="15"/>
          <w:color w:val="auto"/>
        </w:rPr>
        <w:t>. The execution and delivery by the Company of this Agreement and the performance of all obligations of the Company hereunder, including the issuance to Warrantholder of the right to acquire the shares of Common Stock, have been duly authorized by all necessary corporate action on the part of the Company. This Agreement: (1) does not violate the Company’s Charter or current bylaws;</w:t>
      </w:r>
    </w:p>
    <w:p>
      <w:pPr>
        <w:ind w:left="4" w:hanging="4"/>
        <w:spacing w:after="0" w:line="248" w:lineRule="auto"/>
        <w:tabs>
          <w:tab w:leader="none" w:pos="248" w:val="left"/>
        </w:tabs>
        <w:numPr>
          <w:ilvl w:val="0"/>
          <w:numId w:val="129"/>
        </w:numPr>
        <w:rPr>
          <w:rFonts w:ascii="Arial" w:cs="Arial" w:eastAsia="Arial" w:hAnsi="Arial"/>
          <w:sz w:val="17"/>
          <w:szCs w:val="17"/>
          <w:color w:val="auto"/>
        </w:rPr>
      </w:pPr>
      <w:r>
        <w:rPr>
          <w:rFonts w:ascii="Arial" w:cs="Arial" w:eastAsia="Arial" w:hAnsi="Arial"/>
          <w:sz w:val="17"/>
          <w:szCs w:val="17"/>
          <w:color w:val="auto"/>
        </w:rPr>
        <w:t>does not contravene any law or governmental rule, regulation or order applicable to it; and (3) does not and will not contravene any provision of, or constitute a default under, any indenture, mortgage, contract or other instrument to which it is a party or by which it is bound. This Agreement constitutes a legal, valid and binding agreement of the Company, enforceable in accordance with its terms, except as may be limited by bankruptcy, insolvency, reorganization, moratorium or similar laws relating to or affecting creditors’ rights generally (including, without limitation, fraudulent conveyance laws) and by general principles of equity, regardless of whether considered in a proceeding in equity or at law.</w:t>
      </w:r>
    </w:p>
    <w:p>
      <w:pPr>
        <w:spacing w:after="0" w:line="70" w:lineRule="exact"/>
        <w:rPr>
          <w:rFonts w:ascii="Arial" w:cs="Arial" w:eastAsia="Arial" w:hAnsi="Arial"/>
          <w:sz w:val="17"/>
          <w:szCs w:val="17"/>
          <w:color w:val="auto"/>
        </w:rPr>
      </w:pPr>
    </w:p>
    <w:p>
      <w:pPr>
        <w:ind w:left="4" w:right="80" w:firstLine="562"/>
        <w:spacing w:after="0" w:line="256" w:lineRule="auto"/>
        <w:tabs>
          <w:tab w:leader="none" w:pos="853" w:val="left"/>
        </w:tabs>
        <w:numPr>
          <w:ilvl w:val="1"/>
          <w:numId w:val="129"/>
        </w:numPr>
        <w:rPr>
          <w:rFonts w:ascii="Arial" w:cs="Arial" w:eastAsia="Arial" w:hAnsi="Arial"/>
          <w:sz w:val="17"/>
          <w:szCs w:val="17"/>
          <w:color w:val="auto"/>
        </w:rPr>
      </w:pPr>
      <w:r>
        <w:rPr>
          <w:rFonts w:ascii="Arial" w:cs="Arial" w:eastAsia="Arial" w:hAnsi="Arial"/>
          <w:sz w:val="17"/>
          <w:szCs w:val="17"/>
          <w:u w:val="single" w:color="auto"/>
          <w:color w:val="auto"/>
        </w:rPr>
        <w:t>Consents and Approvals</w:t>
      </w:r>
      <w:r>
        <w:rPr>
          <w:rFonts w:ascii="Arial" w:cs="Arial" w:eastAsia="Arial" w:hAnsi="Arial"/>
          <w:sz w:val="17"/>
          <w:szCs w:val="17"/>
          <w:color w:val="auto"/>
        </w:rPr>
        <w:t>. No consent or approval of, giving of notice to, registration with, or taking of any other action in respect of any state, federal or other governmental authority or agency is required with respect to the execution, delivery and performance by the Company of its obligations under this Agreement, except for the filing of notices pursuant to Regulation D under the Act and any filing required by applicable state securities law, which filings will be effective by the time required thereby.</w:t>
      </w:r>
    </w:p>
    <w:p>
      <w:pPr>
        <w:spacing w:after="0" w:line="62" w:lineRule="exact"/>
        <w:rPr>
          <w:rFonts w:ascii="Arial" w:cs="Arial" w:eastAsia="Arial" w:hAnsi="Arial"/>
          <w:sz w:val="17"/>
          <w:szCs w:val="17"/>
          <w:color w:val="auto"/>
        </w:rPr>
      </w:pPr>
    </w:p>
    <w:p>
      <w:pPr>
        <w:jc w:val="both"/>
        <w:ind w:left="4" w:right="200" w:firstLine="562"/>
        <w:spacing w:after="0" w:line="284" w:lineRule="auto"/>
        <w:tabs>
          <w:tab w:leader="none" w:pos="857" w:val="left"/>
        </w:tabs>
        <w:numPr>
          <w:ilvl w:val="1"/>
          <w:numId w:val="129"/>
        </w:numPr>
        <w:rPr>
          <w:rFonts w:ascii="Arial" w:cs="Arial" w:eastAsia="Arial" w:hAnsi="Arial"/>
          <w:sz w:val="16"/>
          <w:szCs w:val="16"/>
          <w:color w:val="auto"/>
        </w:rPr>
      </w:pPr>
      <w:r>
        <w:rPr>
          <w:rFonts w:ascii="Arial" w:cs="Arial" w:eastAsia="Arial" w:hAnsi="Arial"/>
          <w:sz w:val="16"/>
          <w:szCs w:val="16"/>
          <w:u w:val="single" w:color="auto"/>
          <w:color w:val="auto"/>
        </w:rPr>
        <w:t>Exempt Transaction</w:t>
      </w:r>
      <w:r>
        <w:rPr>
          <w:rFonts w:ascii="Arial" w:cs="Arial" w:eastAsia="Arial" w:hAnsi="Arial"/>
          <w:sz w:val="16"/>
          <w:szCs w:val="16"/>
          <w:color w:val="auto"/>
        </w:rPr>
        <w:t>. Subject to the accuracy of the Warrantholder’s representations in Section 10, the issuance of the Common Stock upon exercise of this Agreement will constitute a transaction exempt from (i) the registration requirements of Section 5 of the Act, in reliance upon Section 4(a)(2) thereof, and (ii) the qualification requirements of the applicable state securities laws.</w:t>
      </w:r>
    </w:p>
    <w:p>
      <w:pPr>
        <w:spacing w:after="0" w:line="42" w:lineRule="exact"/>
        <w:rPr>
          <w:rFonts w:ascii="Arial" w:cs="Arial" w:eastAsia="Arial" w:hAnsi="Arial"/>
          <w:sz w:val="16"/>
          <w:szCs w:val="16"/>
          <w:color w:val="auto"/>
        </w:rPr>
      </w:pPr>
    </w:p>
    <w:p>
      <w:pPr>
        <w:ind w:left="4" w:right="20" w:firstLine="562"/>
        <w:spacing w:after="0" w:line="269" w:lineRule="auto"/>
        <w:tabs>
          <w:tab w:leader="none" w:pos="853" w:val="left"/>
        </w:tabs>
        <w:numPr>
          <w:ilvl w:val="1"/>
          <w:numId w:val="129"/>
        </w:numPr>
        <w:rPr>
          <w:rFonts w:ascii="Arial" w:cs="Arial" w:eastAsia="Arial" w:hAnsi="Arial"/>
          <w:sz w:val="16"/>
          <w:szCs w:val="16"/>
          <w:color w:val="auto"/>
        </w:rPr>
      </w:pPr>
      <w:r>
        <w:rPr>
          <w:rFonts w:ascii="Arial" w:cs="Arial" w:eastAsia="Arial" w:hAnsi="Arial"/>
          <w:sz w:val="16"/>
          <w:szCs w:val="16"/>
          <w:u w:val="single" w:color="auto"/>
          <w:color w:val="auto"/>
        </w:rPr>
        <w:t>Information Rights</w:t>
      </w:r>
      <w:r>
        <w:rPr>
          <w:rFonts w:ascii="Arial" w:cs="Arial" w:eastAsia="Arial" w:hAnsi="Arial"/>
          <w:sz w:val="16"/>
          <w:szCs w:val="16"/>
          <w:color w:val="auto"/>
        </w:rPr>
        <w:t>. At all times (if any) prior to the expiration or earlier termination of this Warrant, when the Company shall not be required to file reports pursuant to Section 13 or 15(d) of the Exchange Act or shall not have timely filed all such required reports, Warrantholder shall be entitled to the information rights contained in Sections 7.1(b) and 7.1(c) of the Loan Agreement, provided that the confidentiality provisions contained in Section 11.13 of the Loan Agreement shall apply to any information received under this section, and in any such event Sections 7.1(b), 7.1(c) and 11.13 of the Loan Agreement are hereby incorporated into this Agreement by this reference as though fully set forth herein. In receiving any such information, Warrantholder shall at all times comply with all securities laws applicable to the resale of this Warrant or the shares of Common Stock issuable upon exercise of this Warrant, including relevant insider trading laws.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63"/>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311785</wp:posOffset>
            </wp:positionV>
            <wp:extent cx="6311265" cy="2222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884"/>
          </w:cols>
          <w:pgMar w:left="976" w:top="325" w:right="1039" w:bottom="1440" w:gutter="0" w:footer="0" w:header="0"/>
        </w:sectPr>
      </w:pPr>
    </w:p>
    <w:bookmarkStart w:id="216" w:name="page217"/>
    <w:bookmarkEnd w:id="216"/>
    <w:p>
      <w:pPr>
        <w:ind w:right="60" w:firstLine="562"/>
        <w:spacing w:after="0" w:line="266" w:lineRule="auto"/>
        <w:tabs>
          <w:tab w:leader="none" w:pos="849" w:val="left"/>
        </w:tabs>
        <w:numPr>
          <w:ilvl w:val="0"/>
          <w:numId w:val="130"/>
        </w:numPr>
        <w:rPr>
          <w:rFonts w:ascii="Arial" w:cs="Arial" w:eastAsia="Arial" w:hAnsi="Arial"/>
          <w:sz w:val="16"/>
          <w:szCs w:val="16"/>
          <w:color w:val="auto"/>
        </w:rPr>
      </w:pPr>
      <w:r>
        <w:rPr>
          <w:rFonts w:ascii="Arial" w:cs="Arial" w:eastAsia="Arial" w:hAnsi="Arial"/>
          <w:sz w:val="16"/>
          <w:szCs w:val="16"/>
          <w:u w:val="single" w:color="auto"/>
          <w:color w:val="auto"/>
        </w:rPr>
        <w:t>Rule 144 Compliance</w:t>
      </w:r>
      <w:r>
        <w:rPr>
          <w:rFonts w:ascii="Arial" w:cs="Arial" w:eastAsia="Arial" w:hAnsi="Arial"/>
          <w:sz w:val="16"/>
          <w:szCs w:val="16"/>
          <w:color w:val="auto"/>
        </w:rPr>
        <w:t>. The Company shall, at all times prior to the earlier to occur of (x) the date of sale or other disposition by Warrantholder of this Warrant or all shares of Common Stock issued on exercise of this Warrant, or (y) the expiration or earlier termination of this Warrant if the Warrant has not been exercised in full or in part on such date, use all commercially reasonable efforts to timely file all reports required under the 1934 Act and otherwise timely take all actions necessary to permit the Warrantholder to sell or otherwise dispose of this Warrant and the shares of Common Stock issued on exercise hereof pursuant to Rule 144 promulgated under the Act as amended and in effect from time to time, provided that the foregoing shall not apply in the event of a Merger Event following which the successor or surviving entity is not subject to the reporting requirements of the 1934 Act. If the Warrantholder proposes to sell Common Stock issuable upon the exercise of this Agreement in compliance with Rule 144, then, upon Warrantholder’s written request to the Company, the Company shall furnish to the Warrantholder, within five (5) business days after receipt of such request, a written statement confirming the Company’s compliance with the filing and other requirements of such Rule.</w:t>
      </w:r>
    </w:p>
    <w:p>
      <w:pPr>
        <w:spacing w:after="0" w:line="53" w:lineRule="exact"/>
        <w:rPr>
          <w:sz w:val="20"/>
          <w:szCs w:val="20"/>
          <w:color w:val="auto"/>
        </w:rPr>
      </w:pPr>
    </w:p>
    <w:p>
      <w:pPr>
        <w:ind w:left="560"/>
        <w:spacing w:after="0"/>
        <w:tabs>
          <w:tab w:leader="none" w:pos="2100" w:val="left"/>
        </w:tabs>
        <w:rPr>
          <w:sz w:val="20"/>
          <w:szCs w:val="20"/>
          <w:color w:val="auto"/>
        </w:rPr>
      </w:pPr>
      <w:r>
        <w:rPr>
          <w:rFonts w:ascii="Arial" w:cs="Arial" w:eastAsia="Arial" w:hAnsi="Arial"/>
          <w:sz w:val="17"/>
          <w:szCs w:val="17"/>
          <w:b w:val="1"/>
          <w:bCs w:val="1"/>
          <w:color w:val="auto"/>
        </w:rPr>
        <w:t>SECTION 10.</w:t>
      </w:r>
      <w:r>
        <w:rPr>
          <w:sz w:val="20"/>
          <w:szCs w:val="20"/>
          <w:color w:val="auto"/>
        </w:rPr>
        <w:tab/>
      </w:r>
      <w:r>
        <w:rPr>
          <w:rFonts w:ascii="Arial" w:cs="Arial" w:eastAsia="Arial" w:hAnsi="Arial"/>
          <w:sz w:val="16"/>
          <w:szCs w:val="16"/>
          <w:color w:val="auto"/>
        </w:rPr>
        <w:t>REPRESENTATIONS AND COVENANTS OF THE WARRANTHOLDER.</w:t>
      </w:r>
    </w:p>
    <w:p>
      <w:pPr>
        <w:spacing w:after="0" w:line="105"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This Agreement has been entered into by the Company in reliance upon the following representations and covenants of the</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Warrantholder:</w:t>
      </w:r>
    </w:p>
    <w:p>
      <w:pPr>
        <w:spacing w:after="0" w:line="180" w:lineRule="exact"/>
        <w:rPr>
          <w:sz w:val="20"/>
          <w:szCs w:val="20"/>
          <w:color w:val="auto"/>
        </w:rPr>
      </w:pPr>
    </w:p>
    <w:p>
      <w:pPr>
        <w:ind w:right="80" w:firstLine="562"/>
        <w:spacing w:after="0" w:line="284" w:lineRule="auto"/>
        <w:tabs>
          <w:tab w:leader="none" w:pos="849" w:val="left"/>
        </w:tabs>
        <w:numPr>
          <w:ilvl w:val="0"/>
          <w:numId w:val="131"/>
        </w:numPr>
        <w:rPr>
          <w:rFonts w:ascii="Arial" w:cs="Arial" w:eastAsia="Arial" w:hAnsi="Arial"/>
          <w:sz w:val="16"/>
          <w:szCs w:val="16"/>
          <w:color w:val="auto"/>
        </w:rPr>
      </w:pPr>
      <w:r>
        <w:rPr>
          <w:rFonts w:ascii="Arial" w:cs="Arial" w:eastAsia="Arial" w:hAnsi="Arial"/>
          <w:sz w:val="16"/>
          <w:szCs w:val="16"/>
          <w:u w:val="single" w:color="auto"/>
          <w:color w:val="auto"/>
        </w:rPr>
        <w:t>Investment Purpose</w:t>
      </w:r>
      <w:r>
        <w:rPr>
          <w:rFonts w:ascii="Arial" w:cs="Arial" w:eastAsia="Arial" w:hAnsi="Arial"/>
          <w:sz w:val="16"/>
          <w:szCs w:val="16"/>
          <w:color w:val="auto"/>
        </w:rPr>
        <w:t>. This Warrant and the shares issued on exercise hereof will be acquired for investment and not with a view to the sale or distribution of any part thereof in violation of applicable federal and state securities laws, and the Warrantholder has no present intention of selling or engaging in any public distribution of the same except pursuant to a registration or exemption.</w:t>
      </w:r>
    </w:p>
    <w:p>
      <w:pPr>
        <w:spacing w:after="0" w:line="42" w:lineRule="exact"/>
        <w:rPr>
          <w:sz w:val="20"/>
          <w:szCs w:val="20"/>
          <w:color w:val="auto"/>
        </w:rPr>
      </w:pPr>
    </w:p>
    <w:p>
      <w:pPr>
        <w:ind w:right="20" w:firstLine="562"/>
        <w:spacing w:after="0" w:line="256" w:lineRule="auto"/>
        <w:tabs>
          <w:tab w:leader="none" w:pos="849" w:val="left"/>
        </w:tabs>
        <w:numPr>
          <w:ilvl w:val="0"/>
          <w:numId w:val="132"/>
        </w:numPr>
        <w:rPr>
          <w:rFonts w:ascii="Arial" w:cs="Arial" w:eastAsia="Arial" w:hAnsi="Arial"/>
          <w:sz w:val="17"/>
          <w:szCs w:val="17"/>
          <w:color w:val="auto"/>
        </w:rPr>
      </w:pPr>
      <w:r>
        <w:rPr>
          <w:rFonts w:ascii="Arial" w:cs="Arial" w:eastAsia="Arial" w:hAnsi="Arial"/>
          <w:sz w:val="17"/>
          <w:szCs w:val="17"/>
          <w:u w:val="single" w:color="auto"/>
          <w:color w:val="auto"/>
        </w:rPr>
        <w:t>Private Issue</w:t>
      </w:r>
      <w:r>
        <w:rPr>
          <w:rFonts w:ascii="Arial" w:cs="Arial" w:eastAsia="Arial" w:hAnsi="Arial"/>
          <w:sz w:val="17"/>
          <w:szCs w:val="17"/>
          <w:color w:val="auto"/>
        </w:rPr>
        <w:t>. The Warrantholder understands (i) that the Common Stock issuable upon exercise of this Agreement is not, as of the Effective Date, registered under the Act or qualified under applicable state securities laws on the grounds that the issuance contemplated by this Agreement will be exempt from the registration and qualifications requirements thereof, and (ii) that the Company’s reliance on exemption from such registration is predicated on the representations set forth in this Section 10.</w:t>
      </w:r>
    </w:p>
    <w:p>
      <w:pPr>
        <w:spacing w:after="0" w:line="62" w:lineRule="exact"/>
        <w:rPr>
          <w:rFonts w:ascii="Arial" w:cs="Arial" w:eastAsia="Arial" w:hAnsi="Arial"/>
          <w:sz w:val="17"/>
          <w:szCs w:val="17"/>
          <w:color w:val="auto"/>
        </w:rPr>
      </w:pPr>
    </w:p>
    <w:p>
      <w:pPr>
        <w:ind w:right="500" w:firstLine="562"/>
        <w:spacing w:after="0" w:line="276" w:lineRule="auto"/>
        <w:tabs>
          <w:tab w:leader="none" w:pos="849" w:val="left"/>
        </w:tabs>
        <w:numPr>
          <w:ilvl w:val="0"/>
          <w:numId w:val="132"/>
        </w:numPr>
        <w:rPr>
          <w:rFonts w:ascii="Arial" w:cs="Arial" w:eastAsia="Arial" w:hAnsi="Arial"/>
          <w:sz w:val="17"/>
          <w:szCs w:val="17"/>
          <w:color w:val="auto"/>
        </w:rPr>
      </w:pPr>
      <w:r>
        <w:rPr>
          <w:rFonts w:ascii="Arial" w:cs="Arial" w:eastAsia="Arial" w:hAnsi="Arial"/>
          <w:sz w:val="17"/>
          <w:szCs w:val="17"/>
          <w:u w:val="single" w:color="auto"/>
          <w:color w:val="auto"/>
        </w:rPr>
        <w:t>Financial Risk</w:t>
      </w:r>
      <w:r>
        <w:rPr>
          <w:rFonts w:ascii="Arial" w:cs="Arial" w:eastAsia="Arial" w:hAnsi="Arial"/>
          <w:sz w:val="17"/>
          <w:szCs w:val="17"/>
          <w:color w:val="auto"/>
        </w:rPr>
        <w:t>. The Warrantholder has such knowledge and experience in financial and business matters as to be capable of evaluating the merits and risks of its investment, and has the ability to bear the economic risks of its investment.</w:t>
      </w:r>
    </w:p>
    <w:p>
      <w:pPr>
        <w:spacing w:after="0" w:line="45" w:lineRule="exact"/>
        <w:rPr>
          <w:rFonts w:ascii="Arial" w:cs="Arial" w:eastAsia="Arial" w:hAnsi="Arial"/>
          <w:sz w:val="17"/>
          <w:szCs w:val="17"/>
          <w:color w:val="auto"/>
        </w:rPr>
      </w:pPr>
    </w:p>
    <w:p>
      <w:pPr>
        <w:ind w:right="400" w:firstLine="562"/>
        <w:spacing w:after="0" w:line="276" w:lineRule="auto"/>
        <w:tabs>
          <w:tab w:leader="none" w:pos="849" w:val="left"/>
        </w:tabs>
        <w:numPr>
          <w:ilvl w:val="0"/>
          <w:numId w:val="132"/>
        </w:numPr>
        <w:rPr>
          <w:rFonts w:ascii="Arial" w:cs="Arial" w:eastAsia="Arial" w:hAnsi="Arial"/>
          <w:sz w:val="17"/>
          <w:szCs w:val="17"/>
          <w:color w:val="auto"/>
        </w:rPr>
      </w:pPr>
      <w:r>
        <w:rPr>
          <w:rFonts w:ascii="Arial" w:cs="Arial" w:eastAsia="Arial" w:hAnsi="Arial"/>
          <w:sz w:val="17"/>
          <w:szCs w:val="17"/>
          <w:u w:val="single" w:color="auto"/>
          <w:color w:val="auto"/>
        </w:rPr>
        <w:t>Accredited Investor</w:t>
      </w:r>
      <w:r>
        <w:rPr>
          <w:rFonts w:ascii="Arial" w:cs="Arial" w:eastAsia="Arial" w:hAnsi="Arial"/>
          <w:sz w:val="17"/>
          <w:szCs w:val="17"/>
          <w:color w:val="auto"/>
        </w:rPr>
        <w:t>. Warrantholder is an “accredited investor” within the meaning of Rule 501 of Regulation D promulgated under the Act, as presently in effect (“</w:t>
      </w:r>
      <w:r>
        <w:rPr>
          <w:rFonts w:ascii="Arial" w:cs="Arial" w:eastAsia="Arial" w:hAnsi="Arial"/>
          <w:sz w:val="17"/>
          <w:szCs w:val="17"/>
          <w:u w:val="single" w:color="auto"/>
          <w:color w:val="auto"/>
        </w:rPr>
        <w:t>Regulation D</w:t>
      </w:r>
      <w:r>
        <w:rPr>
          <w:rFonts w:ascii="Arial" w:cs="Arial" w:eastAsia="Arial" w:hAnsi="Arial"/>
          <w:sz w:val="17"/>
          <w:szCs w:val="17"/>
          <w:color w:val="auto"/>
        </w:rPr>
        <w:t>”).</w:t>
      </w:r>
    </w:p>
    <w:p>
      <w:pPr>
        <w:spacing w:after="0" w:line="45" w:lineRule="exact"/>
        <w:rPr>
          <w:rFonts w:ascii="Arial" w:cs="Arial" w:eastAsia="Arial" w:hAnsi="Arial"/>
          <w:sz w:val="17"/>
          <w:szCs w:val="17"/>
          <w:color w:val="auto"/>
        </w:rPr>
      </w:pPr>
    </w:p>
    <w:p>
      <w:pPr>
        <w:ind w:right="140" w:firstLine="562"/>
        <w:spacing w:after="0" w:line="284" w:lineRule="auto"/>
        <w:tabs>
          <w:tab w:leader="none" w:pos="849" w:val="left"/>
        </w:tabs>
        <w:numPr>
          <w:ilvl w:val="0"/>
          <w:numId w:val="132"/>
        </w:numPr>
        <w:rPr>
          <w:rFonts w:ascii="Arial" w:cs="Arial" w:eastAsia="Arial" w:hAnsi="Arial"/>
          <w:sz w:val="16"/>
          <w:szCs w:val="16"/>
          <w:color w:val="auto"/>
        </w:rPr>
      </w:pPr>
      <w:r>
        <w:rPr>
          <w:rFonts w:ascii="Arial" w:cs="Arial" w:eastAsia="Arial" w:hAnsi="Arial"/>
          <w:sz w:val="16"/>
          <w:szCs w:val="16"/>
          <w:u w:val="single" w:color="auto"/>
          <w:color w:val="auto"/>
        </w:rPr>
        <w:t>No Short Sales</w:t>
      </w:r>
      <w:r>
        <w:rPr>
          <w:rFonts w:ascii="Arial" w:cs="Arial" w:eastAsia="Arial" w:hAnsi="Arial"/>
          <w:sz w:val="16"/>
          <w:szCs w:val="16"/>
          <w:color w:val="auto"/>
        </w:rPr>
        <w:t>. Warrantholder has not at any time on or prior to the Effective Date engaged in any short sales or equivalent transactions in the Common Stock. Warrantholder agrees that at all times from and after the Effective Date and on or before the expiration or earlier termination of this Warrant, it shall not engage in any short sales or equivalent transactions in the Common Stock.</w:t>
      </w:r>
    </w:p>
    <w:p>
      <w:pPr>
        <w:spacing w:after="0" w:line="36" w:lineRule="exact"/>
        <w:rPr>
          <w:sz w:val="20"/>
          <w:szCs w:val="20"/>
          <w:color w:val="auto"/>
        </w:rPr>
      </w:pPr>
    </w:p>
    <w:p>
      <w:pPr>
        <w:ind w:left="560"/>
        <w:spacing w:after="0"/>
        <w:tabs>
          <w:tab w:leader="none" w:pos="2080" w:val="left"/>
        </w:tabs>
        <w:rPr>
          <w:sz w:val="20"/>
          <w:szCs w:val="20"/>
          <w:color w:val="auto"/>
        </w:rPr>
      </w:pPr>
      <w:r>
        <w:rPr>
          <w:rFonts w:ascii="Arial" w:cs="Arial" w:eastAsia="Arial" w:hAnsi="Arial"/>
          <w:sz w:val="17"/>
          <w:szCs w:val="17"/>
          <w:b w:val="1"/>
          <w:bCs w:val="1"/>
          <w:color w:val="auto"/>
        </w:rPr>
        <w:t>SECTION 11.</w:t>
      </w:r>
      <w:r>
        <w:rPr>
          <w:sz w:val="20"/>
          <w:szCs w:val="20"/>
          <w:color w:val="auto"/>
        </w:rPr>
        <w:tab/>
      </w:r>
      <w:r>
        <w:rPr>
          <w:rFonts w:ascii="Arial" w:cs="Arial" w:eastAsia="Arial" w:hAnsi="Arial"/>
          <w:sz w:val="16"/>
          <w:szCs w:val="16"/>
          <w:color w:val="auto"/>
        </w:rPr>
        <w:t>TRANSFERS.</w:t>
      </w:r>
    </w:p>
    <w:p>
      <w:pPr>
        <w:spacing w:after="0" w:line="105" w:lineRule="exact"/>
        <w:rPr>
          <w:sz w:val="20"/>
          <w:szCs w:val="20"/>
          <w:color w:val="auto"/>
        </w:rPr>
      </w:pPr>
    </w:p>
    <w:p>
      <w:pPr>
        <w:ind w:firstLine="1132"/>
        <w:spacing w:after="0" w:line="250" w:lineRule="auto"/>
        <w:rPr>
          <w:sz w:val="20"/>
          <w:szCs w:val="20"/>
          <w:color w:val="auto"/>
        </w:rPr>
      </w:pPr>
      <w:r>
        <w:rPr>
          <w:rFonts w:ascii="Arial" w:cs="Arial" w:eastAsia="Arial" w:hAnsi="Arial"/>
          <w:sz w:val="17"/>
          <w:szCs w:val="17"/>
          <w:color w:val="auto"/>
        </w:rPr>
        <w:t>Subject to compliance with applicable federal and state securities laws, this Agreement and all rights hereunder are transferable, in whole or in part, without charge to the holder hereof (except for transfer taxes) upon surrender of this Agreement properly endorsed. Each taker and holder of this Agreement, by taking or holding the same, consents and agrees that this Agreement, when endorsed in blank, shall be deemed negotiable, and that the holder hereof, when this Agreement shall have been so endorsed and its transfer recorded on the Company’s books, shall be treated by the Company and all other persons dealing with this Agreement as the absolute owner hereof for any purpose and as the person entitled to exercise the rights represented by this Agreement. The transfer of this Agreement shall be recorded on the books of the Company upon receipt by the Company of a notice of transfer in the form attached hereto as Exhibit III (the “</w:t>
      </w:r>
      <w:r>
        <w:rPr>
          <w:rFonts w:ascii="Arial" w:cs="Arial" w:eastAsia="Arial" w:hAnsi="Arial"/>
          <w:sz w:val="17"/>
          <w:szCs w:val="17"/>
          <w:u w:val="single" w:color="auto"/>
          <w:color w:val="auto"/>
        </w:rPr>
        <w:t>Transfer</w:t>
      </w:r>
      <w:r>
        <w:rPr>
          <w:rFonts w:ascii="Arial" w:cs="Arial" w:eastAsia="Arial" w:hAnsi="Arial"/>
          <w:sz w:val="17"/>
          <w:szCs w:val="17"/>
          <w:color w:val="auto"/>
        </w:rPr>
        <w:t xml:space="preserve"> </w:t>
      </w:r>
      <w:r>
        <w:rPr>
          <w:rFonts w:ascii="Arial" w:cs="Arial" w:eastAsia="Arial" w:hAnsi="Arial"/>
          <w:sz w:val="17"/>
          <w:szCs w:val="17"/>
          <w:u w:val="single" w:color="auto"/>
          <w:color w:val="auto"/>
        </w:rPr>
        <w:t>Notice</w:t>
      </w:r>
      <w:r>
        <w:rPr>
          <w:rFonts w:ascii="Arial" w:cs="Arial" w:eastAsia="Arial" w:hAnsi="Arial"/>
          <w:sz w:val="17"/>
          <w:szCs w:val="17"/>
          <w:color w:val="auto"/>
        </w:rPr>
        <w:t>”), at its principal offices and the payment to the</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311785</wp:posOffset>
            </wp:positionV>
            <wp:extent cx="6311265" cy="2222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920"/>
          </w:cols>
          <w:pgMar w:left="980" w:top="325" w:right="999" w:bottom="1440" w:gutter="0" w:footer="0" w:header="0"/>
        </w:sectPr>
      </w:pPr>
    </w:p>
    <w:bookmarkStart w:id="217" w:name="page218"/>
    <w:bookmarkEnd w:id="217"/>
    <w:p>
      <w:pPr>
        <w:ind w:right="20"/>
        <w:spacing w:after="0" w:line="273" w:lineRule="auto"/>
        <w:rPr>
          <w:sz w:val="20"/>
          <w:szCs w:val="20"/>
          <w:color w:val="auto"/>
        </w:rPr>
      </w:pPr>
      <w:r>
        <w:rPr>
          <w:rFonts w:ascii="Arial" w:cs="Arial" w:eastAsia="Arial" w:hAnsi="Arial"/>
          <w:sz w:val="16"/>
          <w:szCs w:val="16"/>
          <w:color w:val="auto"/>
        </w:rPr>
        <w:t>Company of all transfer taxes and other governmental charges imposed on such transfer. Until the Company receives such Transfer Notice, the Company may treat the registered owner hereof as the owner for all purposes. Notwithstanding anything herein or in any legend to the contrary, the Company shall not require an opinion of counsel in connection with any sale, assignment or other transfer by Warrantholder of this Warrant (or any portion hereof or any interest herein) or of any shares of Common Stock issued upon any exercise hereof to an affiliate (as defined in Regulation D) of Warrantholder, provided that such affiliate is an “accredited investor” as defined in Regulation D.</w:t>
      </w:r>
    </w:p>
    <w:p>
      <w:pPr>
        <w:spacing w:after="0" w:line="151" w:lineRule="exact"/>
        <w:rPr>
          <w:sz w:val="20"/>
          <w:szCs w:val="20"/>
          <w:color w:val="auto"/>
        </w:rPr>
      </w:pPr>
    </w:p>
    <w:p>
      <w:pPr>
        <w:ind w:left="560"/>
        <w:spacing w:after="0"/>
        <w:tabs>
          <w:tab w:leader="none" w:pos="2100" w:val="left"/>
        </w:tabs>
        <w:rPr>
          <w:sz w:val="20"/>
          <w:szCs w:val="20"/>
          <w:color w:val="auto"/>
        </w:rPr>
      </w:pPr>
      <w:r>
        <w:rPr>
          <w:rFonts w:ascii="Arial" w:cs="Arial" w:eastAsia="Arial" w:hAnsi="Arial"/>
          <w:sz w:val="17"/>
          <w:szCs w:val="17"/>
          <w:b w:val="1"/>
          <w:bCs w:val="1"/>
          <w:color w:val="auto"/>
        </w:rPr>
        <w:t>SECTION 12.</w:t>
      </w:r>
      <w:r>
        <w:rPr>
          <w:sz w:val="20"/>
          <w:szCs w:val="20"/>
          <w:color w:val="auto"/>
        </w:rPr>
        <w:tab/>
      </w:r>
      <w:r>
        <w:rPr>
          <w:rFonts w:ascii="Arial" w:cs="Arial" w:eastAsia="Arial" w:hAnsi="Arial"/>
          <w:sz w:val="16"/>
          <w:szCs w:val="16"/>
          <w:color w:val="auto"/>
        </w:rPr>
        <w:t>MISCELLANEOUS.</w:t>
      </w:r>
    </w:p>
    <w:p>
      <w:pPr>
        <w:spacing w:after="0" w:line="105" w:lineRule="exact"/>
        <w:rPr>
          <w:sz w:val="20"/>
          <w:szCs w:val="20"/>
          <w:color w:val="auto"/>
        </w:rPr>
      </w:pPr>
    </w:p>
    <w:p>
      <w:pPr>
        <w:ind w:right="100" w:firstLine="562"/>
        <w:spacing w:after="0" w:line="344" w:lineRule="auto"/>
        <w:tabs>
          <w:tab w:leader="none" w:pos="849" w:val="left"/>
        </w:tabs>
        <w:numPr>
          <w:ilvl w:val="0"/>
          <w:numId w:val="133"/>
        </w:numPr>
        <w:rPr>
          <w:rFonts w:ascii="Arial" w:cs="Arial" w:eastAsia="Arial" w:hAnsi="Arial"/>
          <w:sz w:val="15"/>
          <w:szCs w:val="15"/>
          <w:color w:val="auto"/>
        </w:rPr>
      </w:pPr>
      <w:r>
        <w:rPr>
          <w:rFonts w:ascii="Arial" w:cs="Arial" w:eastAsia="Arial" w:hAnsi="Arial"/>
          <w:sz w:val="15"/>
          <w:szCs w:val="15"/>
          <w:u w:val="single" w:color="auto"/>
          <w:color w:val="auto"/>
        </w:rPr>
        <w:t>Effective Date</w:t>
      </w:r>
      <w:r>
        <w:rPr>
          <w:rFonts w:ascii="Arial" w:cs="Arial" w:eastAsia="Arial" w:hAnsi="Arial"/>
          <w:sz w:val="15"/>
          <w:szCs w:val="15"/>
          <w:color w:val="auto"/>
        </w:rPr>
        <w:t>. The provisions of this Agreement shall be construed and shall be given effect in all respects as if it had been executed and delivered by the Company on the date hereof. This Agreement shall be binding upon any successors or assigns of the Company.</w:t>
      </w:r>
    </w:p>
    <w:p>
      <w:pPr>
        <w:ind w:right="80" w:firstLine="562"/>
        <w:spacing w:after="0" w:line="252" w:lineRule="auto"/>
        <w:tabs>
          <w:tab w:leader="none" w:pos="849" w:val="left"/>
        </w:tabs>
        <w:numPr>
          <w:ilvl w:val="0"/>
          <w:numId w:val="133"/>
        </w:numPr>
        <w:rPr>
          <w:rFonts w:ascii="Arial" w:cs="Arial" w:eastAsia="Arial" w:hAnsi="Arial"/>
          <w:sz w:val="17"/>
          <w:szCs w:val="17"/>
          <w:color w:val="auto"/>
        </w:rPr>
      </w:pPr>
      <w:r>
        <w:rPr>
          <w:rFonts w:ascii="Arial" w:cs="Arial" w:eastAsia="Arial" w:hAnsi="Arial"/>
          <w:sz w:val="17"/>
          <w:szCs w:val="17"/>
          <w:u w:val="single" w:color="auto"/>
          <w:color w:val="auto"/>
        </w:rPr>
        <w:t>Remedies</w:t>
      </w:r>
      <w:r>
        <w:rPr>
          <w:rFonts w:ascii="Arial" w:cs="Arial" w:eastAsia="Arial" w:hAnsi="Arial"/>
          <w:sz w:val="17"/>
          <w:szCs w:val="17"/>
          <w:color w:val="auto"/>
        </w:rPr>
        <w:t>. In the event of any default hereunder, the non-defaulting party may proceed to protect and enforce its rights either by suit in equity and/or by action at law, including but not limited to an action for damages as a result of any such default, and/or an action for specific performance for any default where Warrantholder will not have an adequate remedy at law and where damages will not be readily ascertainable. The Company expressly agrees that it shall not oppose an application by the Warrantholder or any other person entitled to the benefit of this Agreement requiring specific performance of any or all provisions hereof or enjoining the Company from continuing to commit any such breach of this Agreement.</w:t>
      </w:r>
    </w:p>
    <w:p>
      <w:pPr>
        <w:spacing w:after="0" w:line="65" w:lineRule="exact"/>
        <w:rPr>
          <w:rFonts w:ascii="Arial" w:cs="Arial" w:eastAsia="Arial" w:hAnsi="Arial"/>
          <w:sz w:val="17"/>
          <w:szCs w:val="17"/>
          <w:color w:val="auto"/>
        </w:rPr>
      </w:pPr>
    </w:p>
    <w:p>
      <w:pPr>
        <w:ind w:right="20" w:firstLine="562"/>
        <w:spacing w:after="0" w:line="256" w:lineRule="auto"/>
        <w:tabs>
          <w:tab w:leader="none" w:pos="849" w:val="left"/>
        </w:tabs>
        <w:numPr>
          <w:ilvl w:val="0"/>
          <w:numId w:val="133"/>
        </w:numPr>
        <w:rPr>
          <w:rFonts w:ascii="Arial" w:cs="Arial" w:eastAsia="Arial" w:hAnsi="Arial"/>
          <w:sz w:val="17"/>
          <w:szCs w:val="17"/>
          <w:color w:val="auto"/>
        </w:rPr>
      </w:pPr>
      <w:r>
        <w:rPr>
          <w:rFonts w:ascii="Arial" w:cs="Arial" w:eastAsia="Arial" w:hAnsi="Arial"/>
          <w:sz w:val="17"/>
          <w:szCs w:val="17"/>
          <w:u w:val="single" w:color="auto"/>
          <w:color w:val="auto"/>
        </w:rPr>
        <w:t>No Impairment of Rights</w:t>
      </w:r>
      <w:r>
        <w:rPr>
          <w:rFonts w:ascii="Arial" w:cs="Arial" w:eastAsia="Arial" w:hAnsi="Arial"/>
          <w:sz w:val="17"/>
          <w:szCs w:val="17"/>
          <w:color w:val="auto"/>
        </w:rPr>
        <w:t>. The Company will not, by amendment of its Charter or through any other means, avoid or seek to avoid the observance or performance of any of the terms of this Agreement, but will at all times in good faith assist in the carrying out of all such terms and in the taking of all such actions as may be necessary or appropriate in order to protect the rights of the Warrantholder against impairment.</w:t>
      </w:r>
    </w:p>
    <w:p>
      <w:pPr>
        <w:spacing w:after="0" w:line="62" w:lineRule="exact"/>
        <w:rPr>
          <w:rFonts w:ascii="Arial" w:cs="Arial" w:eastAsia="Arial" w:hAnsi="Arial"/>
          <w:sz w:val="17"/>
          <w:szCs w:val="17"/>
          <w:color w:val="auto"/>
        </w:rPr>
      </w:pPr>
    </w:p>
    <w:p>
      <w:pPr>
        <w:ind w:firstLine="562"/>
        <w:spacing w:after="0" w:line="256" w:lineRule="auto"/>
        <w:tabs>
          <w:tab w:leader="none" w:pos="849" w:val="left"/>
        </w:tabs>
        <w:numPr>
          <w:ilvl w:val="0"/>
          <w:numId w:val="133"/>
        </w:numPr>
        <w:rPr>
          <w:rFonts w:ascii="Arial" w:cs="Arial" w:eastAsia="Arial" w:hAnsi="Arial"/>
          <w:sz w:val="17"/>
          <w:szCs w:val="17"/>
          <w:color w:val="auto"/>
        </w:rPr>
      </w:pPr>
      <w:r>
        <w:rPr>
          <w:rFonts w:ascii="Arial" w:cs="Arial" w:eastAsia="Arial" w:hAnsi="Arial"/>
          <w:sz w:val="17"/>
          <w:szCs w:val="17"/>
          <w:u w:val="single" w:color="auto"/>
          <w:color w:val="auto"/>
        </w:rPr>
        <w:t>Additional Documents</w:t>
      </w:r>
      <w:r>
        <w:rPr>
          <w:rFonts w:ascii="Arial" w:cs="Arial" w:eastAsia="Arial" w:hAnsi="Arial"/>
          <w:sz w:val="17"/>
          <w:szCs w:val="17"/>
          <w:color w:val="auto"/>
        </w:rPr>
        <w:t>. In the event the Company shall not be required to file reports pursuant to Section 13 or 15(d) of the Exchange Act or shall not have timely filed all such required reports, the Company agrees to supply such other documents as the Warrantholder may from time to time reasonably request to value this Warrant for Warrantholder’s accounting or reporting requirements and/or to evaluate whether to exercise (in cash or a net issuance basis) this Warrant.</w:t>
      </w:r>
    </w:p>
    <w:p>
      <w:pPr>
        <w:spacing w:after="0" w:line="62" w:lineRule="exact"/>
        <w:rPr>
          <w:rFonts w:ascii="Arial" w:cs="Arial" w:eastAsia="Arial" w:hAnsi="Arial"/>
          <w:sz w:val="17"/>
          <w:szCs w:val="17"/>
          <w:color w:val="auto"/>
        </w:rPr>
      </w:pPr>
    </w:p>
    <w:p>
      <w:pPr>
        <w:ind w:right="20" w:firstLine="562"/>
        <w:spacing w:after="0" w:line="252" w:lineRule="auto"/>
        <w:tabs>
          <w:tab w:leader="none" w:pos="849" w:val="left"/>
        </w:tabs>
        <w:numPr>
          <w:ilvl w:val="0"/>
          <w:numId w:val="133"/>
        </w:numPr>
        <w:rPr>
          <w:rFonts w:ascii="Arial" w:cs="Arial" w:eastAsia="Arial" w:hAnsi="Arial"/>
          <w:sz w:val="17"/>
          <w:szCs w:val="17"/>
          <w:color w:val="auto"/>
        </w:rPr>
      </w:pPr>
      <w:r>
        <w:rPr>
          <w:rFonts w:ascii="Arial" w:cs="Arial" w:eastAsia="Arial" w:hAnsi="Arial"/>
          <w:sz w:val="17"/>
          <w:szCs w:val="17"/>
          <w:u w:val="single" w:color="auto"/>
          <w:color w:val="auto"/>
        </w:rPr>
        <w:t>Attorneys’ Fees</w:t>
      </w:r>
      <w:r>
        <w:rPr>
          <w:rFonts w:ascii="Arial" w:cs="Arial" w:eastAsia="Arial" w:hAnsi="Arial"/>
          <w:sz w:val="17"/>
          <w:szCs w:val="17"/>
          <w:color w:val="auto"/>
        </w:rPr>
        <w:t>. In any litigation, arbitration or court proceeding between the Company and the Warrantholder relating hereto, the prevailing party shall be entitled to reasonable attorneys’ fees and expenses and all costs of proceedings incurred in enforcing this Agreement. For the purposes of this Section 12(e), attorneys’ fees shall include without limitation reasonable fees incurred in connection with the following: (i) contempt proceedings; (ii) discovery; (iii) any motion, proceeding or other activity of any kind in connection with an insolvency proceeding; (iv) garnishment, levy, and debtor and third party examinations; and (v) post-judgment motions and proceedings of any kind, including without limitation any activity taken to collect or enforce any judgment.</w:t>
      </w:r>
    </w:p>
    <w:p>
      <w:pPr>
        <w:spacing w:after="0" w:line="65" w:lineRule="exact"/>
        <w:rPr>
          <w:rFonts w:ascii="Arial" w:cs="Arial" w:eastAsia="Arial" w:hAnsi="Arial"/>
          <w:sz w:val="17"/>
          <w:szCs w:val="17"/>
          <w:color w:val="auto"/>
        </w:rPr>
      </w:pPr>
    </w:p>
    <w:p>
      <w:pPr>
        <w:ind w:right="340" w:firstLine="562"/>
        <w:spacing w:after="0" w:line="256" w:lineRule="auto"/>
        <w:tabs>
          <w:tab w:leader="none" w:pos="849" w:val="left"/>
        </w:tabs>
        <w:numPr>
          <w:ilvl w:val="0"/>
          <w:numId w:val="133"/>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In the event any one or more of the provisions of this Agreement shall for any reason be held invalid, illegal or unenforceable, the remaining provisions of this Agreement shall be unimpaired, and the invalid, illegal or unenforceable provision shall be replaced by a mutually acceptable valid, legal and enforceable provision, which comes closest to the intention of the parties underlying the invalid, illegal or unenforceable provision.</w:t>
      </w:r>
    </w:p>
    <w:p>
      <w:pPr>
        <w:spacing w:after="0" w:line="62" w:lineRule="exact"/>
        <w:rPr>
          <w:rFonts w:ascii="Arial" w:cs="Arial" w:eastAsia="Arial" w:hAnsi="Arial"/>
          <w:sz w:val="17"/>
          <w:szCs w:val="17"/>
          <w:color w:val="auto"/>
        </w:rPr>
      </w:pPr>
    </w:p>
    <w:p>
      <w:pPr>
        <w:ind w:right="120" w:firstLine="562"/>
        <w:spacing w:after="0" w:line="284" w:lineRule="auto"/>
        <w:tabs>
          <w:tab w:leader="none" w:pos="849" w:val="left"/>
        </w:tabs>
        <w:numPr>
          <w:ilvl w:val="0"/>
          <w:numId w:val="133"/>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Except as otherwise provided herein, any notice, demand, request, consent, approval, declaration, service of process or other communication that is required, contemplated, or permitted under this Agreement or with respect to the subject matter hereof shall be in writing, and shall be deemed to have been validly served, given, delivered, and received upon the earlier of: (a) personal</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311785</wp:posOffset>
            </wp:positionV>
            <wp:extent cx="6311265" cy="2222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920"/>
          </w:cols>
          <w:pgMar w:left="980" w:top="124" w:right="999" w:bottom="1440" w:gutter="0" w:footer="0" w:header="0"/>
        </w:sectPr>
      </w:pPr>
    </w:p>
    <w:bookmarkStart w:id="218" w:name="page219"/>
    <w:bookmarkEnd w:id="218"/>
    <w:p>
      <w:pPr>
        <w:ind w:right="80"/>
        <w:spacing w:after="0" w:line="256" w:lineRule="auto"/>
        <w:rPr>
          <w:sz w:val="20"/>
          <w:szCs w:val="20"/>
          <w:color w:val="auto"/>
        </w:rPr>
      </w:pPr>
      <w:r>
        <w:rPr>
          <w:rFonts w:ascii="Arial" w:cs="Arial" w:eastAsia="Arial" w:hAnsi="Arial"/>
          <w:sz w:val="17"/>
          <w:szCs w:val="17"/>
          <w:color w:val="auto"/>
        </w:rPr>
        <w:t>delivery to the party to be notified, (b) when sent by confirmed telex, electronic transmission or facsimile if sent during normal business hours of the recipient, if not, then on the next business day, (c) five days after having been sent by registered or certified mail, return receipt requested, postage prepaid, or (d) one day after deposit with a nationally recognized overnight courier, specifying next day delivery, with written verification of receipt, and shall be addressed to the party to be notified as follows:</w:t>
      </w:r>
    </w:p>
    <w:p>
      <w:pPr>
        <w:spacing w:after="0" w:line="63"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If to the Warrantholder:</w:t>
      </w:r>
    </w:p>
    <w:p>
      <w:pPr>
        <w:spacing w:after="0" w:line="194"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HERCULES CAPITAL, INC.</w:t>
      </w:r>
    </w:p>
    <w:p>
      <w:pPr>
        <w:spacing w:after="0" w:line="19"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Legal Department</w:t>
      </w:r>
    </w:p>
    <w:p>
      <w:pPr>
        <w:spacing w:after="0" w:line="5"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Attention: Chief Legal Officer and Michael Dutra</w:t>
      </w:r>
    </w:p>
    <w:p>
      <w:pPr>
        <w:spacing w:after="0" w:line="5"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400 Hamilton Avenue, Suite 310</w:t>
      </w:r>
    </w:p>
    <w:p>
      <w:pPr>
        <w:spacing w:after="0" w:line="5"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Palo Alto, CA 94301</w:t>
      </w:r>
    </w:p>
    <w:p>
      <w:pPr>
        <w:spacing w:after="0" w:line="5"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Facsimile: 650-473-9194</w:t>
      </w:r>
    </w:p>
    <w:p>
      <w:pPr>
        <w:spacing w:after="0" w:line="5"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Telephone: 650-289-3060</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7"/>
          <w:szCs w:val="17"/>
          <w:u w:val="single" w:color="auto"/>
          <w:color w:val="auto"/>
        </w:rPr>
        <w:t>With a copy to (which shall not constitute notice)</w:t>
      </w:r>
      <w:r>
        <w:rPr>
          <w:rFonts w:ascii="Arial" w:cs="Arial" w:eastAsia="Arial" w:hAnsi="Arial"/>
          <w:sz w:val="17"/>
          <w:szCs w:val="17"/>
          <w:color w:val="auto"/>
        </w:rPr>
        <w:t>:</w:t>
      </w:r>
    </w:p>
    <w:p>
      <w:pPr>
        <w:spacing w:after="0" w:line="194"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LATHAM &amp; WATKINS LLP</w:t>
      </w:r>
    </w:p>
    <w:p>
      <w:pPr>
        <w:spacing w:after="0" w:line="19"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505 Montgomery Street, Suite 2000</w:t>
      </w:r>
    </w:p>
    <w:p>
      <w:pPr>
        <w:spacing w:after="0" w:line="5"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San Francisco, CA 94111</w:t>
      </w:r>
    </w:p>
    <w:p>
      <w:pPr>
        <w:spacing w:after="0" w:line="5"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Attn: Haim Zaltzman</w:t>
      </w:r>
    </w:p>
    <w:p>
      <w:pPr>
        <w:spacing w:after="0" w:line="5"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Facsimile: 415-395-8095</w:t>
      </w:r>
    </w:p>
    <w:p>
      <w:pPr>
        <w:spacing w:after="0" w:line="5"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Telephone: 415-395-8870</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If to the Company:</w:t>
      </w:r>
    </w:p>
    <w:p>
      <w:pPr>
        <w:spacing w:after="0" w:line="194"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AXSOME THERAPEUTICS, INC.</w:t>
      </w:r>
    </w:p>
    <w:p>
      <w:pPr>
        <w:spacing w:after="0" w:line="19"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Attention: Chief Financial Officer</w:t>
      </w:r>
    </w:p>
    <w:p>
      <w:pPr>
        <w:ind w:left="1700"/>
        <w:spacing w:after="0" w:line="186" w:lineRule="auto"/>
        <w:rPr>
          <w:sz w:val="20"/>
          <w:szCs w:val="20"/>
          <w:color w:val="auto"/>
        </w:rPr>
      </w:pPr>
      <w:r>
        <w:rPr>
          <w:rFonts w:ascii="Arial" w:cs="Arial" w:eastAsia="Arial" w:hAnsi="Arial"/>
          <w:sz w:val="16"/>
          <w:szCs w:val="16"/>
          <w:color w:val="auto"/>
        </w:rPr>
        <w:t>22 Cortlandt Street, 16</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Floor</w:t>
      </w:r>
    </w:p>
    <w:p>
      <w:pPr>
        <w:ind w:left="1700"/>
        <w:spacing w:after="0"/>
        <w:rPr>
          <w:sz w:val="20"/>
          <w:szCs w:val="20"/>
          <w:color w:val="auto"/>
        </w:rPr>
      </w:pPr>
      <w:r>
        <w:rPr>
          <w:rFonts w:ascii="Arial" w:cs="Arial" w:eastAsia="Arial" w:hAnsi="Arial"/>
          <w:sz w:val="17"/>
          <w:szCs w:val="17"/>
          <w:color w:val="auto"/>
        </w:rPr>
        <w:t>New York, New York</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7"/>
          <w:szCs w:val="17"/>
          <w:u w:val="single" w:color="auto"/>
          <w:color w:val="auto"/>
        </w:rPr>
        <w:t>With a copy to (which shall not constitute notice)</w:t>
      </w:r>
      <w:r>
        <w:rPr>
          <w:rFonts w:ascii="Arial" w:cs="Arial" w:eastAsia="Arial" w:hAnsi="Arial"/>
          <w:sz w:val="17"/>
          <w:szCs w:val="17"/>
          <w:color w:val="auto"/>
        </w:rPr>
        <w:t>:</w:t>
      </w:r>
    </w:p>
    <w:p>
      <w:pPr>
        <w:spacing w:after="0" w:line="194"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DLA PIPER LLP (US)</w:t>
      </w:r>
    </w:p>
    <w:p>
      <w:pPr>
        <w:spacing w:after="0" w:line="19"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51 John F. Kennedy Pkwy, Suite 120</w:t>
      </w:r>
    </w:p>
    <w:p>
      <w:pPr>
        <w:spacing w:after="0" w:line="5"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Short Hills, NJ 07078</w:t>
      </w:r>
    </w:p>
    <w:p>
      <w:pPr>
        <w:spacing w:after="0" w:line="5"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Attn: Emilio Ragosa, Esq.</w:t>
      </w:r>
    </w:p>
    <w:p>
      <w:pPr>
        <w:spacing w:after="0" w:line="5"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Facsimile: 973-215-2804</w:t>
      </w:r>
    </w:p>
    <w:p>
      <w:pPr>
        <w:spacing w:after="0" w:line="5"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Telephone: 973-307-3004</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or to such other address as each party may designate for itself by like notice.</w:t>
      </w:r>
    </w:p>
    <w:p>
      <w:pPr>
        <w:spacing w:after="0" w:line="194" w:lineRule="exact"/>
        <w:rPr>
          <w:sz w:val="20"/>
          <w:szCs w:val="20"/>
          <w:color w:val="auto"/>
        </w:rPr>
      </w:pPr>
    </w:p>
    <w:p>
      <w:pPr>
        <w:ind w:firstLine="562"/>
        <w:spacing w:after="0" w:line="300" w:lineRule="auto"/>
        <w:tabs>
          <w:tab w:leader="none" w:pos="849" w:val="left"/>
        </w:tabs>
        <w:numPr>
          <w:ilvl w:val="0"/>
          <w:numId w:val="134"/>
        </w:numPr>
        <w:rPr>
          <w:rFonts w:ascii="Arial" w:cs="Arial" w:eastAsia="Arial" w:hAnsi="Arial"/>
          <w:sz w:val="15"/>
          <w:szCs w:val="15"/>
          <w:color w:val="auto"/>
        </w:rPr>
      </w:pPr>
      <w:r>
        <w:rPr>
          <w:rFonts w:ascii="Arial" w:cs="Arial" w:eastAsia="Arial" w:hAnsi="Arial"/>
          <w:sz w:val="15"/>
          <w:szCs w:val="15"/>
          <w:u w:val="single" w:color="auto"/>
          <w:color w:val="auto"/>
        </w:rPr>
        <w:t>Entire Agreement; Amendments</w:t>
      </w:r>
      <w:r>
        <w:rPr>
          <w:rFonts w:ascii="Arial" w:cs="Arial" w:eastAsia="Arial" w:hAnsi="Arial"/>
          <w:sz w:val="15"/>
          <w:szCs w:val="15"/>
          <w:color w:val="auto"/>
        </w:rPr>
        <w:t>. This Agreement constitutes the entire agreement and understanding of the parties hereto in respect of the subject matter hereof, and supersedes and replaces in their entirety any prior proposals, term sheets, letters, negotiations or other documents or agreements, whether written or oral, with respect to the subject matter hereof (including the Warrantholder’s proposal letter dated September 2, 2020). None of the terms of this Agreement may be amended except by an instrument executed by each of the parties hereto.</w:t>
      </w:r>
    </w:p>
    <w:p>
      <w:pPr>
        <w:spacing w:after="0" w:line="33" w:lineRule="exact"/>
        <w:rPr>
          <w:rFonts w:ascii="Arial" w:cs="Arial" w:eastAsia="Arial" w:hAnsi="Arial"/>
          <w:sz w:val="15"/>
          <w:szCs w:val="15"/>
          <w:color w:val="auto"/>
        </w:rPr>
      </w:pPr>
    </w:p>
    <w:p>
      <w:pPr>
        <w:ind w:right="740" w:firstLine="562"/>
        <w:spacing w:after="0" w:line="276" w:lineRule="auto"/>
        <w:tabs>
          <w:tab w:leader="none" w:pos="849" w:val="left"/>
        </w:tabs>
        <w:numPr>
          <w:ilvl w:val="0"/>
          <w:numId w:val="134"/>
        </w:numPr>
        <w:rPr>
          <w:rFonts w:ascii="Arial" w:cs="Arial" w:eastAsia="Arial" w:hAnsi="Arial"/>
          <w:sz w:val="17"/>
          <w:szCs w:val="17"/>
          <w:color w:val="auto"/>
        </w:rPr>
      </w:pPr>
      <w:r>
        <w:rPr>
          <w:rFonts w:ascii="Arial" w:cs="Arial" w:eastAsia="Arial" w:hAnsi="Arial"/>
          <w:sz w:val="17"/>
          <w:szCs w:val="17"/>
          <w:u w:val="single" w:color="auto"/>
          <w:color w:val="auto"/>
        </w:rPr>
        <w:t>Headings</w:t>
      </w:r>
      <w:r>
        <w:rPr>
          <w:rFonts w:ascii="Arial" w:cs="Arial" w:eastAsia="Arial" w:hAnsi="Arial"/>
          <w:sz w:val="17"/>
          <w:szCs w:val="17"/>
          <w:color w:val="auto"/>
        </w:rPr>
        <w:t>. The various headings in this Agreement are inserted for convenience only and shall not affect the meaning or interpretation of this Agreement or any provisions hereof.</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311785</wp:posOffset>
            </wp:positionV>
            <wp:extent cx="6311265" cy="2222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920"/>
          </w:cols>
          <w:pgMar w:left="980" w:top="124" w:right="999" w:bottom="1440" w:gutter="0" w:footer="0" w:header="0"/>
        </w:sectPr>
      </w:pPr>
    </w:p>
    <w:bookmarkStart w:id="219" w:name="page220"/>
    <w:bookmarkEnd w:id="219"/>
    <w:p>
      <w:pPr>
        <w:ind w:right="20" w:firstLine="562"/>
        <w:spacing w:after="0" w:line="276" w:lineRule="auto"/>
        <w:tabs>
          <w:tab w:leader="none" w:pos="849" w:val="left"/>
        </w:tabs>
        <w:numPr>
          <w:ilvl w:val="0"/>
          <w:numId w:val="135"/>
        </w:numPr>
        <w:rPr>
          <w:rFonts w:ascii="Arial" w:cs="Arial" w:eastAsia="Arial" w:hAnsi="Arial"/>
          <w:sz w:val="17"/>
          <w:szCs w:val="17"/>
          <w:color w:val="auto"/>
        </w:rPr>
      </w:pPr>
      <w:r>
        <w:rPr>
          <w:rFonts w:ascii="Arial" w:cs="Arial" w:eastAsia="Arial" w:hAnsi="Arial"/>
          <w:sz w:val="17"/>
          <w:szCs w:val="17"/>
          <w:u w:val="single" w:color="auto"/>
          <w:color w:val="auto"/>
        </w:rPr>
        <w:t>Advice of Counsel</w:t>
      </w:r>
      <w:r>
        <w:rPr>
          <w:rFonts w:ascii="Arial" w:cs="Arial" w:eastAsia="Arial" w:hAnsi="Arial"/>
          <w:sz w:val="17"/>
          <w:szCs w:val="17"/>
          <w:color w:val="auto"/>
        </w:rPr>
        <w:t>. Each of the parties represents to each other party hereto that it has discussed (or had an opportunity to discuss) with its counsel this Agreement and, specifically, the provisions of Sections 12(n), 12(o), 12(p), 12(q) and 12(r).</w:t>
      </w:r>
    </w:p>
    <w:p>
      <w:pPr>
        <w:spacing w:after="0" w:line="45" w:lineRule="exact"/>
        <w:rPr>
          <w:rFonts w:ascii="Arial" w:cs="Arial" w:eastAsia="Arial" w:hAnsi="Arial"/>
          <w:sz w:val="17"/>
          <w:szCs w:val="17"/>
          <w:color w:val="auto"/>
        </w:rPr>
      </w:pPr>
    </w:p>
    <w:p>
      <w:pPr>
        <w:ind w:right="40" w:firstLine="562"/>
        <w:spacing w:after="0" w:line="311" w:lineRule="auto"/>
        <w:tabs>
          <w:tab w:leader="none" w:pos="849" w:val="left"/>
        </w:tabs>
        <w:numPr>
          <w:ilvl w:val="0"/>
          <w:numId w:val="135"/>
        </w:numPr>
        <w:rPr>
          <w:rFonts w:ascii="Arial" w:cs="Arial" w:eastAsia="Arial" w:hAnsi="Arial"/>
          <w:sz w:val="15"/>
          <w:szCs w:val="15"/>
          <w:color w:val="auto"/>
        </w:rPr>
      </w:pPr>
      <w:r>
        <w:rPr>
          <w:rFonts w:ascii="Arial" w:cs="Arial" w:eastAsia="Arial" w:hAnsi="Arial"/>
          <w:sz w:val="15"/>
          <w:szCs w:val="15"/>
          <w:u w:val="single" w:color="auto"/>
          <w:color w:val="auto"/>
        </w:rPr>
        <w:t>No Strict Construction</w:t>
      </w:r>
      <w:r>
        <w:rPr>
          <w:rFonts w:ascii="Arial" w:cs="Arial" w:eastAsia="Arial" w:hAnsi="Arial"/>
          <w:sz w:val="15"/>
          <w:szCs w:val="15"/>
          <w:color w:val="auto"/>
        </w:rPr>
        <w:t>. 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provisions of this Agreement.</w:t>
      </w:r>
    </w:p>
    <w:p>
      <w:pPr>
        <w:spacing w:after="0" w:line="25" w:lineRule="exact"/>
        <w:rPr>
          <w:rFonts w:ascii="Arial" w:cs="Arial" w:eastAsia="Arial" w:hAnsi="Arial"/>
          <w:sz w:val="15"/>
          <w:szCs w:val="15"/>
          <w:color w:val="auto"/>
        </w:rPr>
      </w:pPr>
    </w:p>
    <w:p>
      <w:pPr>
        <w:ind w:firstLine="562"/>
        <w:spacing w:after="0" w:line="256" w:lineRule="auto"/>
        <w:tabs>
          <w:tab w:leader="none" w:pos="849" w:val="left"/>
        </w:tabs>
        <w:numPr>
          <w:ilvl w:val="0"/>
          <w:numId w:val="135"/>
        </w:numPr>
        <w:rPr>
          <w:rFonts w:ascii="Arial" w:cs="Arial" w:eastAsia="Arial" w:hAnsi="Arial"/>
          <w:sz w:val="17"/>
          <w:szCs w:val="17"/>
          <w:color w:val="auto"/>
        </w:rPr>
      </w:pPr>
      <w:r>
        <w:rPr>
          <w:rFonts w:ascii="Arial" w:cs="Arial" w:eastAsia="Arial" w:hAnsi="Arial"/>
          <w:sz w:val="17"/>
          <w:szCs w:val="17"/>
          <w:u w:val="single" w:color="auto"/>
          <w:color w:val="auto"/>
        </w:rPr>
        <w:t>No Waiver</w:t>
      </w:r>
      <w:r>
        <w:rPr>
          <w:rFonts w:ascii="Arial" w:cs="Arial" w:eastAsia="Arial" w:hAnsi="Arial"/>
          <w:sz w:val="17"/>
          <w:szCs w:val="17"/>
          <w:color w:val="auto"/>
        </w:rPr>
        <w:t>. No omission or delay by Warrantholder at any time to enforce any right or remedy reserved to it, or to require performance of any of the terms, covenants or provisions hereof by Warrantholder at any time designated, shall be a waiver of any such right or remedy to which Warrantholder is entitled, nor shall it in any way affect the right of Warrantholder to enforce such provisions thereafter during the term of this Agreement.</w:t>
      </w:r>
    </w:p>
    <w:p>
      <w:pPr>
        <w:spacing w:after="0" w:line="62" w:lineRule="exact"/>
        <w:rPr>
          <w:rFonts w:ascii="Arial" w:cs="Arial" w:eastAsia="Arial" w:hAnsi="Arial"/>
          <w:sz w:val="17"/>
          <w:szCs w:val="17"/>
          <w:color w:val="auto"/>
        </w:rPr>
      </w:pPr>
    </w:p>
    <w:p>
      <w:pPr>
        <w:jc w:val="both"/>
        <w:ind w:right="420" w:firstLine="562"/>
        <w:spacing w:after="0" w:line="261" w:lineRule="auto"/>
        <w:tabs>
          <w:tab w:leader="none" w:pos="849" w:val="left"/>
        </w:tabs>
        <w:numPr>
          <w:ilvl w:val="0"/>
          <w:numId w:val="135"/>
        </w:numPr>
        <w:rPr>
          <w:rFonts w:ascii="Arial" w:cs="Arial" w:eastAsia="Arial" w:hAnsi="Arial"/>
          <w:sz w:val="17"/>
          <w:szCs w:val="17"/>
          <w:color w:val="auto"/>
        </w:rPr>
      </w:pPr>
      <w:r>
        <w:rPr>
          <w:rFonts w:ascii="Arial" w:cs="Arial" w:eastAsia="Arial" w:hAnsi="Arial"/>
          <w:sz w:val="17"/>
          <w:szCs w:val="17"/>
          <w:u w:val="single" w:color="auto"/>
          <w:color w:val="auto"/>
        </w:rPr>
        <w:t>Survival</w:t>
      </w:r>
      <w:r>
        <w:rPr>
          <w:rFonts w:ascii="Arial" w:cs="Arial" w:eastAsia="Arial" w:hAnsi="Arial"/>
          <w:sz w:val="17"/>
          <w:szCs w:val="17"/>
          <w:color w:val="auto"/>
        </w:rPr>
        <w:t>. All agreements, representations and warranties contained in this Agreement or in any document delivered pursuant hereto shall be for the benefit of Warrantholder and shall survive the execution and delivery of this Agreement and the expiration or other termination of this Agreement.</w:t>
      </w:r>
    </w:p>
    <w:p>
      <w:pPr>
        <w:spacing w:after="0" w:line="57" w:lineRule="exact"/>
        <w:rPr>
          <w:rFonts w:ascii="Arial" w:cs="Arial" w:eastAsia="Arial" w:hAnsi="Arial"/>
          <w:sz w:val="17"/>
          <w:szCs w:val="17"/>
          <w:color w:val="auto"/>
        </w:rPr>
      </w:pPr>
    </w:p>
    <w:p>
      <w:pPr>
        <w:ind w:right="120" w:firstLine="562"/>
        <w:spacing w:after="0" w:line="300" w:lineRule="auto"/>
        <w:tabs>
          <w:tab w:leader="none" w:pos="849" w:val="left"/>
        </w:tabs>
        <w:numPr>
          <w:ilvl w:val="0"/>
          <w:numId w:val="135"/>
        </w:numPr>
        <w:rPr>
          <w:rFonts w:ascii="Arial" w:cs="Arial" w:eastAsia="Arial" w:hAnsi="Arial"/>
          <w:sz w:val="15"/>
          <w:szCs w:val="15"/>
          <w:color w:val="auto"/>
        </w:rPr>
      </w:pPr>
      <w:r>
        <w:rPr>
          <w:rFonts w:ascii="Arial" w:cs="Arial" w:eastAsia="Arial" w:hAnsi="Arial"/>
          <w:sz w:val="15"/>
          <w:szCs w:val="15"/>
          <w:u w:val="single" w:color="auto"/>
          <w:color w:val="auto"/>
        </w:rPr>
        <w:t>Governing Law</w:t>
      </w:r>
      <w:r>
        <w:rPr>
          <w:rFonts w:ascii="Arial" w:cs="Arial" w:eastAsia="Arial" w:hAnsi="Arial"/>
          <w:sz w:val="15"/>
          <w:szCs w:val="15"/>
          <w:color w:val="auto"/>
        </w:rPr>
        <w:t>. This Agreement has been negotiated and delivered to Warrantholder in the State of California, and shall be deemed to have been accepted by Warrantholder in the State of California. Delivery of Common Stock to Warrantholder by the Company under this Agreement is due in the State of California. This Agreement shall be governed by, and construed and enforced in accordance with, the laws of the State of California, excluding conflict of laws principles that would cause the application of laws of any other jurisdiction.</w:t>
      </w:r>
    </w:p>
    <w:p>
      <w:pPr>
        <w:spacing w:after="0" w:line="33" w:lineRule="exact"/>
        <w:rPr>
          <w:rFonts w:ascii="Arial" w:cs="Arial" w:eastAsia="Arial" w:hAnsi="Arial"/>
          <w:sz w:val="15"/>
          <w:szCs w:val="15"/>
          <w:color w:val="auto"/>
        </w:rPr>
      </w:pPr>
    </w:p>
    <w:p>
      <w:pPr>
        <w:ind w:right="20" w:firstLine="562"/>
        <w:spacing w:after="0" w:line="249" w:lineRule="auto"/>
        <w:tabs>
          <w:tab w:leader="none" w:pos="849" w:val="left"/>
        </w:tabs>
        <w:numPr>
          <w:ilvl w:val="0"/>
          <w:numId w:val="135"/>
        </w:numPr>
        <w:rPr>
          <w:rFonts w:ascii="Arial" w:cs="Arial" w:eastAsia="Arial" w:hAnsi="Arial"/>
          <w:sz w:val="17"/>
          <w:szCs w:val="17"/>
          <w:color w:val="auto"/>
        </w:rPr>
      </w:pPr>
      <w:r>
        <w:rPr>
          <w:rFonts w:ascii="Arial" w:cs="Arial" w:eastAsia="Arial" w:hAnsi="Arial"/>
          <w:sz w:val="17"/>
          <w:szCs w:val="17"/>
          <w:u w:val="single" w:color="auto"/>
          <w:color w:val="auto"/>
        </w:rPr>
        <w:t>Consent to Jurisdiction and Venue</w:t>
      </w:r>
      <w:r>
        <w:rPr>
          <w:rFonts w:ascii="Arial" w:cs="Arial" w:eastAsia="Arial" w:hAnsi="Arial"/>
          <w:sz w:val="17"/>
          <w:szCs w:val="17"/>
          <w:color w:val="auto"/>
        </w:rPr>
        <w:t>. All judicial proceedings arising in or under or related to this Agreement may be brought in any state or federal court of competent jurisdiction located in the State of California. By execution and delivery of this Agreement, each party hereto generally and unconditionally: (i) consents to personal jurisdiction in Santa Clara County, State of California; (ii) waives any objection as to jurisdiction or venue in Santa Clara County, State of California; (iii) agrees not to assert any defense based on lack of jurisdiction or venue in the aforesaid courts; and (iv) irrevocably agrees to be bound by any judgment rendered thereby in connection with this Agreement. Service of process on any party hereto in any action arising out of or relating to this Agreement shall be effective if given in accordance with the requirements for notice set forth in Section 12(g), and shall be deemed effective and received as set forth in Section 12(g). Nothing herein shall affect the right to serve process in any other manner permitted by law or shall limit the right of either party to bring proceedings in the courts of any other jurisdiction.</w:t>
      </w:r>
    </w:p>
    <w:p>
      <w:pPr>
        <w:spacing w:after="0" w:line="72" w:lineRule="exact"/>
        <w:rPr>
          <w:rFonts w:ascii="Arial" w:cs="Arial" w:eastAsia="Arial" w:hAnsi="Arial"/>
          <w:sz w:val="17"/>
          <w:szCs w:val="17"/>
          <w:color w:val="auto"/>
        </w:rPr>
      </w:pPr>
    </w:p>
    <w:p>
      <w:pPr>
        <w:ind w:right="100" w:firstLine="562"/>
        <w:spacing w:after="0" w:line="266" w:lineRule="auto"/>
        <w:tabs>
          <w:tab w:leader="none" w:pos="849" w:val="left"/>
        </w:tabs>
        <w:numPr>
          <w:ilvl w:val="0"/>
          <w:numId w:val="135"/>
        </w:numPr>
        <w:rPr>
          <w:rFonts w:ascii="Arial" w:cs="Arial" w:eastAsia="Arial" w:hAnsi="Arial"/>
          <w:sz w:val="16"/>
          <w:szCs w:val="16"/>
          <w:color w:val="auto"/>
        </w:rPr>
      </w:pPr>
      <w:r>
        <w:rPr>
          <w:rFonts w:ascii="Arial" w:cs="Arial" w:eastAsia="Arial" w:hAnsi="Arial"/>
          <w:sz w:val="16"/>
          <w:szCs w:val="16"/>
          <w:u w:val="single" w:color="auto"/>
          <w:color w:val="auto"/>
        </w:rPr>
        <w:t>Mutual Waiver of Jury Trial</w:t>
      </w:r>
      <w:r>
        <w:rPr>
          <w:rFonts w:ascii="Arial" w:cs="Arial" w:eastAsia="Arial" w:hAnsi="Arial"/>
          <w:sz w:val="16"/>
          <w:szCs w:val="16"/>
          <w:color w:val="auto"/>
        </w:rPr>
        <w:t>. Because disputes arising in connection with complex financial transactions are most quickly and economically resolved by an experienced and expert person and the parties wish applicable state and federal laws to apply (rather than arbitration rules), the parties desire that their disputes arising under or in connection with this Warrant be resolved by a judge applying such applicable laws. EACH OF THE COMPANY AND WARRANTHOLDER SPECIFICALLY WAIVES ANY RIGHT IT MAY HAVE TO TRIAL BY JURY OF ANY CAUSE OF ACTION, CLAIM, CROSS-CLAIM, COUNTERCLAIM, THIRD PARTY CLAIM OR ANY OTHER CLAIM (COLLECTIVELY, “CLAIMS”) ASSERTED BY THE COMPANY AGAINST WARRANTHOLDER OR ITS ASSIGNEE OR BY WARRANTHOLDER OR ITS ASSIGNEE AGAINST THE COMPANY RELATING TO THIS WARRANT. This waiver extends to all such Claims, including Claims that involve persons or entities other the Company and Warrantholder; Claims that arise out of or are in any way connected to the relationship between the Company and Warrantholder; and any Claims for damages, breach of contract, specific performance, or any equitable or legal relief of any kind, arising out of this Agreement.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311785</wp:posOffset>
            </wp:positionV>
            <wp:extent cx="6311265" cy="2222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920"/>
          </w:cols>
          <w:pgMar w:left="980" w:top="325" w:right="999" w:bottom="1440" w:gutter="0" w:footer="0" w:header="0"/>
        </w:sectPr>
      </w:pPr>
    </w:p>
    <w:bookmarkStart w:id="220" w:name="page221"/>
    <w:bookmarkEnd w:id="220"/>
    <w:p>
      <w:pPr>
        <w:ind w:left="-60" w:right="60" w:firstLine="562"/>
        <w:spacing w:after="0" w:line="277" w:lineRule="auto"/>
        <w:tabs>
          <w:tab w:leader="none" w:pos="789" w:val="left"/>
        </w:tabs>
        <w:numPr>
          <w:ilvl w:val="0"/>
          <w:numId w:val="136"/>
        </w:numPr>
        <w:rPr>
          <w:rFonts w:ascii="Arial" w:cs="Arial" w:eastAsia="Arial" w:hAnsi="Arial"/>
          <w:sz w:val="17"/>
          <w:szCs w:val="17"/>
          <w:color w:val="auto"/>
        </w:rPr>
      </w:pPr>
      <w:r>
        <w:rPr>
          <w:rFonts w:ascii="Arial" w:cs="Arial" w:eastAsia="Arial" w:hAnsi="Arial"/>
          <w:sz w:val="17"/>
          <w:szCs w:val="17"/>
          <w:u w:val="single" w:color="auto"/>
          <w:color w:val="auto"/>
        </w:rPr>
        <w:t>Judicial Reference</w:t>
      </w:r>
      <w:r>
        <w:rPr>
          <w:rFonts w:ascii="Arial" w:cs="Arial" w:eastAsia="Arial" w:hAnsi="Arial"/>
          <w:sz w:val="17"/>
          <w:szCs w:val="17"/>
          <w:color w:val="auto"/>
        </w:rPr>
        <w:t>. If the waiver of jury trial set forth above is ineffective or unenforceable, the parties agree that all Claims shall be resolved by reference to a private judge sitting without a jury before a mutually acceptable referee.</w:t>
      </w:r>
    </w:p>
    <w:p>
      <w:pPr>
        <w:spacing w:after="0" w:line="45" w:lineRule="exact"/>
        <w:rPr>
          <w:rFonts w:ascii="Arial" w:cs="Arial" w:eastAsia="Arial" w:hAnsi="Arial"/>
          <w:sz w:val="17"/>
          <w:szCs w:val="17"/>
          <w:color w:val="auto"/>
        </w:rPr>
      </w:pPr>
    </w:p>
    <w:p>
      <w:pPr>
        <w:ind w:left="-60" w:right="420" w:firstLine="562"/>
        <w:spacing w:after="0" w:line="311" w:lineRule="auto"/>
        <w:tabs>
          <w:tab w:leader="none" w:pos="789" w:val="left"/>
        </w:tabs>
        <w:numPr>
          <w:ilvl w:val="0"/>
          <w:numId w:val="136"/>
        </w:numPr>
        <w:rPr>
          <w:rFonts w:ascii="Arial" w:cs="Arial" w:eastAsia="Arial" w:hAnsi="Arial"/>
          <w:sz w:val="15"/>
          <w:szCs w:val="15"/>
          <w:color w:val="auto"/>
        </w:rPr>
      </w:pPr>
      <w:r>
        <w:rPr>
          <w:rFonts w:ascii="Arial" w:cs="Arial" w:eastAsia="Arial" w:hAnsi="Arial"/>
          <w:sz w:val="15"/>
          <w:szCs w:val="15"/>
          <w:u w:val="single" w:color="auto"/>
          <w:color w:val="auto"/>
        </w:rPr>
        <w:t>Pre-arbitration Relief</w:t>
      </w:r>
      <w:r>
        <w:rPr>
          <w:rFonts w:ascii="Arial" w:cs="Arial" w:eastAsia="Arial" w:hAnsi="Arial"/>
          <w:sz w:val="15"/>
          <w:szCs w:val="15"/>
          <w:color w:val="auto"/>
        </w:rPr>
        <w:t>. In the event Claims are to be resolved by arbitration, either party may seek from a court of competent jurisdiction identified in Section 12(o), any prejudgment order, writ or other relief and have such prejudgment order, writ or other relief enforced to the fullest extent permitted by law notwithstanding that all Claims are otherwise subject to resolution by judicial reference.</w:t>
      </w:r>
    </w:p>
    <w:p>
      <w:pPr>
        <w:spacing w:after="0" w:line="25" w:lineRule="exact"/>
        <w:rPr>
          <w:rFonts w:ascii="Arial" w:cs="Arial" w:eastAsia="Arial" w:hAnsi="Arial"/>
          <w:sz w:val="15"/>
          <w:szCs w:val="15"/>
          <w:color w:val="auto"/>
        </w:rPr>
      </w:pPr>
    </w:p>
    <w:p>
      <w:pPr>
        <w:jc w:val="both"/>
        <w:ind w:left="-60" w:right="60" w:firstLine="562"/>
        <w:spacing w:after="0" w:line="284" w:lineRule="auto"/>
        <w:tabs>
          <w:tab w:leader="none" w:pos="789" w:val="left"/>
        </w:tabs>
        <w:numPr>
          <w:ilvl w:val="0"/>
          <w:numId w:val="136"/>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and any amendments, waivers, consents or supplements hereto may be executed in any number of counterparts (including by facsimile or electronic delivery (PDF), and by different parties hereto in separate counterparts, each of which when so delivered shall be deemed an original, but all of which counterparts shall constitute but one and the same instrument.</w:t>
      </w:r>
    </w:p>
    <w:p>
      <w:pPr>
        <w:spacing w:after="0" w:line="42" w:lineRule="exact"/>
        <w:rPr>
          <w:rFonts w:ascii="Arial" w:cs="Arial" w:eastAsia="Arial" w:hAnsi="Arial"/>
          <w:sz w:val="16"/>
          <w:szCs w:val="16"/>
          <w:color w:val="auto"/>
        </w:rPr>
      </w:pPr>
    </w:p>
    <w:p>
      <w:pPr>
        <w:ind w:left="-60" w:right="60" w:firstLine="562"/>
        <w:spacing w:after="0" w:line="252" w:lineRule="auto"/>
        <w:tabs>
          <w:tab w:leader="none" w:pos="789" w:val="left"/>
        </w:tabs>
        <w:numPr>
          <w:ilvl w:val="0"/>
          <w:numId w:val="136"/>
        </w:numPr>
        <w:rPr>
          <w:rFonts w:ascii="Arial" w:cs="Arial" w:eastAsia="Arial" w:hAnsi="Arial"/>
          <w:sz w:val="17"/>
          <w:szCs w:val="17"/>
          <w:color w:val="auto"/>
        </w:rPr>
      </w:pPr>
      <w:r>
        <w:rPr>
          <w:rFonts w:ascii="Arial" w:cs="Arial" w:eastAsia="Arial" w:hAnsi="Arial"/>
          <w:sz w:val="17"/>
          <w:szCs w:val="17"/>
          <w:u w:val="single" w:color="auto"/>
          <w:color w:val="auto"/>
        </w:rPr>
        <w:t>Specific Performance</w:t>
      </w:r>
      <w:r>
        <w:rPr>
          <w:rFonts w:ascii="Arial" w:cs="Arial" w:eastAsia="Arial" w:hAnsi="Arial"/>
          <w:sz w:val="17"/>
          <w:szCs w:val="17"/>
          <w:color w:val="auto"/>
        </w:rPr>
        <w:t>. The parties hereto hereby declare that it is impossible to measure in money the damages which will accrue to Warrantholder by reason of the Company’s failure to perform any of the obligations under this Agreement and agree that the terms of this Agreement shall be specifically enforceable by Warrantholder. If Warrantholder institutes any action or proceeding to specifically enforce the provisions hereof, any person against whom such action or proceeding is brought hereby waives the claim or defense therein that Warrantholder has an adequate remedy at law, and such person shall not offer in any such action or proceeding the claim or defense that such remedy at law exists.</w:t>
      </w:r>
    </w:p>
    <w:p>
      <w:pPr>
        <w:spacing w:after="0" w:line="65" w:lineRule="exact"/>
        <w:rPr>
          <w:rFonts w:ascii="Arial" w:cs="Arial" w:eastAsia="Arial" w:hAnsi="Arial"/>
          <w:sz w:val="17"/>
          <w:szCs w:val="17"/>
          <w:color w:val="auto"/>
        </w:rPr>
      </w:pPr>
    </w:p>
    <w:p>
      <w:pPr>
        <w:ind w:left="-60" w:firstLine="562"/>
        <w:spacing w:after="0" w:line="253" w:lineRule="auto"/>
        <w:tabs>
          <w:tab w:leader="none" w:pos="789" w:val="left"/>
        </w:tabs>
        <w:numPr>
          <w:ilvl w:val="0"/>
          <w:numId w:val="136"/>
        </w:numPr>
        <w:rPr>
          <w:rFonts w:ascii="Arial" w:cs="Arial" w:eastAsia="Arial" w:hAnsi="Arial"/>
          <w:sz w:val="17"/>
          <w:szCs w:val="17"/>
          <w:color w:val="auto"/>
        </w:rPr>
      </w:pPr>
      <w:r>
        <w:rPr>
          <w:rFonts w:ascii="Arial" w:cs="Arial" w:eastAsia="Arial" w:hAnsi="Arial"/>
          <w:sz w:val="17"/>
          <w:szCs w:val="17"/>
          <w:u w:val="single" w:color="auto"/>
          <w:color w:val="auto"/>
        </w:rPr>
        <w:t>Lost, Stolen, Mutilated or Destroyed Warrant</w:t>
      </w:r>
      <w:r>
        <w:rPr>
          <w:rFonts w:ascii="Arial" w:cs="Arial" w:eastAsia="Arial" w:hAnsi="Arial"/>
          <w:sz w:val="17"/>
          <w:szCs w:val="17"/>
          <w:color w:val="auto"/>
        </w:rPr>
        <w:t>. If this Warrant is lost, stolen, mutilated or destroyed, the Company may, on such terms as to indemnity or otherwise as it may reasonably impose (which shall, in the case of a mutilated Warrant, include the surrender thereof), issue a new Warrant of like denomination and tenor as this Warrant so lost, stolen, mutilated or destroyed. Any such new Warrant shall constitute an original contractual obligation of the Company, whether or not the allegedly lost, stolen, mutilated or destroyed Warrant shall be at any time enforceable by anyone.</w:t>
      </w:r>
    </w:p>
    <w:p>
      <w:pPr>
        <w:spacing w:after="0" w:line="66" w:lineRule="exact"/>
        <w:rPr>
          <w:rFonts w:ascii="Arial" w:cs="Arial" w:eastAsia="Arial" w:hAnsi="Arial"/>
          <w:sz w:val="17"/>
          <w:szCs w:val="17"/>
          <w:color w:val="auto"/>
        </w:rPr>
      </w:pPr>
    </w:p>
    <w:p>
      <w:pPr>
        <w:ind w:left="-60" w:right="280" w:firstLine="562"/>
        <w:spacing w:after="0" w:line="261" w:lineRule="auto"/>
        <w:tabs>
          <w:tab w:leader="none" w:pos="789" w:val="left"/>
        </w:tabs>
        <w:numPr>
          <w:ilvl w:val="0"/>
          <w:numId w:val="136"/>
        </w:numPr>
        <w:rPr>
          <w:rFonts w:ascii="Arial" w:cs="Arial" w:eastAsia="Arial" w:hAnsi="Arial"/>
          <w:sz w:val="17"/>
          <w:szCs w:val="17"/>
          <w:color w:val="auto"/>
        </w:rPr>
      </w:pPr>
      <w:r>
        <w:rPr>
          <w:rFonts w:ascii="Arial" w:cs="Arial" w:eastAsia="Arial" w:hAnsi="Arial"/>
          <w:sz w:val="17"/>
          <w:szCs w:val="17"/>
          <w:u w:val="single" w:color="auto"/>
          <w:color w:val="auto"/>
        </w:rPr>
        <w:t>Legends</w:t>
      </w:r>
      <w:r>
        <w:rPr>
          <w:rFonts w:ascii="Arial" w:cs="Arial" w:eastAsia="Arial" w:hAnsi="Arial"/>
          <w:sz w:val="17"/>
          <w:szCs w:val="17"/>
          <w:color w:val="auto"/>
        </w:rPr>
        <w:t>. To the extent required by applicable laws, this Warrant and the shares of Common Stock issuable hereunder (and the securities issuable, directly or indirectly, upon conversion of such shares of Common Stock, if any) may be imprinted with a restricted securities legend in substantially the following form:</w:t>
      </w:r>
    </w:p>
    <w:p>
      <w:pPr>
        <w:spacing w:after="0" w:line="164" w:lineRule="exact"/>
        <w:rPr>
          <w:sz w:val="20"/>
          <w:szCs w:val="20"/>
          <w:color w:val="auto"/>
        </w:rPr>
      </w:pPr>
    </w:p>
    <w:p>
      <w:pPr>
        <w:ind w:left="500"/>
        <w:spacing w:after="0" w:line="253" w:lineRule="auto"/>
        <w:rPr>
          <w:sz w:val="20"/>
          <w:szCs w:val="20"/>
          <w:color w:val="auto"/>
        </w:rPr>
      </w:pPr>
      <w:r>
        <w:rPr>
          <w:rFonts w:ascii="Arial" w:cs="Arial" w:eastAsia="Arial" w:hAnsi="Arial"/>
          <w:sz w:val="17"/>
          <w:szCs w:val="17"/>
          <w:color w:val="auto"/>
        </w:rPr>
        <w:t>THIS SECURITY HAS NOT BEEN REGISTERED UNDER THE SECURITIES ACT OF 1933, AS AMENDED (THE “ACT”), OR ANY APPLICABLE STATE SECURITIES LAWS, AND MAY NOT BE SOLD, PLEDGED OR OTHERWISE TRANSFERRED WITHOUT AN EFFECTIVE REGISTRATION THEREOF UNDER THE ACT AND ANY APPLICABLE STATE SECURITIES LAWS, OR PURSUANT TO RULE 144 OR AN EXEMPTION FROM THE REGISTRATION REQUIREMENTS OF THE ACT AND ANY APPLICABLE STATE SECURITIES LAWS.</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[Remainder of Page Intentionally Left Blank]</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311785</wp:posOffset>
            </wp:positionV>
            <wp:extent cx="6311265" cy="2222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820"/>
          </w:cols>
          <w:pgMar w:left="1040" w:top="124" w:right="1039" w:bottom="1440" w:gutter="0" w:footer="0" w:header="0"/>
        </w:sectPr>
      </w:pPr>
    </w:p>
    <w:bookmarkStart w:id="221" w:name="page222"/>
    <w:bookmarkEnd w:id="221"/>
    <w:p>
      <w:pPr>
        <w:ind w:right="600" w:firstLine="566"/>
        <w:spacing w:after="0" w:line="277" w:lineRule="auto"/>
        <w:rPr>
          <w:sz w:val="20"/>
          <w:szCs w:val="20"/>
          <w:color w:val="auto"/>
        </w:rPr>
      </w:pPr>
      <w:r>
        <w:rPr>
          <w:rFonts w:ascii="Arial" w:cs="Arial" w:eastAsia="Arial" w:hAnsi="Arial"/>
          <w:sz w:val="17"/>
          <w:szCs w:val="17"/>
          <w:color w:val="auto"/>
        </w:rPr>
        <w:t>IN WITNESS WHEREOF, the parties hereto have caused this Warrant Agreement to be executed by its officers thereunto duly authorized as of the Effective Date.</w:t>
      </w:r>
    </w:p>
    <w:p>
      <w:pPr>
        <w:spacing w:after="0" w:line="163"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COMPANY:</w:t>
      </w:r>
    </w:p>
    <w:p>
      <w:pPr>
        <w:spacing w:after="0" w:line="205"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AXSOME THERAPEUTICS, INC.</w:t>
      </w:r>
    </w:p>
    <w:p>
      <w:pPr>
        <w:spacing w:after="0" w:line="200" w:lineRule="exact"/>
        <w:rPr>
          <w:sz w:val="20"/>
          <w:szCs w:val="20"/>
          <w:color w:val="auto"/>
        </w:rPr>
      </w:pPr>
    </w:p>
    <w:p>
      <w:pPr>
        <w:spacing w:after="0" w:line="206" w:lineRule="exact"/>
        <w:rPr>
          <w:sz w:val="20"/>
          <w:szCs w:val="20"/>
          <w:color w:val="auto"/>
        </w:rPr>
      </w:pPr>
    </w:p>
    <w:tbl>
      <w:tblPr>
        <w:tblLayout w:type="fixed"/>
        <w:tblInd w:w="4980" w:type="dxa"/>
        <w:tblCellMar>
          <w:top w:w="0" w:type="dxa"/>
          <w:left w:w="0" w:type="dxa"/>
          <w:bottom w:w="0" w:type="dxa"/>
          <w:right w:w="0" w:type="dxa"/>
        </w:tblCellMar>
      </w:tblPr>
      <w:tr>
        <w:trPr>
          <w:trHeight w:val="215"/>
        </w:trPr>
        <w:tc>
          <w:tcPr>
            <w:tcW w:w="620" w:type="dxa"/>
            <w:vAlign w:val="bottom"/>
          </w:tcPr>
          <w:p>
            <w:pPr>
              <w:spacing w:after="0"/>
              <w:rPr>
                <w:sz w:val="20"/>
                <w:szCs w:val="20"/>
                <w:color w:val="auto"/>
              </w:rPr>
            </w:pPr>
            <w:r>
              <w:rPr>
                <w:rFonts w:ascii="Arial" w:cs="Arial" w:eastAsia="Arial" w:hAnsi="Arial"/>
                <w:sz w:val="17"/>
                <w:szCs w:val="17"/>
                <w:color w:val="auto"/>
              </w:rPr>
              <w:t>By:</w:t>
            </w:r>
          </w:p>
        </w:tc>
        <w:tc>
          <w:tcPr>
            <w:tcW w:w="43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Herriot Tabuteau, M.D.</w:t>
            </w:r>
          </w:p>
        </w:tc>
      </w:tr>
      <w:tr>
        <w:trPr>
          <w:trHeight w:val="177"/>
        </w:trPr>
        <w:tc>
          <w:tcPr>
            <w:tcW w:w="620" w:type="dxa"/>
            <w:vAlign w:val="bottom"/>
          </w:tcPr>
          <w:p>
            <w:pPr>
              <w:spacing w:after="0" w:line="177" w:lineRule="exact"/>
              <w:rPr>
                <w:sz w:val="20"/>
                <w:szCs w:val="20"/>
                <w:color w:val="auto"/>
              </w:rPr>
            </w:pPr>
            <w:r>
              <w:rPr>
                <w:rFonts w:ascii="Arial" w:cs="Arial" w:eastAsia="Arial" w:hAnsi="Arial"/>
                <w:sz w:val="17"/>
                <w:szCs w:val="17"/>
                <w:color w:val="auto"/>
              </w:rPr>
              <w:t>Name:</w:t>
            </w:r>
          </w:p>
        </w:tc>
        <w:tc>
          <w:tcPr>
            <w:tcW w:w="4320" w:type="dxa"/>
            <w:vAlign w:val="bottom"/>
          </w:tcPr>
          <w:p>
            <w:pPr>
              <w:spacing w:after="0" w:line="177" w:lineRule="exact"/>
              <w:rPr>
                <w:sz w:val="20"/>
                <w:szCs w:val="20"/>
                <w:color w:val="auto"/>
              </w:rPr>
            </w:pPr>
            <w:r>
              <w:rPr>
                <w:rFonts w:ascii="Arial" w:cs="Arial" w:eastAsia="Arial" w:hAnsi="Arial"/>
                <w:sz w:val="17"/>
                <w:szCs w:val="17"/>
                <w:color w:val="auto"/>
              </w:rPr>
              <w:t>Herriot Tabuteau, M.D.</w:t>
            </w:r>
          </w:p>
        </w:tc>
      </w:tr>
      <w:tr>
        <w:trPr>
          <w:trHeight w:val="220"/>
        </w:trPr>
        <w:tc>
          <w:tcPr>
            <w:tcW w:w="620" w:type="dxa"/>
            <w:vAlign w:val="bottom"/>
          </w:tcPr>
          <w:p>
            <w:pPr>
              <w:spacing w:after="0"/>
              <w:rPr>
                <w:sz w:val="20"/>
                <w:szCs w:val="20"/>
                <w:color w:val="auto"/>
              </w:rPr>
            </w:pPr>
            <w:r>
              <w:rPr>
                <w:rFonts w:ascii="Arial" w:cs="Arial" w:eastAsia="Arial" w:hAnsi="Arial"/>
                <w:sz w:val="17"/>
                <w:szCs w:val="17"/>
                <w:color w:val="auto"/>
              </w:rPr>
              <w:t>Title:</w:t>
            </w:r>
          </w:p>
        </w:tc>
        <w:tc>
          <w:tcPr>
            <w:tcW w:w="4320" w:type="dxa"/>
            <w:vAlign w:val="bottom"/>
          </w:tcPr>
          <w:p>
            <w:pPr>
              <w:spacing w:after="0"/>
              <w:rPr>
                <w:sz w:val="20"/>
                <w:szCs w:val="20"/>
                <w:color w:val="auto"/>
              </w:rPr>
            </w:pPr>
            <w:r>
              <w:rPr>
                <w:rFonts w:ascii="Arial" w:cs="Arial" w:eastAsia="Arial" w:hAnsi="Arial"/>
                <w:sz w:val="17"/>
                <w:szCs w:val="17"/>
                <w:color w:val="auto"/>
              </w:rPr>
              <w:t>President and Chief Executive Officer</w:t>
            </w:r>
          </w:p>
        </w:tc>
      </w:tr>
    </w:tbl>
    <w:p>
      <w:pPr>
        <w:spacing w:after="0" w:line="381"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WARRANTHOLDER:</w:t>
      </w:r>
    </w:p>
    <w:p>
      <w:pPr>
        <w:spacing w:after="0" w:line="205"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HERCULES CAPITAL, INC.</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00" w:type="dxa"/>
            <w:vAlign w:val="bottom"/>
          </w:tcPr>
          <w:p>
            <w:pPr>
              <w:ind w:left="4980"/>
              <w:spacing w:after="0"/>
              <w:rPr>
                <w:sz w:val="20"/>
                <w:szCs w:val="20"/>
                <w:color w:val="auto"/>
              </w:rPr>
            </w:pPr>
            <w:r>
              <w:rPr>
                <w:rFonts w:ascii="Arial" w:cs="Arial" w:eastAsia="Arial" w:hAnsi="Arial"/>
                <w:sz w:val="17"/>
                <w:szCs w:val="17"/>
                <w:color w:val="auto"/>
              </w:rPr>
              <w:t>By:</w:t>
            </w:r>
          </w:p>
        </w:tc>
        <w:tc>
          <w:tcPr>
            <w:tcW w:w="4340" w:type="dxa"/>
            <w:vAlign w:val="bottom"/>
            <w:gridSpan w:val="2"/>
          </w:tcPr>
          <w:p>
            <w:pPr>
              <w:spacing w:after="0"/>
              <w:rPr>
                <w:sz w:val="20"/>
                <w:szCs w:val="20"/>
                <w:color w:val="auto"/>
              </w:rPr>
            </w:pPr>
            <w:r>
              <w:rPr>
                <w:rFonts w:ascii="Arial" w:cs="Arial" w:eastAsia="Arial" w:hAnsi="Arial"/>
                <w:sz w:val="17"/>
                <w:szCs w:val="17"/>
                <w:color w:val="auto"/>
              </w:rPr>
              <w:t>/s/ Jennifer Choe</w:t>
            </w:r>
          </w:p>
        </w:tc>
      </w:tr>
      <w:tr>
        <w:trPr>
          <w:trHeight w:val="177"/>
        </w:trPr>
        <w:tc>
          <w:tcPr>
            <w:tcW w:w="5600" w:type="dxa"/>
            <w:vAlign w:val="bottom"/>
          </w:tcPr>
          <w:p>
            <w:pPr>
              <w:ind w:left="4980"/>
              <w:spacing w:after="0" w:line="177" w:lineRule="exact"/>
              <w:rPr>
                <w:sz w:val="20"/>
                <w:szCs w:val="20"/>
                <w:color w:val="auto"/>
              </w:rPr>
            </w:pPr>
            <w:r>
              <w:rPr>
                <w:rFonts w:ascii="Arial" w:cs="Arial" w:eastAsia="Arial" w:hAnsi="Arial"/>
                <w:sz w:val="17"/>
                <w:szCs w:val="17"/>
                <w:color w:val="auto"/>
              </w:rPr>
              <w:t>Name:</w:t>
            </w:r>
          </w:p>
        </w:tc>
        <w:tc>
          <w:tcPr>
            <w:tcW w:w="4320" w:type="dxa"/>
            <w:vAlign w:val="bottom"/>
            <w:tcBorders>
              <w:top w:val="single" w:sz="8" w:color="auto"/>
            </w:tcBorders>
          </w:tcPr>
          <w:p>
            <w:pPr>
              <w:spacing w:after="0" w:line="177" w:lineRule="exact"/>
              <w:rPr>
                <w:sz w:val="20"/>
                <w:szCs w:val="20"/>
                <w:color w:val="auto"/>
              </w:rPr>
            </w:pPr>
            <w:r>
              <w:rPr>
                <w:rFonts w:ascii="Arial" w:cs="Arial" w:eastAsia="Arial" w:hAnsi="Arial"/>
                <w:sz w:val="17"/>
                <w:szCs w:val="17"/>
                <w:color w:val="auto"/>
              </w:rPr>
              <w:t>Jennifer Choe</w:t>
            </w:r>
          </w:p>
        </w:tc>
        <w:tc>
          <w:tcPr>
            <w:tcW w:w="20" w:type="dxa"/>
            <w:vAlign w:val="bottom"/>
          </w:tcPr>
          <w:p>
            <w:pPr>
              <w:spacing w:after="0"/>
              <w:rPr>
                <w:sz w:val="15"/>
                <w:szCs w:val="15"/>
                <w:color w:val="auto"/>
              </w:rPr>
            </w:pPr>
          </w:p>
        </w:tc>
      </w:tr>
      <w:tr>
        <w:trPr>
          <w:trHeight w:val="220"/>
        </w:trPr>
        <w:tc>
          <w:tcPr>
            <w:tcW w:w="5600" w:type="dxa"/>
            <w:vAlign w:val="bottom"/>
          </w:tcPr>
          <w:p>
            <w:pPr>
              <w:ind w:left="4980"/>
              <w:spacing w:after="0"/>
              <w:rPr>
                <w:sz w:val="20"/>
                <w:szCs w:val="20"/>
                <w:color w:val="auto"/>
              </w:rPr>
            </w:pPr>
            <w:r>
              <w:rPr>
                <w:rFonts w:ascii="Arial" w:cs="Arial" w:eastAsia="Arial" w:hAnsi="Arial"/>
                <w:sz w:val="17"/>
                <w:szCs w:val="17"/>
                <w:color w:val="auto"/>
              </w:rPr>
              <w:t>Title:</w:t>
            </w:r>
          </w:p>
        </w:tc>
        <w:tc>
          <w:tcPr>
            <w:tcW w:w="4340" w:type="dxa"/>
            <w:vAlign w:val="bottom"/>
            <w:gridSpan w:val="2"/>
          </w:tcPr>
          <w:p>
            <w:pPr>
              <w:spacing w:after="0"/>
              <w:rPr>
                <w:sz w:val="20"/>
                <w:szCs w:val="20"/>
                <w:color w:val="auto"/>
              </w:rPr>
            </w:pPr>
            <w:r>
              <w:rPr>
                <w:rFonts w:ascii="Arial" w:cs="Arial" w:eastAsia="Arial" w:hAnsi="Arial"/>
                <w:sz w:val="17"/>
                <w:szCs w:val="17"/>
                <w:color w:val="auto"/>
              </w:rPr>
              <w:t>Associate General Counsel</w:t>
            </w:r>
          </w:p>
        </w:tc>
      </w:tr>
      <w:tr>
        <w:trPr>
          <w:trHeight w:val="1449"/>
        </w:trPr>
        <w:tc>
          <w:tcPr>
            <w:tcW w:w="560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124" w:right="979" w:bottom="1440" w:gutter="0" w:footer="0" w:header="0"/>
        </w:sectPr>
      </w:pPr>
    </w:p>
    <w:bookmarkStart w:id="222" w:name="page223"/>
    <w:bookmarkEnd w:id="222"/>
    <w:p>
      <w:pPr>
        <w:jc w:val="center"/>
        <w:ind w:right="-143"/>
        <w:spacing w:after="0"/>
        <w:rPr>
          <w:sz w:val="20"/>
          <w:szCs w:val="20"/>
          <w:color w:val="auto"/>
        </w:rPr>
      </w:pPr>
      <w:r>
        <w:rPr>
          <w:rFonts w:ascii="Arial" w:cs="Arial" w:eastAsia="Arial" w:hAnsi="Arial"/>
          <w:sz w:val="17"/>
          <w:szCs w:val="17"/>
          <w:color w:val="auto"/>
        </w:rPr>
        <w:t>EXHIBIT I</w:t>
      </w:r>
    </w:p>
    <w:p>
      <w:pPr>
        <w:spacing w:after="0" w:line="207" w:lineRule="exact"/>
        <w:rPr>
          <w:sz w:val="20"/>
          <w:szCs w:val="20"/>
          <w:color w:val="auto"/>
        </w:rPr>
      </w:pPr>
    </w:p>
    <w:p>
      <w:pPr>
        <w:jc w:val="center"/>
        <w:ind w:right="-143"/>
        <w:spacing w:after="0"/>
        <w:rPr>
          <w:sz w:val="20"/>
          <w:szCs w:val="20"/>
          <w:color w:val="auto"/>
        </w:rPr>
      </w:pPr>
      <w:r>
        <w:rPr>
          <w:rFonts w:ascii="Arial" w:cs="Arial" w:eastAsia="Arial" w:hAnsi="Arial"/>
          <w:sz w:val="17"/>
          <w:szCs w:val="17"/>
          <w:color w:val="auto"/>
        </w:rPr>
        <w:t>NOTICE OF EXERCISE</w:t>
      </w:r>
    </w:p>
    <w:p>
      <w:pPr>
        <w:spacing w:after="0" w:line="205" w:lineRule="exact"/>
        <w:rPr>
          <w:sz w:val="20"/>
          <w:szCs w:val="20"/>
          <w:color w:val="auto"/>
        </w:rPr>
      </w:pPr>
    </w:p>
    <w:p>
      <w:pPr>
        <w:ind w:left="4"/>
        <w:spacing w:after="0"/>
        <w:tabs>
          <w:tab w:leader="none" w:pos="543" w:val="left"/>
        </w:tabs>
        <w:rPr>
          <w:sz w:val="20"/>
          <w:szCs w:val="20"/>
          <w:color w:val="auto"/>
        </w:rPr>
      </w:pPr>
      <w:r>
        <w:rPr>
          <w:rFonts w:ascii="Arial" w:cs="Arial" w:eastAsia="Arial" w:hAnsi="Arial"/>
          <w:sz w:val="17"/>
          <w:szCs w:val="17"/>
          <w:color w:val="auto"/>
        </w:rPr>
        <w:t>To:</w:t>
      </w:r>
      <w:r>
        <w:rPr>
          <w:sz w:val="20"/>
          <w:szCs w:val="20"/>
          <w:color w:val="auto"/>
        </w:rPr>
        <w:tab/>
      </w:r>
      <w:r>
        <w:rPr>
          <w:rFonts w:ascii="Arial" w:cs="Arial" w:eastAsia="Arial" w:hAnsi="Arial"/>
          <w:sz w:val="17"/>
          <w:szCs w:val="17"/>
          <w:color w:val="auto"/>
        </w:rPr>
        <w:t>Axsome Therapeutics, Inc.</w:t>
      </w:r>
    </w:p>
    <w:p>
      <w:pPr>
        <w:spacing w:after="0" w:line="205" w:lineRule="exact"/>
        <w:rPr>
          <w:sz w:val="20"/>
          <w:szCs w:val="20"/>
          <w:color w:val="auto"/>
        </w:rPr>
      </w:pPr>
    </w:p>
    <w:p>
      <w:pPr>
        <w:ind w:left="564" w:hanging="564"/>
        <w:spacing w:after="0" w:line="241" w:lineRule="auto"/>
        <w:tabs>
          <w:tab w:leader="none" w:pos="564"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undersigned Warrantholder hereby elects to purchase [_______] shares of the Common Stock of Axsome Therapeutics, Inc., pursuant to the terms of the Agreement dated the 25</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day of September, 2020 (the “Agreement”) between Axsome Therapeutics, Inc. and the Warrantholder, and [CASH PAYMENT: tenders herewith payment of the Purchase Price in full, together with all applicable transfer taxes, if any.] [NET ISSUANCE: elects pursuant to Section 3(a) of the Agreement to effect a Net Issuance.]</w:t>
      </w:r>
    </w:p>
    <w:p>
      <w:pPr>
        <w:spacing w:after="0" w:line="182" w:lineRule="exact"/>
        <w:rPr>
          <w:rFonts w:ascii="Arial" w:cs="Arial" w:eastAsia="Arial" w:hAnsi="Arial"/>
          <w:sz w:val="16"/>
          <w:szCs w:val="16"/>
          <w:color w:val="auto"/>
        </w:rPr>
      </w:pPr>
    </w:p>
    <w:p>
      <w:pPr>
        <w:ind w:left="564" w:right="260" w:hanging="564"/>
        <w:spacing w:after="0" w:line="276" w:lineRule="auto"/>
        <w:tabs>
          <w:tab w:leader="none" w:pos="564" w:val="left"/>
        </w:tabs>
        <w:numPr>
          <w:ilvl w:val="0"/>
          <w:numId w:val="137"/>
        </w:numPr>
        <w:rPr>
          <w:rFonts w:ascii="Arial" w:cs="Arial" w:eastAsia="Arial" w:hAnsi="Arial"/>
          <w:sz w:val="17"/>
          <w:szCs w:val="17"/>
          <w:color w:val="auto"/>
        </w:rPr>
      </w:pPr>
      <w:r>
        <w:rPr>
          <w:rFonts w:ascii="Arial" w:cs="Arial" w:eastAsia="Arial" w:hAnsi="Arial"/>
          <w:sz w:val="17"/>
          <w:szCs w:val="17"/>
          <w:color w:val="auto"/>
        </w:rPr>
        <w:t>Please issue a certificate or certificates representing said shares of Common Stock in the name of the undersigned or in such other name as is specified below.</w:t>
      </w:r>
    </w:p>
    <w:p>
      <w:pPr>
        <w:spacing w:after="0" w:line="376" w:lineRule="exact"/>
        <w:rPr>
          <w:sz w:val="20"/>
          <w:szCs w:val="20"/>
          <w:color w:val="auto"/>
        </w:rPr>
      </w:pPr>
    </w:p>
    <w:p>
      <w:pPr>
        <w:ind w:left="4984"/>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3158490</wp:posOffset>
            </wp:positionH>
            <wp:positionV relativeFrom="paragraph">
              <wp:posOffset>-121920</wp:posOffset>
            </wp:positionV>
            <wp:extent cx="3144520" cy="762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3144520" cy="7620"/>
                    </a:xfrm>
                    <a:prstGeom prst="rect">
                      <a:avLst/>
                    </a:prstGeom>
                    <a:noFill/>
                  </pic:spPr>
                </pic:pic>
              </a:graphicData>
            </a:graphic>
          </wp:anchor>
        </w:drawing>
      </w:r>
    </w:p>
    <w:p>
      <w:pPr>
        <w:spacing w:after="0" w:line="398" w:lineRule="exact"/>
        <w:rPr>
          <w:sz w:val="20"/>
          <w:szCs w:val="20"/>
          <w:color w:val="auto"/>
        </w:rPr>
      </w:pPr>
    </w:p>
    <w:p>
      <w:pPr>
        <w:ind w:left="4984"/>
        <w:spacing w:after="0"/>
        <w:rPr>
          <w:sz w:val="20"/>
          <w:szCs w:val="20"/>
          <w:color w:val="auto"/>
        </w:rPr>
      </w:pPr>
      <w:r>
        <w:rPr>
          <w:rFonts w:ascii="Arial" w:cs="Arial" w:eastAsia="Arial" w:hAnsi="Arial"/>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3158490</wp:posOffset>
            </wp:positionH>
            <wp:positionV relativeFrom="paragraph">
              <wp:posOffset>-121920</wp:posOffset>
            </wp:positionV>
            <wp:extent cx="3144520" cy="762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3144520" cy="7620"/>
                    </a:xfrm>
                    <a:prstGeom prst="rect">
                      <a:avLst/>
                    </a:prstGeom>
                    <a:noFill/>
                  </pic:spPr>
                </pic:pic>
              </a:graphicData>
            </a:graphic>
          </wp:anchor>
        </w:drawing>
      </w:r>
    </w:p>
    <w:p>
      <w:pPr>
        <w:spacing w:after="0" w:line="386" w:lineRule="exact"/>
        <w:rPr>
          <w:sz w:val="20"/>
          <w:szCs w:val="20"/>
          <w:color w:val="auto"/>
        </w:rPr>
      </w:pPr>
    </w:p>
    <w:p>
      <w:pPr>
        <w:ind w:left="4"/>
        <w:spacing w:after="0"/>
        <w:rPr>
          <w:sz w:val="20"/>
          <w:szCs w:val="20"/>
          <w:color w:val="auto"/>
        </w:rPr>
      </w:pPr>
      <w:r>
        <w:rPr>
          <w:rFonts w:ascii="Arial" w:cs="Arial" w:eastAsia="Arial" w:hAnsi="Arial"/>
          <w:sz w:val="17"/>
          <w:szCs w:val="17"/>
          <w:color w:val="auto"/>
        </w:rPr>
        <w:t>WARRANTHOLDER: HERCULES CAPITAL,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384"/>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3158490</wp:posOffset>
            </wp:positionH>
            <wp:positionV relativeFrom="paragraph">
              <wp:posOffset>12700</wp:posOffset>
            </wp:positionV>
            <wp:extent cx="3144520" cy="762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3144520" cy="7620"/>
                    </a:xfrm>
                    <a:prstGeom prst="rect">
                      <a:avLst/>
                    </a:prstGeom>
                    <a:noFill/>
                  </pic:spPr>
                </pic:pic>
              </a:graphicData>
            </a:graphic>
          </wp:anchor>
        </w:drawing>
      </w:r>
    </w:p>
    <w:p>
      <w:pPr>
        <w:spacing w:after="0" w:line="5" w:lineRule="exact"/>
        <w:rPr>
          <w:sz w:val="20"/>
          <w:szCs w:val="20"/>
          <w:color w:val="auto"/>
        </w:rPr>
      </w:pPr>
    </w:p>
    <w:p>
      <w:pPr>
        <w:ind w:left="4384"/>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3158490</wp:posOffset>
            </wp:positionH>
            <wp:positionV relativeFrom="paragraph">
              <wp:posOffset>7620</wp:posOffset>
            </wp:positionV>
            <wp:extent cx="3144520" cy="762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3144520" cy="7620"/>
                    </a:xfrm>
                    <a:prstGeom prst="rect">
                      <a:avLst/>
                    </a:prstGeom>
                    <a:noFill/>
                  </pic:spPr>
                </pic:pic>
              </a:graphicData>
            </a:graphic>
          </wp:anchor>
        </w:drawing>
      </w:r>
    </w:p>
    <w:p>
      <w:pPr>
        <w:ind w:left="4384"/>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3158490</wp:posOffset>
            </wp:positionH>
            <wp:positionV relativeFrom="paragraph">
              <wp:posOffset>7620</wp:posOffset>
            </wp:positionV>
            <wp:extent cx="3144520" cy="762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314452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43"/>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311785</wp:posOffset>
            </wp:positionV>
            <wp:extent cx="6311265" cy="2222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804"/>
          </w:cols>
          <w:pgMar w:left="976" w:top="124" w:right="1119" w:bottom="1440" w:gutter="0" w:footer="0" w:header="0"/>
        </w:sectPr>
      </w:pPr>
    </w:p>
    <w:bookmarkStart w:id="223" w:name="page224"/>
    <w:bookmarkEnd w:id="223"/>
    <w:p>
      <w:pPr>
        <w:jc w:val="center"/>
        <w:ind w:right="-123"/>
        <w:spacing w:after="0"/>
        <w:rPr>
          <w:sz w:val="20"/>
          <w:szCs w:val="20"/>
          <w:color w:val="auto"/>
        </w:rPr>
      </w:pPr>
      <w:r>
        <w:rPr>
          <w:rFonts w:ascii="Arial" w:cs="Arial" w:eastAsia="Arial" w:hAnsi="Arial"/>
          <w:sz w:val="17"/>
          <w:szCs w:val="17"/>
          <w:color w:val="auto"/>
        </w:rPr>
        <w:t>EXHIBIT II</w:t>
      </w:r>
    </w:p>
    <w:p>
      <w:pPr>
        <w:spacing w:after="0" w:line="199" w:lineRule="exact"/>
        <w:rPr>
          <w:sz w:val="20"/>
          <w:szCs w:val="20"/>
          <w:color w:val="auto"/>
        </w:rPr>
      </w:pPr>
    </w:p>
    <w:p>
      <w:pPr>
        <w:ind w:left="564" w:hanging="564"/>
        <w:spacing w:after="0"/>
        <w:tabs>
          <w:tab w:leader="none" w:pos="564" w:val="left"/>
        </w:tabs>
        <w:numPr>
          <w:ilvl w:val="0"/>
          <w:numId w:val="138"/>
        </w:numPr>
        <w:rPr>
          <w:rFonts w:ascii="Arial" w:cs="Arial" w:eastAsia="Arial" w:hAnsi="Arial"/>
          <w:sz w:val="17"/>
          <w:szCs w:val="17"/>
          <w:b w:val="1"/>
          <w:bCs w:val="1"/>
          <w:color w:val="auto"/>
        </w:rPr>
      </w:pPr>
      <w:r>
        <w:rPr>
          <w:rFonts w:ascii="Arial" w:cs="Arial" w:eastAsia="Arial" w:hAnsi="Arial"/>
          <w:sz w:val="17"/>
          <w:szCs w:val="17"/>
          <w:b w:val="1"/>
          <w:bCs w:val="1"/>
          <w:color w:val="auto"/>
        </w:rPr>
        <w:t>ACKNOWLEDGMENT OF EXERCISE</w:t>
      </w:r>
    </w:p>
    <w:p>
      <w:pPr>
        <w:spacing w:after="0" w:line="200" w:lineRule="exact"/>
        <w:rPr>
          <w:sz w:val="20"/>
          <w:szCs w:val="20"/>
          <w:color w:val="auto"/>
        </w:rPr>
      </w:pPr>
    </w:p>
    <w:p>
      <w:pPr>
        <w:ind w:left="4"/>
        <w:spacing w:after="0" w:line="288" w:lineRule="auto"/>
        <w:rPr>
          <w:sz w:val="20"/>
          <w:szCs w:val="20"/>
          <w:color w:val="auto"/>
        </w:rPr>
      </w:pPr>
      <w:r>
        <w:rPr>
          <w:rFonts w:ascii="Arial" w:cs="Arial" w:eastAsia="Arial" w:hAnsi="Arial"/>
          <w:sz w:val="15"/>
          <w:szCs w:val="15"/>
          <w:color w:val="auto"/>
        </w:rPr>
        <w:t>The undersigned, Axsome Therapeutics, Inc., hereby acknowledge receipt of the “Notice of Exercise” from Hercules Capital, Inc. to purchase [____] shares of the Common Stock of Axsome Therapeutics, Inc. pursuant to the terms of the Agreement, and further acknowledges that</w:t>
      </w:r>
    </w:p>
    <w:p>
      <w:pPr>
        <w:spacing w:after="0" w:line="1" w:lineRule="exact"/>
        <w:rPr>
          <w:sz w:val="20"/>
          <w:szCs w:val="20"/>
          <w:color w:val="auto"/>
        </w:rPr>
      </w:pPr>
    </w:p>
    <w:p>
      <w:pPr>
        <w:ind w:left="4"/>
        <w:spacing w:after="0"/>
        <w:rPr>
          <w:sz w:val="20"/>
          <w:szCs w:val="20"/>
          <w:color w:val="auto"/>
        </w:rPr>
      </w:pPr>
      <w:r>
        <w:rPr>
          <w:rFonts w:ascii="Arial" w:cs="Arial" w:eastAsia="Arial" w:hAnsi="Arial"/>
          <w:sz w:val="17"/>
          <w:szCs w:val="17"/>
          <w:color w:val="auto"/>
        </w:rPr>
        <w:t>[______] shares remain subject to purchase under the terms of the Agreement.</w:t>
      </w:r>
    </w:p>
    <w:p>
      <w:pPr>
        <w:spacing w:after="0" w:line="392" w:lineRule="exact"/>
        <w:rPr>
          <w:sz w:val="20"/>
          <w:szCs w:val="20"/>
          <w:color w:val="auto"/>
        </w:rPr>
      </w:pPr>
    </w:p>
    <w:p>
      <w:pPr>
        <w:ind w:left="564"/>
        <w:spacing w:after="0"/>
        <w:tabs>
          <w:tab w:leader="none" w:pos="4963" w:val="left"/>
        </w:tabs>
        <w:rPr>
          <w:sz w:val="20"/>
          <w:szCs w:val="20"/>
          <w:color w:val="auto"/>
        </w:rPr>
      </w:pPr>
      <w:r>
        <w:rPr>
          <w:rFonts w:ascii="Arial" w:cs="Arial" w:eastAsia="Arial" w:hAnsi="Arial"/>
          <w:sz w:val="17"/>
          <w:szCs w:val="17"/>
          <w:color w:val="auto"/>
        </w:rPr>
        <w:t>COMPANY:</w:t>
      </w:r>
      <w:r>
        <w:rPr>
          <w:sz w:val="20"/>
          <w:szCs w:val="20"/>
          <w:color w:val="auto"/>
        </w:rPr>
        <w:tab/>
      </w:r>
      <w:r>
        <w:rPr>
          <w:rFonts w:ascii="Arial" w:cs="Arial" w:eastAsia="Arial" w:hAnsi="Arial"/>
          <w:sz w:val="17"/>
          <w:szCs w:val="17"/>
          <w:color w:val="auto"/>
        </w:rPr>
        <w:t>AXSOME THERAPEUTICS, INC.</w:t>
      </w:r>
    </w:p>
    <w:p>
      <w:pPr>
        <w:spacing w:after="0" w:line="200" w:lineRule="exact"/>
        <w:rPr>
          <w:sz w:val="20"/>
          <w:szCs w:val="20"/>
          <w:color w:val="auto"/>
        </w:rPr>
      </w:pPr>
    </w:p>
    <w:p>
      <w:pPr>
        <w:spacing w:after="0" w:line="206" w:lineRule="exact"/>
        <w:rPr>
          <w:sz w:val="20"/>
          <w:szCs w:val="20"/>
          <w:color w:val="auto"/>
        </w:rPr>
      </w:pPr>
    </w:p>
    <w:p>
      <w:pPr>
        <w:ind w:left="4984"/>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3495040</wp:posOffset>
            </wp:positionH>
            <wp:positionV relativeFrom="paragraph">
              <wp:posOffset>12700</wp:posOffset>
            </wp:positionV>
            <wp:extent cx="2807335" cy="762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2807335" cy="7620"/>
                    </a:xfrm>
                    <a:prstGeom prst="rect">
                      <a:avLst/>
                    </a:prstGeom>
                    <a:noFill/>
                  </pic:spPr>
                </pic:pic>
              </a:graphicData>
            </a:graphic>
          </wp:anchor>
        </w:drawing>
      </w:r>
    </w:p>
    <w:p>
      <w:pPr>
        <w:spacing w:after="0" w:line="197" w:lineRule="exact"/>
        <w:rPr>
          <w:sz w:val="20"/>
          <w:szCs w:val="20"/>
          <w:color w:val="auto"/>
        </w:rPr>
      </w:pPr>
    </w:p>
    <w:p>
      <w:pPr>
        <w:ind w:left="4984"/>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3495040</wp:posOffset>
            </wp:positionH>
            <wp:positionV relativeFrom="paragraph">
              <wp:posOffset>12700</wp:posOffset>
            </wp:positionV>
            <wp:extent cx="2807335" cy="762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2807335" cy="7620"/>
                    </a:xfrm>
                    <a:prstGeom prst="rect">
                      <a:avLst/>
                    </a:prstGeom>
                    <a:noFill/>
                  </pic:spPr>
                </pic:pic>
              </a:graphicData>
            </a:graphic>
          </wp:anchor>
        </w:drawing>
      </w:r>
    </w:p>
    <w:p>
      <w:pPr>
        <w:spacing w:after="0" w:line="197" w:lineRule="exact"/>
        <w:rPr>
          <w:sz w:val="20"/>
          <w:szCs w:val="20"/>
          <w:color w:val="auto"/>
        </w:rPr>
      </w:pPr>
    </w:p>
    <w:p>
      <w:pPr>
        <w:ind w:left="4984"/>
        <w:spacing w:after="0"/>
        <w:rPr>
          <w:sz w:val="20"/>
          <w:szCs w:val="20"/>
          <w:color w:val="auto"/>
        </w:rPr>
      </w:pP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3495040</wp:posOffset>
            </wp:positionH>
            <wp:positionV relativeFrom="paragraph">
              <wp:posOffset>12700</wp:posOffset>
            </wp:positionV>
            <wp:extent cx="2807335" cy="762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280733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23"/>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311785</wp:posOffset>
            </wp:positionV>
            <wp:extent cx="6311265" cy="2222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824"/>
          </w:cols>
          <w:pgMar w:left="976" w:top="325" w:right="1099" w:bottom="1440" w:gutter="0" w:footer="0" w:header="0"/>
        </w:sectPr>
      </w:pPr>
    </w:p>
    <w:bookmarkStart w:id="224" w:name="page225"/>
    <w:bookmarkEnd w:id="224"/>
    <w:p>
      <w:pPr>
        <w:jc w:val="center"/>
        <w:ind w:right="-199"/>
        <w:spacing w:after="0"/>
        <w:rPr>
          <w:sz w:val="20"/>
          <w:szCs w:val="20"/>
          <w:color w:val="auto"/>
        </w:rPr>
      </w:pPr>
      <w:r>
        <w:rPr>
          <w:rFonts w:ascii="Arial" w:cs="Arial" w:eastAsia="Arial" w:hAnsi="Arial"/>
          <w:sz w:val="17"/>
          <w:szCs w:val="17"/>
          <w:color w:val="auto"/>
        </w:rPr>
        <w:t>EXHIBIT III</w:t>
      </w:r>
    </w:p>
    <w:p>
      <w:pPr>
        <w:spacing w:after="0" w:line="205"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TRANSFER NOTICE</w:t>
      </w:r>
    </w:p>
    <w:p>
      <w:pPr>
        <w:spacing w:after="0" w:line="205" w:lineRule="exact"/>
        <w:rPr>
          <w:sz w:val="20"/>
          <w:szCs w:val="20"/>
          <w:color w:val="auto"/>
        </w:rPr>
      </w:pPr>
    </w:p>
    <w:p>
      <w:pPr>
        <w:spacing w:after="0" w:line="569" w:lineRule="auto"/>
        <w:rPr>
          <w:sz w:val="20"/>
          <w:szCs w:val="20"/>
          <w:color w:val="auto"/>
        </w:rPr>
      </w:pPr>
      <w:r>
        <w:rPr>
          <w:rFonts w:ascii="Arial" w:cs="Arial" w:eastAsia="Arial" w:hAnsi="Arial"/>
          <w:sz w:val="16"/>
          <w:szCs w:val="16"/>
          <w:color w:val="auto"/>
        </w:rPr>
        <w:t>(To transfer or assign the foregoing Agreement execute this form and supply required information. Do not use this form to purchase shares.) FOR VALUE RECEIVED, the foregoing Agreement and all rights evidenced thereby are hereby transferred and assigned to</w:t>
      </w:r>
    </w:p>
    <w:p>
      <w:pPr>
        <w:spacing w:after="0" w:line="354" w:lineRule="exact"/>
        <w:rPr>
          <w:sz w:val="20"/>
          <w:szCs w:val="20"/>
          <w:color w:val="auto"/>
        </w:rPr>
      </w:pPr>
    </w:p>
    <w:p>
      <w:pPr>
        <w:spacing w:after="0"/>
        <w:rPr>
          <w:sz w:val="20"/>
          <w:szCs w:val="20"/>
          <w:color w:val="auto"/>
        </w:rPr>
      </w:pPr>
      <w:r>
        <w:rPr>
          <w:rFonts w:ascii="Arial" w:cs="Arial" w:eastAsia="Arial" w:hAnsi="Arial"/>
          <w:sz w:val="17"/>
          <w:szCs w:val="17"/>
          <w:color w:val="auto"/>
        </w:rPr>
        <w:t>(Please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-121920</wp:posOffset>
            </wp:positionV>
            <wp:extent cx="3152140" cy="762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3152140" cy="7620"/>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whose address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274320</wp:posOffset>
            </wp:positionV>
            <wp:extent cx="3152140" cy="762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3152140" cy="7620"/>
                    </a:xfrm>
                    <a:prstGeom prst="rect">
                      <a:avLst/>
                    </a:prstGeom>
                    <a:noFill/>
                  </pic:spPr>
                </pic:pic>
              </a:graphicData>
            </a:graphic>
          </wp:anchor>
        </w:drawing>
        <w:drawing>
          <wp:anchor simplePos="0" relativeHeight="251657728" behindDoc="1" locked="0" layoutInCell="0" allowOverlap="1">
            <wp:simplePos x="0" y="0"/>
            <wp:positionH relativeFrom="column">
              <wp:posOffset>917575</wp:posOffset>
            </wp:positionH>
            <wp:positionV relativeFrom="paragraph">
              <wp:posOffset>12700</wp:posOffset>
            </wp:positionV>
            <wp:extent cx="2230755" cy="762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22307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060"/>
        <w:spacing w:after="0"/>
        <w:rPr>
          <w:sz w:val="20"/>
          <w:szCs w:val="20"/>
          <w:color w:val="auto"/>
        </w:rPr>
      </w:pPr>
      <w:r>
        <w:rPr>
          <w:rFonts w:ascii="Arial" w:cs="Arial" w:eastAsia="Arial" w:hAnsi="Arial"/>
          <w:sz w:val="17"/>
          <w:szCs w:val="17"/>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2063115</wp:posOffset>
            </wp:positionH>
            <wp:positionV relativeFrom="paragraph">
              <wp:posOffset>12700</wp:posOffset>
            </wp:positionV>
            <wp:extent cx="4244975" cy="762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4244975" cy="7620"/>
                    </a:xfrm>
                    <a:prstGeom prst="rect">
                      <a:avLst/>
                    </a:prstGeom>
                    <a:noFill/>
                  </pic:spPr>
                </pic:pic>
              </a:graphicData>
            </a:graphic>
          </wp:anchor>
        </w:drawing>
      </w:r>
    </w:p>
    <w:p>
      <w:pPr>
        <w:spacing w:after="0" w:line="185" w:lineRule="exact"/>
        <w:rPr>
          <w:sz w:val="20"/>
          <w:szCs w:val="20"/>
          <w:color w:val="auto"/>
        </w:rPr>
      </w:pPr>
    </w:p>
    <w:p>
      <w:pPr>
        <w:ind w:left="2060"/>
        <w:spacing w:after="0"/>
        <w:rPr>
          <w:sz w:val="20"/>
          <w:szCs w:val="20"/>
          <w:color w:val="auto"/>
        </w:rPr>
      </w:pPr>
      <w:r>
        <w:rPr>
          <w:rFonts w:ascii="Arial" w:cs="Arial" w:eastAsia="Arial" w:hAnsi="Arial"/>
          <w:sz w:val="17"/>
          <w:szCs w:val="17"/>
          <w:color w:val="auto"/>
        </w:rPr>
        <w:t>Holder’s</w:t>
      </w:r>
    </w:p>
    <w:p>
      <w:pPr>
        <w:spacing w:after="0" w:line="19" w:lineRule="exact"/>
        <w:rPr>
          <w:sz w:val="20"/>
          <w:szCs w:val="20"/>
          <w:color w:val="auto"/>
        </w:rPr>
      </w:pPr>
    </w:p>
    <w:p>
      <w:pPr>
        <w:ind w:left="2060"/>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2063115</wp:posOffset>
            </wp:positionH>
            <wp:positionV relativeFrom="paragraph">
              <wp:posOffset>3810</wp:posOffset>
            </wp:positionV>
            <wp:extent cx="4244975" cy="762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4244975" cy="7620"/>
                    </a:xfrm>
                    <a:prstGeom prst="rect">
                      <a:avLst/>
                    </a:prstGeom>
                    <a:noFill/>
                  </pic:spPr>
                </pic:pic>
              </a:graphicData>
            </a:graphic>
          </wp:anchor>
        </w:drawing>
      </w:r>
    </w:p>
    <w:p>
      <w:pPr>
        <w:spacing w:after="0" w:line="171" w:lineRule="exact"/>
        <w:rPr>
          <w:sz w:val="20"/>
          <w:szCs w:val="20"/>
          <w:color w:val="auto"/>
        </w:rPr>
      </w:pPr>
    </w:p>
    <w:p>
      <w:pPr>
        <w:ind w:left="2060"/>
        <w:spacing w:after="0"/>
        <w:rPr>
          <w:sz w:val="20"/>
          <w:szCs w:val="20"/>
          <w:color w:val="auto"/>
        </w:rPr>
      </w:pPr>
      <w:r>
        <w:rPr>
          <w:rFonts w:ascii="Arial" w:cs="Arial" w:eastAsia="Arial" w:hAnsi="Arial"/>
          <w:sz w:val="17"/>
          <w:szCs w:val="17"/>
          <w:color w:val="auto"/>
        </w:rPr>
        <w:t>Holder’s</w:t>
      </w:r>
    </w:p>
    <w:p>
      <w:pPr>
        <w:spacing w:after="0" w:line="19" w:lineRule="exact"/>
        <w:rPr>
          <w:sz w:val="20"/>
          <w:szCs w:val="20"/>
          <w:color w:val="auto"/>
        </w:rPr>
      </w:pPr>
    </w:p>
    <w:p>
      <w:pPr>
        <w:ind w:left="2060"/>
        <w:spacing w:after="0"/>
        <w:rPr>
          <w:sz w:val="20"/>
          <w:szCs w:val="20"/>
          <w:color w:val="auto"/>
        </w:rPr>
      </w:pPr>
      <w:r>
        <w:rPr>
          <w:rFonts w:ascii="Arial" w:cs="Arial" w:eastAsia="Arial" w:hAnsi="Arial"/>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1314450</wp:posOffset>
            </wp:positionH>
            <wp:positionV relativeFrom="paragraph">
              <wp:posOffset>258445</wp:posOffset>
            </wp:positionV>
            <wp:extent cx="4993640" cy="762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4993640" cy="7620"/>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3810</wp:posOffset>
            </wp:positionV>
            <wp:extent cx="4244975" cy="762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4244975" cy="7620"/>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ind w:left="2060"/>
        <w:spacing w:after="0"/>
        <w:rPr>
          <w:sz w:val="20"/>
          <w:szCs w:val="20"/>
          <w:color w:val="auto"/>
        </w:rPr>
      </w:pPr>
      <w:r>
        <w:rPr>
          <w:rFonts w:ascii="Arial" w:cs="Arial" w:eastAsia="Arial" w:hAnsi="Arial"/>
          <w:sz w:val="17"/>
          <w:szCs w:val="17"/>
          <w:color w:val="auto"/>
        </w:rPr>
        <w:t>Holder’s Taxpayer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3582670</wp:posOffset>
            </wp:positionH>
            <wp:positionV relativeFrom="paragraph">
              <wp:posOffset>12700</wp:posOffset>
            </wp:positionV>
            <wp:extent cx="2725420" cy="762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2725420" cy="7620"/>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311785</wp:posOffset>
            </wp:positionV>
            <wp:extent cx="6311265" cy="2222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720"/>
          </w:cols>
          <w:pgMar w:left="980" w:top="325" w:right="1199" w:bottom="1440" w:gutter="0" w:footer="0" w:header="0"/>
        </w:sectPr>
      </w:pPr>
    </w:p>
    <w:bookmarkStart w:id="225" w:name="page226"/>
    <w:bookmarkEnd w:id="225"/>
    <w:p>
      <w:pPr>
        <w:jc w:val="right"/>
        <w:spacing w:after="0"/>
        <w:rPr>
          <w:sz w:val="20"/>
          <w:szCs w:val="20"/>
          <w:color w:val="auto"/>
        </w:rPr>
      </w:pPr>
      <w:r>
        <w:rPr>
          <w:rFonts w:ascii="Arial" w:cs="Arial" w:eastAsia="Arial" w:hAnsi="Arial"/>
          <w:sz w:val="19"/>
          <w:szCs w:val="19"/>
          <w:b w:val="1"/>
          <w:bCs w:val="1"/>
          <w:color w:val="auto"/>
        </w:rPr>
        <w:t>Exhibit 10.5</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9"/>
          <w:szCs w:val="19"/>
          <w:b w:val="1"/>
          <w:bCs w:val="1"/>
          <w:i w:val="1"/>
          <w:iCs w:val="1"/>
          <w:color w:val="auto"/>
        </w:rPr>
        <w:t>Execution Version</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DIRECT AGREEMENT</w:t>
      </w:r>
    </w:p>
    <w:p>
      <w:pPr>
        <w:spacing w:after="0" w:line="200" w:lineRule="exact"/>
        <w:rPr>
          <w:sz w:val="20"/>
          <w:szCs w:val="20"/>
          <w:color w:val="auto"/>
        </w:rPr>
      </w:pPr>
    </w:p>
    <w:p>
      <w:pPr>
        <w:spacing w:after="0" w:line="201" w:lineRule="exact"/>
        <w:rPr>
          <w:sz w:val="20"/>
          <w:szCs w:val="20"/>
          <w:color w:val="auto"/>
        </w:rPr>
      </w:pPr>
    </w:p>
    <w:p>
      <w:pPr>
        <w:jc w:val="both"/>
        <w:ind w:firstLine="566"/>
        <w:spacing w:after="0" w:line="241" w:lineRule="auto"/>
        <w:rPr>
          <w:sz w:val="20"/>
          <w:szCs w:val="20"/>
          <w:color w:val="auto"/>
        </w:rPr>
      </w:pPr>
      <w:r>
        <w:rPr>
          <w:rFonts w:ascii="Arial" w:cs="Arial" w:eastAsia="Arial" w:hAnsi="Arial"/>
          <w:sz w:val="19"/>
          <w:szCs w:val="19"/>
          <w:color w:val="auto"/>
        </w:rPr>
        <w:t>This DIRECT AGREEMENT (this “</w:t>
      </w:r>
      <w:r>
        <w:rPr>
          <w:rFonts w:ascii="Arial" w:cs="Arial" w:eastAsia="Arial" w:hAnsi="Arial"/>
          <w:sz w:val="19"/>
          <w:szCs w:val="19"/>
          <w:u w:val="single" w:color="auto"/>
          <w:color w:val="auto"/>
        </w:rPr>
        <w:t>Direct Agreement</w:t>
      </w:r>
      <w:r>
        <w:rPr>
          <w:rFonts w:ascii="Arial" w:cs="Arial" w:eastAsia="Arial" w:hAnsi="Arial"/>
          <w:sz w:val="19"/>
          <w:szCs w:val="19"/>
          <w:color w:val="auto"/>
        </w:rPr>
        <w:t>”), dated as of September 25, 2020, is by and among Antecip Bioventures II LLC, a Delaware limited liability company (the “</w:t>
      </w:r>
      <w:r>
        <w:rPr>
          <w:rFonts w:ascii="Arial" w:cs="Arial" w:eastAsia="Arial" w:hAnsi="Arial"/>
          <w:sz w:val="19"/>
          <w:szCs w:val="19"/>
          <w:u w:val="single" w:color="auto"/>
          <w:color w:val="auto"/>
        </w:rPr>
        <w:t>Contracting Party</w:t>
      </w:r>
      <w:r>
        <w:rPr>
          <w:rFonts w:ascii="Arial" w:cs="Arial" w:eastAsia="Arial" w:hAnsi="Arial"/>
          <w:sz w:val="19"/>
          <w:szCs w:val="19"/>
          <w:color w:val="auto"/>
        </w:rPr>
        <w:t>”), Hercules Capital, Inc., as collateral agent for itself and the Lenders (as defined below) (in such capacity, together with its successors in such capacity, the “</w:t>
      </w:r>
      <w:r>
        <w:rPr>
          <w:rFonts w:ascii="Arial" w:cs="Arial" w:eastAsia="Arial" w:hAnsi="Arial"/>
          <w:sz w:val="19"/>
          <w:szCs w:val="19"/>
          <w:u w:val="single" w:color="auto"/>
          <w:color w:val="auto"/>
        </w:rPr>
        <w:t>Agent</w:t>
      </w:r>
      <w:r>
        <w:rPr>
          <w:rFonts w:ascii="Arial" w:cs="Arial" w:eastAsia="Arial" w:hAnsi="Arial"/>
          <w:sz w:val="19"/>
          <w:szCs w:val="19"/>
          <w:color w:val="auto"/>
        </w:rPr>
        <w:t>”), and Axsome Therapeutics, Inc.</w:t>
      </w:r>
      <w:r>
        <w:rPr>
          <w:rFonts w:ascii="Arial" w:cs="Arial" w:eastAsia="Arial" w:hAnsi="Arial"/>
          <w:sz w:val="19"/>
          <w:szCs w:val="19"/>
          <w:i w:val="1"/>
          <w:iCs w:val="1"/>
          <w:color w:val="auto"/>
        </w:rPr>
        <w:t>,</w:t>
      </w:r>
      <w:r>
        <w:rPr>
          <w:rFonts w:ascii="Arial" w:cs="Arial" w:eastAsia="Arial" w:hAnsi="Arial"/>
          <w:sz w:val="19"/>
          <w:szCs w:val="19"/>
          <w:color w:val="auto"/>
        </w:rPr>
        <w:t xml:space="preserve">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RECITALS</w:t>
      </w:r>
      <w:r>
        <w:rPr>
          <w:rFonts w:ascii="Arial" w:cs="Arial" w:eastAsia="Arial" w:hAnsi="Arial"/>
          <w:sz w:val="19"/>
          <w:szCs w:val="19"/>
          <w:color w:val="auto"/>
        </w:rPr>
        <w:t>:</w:t>
      </w:r>
    </w:p>
    <w:p>
      <w:pPr>
        <w:spacing w:after="0" w:line="188" w:lineRule="exact"/>
        <w:rPr>
          <w:sz w:val="20"/>
          <w:szCs w:val="20"/>
          <w:color w:val="auto"/>
        </w:rPr>
      </w:pPr>
    </w:p>
    <w:p>
      <w:pPr>
        <w:jc w:val="both"/>
        <w:ind w:firstLine="566"/>
        <w:spacing w:after="0" w:line="241" w:lineRule="auto"/>
        <w:rPr>
          <w:sz w:val="20"/>
          <w:szCs w:val="20"/>
          <w:color w:val="auto"/>
        </w:rPr>
      </w:pPr>
      <w:r>
        <w:rPr>
          <w:rFonts w:ascii="Arial" w:cs="Arial" w:eastAsia="Arial" w:hAnsi="Arial"/>
          <w:sz w:val="19"/>
          <w:szCs w:val="19"/>
          <w:color w:val="auto"/>
        </w:rPr>
        <w:t>WHEREAS, the Contracting Party and the Company have entered into the License Agreement, dated as of April 17, 2012 (as amended by the First Amendment to License Agreement dated as of August 21, 2015 and as otherwise amended, restated, supplemented and/or otherwise modified from time to time in accordance with the terms thereof and hereof, the “</w:t>
      </w:r>
      <w:r>
        <w:rPr>
          <w:rFonts w:ascii="Arial" w:cs="Arial" w:eastAsia="Arial" w:hAnsi="Arial"/>
          <w:sz w:val="19"/>
          <w:szCs w:val="19"/>
          <w:u w:val="single" w:color="auto"/>
          <w:color w:val="auto"/>
        </w:rPr>
        <w:t>Assigned</w:t>
      </w:r>
      <w:r>
        <w:rPr>
          <w:rFonts w:ascii="Arial" w:cs="Arial" w:eastAsia="Arial" w:hAnsi="Arial"/>
          <w:sz w:val="19"/>
          <w:szCs w:val="19"/>
          <w:color w:val="auto"/>
        </w:rPr>
        <w:t xml:space="preserve"> </w:t>
      </w:r>
      <w:r>
        <w:rPr>
          <w:rFonts w:ascii="Arial" w:cs="Arial" w:eastAsia="Arial" w:hAnsi="Arial"/>
          <w:sz w:val="19"/>
          <w:szCs w:val="19"/>
          <w:u w:val="single" w:color="auto"/>
          <w:color w:val="auto"/>
        </w:rPr>
        <w:t>Agreement</w:t>
      </w:r>
      <w:r>
        <w:rPr>
          <w:rFonts w:ascii="Arial" w:cs="Arial" w:eastAsia="Arial" w:hAnsi="Arial"/>
          <w:sz w:val="19"/>
          <w:szCs w:val="19"/>
          <w:color w:val="auto"/>
        </w:rPr>
        <w:t>”);</w:t>
      </w:r>
    </w:p>
    <w:p>
      <w:pPr>
        <w:spacing w:after="0" w:line="160" w:lineRule="exact"/>
        <w:rPr>
          <w:sz w:val="20"/>
          <w:szCs w:val="20"/>
          <w:color w:val="auto"/>
        </w:rPr>
      </w:pPr>
    </w:p>
    <w:p>
      <w:pPr>
        <w:jc w:val="both"/>
        <w:ind w:right="20" w:firstLine="566"/>
        <w:spacing w:after="0" w:line="238" w:lineRule="auto"/>
        <w:rPr>
          <w:sz w:val="20"/>
          <w:szCs w:val="20"/>
          <w:color w:val="auto"/>
        </w:rPr>
      </w:pPr>
      <w:r>
        <w:rPr>
          <w:rFonts w:ascii="Arial" w:cs="Arial" w:eastAsia="Arial" w:hAnsi="Arial"/>
          <w:sz w:val="19"/>
          <w:szCs w:val="19"/>
          <w:color w:val="auto"/>
        </w:rPr>
        <w:t>WHEREAS, pursuant to the Loan and Security Agreement, dated as of the date hereof (as amended, restated, supplemented or otherwise modified from time to time, the “</w:t>
      </w:r>
      <w:r>
        <w:rPr>
          <w:rFonts w:ascii="Arial" w:cs="Arial" w:eastAsia="Arial" w:hAnsi="Arial"/>
          <w:sz w:val="19"/>
          <w:szCs w:val="19"/>
          <w:u w:val="single" w:color="auto"/>
          <w:color w:val="auto"/>
        </w:rPr>
        <w:t>Loan and Security Agreement</w:t>
      </w:r>
      <w:r>
        <w:rPr>
          <w:rFonts w:ascii="Arial" w:cs="Arial" w:eastAsia="Arial" w:hAnsi="Arial"/>
          <w:sz w:val="19"/>
          <w:szCs w:val="19"/>
          <w:color w:val="auto"/>
        </w:rPr>
        <w:t>”), the lenders thereunder will, among other things, extend loans to the Company, and pursuant to which the Company, among other things, will assign all of its right, title and interest in, to and under the Assigned Agreement to the Agent, acting on behalf of the Lenders (as defined in the Loan and Security Agreement, the “</w:t>
      </w:r>
      <w:r>
        <w:rPr>
          <w:rFonts w:ascii="Arial" w:cs="Arial" w:eastAsia="Arial" w:hAnsi="Arial"/>
          <w:sz w:val="19"/>
          <w:szCs w:val="19"/>
          <w:u w:val="single" w:color="auto"/>
          <w:color w:val="auto"/>
        </w:rPr>
        <w:t>Secured Parties</w:t>
      </w:r>
      <w:r>
        <w:rPr>
          <w:rFonts w:ascii="Arial" w:cs="Arial" w:eastAsia="Arial" w:hAnsi="Arial"/>
          <w:sz w:val="19"/>
          <w:szCs w:val="19"/>
          <w:color w:val="auto"/>
        </w:rPr>
        <w:t>”), as security for the Secured Obligations (as defined in the Loan and Security Agreement, the “</w:t>
      </w:r>
      <w:r>
        <w:rPr>
          <w:rFonts w:ascii="Arial" w:cs="Arial" w:eastAsia="Arial" w:hAnsi="Arial"/>
          <w:sz w:val="19"/>
          <w:szCs w:val="19"/>
          <w:u w:val="single" w:color="auto"/>
          <w:color w:val="auto"/>
        </w:rPr>
        <w:t>Secured Obligations</w:t>
      </w:r>
      <w:r>
        <w:rPr>
          <w:rFonts w:ascii="Arial" w:cs="Arial" w:eastAsia="Arial" w:hAnsi="Arial"/>
          <w:sz w:val="19"/>
          <w:szCs w:val="19"/>
          <w:color w:val="auto"/>
        </w:rPr>
        <w:t>”); and</w:t>
      </w:r>
    </w:p>
    <w:p>
      <w:pPr>
        <w:spacing w:after="0" w:line="162" w:lineRule="exact"/>
        <w:rPr>
          <w:sz w:val="20"/>
          <w:szCs w:val="20"/>
          <w:color w:val="auto"/>
        </w:rPr>
      </w:pPr>
    </w:p>
    <w:p>
      <w:pPr>
        <w:jc w:val="both"/>
        <w:ind w:right="20" w:firstLine="566"/>
        <w:spacing w:after="0" w:line="256" w:lineRule="auto"/>
        <w:rPr>
          <w:sz w:val="20"/>
          <w:szCs w:val="20"/>
          <w:color w:val="auto"/>
        </w:rPr>
      </w:pPr>
      <w:r>
        <w:rPr>
          <w:rFonts w:ascii="Arial" w:cs="Arial" w:eastAsia="Arial" w:hAnsi="Arial"/>
          <w:sz w:val="19"/>
          <w:szCs w:val="19"/>
          <w:color w:val="auto"/>
        </w:rPr>
        <w:t>WHEREAS, the Company desires to have the Contracting Party, among other things, consent to the Company’s assignment of the Assigned Interests (as defined below).</w:t>
      </w:r>
    </w:p>
    <w:p>
      <w:pPr>
        <w:spacing w:after="0" w:line="147" w:lineRule="exact"/>
        <w:rPr>
          <w:sz w:val="20"/>
          <w:szCs w:val="20"/>
          <w:color w:val="auto"/>
        </w:rPr>
      </w:pPr>
    </w:p>
    <w:p>
      <w:pPr>
        <w:jc w:val="both"/>
        <w:ind w:right="20" w:firstLine="566"/>
        <w:spacing w:after="0" w:line="315" w:lineRule="auto"/>
        <w:rPr>
          <w:sz w:val="20"/>
          <w:szCs w:val="20"/>
          <w:color w:val="auto"/>
        </w:rPr>
      </w:pPr>
      <w:r>
        <w:rPr>
          <w:rFonts w:ascii="Arial" w:cs="Arial" w:eastAsia="Arial" w:hAnsi="Arial"/>
          <w:sz w:val="17"/>
          <w:szCs w:val="17"/>
          <w:color w:val="auto"/>
        </w:rPr>
        <w:t>NOW, THEREFORE, in consideration of the foregoing, and for other good and valuable consideration, the receipt and adequacy of which are hereby acknowledged, and intending to be legally bound, the Contracting Party hereby agrees as follows: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AGREEMENT</w:t>
      </w:r>
      <w:r>
        <w:rPr>
          <w:rFonts w:ascii="Arial" w:cs="Arial" w:eastAsia="Arial" w:hAnsi="Arial"/>
          <w:sz w:val="19"/>
          <w:szCs w:val="19"/>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SECTION 1.  </w:t>
      </w:r>
      <w:r>
        <w:rPr>
          <w:rFonts w:ascii="Arial" w:cs="Arial" w:eastAsia="Arial" w:hAnsi="Arial"/>
          <w:sz w:val="19"/>
          <w:szCs w:val="19"/>
          <w:u w:val="single" w:color="auto"/>
          <w:color w:val="auto"/>
        </w:rPr>
        <w:t>CONSENT TO ASSIGNMENT</w:t>
      </w:r>
      <w:r>
        <w:rPr>
          <w:rFonts w:ascii="Arial" w:cs="Arial" w:eastAsia="Arial" w:hAnsi="Arial"/>
          <w:sz w:val="19"/>
          <w:szCs w:val="19"/>
          <w:color w:val="auto"/>
        </w:rPr>
        <w:t>.</w:t>
      </w:r>
    </w:p>
    <w:p>
      <w:pPr>
        <w:spacing w:after="0" w:line="182" w:lineRule="exact"/>
        <w:rPr>
          <w:sz w:val="20"/>
          <w:szCs w:val="20"/>
          <w:color w:val="auto"/>
        </w:rPr>
      </w:pPr>
    </w:p>
    <w:p>
      <w:pPr>
        <w:ind w:left="560"/>
        <w:spacing w:after="0"/>
        <w:tabs>
          <w:tab w:leader="none" w:pos="1100" w:val="left"/>
        </w:tabs>
        <w:rPr>
          <w:sz w:val="20"/>
          <w:szCs w:val="20"/>
          <w:color w:val="auto"/>
        </w:rPr>
      </w:pPr>
      <w:r>
        <w:rPr>
          <w:rFonts w:ascii="Arial" w:cs="Arial" w:eastAsia="Arial" w:hAnsi="Arial"/>
          <w:sz w:val="19"/>
          <w:szCs w:val="19"/>
          <w:color w:val="auto"/>
        </w:rPr>
        <w:t>1.1</w:t>
      </w:r>
      <w:r>
        <w:rPr>
          <w:sz w:val="20"/>
          <w:szCs w:val="20"/>
          <w:color w:val="auto"/>
        </w:rPr>
        <w:tab/>
      </w:r>
      <w:r>
        <w:rPr>
          <w:rFonts w:ascii="Arial" w:cs="Arial" w:eastAsia="Arial" w:hAnsi="Arial"/>
          <w:sz w:val="17"/>
          <w:szCs w:val="17"/>
          <w:u w:val="single" w:color="auto"/>
          <w:color w:val="auto"/>
        </w:rPr>
        <w:t xml:space="preserve">Consent to Assignment. </w:t>
      </w:r>
      <w:r>
        <w:rPr>
          <w:rFonts w:ascii="Arial" w:cs="Arial" w:eastAsia="Arial" w:hAnsi="Arial"/>
          <w:sz w:val="17"/>
          <w:szCs w:val="17"/>
          <w:color w:val="auto"/>
        </w:rPr>
        <w:t>The Contracting Party:</w:t>
      </w:r>
    </w:p>
    <w:p>
      <w:pPr>
        <w:spacing w:after="0" w:line="182" w:lineRule="exact"/>
        <w:rPr>
          <w:sz w:val="20"/>
          <w:szCs w:val="20"/>
          <w:color w:val="auto"/>
        </w:rPr>
      </w:pPr>
    </w:p>
    <w:p>
      <w:pPr>
        <w:jc w:val="both"/>
        <w:ind w:left="560" w:right="20" w:firstLine="568"/>
        <w:spacing w:after="0" w:line="244" w:lineRule="auto"/>
        <w:tabs>
          <w:tab w:leader="none" w:pos="1692" w:val="left"/>
        </w:tabs>
        <w:numPr>
          <w:ilvl w:val="0"/>
          <w:numId w:val="139"/>
        </w:numPr>
        <w:rPr>
          <w:rFonts w:ascii="Arial" w:cs="Arial" w:eastAsia="Arial" w:hAnsi="Arial"/>
          <w:sz w:val="19"/>
          <w:szCs w:val="19"/>
          <w:color w:val="auto"/>
        </w:rPr>
      </w:pPr>
      <w:r>
        <w:rPr>
          <w:rFonts w:ascii="Arial" w:cs="Arial" w:eastAsia="Arial" w:hAnsi="Arial"/>
          <w:sz w:val="19"/>
          <w:szCs w:val="19"/>
          <w:color w:val="auto"/>
        </w:rPr>
        <w:t>acknowledges that the Secured Parties have entered into the Loan and Security Agreement in reliance upon the execution and delivery by the Contracting Party of this Direct Agreement, which is the “Antecip Direct Agreement” referenced in the Loan and Security Agreement;</w:t>
      </w:r>
    </w:p>
    <w:p>
      <w:pPr>
        <w:spacing w:after="0" w:line="158" w:lineRule="exact"/>
        <w:rPr>
          <w:rFonts w:ascii="Arial" w:cs="Arial" w:eastAsia="Arial" w:hAnsi="Arial"/>
          <w:sz w:val="19"/>
          <w:szCs w:val="19"/>
          <w:color w:val="auto"/>
        </w:rPr>
      </w:pPr>
    </w:p>
    <w:p>
      <w:pPr>
        <w:jc w:val="both"/>
        <w:ind w:left="560" w:right="20" w:firstLine="568"/>
        <w:spacing w:after="0" w:line="265" w:lineRule="auto"/>
        <w:tabs>
          <w:tab w:leader="none" w:pos="1692" w:val="left"/>
        </w:tabs>
        <w:numPr>
          <w:ilvl w:val="0"/>
          <w:numId w:val="139"/>
        </w:numPr>
        <w:rPr>
          <w:rFonts w:ascii="Arial" w:cs="Arial" w:eastAsia="Arial" w:hAnsi="Arial"/>
          <w:sz w:val="18"/>
          <w:szCs w:val="18"/>
          <w:color w:val="auto"/>
        </w:rPr>
      </w:pPr>
      <w:r>
        <w:rPr>
          <w:rFonts w:ascii="Arial" w:cs="Arial" w:eastAsia="Arial" w:hAnsi="Arial"/>
          <w:sz w:val="18"/>
          <w:szCs w:val="18"/>
          <w:color w:val="auto"/>
        </w:rPr>
        <w:t>consents in all respects to the collateral assignment under the Loan and Security Agreement of all of the Company’s right, title and interest in, to and under the Assigned Agreement, including, without limitation, all of the Company’s rights to the Licensed Product (as defined in the Assigned Agreement), rights to receive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654685</wp:posOffset>
            </wp:positionV>
            <wp:extent cx="6311265" cy="2222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940"/>
          </w:cols>
          <w:pgMar w:left="980" w:top="303" w:right="979" w:bottom="1440" w:gutter="0" w:footer="0" w:header="0"/>
        </w:sectPr>
      </w:pPr>
    </w:p>
    <w:bookmarkStart w:id="226" w:name="page227"/>
    <w:bookmarkEnd w:id="226"/>
    <w:p>
      <w:pPr>
        <w:jc w:val="both"/>
        <w:ind w:left="564"/>
        <w:spacing w:after="0" w:line="244" w:lineRule="auto"/>
        <w:rPr>
          <w:sz w:val="20"/>
          <w:szCs w:val="20"/>
          <w:color w:val="auto"/>
        </w:rPr>
      </w:pPr>
      <w:r>
        <w:rPr>
          <w:rFonts w:ascii="Arial" w:cs="Arial" w:eastAsia="Arial" w:hAnsi="Arial"/>
          <w:sz w:val="19"/>
          <w:szCs w:val="19"/>
          <w:color w:val="auto"/>
        </w:rPr>
        <w:t>under or with respect to the Assigned Agreement and all payments due and to become due to the Company under or with respect to the Assigned Agreement, whether as contractual obligations, damages, indemnity payments or otherwise (collectively, the “</w:t>
      </w:r>
      <w:r>
        <w:rPr>
          <w:rFonts w:ascii="Arial" w:cs="Arial" w:eastAsia="Arial" w:hAnsi="Arial"/>
          <w:sz w:val="19"/>
          <w:szCs w:val="19"/>
          <w:u w:val="single" w:color="auto"/>
          <w:color w:val="auto"/>
        </w:rPr>
        <w:t>Assigned Interests</w:t>
      </w:r>
      <w:r>
        <w:rPr>
          <w:rFonts w:ascii="Arial" w:cs="Arial" w:eastAsia="Arial" w:hAnsi="Arial"/>
          <w:sz w:val="19"/>
          <w:szCs w:val="19"/>
          <w:color w:val="auto"/>
        </w:rPr>
        <w:t>”); and</w:t>
      </w:r>
    </w:p>
    <w:p>
      <w:pPr>
        <w:spacing w:after="0" w:line="159" w:lineRule="exact"/>
        <w:rPr>
          <w:sz w:val="20"/>
          <w:szCs w:val="20"/>
          <w:color w:val="auto"/>
        </w:rPr>
      </w:pPr>
    </w:p>
    <w:p>
      <w:pPr>
        <w:jc w:val="both"/>
        <w:ind w:left="564" w:firstLine="568"/>
        <w:spacing w:after="0" w:line="244" w:lineRule="auto"/>
        <w:tabs>
          <w:tab w:leader="none" w:pos="1696" w:val="left"/>
        </w:tabs>
        <w:numPr>
          <w:ilvl w:val="0"/>
          <w:numId w:val="140"/>
        </w:numPr>
        <w:rPr>
          <w:rFonts w:ascii="Arial" w:cs="Arial" w:eastAsia="Arial" w:hAnsi="Arial"/>
          <w:sz w:val="19"/>
          <w:szCs w:val="19"/>
          <w:color w:val="auto"/>
        </w:rPr>
      </w:pPr>
      <w:r>
        <w:rPr>
          <w:rFonts w:ascii="Arial" w:cs="Arial" w:eastAsia="Arial" w:hAnsi="Arial"/>
          <w:sz w:val="19"/>
          <w:szCs w:val="19"/>
          <w:color w:val="auto"/>
        </w:rPr>
        <w:t>acknowledges the right of the Agent or its designee(s) or assignee(s), in the exercise of the Agent’s rights and remedies under the Loan and Security Agreement, to make all demands, give all notices, take all actions and exercise all rights of the Company under the Assigned Agreement.</w:t>
      </w:r>
    </w:p>
    <w:p>
      <w:pPr>
        <w:spacing w:after="0" w:line="158" w:lineRule="exact"/>
        <w:rPr>
          <w:rFonts w:ascii="Arial" w:cs="Arial" w:eastAsia="Arial" w:hAnsi="Arial"/>
          <w:sz w:val="19"/>
          <w:szCs w:val="19"/>
          <w:color w:val="auto"/>
        </w:rPr>
      </w:pPr>
    </w:p>
    <w:p>
      <w:pPr>
        <w:jc w:val="both"/>
        <w:ind w:left="564" w:right="20" w:firstLine="568"/>
        <w:spacing w:after="0" w:line="244" w:lineRule="auto"/>
        <w:tabs>
          <w:tab w:leader="none" w:pos="1696" w:val="left"/>
        </w:tabs>
        <w:numPr>
          <w:ilvl w:val="0"/>
          <w:numId w:val="140"/>
        </w:numPr>
        <w:rPr>
          <w:rFonts w:ascii="Arial" w:cs="Arial" w:eastAsia="Arial" w:hAnsi="Arial"/>
          <w:sz w:val="19"/>
          <w:szCs w:val="19"/>
          <w:color w:val="auto"/>
        </w:rPr>
      </w:pPr>
      <w:r>
        <w:rPr>
          <w:rFonts w:ascii="Arial" w:cs="Arial" w:eastAsia="Arial" w:hAnsi="Arial"/>
          <w:sz w:val="19"/>
          <w:szCs w:val="19"/>
          <w:color w:val="auto"/>
        </w:rPr>
        <w:t>agrees that it shall not terminate or seek to terminate the Assigned Agreement solely on the basis of the Company’s insolvency at any time prior to the termination (in accordance with its terms) of the Loan and Security Agreement.</w:t>
      </w:r>
    </w:p>
    <w:p>
      <w:pPr>
        <w:spacing w:after="0" w:line="159" w:lineRule="exact"/>
        <w:rPr>
          <w:sz w:val="20"/>
          <w:szCs w:val="20"/>
          <w:color w:val="auto"/>
        </w:rPr>
      </w:pPr>
    </w:p>
    <w:p>
      <w:pPr>
        <w:jc w:val="both"/>
        <w:ind w:left="4" w:right="20" w:firstLine="566"/>
        <w:spacing w:after="0" w:line="251"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Substitute Owner</w:t>
      </w:r>
      <w:r>
        <w:rPr>
          <w:rFonts w:ascii="Arial" w:cs="Arial" w:eastAsia="Arial" w:hAnsi="Arial"/>
          <w:sz w:val="18"/>
          <w:szCs w:val="18"/>
          <w:color w:val="auto"/>
        </w:rPr>
        <w:t>. The Contracting Party agrees that, if the Agent notifies the Contracting Party that an Event of Default (as defined in the Loan and Security Agreement) has occurred and is continuing and that the Agent or its designee(s) or assignee(s) has elected to exercise the rights and remedies set forth in the Loan and Security Agreement or any other Loan Documents, then the Agent, its designee(s) or assignee(s) or any other purchaser of the Assigned Interests in a judicial or nonjudicial foreclosure sale (a “Substitute Owner”) shall be substituted for the Company under the Assigned Agreement, subject to any rights and remedies that the Company may have under the Loan and Security Agreement. In such event, the Contracting Party shall recognize such Substitute Owner in its capacity as such and shall continue to perform its obligations under the Assigned Agreement in favor of such Substitute Owner.</w:t>
      </w:r>
    </w:p>
    <w:p>
      <w:pPr>
        <w:spacing w:after="0" w:line="155" w:lineRule="exact"/>
        <w:rPr>
          <w:sz w:val="20"/>
          <w:szCs w:val="20"/>
          <w:color w:val="auto"/>
        </w:rPr>
      </w:pPr>
    </w:p>
    <w:p>
      <w:pPr>
        <w:jc w:val="both"/>
        <w:ind w:left="4" w:firstLine="566"/>
        <w:spacing w:after="0" w:line="249"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Right to Cure</w:t>
      </w:r>
      <w:r>
        <w:rPr>
          <w:rFonts w:ascii="Arial" w:cs="Arial" w:eastAsia="Arial" w:hAnsi="Arial"/>
          <w:sz w:val="18"/>
          <w:szCs w:val="18"/>
          <w:color w:val="auto"/>
        </w:rPr>
        <w:t>. The Agent (through itself or any other Substitute Owner) may cure any breach or default by the Company under the Assigned Agreement. In the event of a default by the Company in the performance of any of its obligations under the Assigned Agreement, or upon the occurrence or non-occurrence of any event or condition under the Assigned Agreement that would immediately or with the passage of any applicable grace period or the giving of notice, or both, enable the Contracting Party to terminate the Assigned Agreement (in either case, a “default”), the Contracting Party will not terminate the Assigned Agreement until it first gives prompt written notice of such default to the Agent and affords the Agent or its designee(s) or assignee(s) a period of at least 60 days (or, if such default is a nonmonetary default, such longer period as is required so long as any such party has commenced and is diligently pursuing appropriate action to cure such default) from receipt of such notice to cure such default; provided, further, that, if the Agent or its designee(s) or assignee(s) is prohibited from curing any such default by any process, stay or injunction issued by any governmental authority or pursuant to any bankruptcy or insolvency proceeding or other similar proceeding involving the Company, then the time periods specified herein for curing a default shall be extended for the period of such prohibition.</w:t>
      </w:r>
    </w:p>
    <w:p>
      <w:pPr>
        <w:spacing w:after="0" w:line="158" w:lineRule="exact"/>
        <w:rPr>
          <w:sz w:val="20"/>
          <w:szCs w:val="20"/>
          <w:color w:val="auto"/>
        </w:rPr>
      </w:pPr>
    </w:p>
    <w:p>
      <w:pPr>
        <w:ind w:left="564"/>
        <w:spacing w:after="0"/>
        <w:tabs>
          <w:tab w:leader="none" w:pos="1103" w:val="left"/>
        </w:tabs>
        <w:rPr>
          <w:sz w:val="20"/>
          <w:szCs w:val="20"/>
          <w:color w:val="auto"/>
        </w:rPr>
      </w:pPr>
      <w:r>
        <w:rPr>
          <w:rFonts w:ascii="Arial" w:cs="Arial" w:eastAsia="Arial" w:hAnsi="Arial"/>
          <w:sz w:val="19"/>
          <w:szCs w:val="19"/>
          <w:color w:val="auto"/>
        </w:rPr>
        <w:t>1.4</w:t>
      </w:r>
      <w:r>
        <w:rPr>
          <w:sz w:val="20"/>
          <w:szCs w:val="20"/>
          <w:color w:val="auto"/>
        </w:rPr>
        <w:tab/>
      </w:r>
      <w:r>
        <w:rPr>
          <w:rFonts w:ascii="Arial" w:cs="Arial" w:eastAsia="Arial" w:hAnsi="Arial"/>
          <w:sz w:val="17"/>
          <w:szCs w:val="17"/>
          <w:u w:val="single" w:color="auto"/>
          <w:color w:val="auto"/>
        </w:rPr>
        <w:t xml:space="preserve">No Amendments, Etc. </w:t>
      </w:r>
      <w:r>
        <w:rPr>
          <w:rFonts w:ascii="Arial" w:cs="Arial" w:eastAsia="Arial" w:hAnsi="Arial"/>
          <w:sz w:val="17"/>
          <w:szCs w:val="17"/>
          <w:color w:val="auto"/>
        </w:rPr>
        <w:t>The Contracting Party agrees that it will not, without the prior written consent of the Agent,</w:t>
      </w:r>
    </w:p>
    <w:p>
      <w:pPr>
        <w:spacing w:after="0" w:line="10" w:lineRule="exact"/>
        <w:rPr>
          <w:sz w:val="20"/>
          <w:szCs w:val="20"/>
          <w:color w:val="auto"/>
        </w:rPr>
      </w:pPr>
    </w:p>
    <w:p>
      <w:pPr>
        <w:jc w:val="both"/>
        <w:ind w:left="4" w:right="20" w:hanging="4"/>
        <w:spacing w:after="0" w:line="237" w:lineRule="auto"/>
        <w:tabs>
          <w:tab w:leader="none" w:pos="268" w:val="left"/>
        </w:tabs>
        <w:numPr>
          <w:ilvl w:val="0"/>
          <w:numId w:val="141"/>
        </w:numPr>
        <w:rPr>
          <w:rFonts w:ascii="Arial" w:cs="Arial" w:eastAsia="Arial" w:hAnsi="Arial"/>
          <w:sz w:val="19"/>
          <w:szCs w:val="19"/>
          <w:color w:val="auto"/>
        </w:rPr>
      </w:pPr>
      <w:r>
        <w:rPr>
          <w:rFonts w:ascii="Arial" w:cs="Arial" w:eastAsia="Arial" w:hAnsi="Arial"/>
          <w:sz w:val="19"/>
          <w:szCs w:val="19"/>
          <w:color w:val="auto"/>
        </w:rPr>
        <w:t>enter into any amendment, supplement, restatement, extension, novation or other modification of the Assigned Agreement, (b) assign or otherwise transfer any of its rights or obligations under the Assigned Agreement or license, assign, release, sell or otherwise transfer any of its rights or ownership interest in or under the intellectual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668655</wp:posOffset>
            </wp:positionV>
            <wp:extent cx="6311265" cy="2222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944"/>
          </w:cols>
          <w:pgMar w:left="976" w:top="781" w:right="979" w:bottom="1440" w:gutter="0" w:footer="0" w:header="0"/>
        </w:sectPr>
      </w:pPr>
    </w:p>
    <w:bookmarkStart w:id="227" w:name="page228"/>
    <w:bookmarkEnd w:id="227"/>
    <w:p>
      <w:pPr>
        <w:jc w:val="both"/>
        <w:ind w:right="20"/>
        <w:spacing w:after="0" w:line="265" w:lineRule="auto"/>
        <w:rPr>
          <w:sz w:val="20"/>
          <w:szCs w:val="20"/>
          <w:color w:val="auto"/>
        </w:rPr>
      </w:pPr>
      <w:r>
        <w:rPr>
          <w:rFonts w:ascii="Arial" w:cs="Arial" w:eastAsia="Arial" w:hAnsi="Arial"/>
          <w:sz w:val="18"/>
          <w:szCs w:val="18"/>
          <w:color w:val="auto"/>
        </w:rPr>
        <w:t>property and related rights covered by the Assigned Agreement, (c) terminate, cancel or suspend its performance under the Assigned Agreement, (d) consent to any assignment or other transfer by the Company of its rights under the Assigned Agreement or (e) consent to any termination, cancellation or suspension of performance under the Assigned Agreement.</w:t>
      </w:r>
    </w:p>
    <w:p>
      <w:pPr>
        <w:spacing w:after="0" w:line="140" w:lineRule="exact"/>
        <w:rPr>
          <w:sz w:val="20"/>
          <w:szCs w:val="20"/>
          <w:color w:val="auto"/>
        </w:rPr>
      </w:pPr>
    </w:p>
    <w:p>
      <w:pPr>
        <w:jc w:val="both"/>
        <w:ind w:firstLine="566"/>
        <w:spacing w:after="0" w:line="252"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Replacement Agreement</w:t>
      </w:r>
      <w:r>
        <w:rPr>
          <w:rFonts w:ascii="Arial" w:cs="Arial" w:eastAsia="Arial" w:hAnsi="Arial"/>
          <w:sz w:val="18"/>
          <w:szCs w:val="18"/>
          <w:color w:val="auto"/>
        </w:rPr>
        <w:t>. In the event that the Assigned Agreement is terminated as a result of any reason other than a default that could have been but was not cured by the Agent, a Substitute Owner, or any of their designee(s) or assignee(s) as provided in Section 1.3 (including, without limitation, any bankruptcy, insolvency or other similar proceeding affecting the Company or any of its Subsidiaries), the Contracting Party will, at the option of the Agent, enter into a new agreement with the Agent, Substitute Owner, or each of its designee(s) or assignee(s) having terms substantially the same as the terms of the Assigned Agreement (a “Replacement Agreement”), and thereafter references to the Assigned Agreement herein shall be deemed to be references to such Replacement Agreement.</w:t>
      </w:r>
    </w:p>
    <w:p>
      <w:pPr>
        <w:spacing w:after="0" w:line="153" w:lineRule="exact"/>
        <w:rPr>
          <w:sz w:val="20"/>
          <w:szCs w:val="20"/>
          <w:color w:val="auto"/>
        </w:rPr>
      </w:pPr>
    </w:p>
    <w:p>
      <w:pPr>
        <w:ind w:left="560"/>
        <w:spacing w:after="0"/>
        <w:tabs>
          <w:tab w:leader="none" w:pos="1100" w:val="left"/>
        </w:tabs>
        <w:rPr>
          <w:sz w:val="20"/>
          <w:szCs w:val="20"/>
          <w:color w:val="auto"/>
        </w:rPr>
      </w:pPr>
      <w:r>
        <w:rPr>
          <w:rFonts w:ascii="Arial" w:cs="Arial" w:eastAsia="Arial" w:hAnsi="Arial"/>
          <w:sz w:val="19"/>
          <w:szCs w:val="19"/>
          <w:color w:val="auto"/>
        </w:rPr>
        <w:t>1.6</w:t>
      </w:r>
      <w:r>
        <w:rPr>
          <w:sz w:val="20"/>
          <w:szCs w:val="20"/>
          <w:color w:val="auto"/>
        </w:rPr>
        <w:tab/>
      </w:r>
      <w:r>
        <w:rPr>
          <w:rFonts w:ascii="Arial" w:cs="Arial" w:eastAsia="Arial" w:hAnsi="Arial"/>
          <w:sz w:val="18"/>
          <w:szCs w:val="18"/>
          <w:u w:val="single" w:color="auto"/>
          <w:color w:val="auto"/>
        </w:rPr>
        <w:t>No Liability of Agent.</w:t>
      </w:r>
    </w:p>
    <w:p>
      <w:pPr>
        <w:spacing w:after="0" w:line="182" w:lineRule="exact"/>
        <w:rPr>
          <w:sz w:val="20"/>
          <w:szCs w:val="20"/>
          <w:color w:val="auto"/>
        </w:rPr>
      </w:pPr>
    </w:p>
    <w:p>
      <w:pPr>
        <w:jc w:val="both"/>
        <w:ind w:firstLine="1128"/>
        <w:spacing w:after="0" w:line="250" w:lineRule="auto"/>
        <w:tabs>
          <w:tab w:leader="none" w:pos="1698"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Contracting Party acknowledges and agrees that neither the Agent nor its designee(s) or assignee(s) shall have any liability or obligation under the Assigned Agreement as a result of this Direct Agreement, the Loan and Security Agreement or otherwise, nor shall the Agent or its designee(s) or assignee(s) be obligated or required to (i) perform any of the Company’s obligations under the Assigned Agreement except during any period in which the Agent or its designee(s) or assignee(s) is a Substitute Owner pursuant to Section 1.2, in which case (A) the obligations of such Substitute Owner shall be no more than that of the Company under the Assigned Agreement and (B) such Substitute Owner shall not be required to perform or be subject to any defenses or offsets by reason of any of the Company’s obligations under the Assigned Agreement that were unperformed at the time such Substitute Owner became a Substitute Owner (other than any defaults for failure to pay amounts owed under the Assigned Agreement), or (ii) take any action to collect or enforce any claim for payment assigned under the Loan and Security Agreement.</w:t>
      </w:r>
    </w:p>
    <w:p>
      <w:pPr>
        <w:spacing w:after="0" w:line="154" w:lineRule="exact"/>
        <w:rPr>
          <w:rFonts w:ascii="Arial" w:cs="Arial" w:eastAsia="Arial" w:hAnsi="Arial"/>
          <w:sz w:val="18"/>
          <w:szCs w:val="18"/>
          <w:color w:val="auto"/>
        </w:rPr>
      </w:pPr>
    </w:p>
    <w:p>
      <w:pPr>
        <w:jc w:val="both"/>
        <w:ind w:right="20" w:firstLine="1128"/>
        <w:spacing w:after="0" w:line="287" w:lineRule="auto"/>
        <w:tabs>
          <w:tab w:leader="none" w:pos="1698" w:val="left"/>
        </w:tabs>
        <w:numPr>
          <w:ilvl w:val="0"/>
          <w:numId w:val="142"/>
        </w:numPr>
        <w:rPr>
          <w:rFonts w:ascii="Arial" w:cs="Arial" w:eastAsia="Arial" w:hAnsi="Arial"/>
          <w:sz w:val="17"/>
          <w:szCs w:val="17"/>
          <w:color w:val="auto"/>
        </w:rPr>
      </w:pPr>
      <w:r>
        <w:rPr>
          <w:rFonts w:ascii="Arial" w:cs="Arial" w:eastAsia="Arial" w:hAnsi="Arial"/>
          <w:sz w:val="17"/>
          <w:szCs w:val="17"/>
          <w:color w:val="auto"/>
        </w:rPr>
        <w:t>In the event that the Agent or its designee(s) or assignee(s) becomes a Substitute Owner pursuant to Section 1.2 or enters into a Replacement Agreement pursuant to Section 1.5, neither the Agent nor its designee(s) or assignee(s) shall have any personal liability to the Contracting Party under the Assigned Agreement or such Replacement Agreement.</w:t>
      </w:r>
    </w:p>
    <w:p>
      <w:pPr>
        <w:spacing w:after="0" w:line="124" w:lineRule="exact"/>
        <w:rPr>
          <w:rFonts w:ascii="Arial" w:cs="Arial" w:eastAsia="Arial" w:hAnsi="Arial"/>
          <w:sz w:val="17"/>
          <w:szCs w:val="17"/>
          <w:color w:val="auto"/>
        </w:rPr>
      </w:pPr>
    </w:p>
    <w:p>
      <w:pPr>
        <w:jc w:val="both"/>
        <w:ind w:firstLine="1128"/>
        <w:spacing w:after="0" w:line="241" w:lineRule="auto"/>
        <w:tabs>
          <w:tab w:leader="none" w:pos="1698" w:val="left"/>
        </w:tabs>
        <w:numPr>
          <w:ilvl w:val="0"/>
          <w:numId w:val="142"/>
        </w:numPr>
        <w:rPr>
          <w:rFonts w:ascii="Arial" w:cs="Arial" w:eastAsia="Arial" w:hAnsi="Arial"/>
          <w:sz w:val="19"/>
          <w:szCs w:val="19"/>
          <w:color w:val="auto"/>
        </w:rPr>
      </w:pPr>
      <w:r>
        <w:rPr>
          <w:rFonts w:ascii="Arial" w:cs="Arial" w:eastAsia="Arial" w:hAnsi="Arial"/>
          <w:sz w:val="19"/>
          <w:szCs w:val="19"/>
          <w:color w:val="auto"/>
        </w:rPr>
        <w:t>In the event that the Agent or its designee(s) or assignee(s) transfers all of the interest held by it in this Direct Agreement, the Assigned Agreement and any Replacement Agreement to a Substitute Owner, the Agent or such designee(s) or assignee(s) shall, upon such transfer, be released from any and all liability hereunder and under the Assigned Agreement and any such Replacement Agreement and otherwise.</w:t>
      </w:r>
    </w:p>
    <w:p>
      <w:pPr>
        <w:spacing w:after="0" w:line="160" w:lineRule="exact"/>
        <w:rPr>
          <w:sz w:val="20"/>
          <w:szCs w:val="20"/>
          <w:color w:val="auto"/>
        </w:rPr>
      </w:pPr>
    </w:p>
    <w:p>
      <w:pPr>
        <w:ind w:left="560"/>
        <w:spacing w:after="0"/>
        <w:tabs>
          <w:tab w:leader="none" w:pos="1100" w:val="left"/>
        </w:tabs>
        <w:rPr>
          <w:sz w:val="20"/>
          <w:szCs w:val="20"/>
          <w:color w:val="auto"/>
        </w:rPr>
      </w:pPr>
      <w:r>
        <w:rPr>
          <w:rFonts w:ascii="Arial" w:cs="Arial" w:eastAsia="Arial" w:hAnsi="Arial"/>
          <w:sz w:val="19"/>
          <w:szCs w:val="19"/>
          <w:color w:val="auto"/>
        </w:rPr>
        <w:t>1.7</w:t>
      </w:r>
      <w:r>
        <w:rPr>
          <w:sz w:val="20"/>
          <w:szCs w:val="20"/>
          <w:color w:val="auto"/>
        </w:rPr>
        <w:tab/>
      </w:r>
      <w:r>
        <w:rPr>
          <w:rFonts w:ascii="Arial" w:cs="Arial" w:eastAsia="Arial" w:hAnsi="Arial"/>
          <w:sz w:val="17"/>
          <w:szCs w:val="17"/>
          <w:u w:val="single" w:color="auto"/>
          <w:color w:val="auto"/>
        </w:rPr>
        <w:t>Contracting Party Performance.</w:t>
      </w:r>
    </w:p>
    <w:p>
      <w:pPr>
        <w:spacing w:after="0" w:line="182" w:lineRule="exact"/>
        <w:rPr>
          <w:sz w:val="20"/>
          <w:szCs w:val="20"/>
          <w:color w:val="auto"/>
        </w:rPr>
      </w:pPr>
    </w:p>
    <w:p>
      <w:pPr>
        <w:ind w:firstLine="1128"/>
        <w:spacing w:after="0" w:line="256" w:lineRule="auto"/>
        <w:tabs>
          <w:tab w:leader="none" w:pos="1698" w:val="left"/>
        </w:tabs>
        <w:numPr>
          <w:ilvl w:val="0"/>
          <w:numId w:val="143"/>
        </w:numPr>
        <w:rPr>
          <w:rFonts w:ascii="Arial" w:cs="Arial" w:eastAsia="Arial" w:hAnsi="Arial"/>
          <w:sz w:val="19"/>
          <w:szCs w:val="19"/>
          <w:color w:val="auto"/>
        </w:rPr>
      </w:pPr>
      <w:r>
        <w:rPr>
          <w:rFonts w:ascii="Arial" w:cs="Arial" w:eastAsia="Arial" w:hAnsi="Arial"/>
          <w:sz w:val="19"/>
          <w:szCs w:val="19"/>
          <w:color w:val="auto"/>
        </w:rPr>
        <w:t>The Contracting Party shall perform and comply with all material terms and provisions of the Assigned Agreement to be performed or complied with by it for the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659130</wp:posOffset>
            </wp:positionV>
            <wp:extent cx="6311265" cy="2222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940"/>
          </w:cols>
          <w:pgMar w:left="980" w:top="781" w:right="979" w:bottom="1440" w:gutter="0" w:footer="0" w:header="0"/>
        </w:sectPr>
      </w:pPr>
    </w:p>
    <w:bookmarkStart w:id="228" w:name="page229"/>
    <w:bookmarkEnd w:id="228"/>
    <w:p>
      <w:pPr>
        <w:spacing w:after="0"/>
        <w:rPr>
          <w:sz w:val="20"/>
          <w:szCs w:val="20"/>
          <w:color w:val="auto"/>
        </w:rPr>
      </w:pPr>
      <w:r>
        <w:rPr>
          <w:rFonts w:ascii="Arial" w:cs="Arial" w:eastAsia="Arial" w:hAnsi="Arial"/>
          <w:sz w:val="19"/>
          <w:szCs w:val="19"/>
          <w:color w:val="auto"/>
        </w:rPr>
        <w:t>of the Agent and shall maintain the Assigned Agreement in full force and effect in accordance with the terms thereof.</w:t>
      </w:r>
    </w:p>
    <w:p>
      <w:pPr>
        <w:spacing w:after="0" w:line="182" w:lineRule="exact"/>
        <w:rPr>
          <w:sz w:val="20"/>
          <w:szCs w:val="20"/>
          <w:color w:val="auto"/>
        </w:rPr>
      </w:pPr>
    </w:p>
    <w:p>
      <w:pPr>
        <w:jc w:val="both"/>
        <w:ind w:right="20" w:firstLine="1128"/>
        <w:spacing w:after="0" w:line="239" w:lineRule="auto"/>
        <w:tabs>
          <w:tab w:leader="none" w:pos="1698" w:val="left"/>
        </w:tabs>
        <w:numPr>
          <w:ilvl w:val="0"/>
          <w:numId w:val="144"/>
        </w:numPr>
        <w:rPr>
          <w:rFonts w:ascii="Arial" w:cs="Arial" w:eastAsia="Arial" w:hAnsi="Arial"/>
          <w:sz w:val="19"/>
          <w:szCs w:val="19"/>
          <w:color w:val="auto"/>
        </w:rPr>
      </w:pPr>
      <w:r>
        <w:rPr>
          <w:rFonts w:ascii="Arial" w:cs="Arial" w:eastAsia="Arial" w:hAnsi="Arial"/>
          <w:sz w:val="19"/>
          <w:szCs w:val="19"/>
          <w:color w:val="auto"/>
        </w:rPr>
        <w:t xml:space="preserve">The Agent shall have the right to assign all or a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interest in the Assigned Agreement or a Replacement Agreement to a Substitute Owner, provided that such Substitute Owner assumes the obligations of the Company or the Agent, as applicable, under the Assigned Agreement or such Replacement Agreement. Upon such assignment, the Agent shall be released from any further liability under the Assigned Agreement or such Replacement Agreement to the extent of the interest assigned.</w:t>
      </w:r>
    </w:p>
    <w:p>
      <w:pPr>
        <w:spacing w:after="0" w:line="162" w:lineRule="exact"/>
        <w:rPr>
          <w:sz w:val="20"/>
          <w:szCs w:val="20"/>
          <w:color w:val="auto"/>
        </w:rPr>
      </w:pPr>
    </w:p>
    <w:p>
      <w:pPr>
        <w:jc w:val="both"/>
        <w:ind w:firstLine="566"/>
        <w:spacing w:after="0" w:line="244" w:lineRule="auto"/>
        <w:rPr>
          <w:sz w:val="20"/>
          <w:szCs w:val="20"/>
          <w:color w:val="auto"/>
        </w:rPr>
      </w:pPr>
      <w:r>
        <w:rPr>
          <w:rFonts w:ascii="Arial" w:cs="Arial" w:eastAsia="Arial" w:hAnsi="Arial"/>
          <w:sz w:val="19"/>
          <w:szCs w:val="19"/>
          <w:color w:val="auto"/>
        </w:rPr>
        <w:t xml:space="preserve">1.8 </w:t>
      </w:r>
      <w:r>
        <w:rPr>
          <w:rFonts w:ascii="Arial" w:cs="Arial" w:eastAsia="Arial" w:hAnsi="Arial"/>
          <w:sz w:val="19"/>
          <w:szCs w:val="19"/>
          <w:u w:val="single" w:color="auto"/>
          <w:color w:val="auto"/>
        </w:rPr>
        <w:t>Delivery of Notices</w:t>
      </w:r>
      <w:r>
        <w:rPr>
          <w:rFonts w:ascii="Arial" w:cs="Arial" w:eastAsia="Arial" w:hAnsi="Arial"/>
          <w:sz w:val="19"/>
          <w:szCs w:val="19"/>
          <w:color w:val="auto"/>
        </w:rPr>
        <w:t>. The Contracting Party shall deliver to the Agent and its designee(s) or assignee(s), concurrently with the delivery thereof to the Company, a copy of each notice, request or demand given by the Contracting Party to the Company pursuant to the Assigned Agreement.</w:t>
      </w:r>
    </w:p>
    <w:p>
      <w:pPr>
        <w:spacing w:after="0" w:line="159"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SECTION 2.  </w:t>
      </w:r>
      <w:r>
        <w:rPr>
          <w:rFonts w:ascii="Arial" w:cs="Arial" w:eastAsia="Arial" w:hAnsi="Arial"/>
          <w:sz w:val="19"/>
          <w:szCs w:val="19"/>
          <w:u w:val="single" w:color="auto"/>
          <w:color w:val="auto"/>
        </w:rPr>
        <w:t>AMENDMENTS</w:t>
      </w:r>
      <w:r>
        <w:rPr>
          <w:rFonts w:ascii="Arial" w:cs="Arial" w:eastAsia="Arial" w:hAnsi="Arial"/>
          <w:sz w:val="19"/>
          <w:szCs w:val="19"/>
          <w:color w:val="auto"/>
        </w:rPr>
        <w:t>.</w:t>
      </w:r>
    </w:p>
    <w:p>
      <w:pPr>
        <w:spacing w:after="0" w:line="182" w:lineRule="exact"/>
        <w:rPr>
          <w:sz w:val="20"/>
          <w:szCs w:val="20"/>
          <w:color w:val="auto"/>
        </w:rPr>
      </w:pPr>
    </w:p>
    <w:p>
      <w:pPr>
        <w:jc w:val="both"/>
        <w:ind w:right="20" w:firstLine="566"/>
        <w:spacing w:after="0" w:line="265" w:lineRule="auto"/>
        <w:rPr>
          <w:sz w:val="20"/>
          <w:szCs w:val="20"/>
          <w:color w:val="auto"/>
        </w:rPr>
      </w:pPr>
      <w:r>
        <w:rPr>
          <w:rFonts w:ascii="Arial" w:cs="Arial" w:eastAsia="Arial" w:hAnsi="Arial"/>
          <w:sz w:val="18"/>
          <w:szCs w:val="18"/>
          <w:color w:val="auto"/>
        </w:rPr>
        <w:t>Notwithstanding any provision contained in the Assigned Agreement to the contrary, Contracting Party and Company acknowledge and agree to the following amendments, supplements, modifications, clarifications, acknowledgements, certifications and confirmations (collectively, “Amendments”) in respect of the Assigned Agreement:</w:t>
      </w:r>
    </w:p>
    <w:p>
      <w:pPr>
        <w:spacing w:after="0" w:line="140" w:lineRule="exact"/>
        <w:rPr>
          <w:sz w:val="20"/>
          <w:szCs w:val="20"/>
          <w:color w:val="auto"/>
        </w:rPr>
      </w:pPr>
    </w:p>
    <w:p>
      <w:pPr>
        <w:ind w:left="1700" w:hanging="572"/>
        <w:spacing w:after="0"/>
        <w:tabs>
          <w:tab w:leader="none" w:pos="1700" w:val="left"/>
        </w:tabs>
        <w:numPr>
          <w:ilvl w:val="0"/>
          <w:numId w:val="145"/>
        </w:numPr>
        <w:rPr>
          <w:rFonts w:ascii="Arial" w:cs="Arial" w:eastAsia="Arial" w:hAnsi="Arial"/>
          <w:sz w:val="19"/>
          <w:szCs w:val="19"/>
          <w:color w:val="auto"/>
        </w:rPr>
      </w:pPr>
      <w:r>
        <w:rPr>
          <w:rFonts w:ascii="Arial" w:cs="Arial" w:eastAsia="Arial" w:hAnsi="Arial"/>
          <w:sz w:val="19"/>
          <w:szCs w:val="19"/>
          <w:color w:val="auto"/>
        </w:rPr>
        <w:t>Section 3.1 of the Assigned Agreement is hereby amended and restated as follows:</w:t>
      </w:r>
    </w:p>
    <w:p>
      <w:pPr>
        <w:spacing w:after="0" w:line="182" w:lineRule="exact"/>
        <w:rPr>
          <w:sz w:val="20"/>
          <w:szCs w:val="20"/>
          <w:color w:val="auto"/>
        </w:rPr>
      </w:pPr>
    </w:p>
    <w:p>
      <w:pPr>
        <w:ind w:left="1120"/>
        <w:spacing w:after="0" w:line="256" w:lineRule="auto"/>
        <w:rPr>
          <w:sz w:val="20"/>
          <w:szCs w:val="20"/>
          <w:color w:val="auto"/>
        </w:rPr>
      </w:pPr>
      <w:r>
        <w:rPr>
          <w:rFonts w:ascii="Arial" w:cs="Arial" w:eastAsia="Arial" w:hAnsi="Arial"/>
          <w:sz w:val="19"/>
          <w:szCs w:val="19"/>
          <w:color w:val="auto"/>
        </w:rPr>
        <w:t>“Axsome shall have the right to grant sublicenses of its rights granted to it pursuant to Section 3.0 which may, in Axsome’s discretion, convey to Sublicensees the right to grant further sublicenses.”</w:t>
      </w:r>
    </w:p>
    <w:p>
      <w:pPr>
        <w:spacing w:after="0" w:line="147" w:lineRule="exact"/>
        <w:rPr>
          <w:sz w:val="20"/>
          <w:szCs w:val="20"/>
          <w:color w:val="auto"/>
        </w:rPr>
      </w:pPr>
    </w:p>
    <w:p>
      <w:pPr>
        <w:ind w:left="1700" w:hanging="572"/>
        <w:spacing w:after="0"/>
        <w:tabs>
          <w:tab w:leader="none" w:pos="1700" w:val="left"/>
        </w:tabs>
        <w:numPr>
          <w:ilvl w:val="0"/>
          <w:numId w:val="146"/>
        </w:numPr>
        <w:rPr>
          <w:rFonts w:ascii="Arial" w:cs="Arial" w:eastAsia="Arial" w:hAnsi="Arial"/>
          <w:sz w:val="19"/>
          <w:szCs w:val="19"/>
          <w:color w:val="auto"/>
        </w:rPr>
      </w:pPr>
      <w:r>
        <w:rPr>
          <w:rFonts w:ascii="Arial" w:cs="Arial" w:eastAsia="Arial" w:hAnsi="Arial"/>
          <w:sz w:val="19"/>
          <w:szCs w:val="19"/>
          <w:color w:val="auto"/>
        </w:rPr>
        <w:t>Section 6.0 of the Assigned Agreement is hereby amended and restated as follows:</w:t>
      </w:r>
    </w:p>
    <w:p>
      <w:pPr>
        <w:spacing w:after="0" w:line="182" w:lineRule="exact"/>
        <w:rPr>
          <w:sz w:val="20"/>
          <w:szCs w:val="20"/>
          <w:color w:val="auto"/>
        </w:rPr>
      </w:pPr>
    </w:p>
    <w:p>
      <w:pPr>
        <w:jc w:val="both"/>
        <w:ind w:left="1120" w:right="20"/>
        <w:spacing w:after="0" w:line="241" w:lineRule="auto"/>
        <w:rPr>
          <w:sz w:val="20"/>
          <w:szCs w:val="20"/>
          <w:color w:val="auto"/>
        </w:rPr>
      </w:pPr>
      <w:r>
        <w:rPr>
          <w:rFonts w:ascii="Arial" w:cs="Arial" w:eastAsia="Arial" w:hAnsi="Arial"/>
          <w:sz w:val="19"/>
          <w:szCs w:val="19"/>
          <w:color w:val="auto"/>
        </w:rPr>
        <w:t>“If Axsome grants a sublicense pursuant to Section 3.1, the terms and conditions of this Agreement that are applicable to Sublicensees shall apply to such Sublicensee to the same extent as they apply to Axsome. Axsome assumes responsibility, and shall remain liable, for causing the performance of all obligations of each Sublicensee to which it grants a sublicense.”</w:t>
      </w:r>
    </w:p>
    <w:p>
      <w:pPr>
        <w:spacing w:after="0" w:line="160" w:lineRule="exact"/>
        <w:rPr>
          <w:sz w:val="20"/>
          <w:szCs w:val="20"/>
          <w:color w:val="auto"/>
        </w:rPr>
      </w:pPr>
    </w:p>
    <w:p>
      <w:pPr>
        <w:ind w:left="1700" w:hanging="572"/>
        <w:spacing w:after="0"/>
        <w:tabs>
          <w:tab w:leader="none" w:pos="170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The second sentence in Section 8.3 of the Assigned Agreement is hereby deleted in its entirety and replaced</w:t>
      </w:r>
    </w:p>
    <w:p>
      <w:pPr>
        <w:spacing w:after="0" w:line="32"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with the following:</w:t>
      </w:r>
    </w:p>
    <w:p>
      <w:pPr>
        <w:spacing w:after="0" w:line="166" w:lineRule="exact"/>
        <w:rPr>
          <w:sz w:val="20"/>
          <w:szCs w:val="20"/>
          <w:color w:val="auto"/>
        </w:rPr>
      </w:pPr>
    </w:p>
    <w:p>
      <w:pPr>
        <w:ind w:left="1120" w:right="20"/>
        <w:spacing w:after="0" w:line="256" w:lineRule="auto"/>
        <w:rPr>
          <w:sz w:val="20"/>
          <w:szCs w:val="20"/>
          <w:color w:val="auto"/>
        </w:rPr>
      </w:pPr>
      <w:r>
        <w:rPr>
          <w:rFonts w:ascii="Arial" w:cs="Arial" w:eastAsia="Arial" w:hAnsi="Arial"/>
          <w:sz w:val="19"/>
          <w:szCs w:val="19"/>
          <w:color w:val="auto"/>
        </w:rPr>
        <w:t>“Axsome shall have the sole right, but not the obligation, to institute, prosecute, and control any action or proceeding with respect to such infringement, by counsel of its own choice.”</w:t>
      </w:r>
    </w:p>
    <w:p>
      <w:pPr>
        <w:spacing w:after="0" w:line="147" w:lineRule="exact"/>
        <w:rPr>
          <w:sz w:val="20"/>
          <w:szCs w:val="20"/>
          <w:color w:val="auto"/>
        </w:rPr>
      </w:pPr>
    </w:p>
    <w:p>
      <w:pPr>
        <w:ind w:left="1700" w:hanging="572"/>
        <w:spacing w:after="0"/>
        <w:tabs>
          <w:tab w:leader="none" w:pos="17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Section 12.0 of the Assigned Agreement is hereby amended by inserting the following at the end of the</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671830</wp:posOffset>
            </wp:positionV>
            <wp:extent cx="6311265" cy="2222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940"/>
          </w:cols>
          <w:pgMar w:left="980" w:top="780" w:right="979" w:bottom="1440" w:gutter="0" w:footer="0" w:header="0"/>
        </w:sectPr>
      </w:pPr>
    </w:p>
    <w:bookmarkStart w:id="229" w:name="page230"/>
    <w:bookmarkEnd w:id="229"/>
    <w:p>
      <w:pPr>
        <w:jc w:val="both"/>
        <w:ind w:left="1120"/>
        <w:spacing w:after="0" w:line="253" w:lineRule="auto"/>
        <w:rPr>
          <w:sz w:val="20"/>
          <w:szCs w:val="20"/>
          <w:color w:val="auto"/>
        </w:rPr>
      </w:pPr>
      <w:r>
        <w:rPr>
          <w:rFonts w:ascii="Arial" w:cs="Arial" w:eastAsia="Arial" w:hAnsi="Arial"/>
          <w:sz w:val="18"/>
          <w:szCs w:val="18"/>
          <w:color w:val="auto"/>
        </w:rPr>
        <w:t>“Notwithstanding anything to the contrary herein, Antecip shall not assign this Agreement unless such assignee is assigned all of Antecip’s rights under the Licensed Patents and Know-How. Similarly, Antecip shall not assign its rights under the Licensed Patents and/or Know-How to an Affiliate or Third Party without also assigning its rights under this Agreement to such Affiliate or Third Party. The terms of this Agreement shall be binding upon and shall inure to the benefit of the successors, heirs, administrators and permitted assigns of the parties. Any purported assignment in violation of this Section 12.0 shall be null and void.</w:t>
      </w:r>
    </w:p>
    <w:p>
      <w:pPr>
        <w:spacing w:after="0" w:line="153" w:lineRule="exact"/>
        <w:rPr>
          <w:sz w:val="20"/>
          <w:szCs w:val="20"/>
          <w:color w:val="auto"/>
        </w:rPr>
      </w:pPr>
    </w:p>
    <w:p>
      <w:pPr>
        <w:ind w:right="160" w:firstLine="1128"/>
        <w:spacing w:after="0" w:line="256" w:lineRule="auto"/>
        <w:tabs>
          <w:tab w:leader="none" w:pos="1698" w:val="left"/>
        </w:tabs>
        <w:numPr>
          <w:ilvl w:val="0"/>
          <w:numId w:val="149"/>
        </w:numPr>
        <w:rPr>
          <w:rFonts w:ascii="Arial" w:cs="Arial" w:eastAsia="Arial" w:hAnsi="Arial"/>
          <w:sz w:val="19"/>
          <w:szCs w:val="19"/>
          <w:color w:val="auto"/>
        </w:rPr>
      </w:pPr>
      <w:r>
        <w:rPr>
          <w:rFonts w:ascii="Arial" w:cs="Arial" w:eastAsia="Arial" w:hAnsi="Arial"/>
          <w:sz w:val="19"/>
          <w:szCs w:val="19"/>
          <w:color w:val="auto"/>
        </w:rPr>
        <w:t>Schedule A of the Assigned Agreement (as amended by the First Amendment to License Agreement, dated August 21, 2015) is hereby deleted and replaced with the Schedule A attached hereto.</w:t>
      </w:r>
    </w:p>
    <w:p>
      <w:pPr>
        <w:spacing w:after="0" w:line="147"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SECTION 3.  </w:t>
      </w:r>
      <w:r>
        <w:rPr>
          <w:rFonts w:ascii="Arial" w:cs="Arial" w:eastAsia="Arial" w:hAnsi="Arial"/>
          <w:sz w:val="19"/>
          <w:szCs w:val="19"/>
          <w:u w:val="single" w:color="auto"/>
          <w:color w:val="auto"/>
        </w:rPr>
        <w:t>REPRESENTATIONS AND WARRANTIES OF CONTRACTING PARTY</w:t>
      </w:r>
      <w:r>
        <w:rPr>
          <w:rFonts w:ascii="Arial" w:cs="Arial" w:eastAsia="Arial" w:hAnsi="Arial"/>
          <w:sz w:val="19"/>
          <w:szCs w:val="19"/>
          <w:color w:val="auto"/>
        </w:rPr>
        <w:t>.</w:t>
      </w:r>
    </w:p>
    <w:p>
      <w:pPr>
        <w:spacing w:after="0" w:line="182" w:lineRule="exact"/>
        <w:rPr>
          <w:sz w:val="20"/>
          <w:szCs w:val="20"/>
          <w:color w:val="auto"/>
        </w:rPr>
      </w:pPr>
    </w:p>
    <w:p>
      <w:pPr>
        <w:jc w:val="both"/>
        <w:ind w:firstLine="566"/>
        <w:spacing w:after="0" w:line="244" w:lineRule="auto"/>
        <w:rPr>
          <w:sz w:val="20"/>
          <w:szCs w:val="20"/>
          <w:color w:val="auto"/>
        </w:rPr>
      </w:pPr>
      <w:r>
        <w:rPr>
          <w:rFonts w:ascii="Arial" w:cs="Arial" w:eastAsia="Arial" w:hAnsi="Arial"/>
          <w:sz w:val="19"/>
          <w:szCs w:val="19"/>
          <w:color w:val="auto"/>
        </w:rPr>
        <w:t>The Contracting Party makes the following representations and warranties in favor of the Agent, which shall survive the execution and delivery of this Direct Agreement and the Assigned Agreement and the consummation of the transactions contemplated hereby and thereby:</w:t>
      </w:r>
    </w:p>
    <w:p>
      <w:pPr>
        <w:spacing w:after="0" w:line="159" w:lineRule="exact"/>
        <w:rPr>
          <w:sz w:val="20"/>
          <w:szCs w:val="20"/>
          <w:color w:val="auto"/>
        </w:rPr>
      </w:pPr>
    </w:p>
    <w:p>
      <w:pPr>
        <w:jc w:val="both"/>
        <w:ind w:firstLine="566"/>
        <w:spacing w:after="0" w:line="238" w:lineRule="auto"/>
        <w:rPr>
          <w:sz w:val="20"/>
          <w:szCs w:val="20"/>
          <w:color w:val="auto"/>
        </w:rPr>
      </w:pPr>
      <w:r>
        <w:rPr>
          <w:rFonts w:ascii="Arial" w:cs="Arial" w:eastAsia="Arial" w:hAnsi="Arial"/>
          <w:sz w:val="19"/>
          <w:szCs w:val="19"/>
          <w:color w:val="auto"/>
        </w:rPr>
        <w:t xml:space="preserve">3.1 </w:t>
      </w:r>
      <w:r>
        <w:rPr>
          <w:rFonts w:ascii="Arial" w:cs="Arial" w:eastAsia="Arial" w:hAnsi="Arial"/>
          <w:sz w:val="19"/>
          <w:szCs w:val="19"/>
          <w:u w:val="single" w:color="auto"/>
          <w:color w:val="auto"/>
        </w:rPr>
        <w:t>Organization</w:t>
      </w:r>
      <w:r>
        <w:rPr>
          <w:rFonts w:ascii="Arial" w:cs="Arial" w:eastAsia="Arial" w:hAnsi="Arial"/>
          <w:sz w:val="19"/>
          <w:szCs w:val="19"/>
          <w:color w:val="auto"/>
        </w:rPr>
        <w:t>. The Contracting Party is a limited liability company duly organized and validly existing under the laws of the state of its formation, and is duly qualified, authorized to do business and in good standing as a foreign limited liability company in every jurisdiction in which it owns or leases real property or in which the nature of its business requires it to be so qualified, and has all requisite power and authority, corporate and otherwise, to enter into and to perform its obligations hereunder and under the Assigned Agreement, and to carry out the terms hereof and thereof and the transactions contemplated hereby and thereby.</w:t>
      </w:r>
    </w:p>
    <w:p>
      <w:pPr>
        <w:spacing w:after="0" w:line="162" w:lineRule="exact"/>
        <w:rPr>
          <w:sz w:val="20"/>
          <w:szCs w:val="20"/>
          <w:color w:val="auto"/>
        </w:rPr>
      </w:pPr>
    </w:p>
    <w:p>
      <w:pPr>
        <w:jc w:val="both"/>
        <w:ind w:firstLine="566"/>
        <w:spacing w:after="0" w:line="239" w:lineRule="auto"/>
        <w:rPr>
          <w:sz w:val="20"/>
          <w:szCs w:val="20"/>
          <w:color w:val="auto"/>
        </w:rPr>
      </w:pPr>
      <w:r>
        <w:rPr>
          <w:rFonts w:ascii="Arial" w:cs="Arial" w:eastAsia="Arial" w:hAnsi="Arial"/>
          <w:sz w:val="19"/>
          <w:szCs w:val="19"/>
          <w:color w:val="auto"/>
        </w:rPr>
        <w:t xml:space="preserve">3.2 </w:t>
      </w:r>
      <w:r>
        <w:rPr>
          <w:rFonts w:ascii="Arial" w:cs="Arial" w:eastAsia="Arial" w:hAnsi="Arial"/>
          <w:sz w:val="19"/>
          <w:szCs w:val="19"/>
          <w:u w:val="single" w:color="auto"/>
          <w:color w:val="auto"/>
        </w:rPr>
        <w:t>Authorization</w:t>
      </w:r>
      <w:r>
        <w:rPr>
          <w:rFonts w:ascii="Arial" w:cs="Arial" w:eastAsia="Arial" w:hAnsi="Arial"/>
          <w:sz w:val="19"/>
          <w:szCs w:val="19"/>
          <w:color w:val="auto"/>
        </w:rPr>
        <w:t>. The execution, delivery and performance by the Contracting Party of this Direct Agreement and the Assigned Agreement have been duly authorized by all necessary corporate or other action on the part of the Contracting Party and do not require any approval or consent of any holder (or any trustee for any holder) of any indebtedness or other obligation of the Contracting Party or any other Person, except approvals or consents that have previously been obtained and are in full force and effect.</w:t>
      </w:r>
    </w:p>
    <w:p>
      <w:pPr>
        <w:spacing w:after="0" w:line="162" w:lineRule="exact"/>
        <w:rPr>
          <w:sz w:val="20"/>
          <w:szCs w:val="20"/>
          <w:color w:val="auto"/>
        </w:rPr>
      </w:pPr>
    </w:p>
    <w:p>
      <w:pPr>
        <w:jc w:val="both"/>
        <w:ind w:right="20" w:firstLine="566"/>
        <w:spacing w:after="0" w:line="238" w:lineRule="auto"/>
        <w:rPr>
          <w:sz w:val="20"/>
          <w:szCs w:val="20"/>
          <w:color w:val="auto"/>
        </w:rPr>
      </w:pPr>
      <w:r>
        <w:rPr>
          <w:rFonts w:ascii="Arial" w:cs="Arial" w:eastAsia="Arial" w:hAnsi="Arial"/>
          <w:sz w:val="19"/>
          <w:szCs w:val="19"/>
          <w:color w:val="auto"/>
        </w:rPr>
        <w:t xml:space="preserve">3.3 </w:t>
      </w:r>
      <w:r>
        <w:rPr>
          <w:rFonts w:ascii="Arial" w:cs="Arial" w:eastAsia="Arial" w:hAnsi="Arial"/>
          <w:sz w:val="19"/>
          <w:szCs w:val="19"/>
          <w:u w:val="single" w:color="auto"/>
          <w:color w:val="auto"/>
        </w:rPr>
        <w:t>Execution and Delivery; Enforceability</w:t>
      </w:r>
      <w:r>
        <w:rPr>
          <w:rFonts w:ascii="Arial" w:cs="Arial" w:eastAsia="Arial" w:hAnsi="Arial"/>
          <w:sz w:val="19"/>
          <w:szCs w:val="19"/>
          <w:color w:val="auto"/>
        </w:rPr>
        <w:t>. Each of this Direct Agreement and the Assigned Agreement is in full force and effect, has been duly executed and delivered on behalf of the Contracting Party by the appropriate officers of the Contracting Party and constitutes the legal, valid and binding obligation of the Contracting Party, enforceable against the Contracting Party in accordance with its terms, except as the enforceability thereof may be limited by bankruptcy, insolvency, reorganization or other similar laws affecting the enforcement of creditors’ rights generally and general equitable principles (whether considered in a proceeding in equity or at law).</w:t>
      </w:r>
    </w:p>
    <w:p>
      <w:pPr>
        <w:spacing w:after="0" w:line="162" w:lineRule="exact"/>
        <w:rPr>
          <w:sz w:val="20"/>
          <w:szCs w:val="20"/>
          <w:color w:val="auto"/>
        </w:rPr>
      </w:pPr>
    </w:p>
    <w:p>
      <w:pPr>
        <w:jc w:val="both"/>
        <w:ind w:right="20" w:firstLine="566"/>
        <w:spacing w:after="0" w:line="244" w:lineRule="auto"/>
        <w:rPr>
          <w:sz w:val="20"/>
          <w:szCs w:val="20"/>
          <w:color w:val="auto"/>
        </w:rPr>
      </w:pPr>
      <w:r>
        <w:rPr>
          <w:rFonts w:ascii="Arial" w:cs="Arial" w:eastAsia="Arial" w:hAnsi="Arial"/>
          <w:sz w:val="19"/>
          <w:szCs w:val="19"/>
          <w:color w:val="auto"/>
        </w:rPr>
        <w:t xml:space="preserve">3.4 </w:t>
      </w:r>
      <w:r>
        <w:rPr>
          <w:rFonts w:ascii="Arial" w:cs="Arial" w:eastAsia="Arial" w:hAnsi="Arial"/>
          <w:sz w:val="19"/>
          <w:szCs w:val="19"/>
          <w:u w:val="single" w:color="auto"/>
          <w:color w:val="auto"/>
        </w:rPr>
        <w:t>Litigation</w:t>
      </w:r>
      <w:r>
        <w:rPr>
          <w:rFonts w:ascii="Arial" w:cs="Arial" w:eastAsia="Arial" w:hAnsi="Arial"/>
          <w:sz w:val="19"/>
          <w:szCs w:val="19"/>
          <w:color w:val="auto"/>
        </w:rPr>
        <w:t xml:space="preserve"> There is no legislation, litigation, action, suit, proceeding or investigation pending or, to the Contracting Party’s knowledge after due inquiry, threatened against the Contracting Party before or by any court, administrative agency, arbitrator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666750</wp:posOffset>
            </wp:positionV>
            <wp:extent cx="6311265" cy="2222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940"/>
          </w:cols>
          <w:pgMar w:left="980" w:top="781" w:right="979" w:bottom="1440" w:gutter="0" w:footer="0" w:header="0"/>
        </w:sectPr>
      </w:pPr>
    </w:p>
    <w:bookmarkStart w:id="230" w:name="page231"/>
    <w:bookmarkEnd w:id="230"/>
    <w:p>
      <w:pPr>
        <w:jc w:val="both"/>
        <w:spacing w:after="0" w:line="255" w:lineRule="auto"/>
        <w:rPr>
          <w:sz w:val="20"/>
          <w:szCs w:val="20"/>
          <w:color w:val="auto"/>
        </w:rPr>
      </w:pPr>
      <w:r>
        <w:rPr>
          <w:rFonts w:ascii="Arial" w:cs="Arial" w:eastAsia="Arial" w:hAnsi="Arial"/>
          <w:sz w:val="18"/>
          <w:szCs w:val="18"/>
          <w:color w:val="auto"/>
        </w:rPr>
        <w:t>governmental authority, body or agency that, if adversely determined, individually or in the aggregate, (a) could adversely affect the performance by the Contracting Party of its obligations hereunder or under the Assigned Agreement, (b) could have a material adverse effect on the condition (financial or otherwise), business or operations of the Contracting Party or (c) questions the validity, binding effect or enforceability hereof or of the Assigned Agreement, any action taken or to be taken pursuant hereto or thereto or any of the transactions contemplated hereby or thereby.</w:t>
      </w:r>
    </w:p>
    <w:p>
      <w:pPr>
        <w:spacing w:after="0" w:line="150" w:lineRule="exact"/>
        <w:rPr>
          <w:sz w:val="20"/>
          <w:szCs w:val="20"/>
          <w:color w:val="auto"/>
        </w:rPr>
      </w:pPr>
    </w:p>
    <w:p>
      <w:pPr>
        <w:jc w:val="both"/>
        <w:ind w:firstLine="566"/>
        <w:spacing w:after="0" w:line="255"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No Conflict</w:t>
      </w:r>
      <w:r>
        <w:rPr>
          <w:rFonts w:ascii="Arial" w:cs="Arial" w:eastAsia="Arial" w:hAnsi="Arial"/>
          <w:sz w:val="18"/>
          <w:szCs w:val="18"/>
          <w:color w:val="auto"/>
        </w:rPr>
        <w:t>. The execution, delivery and performance by the Contracting Party of this Direct Agreement and the Assigned Agreement and the consummation of the transactions contemplated hereby and thereby have not and will not result in any violation of, breach of or default under (a) any term of its organizational or governance documents, (b) any contract or agreement to which it is a party or by which it or its property is bound or (c) any license, permit, franchise, judgment, writ, injunction, decree, order, charter, law, ordinance, rule or regulation applicable to it.</w:t>
      </w:r>
    </w:p>
    <w:p>
      <w:pPr>
        <w:spacing w:after="0" w:line="150" w:lineRule="exact"/>
        <w:rPr>
          <w:sz w:val="20"/>
          <w:szCs w:val="20"/>
          <w:color w:val="auto"/>
        </w:rPr>
      </w:pPr>
    </w:p>
    <w:p>
      <w:pPr>
        <w:jc w:val="both"/>
        <w:ind w:right="20" w:firstLine="566"/>
        <w:spacing w:after="0" w:line="241" w:lineRule="auto"/>
        <w:rPr>
          <w:sz w:val="20"/>
          <w:szCs w:val="20"/>
          <w:color w:val="auto"/>
        </w:rPr>
      </w:pPr>
      <w:r>
        <w:rPr>
          <w:rFonts w:ascii="Arial" w:cs="Arial" w:eastAsia="Arial" w:hAnsi="Arial"/>
          <w:sz w:val="19"/>
          <w:szCs w:val="19"/>
          <w:color w:val="auto"/>
        </w:rPr>
        <w:t xml:space="preserve">3.6 </w:t>
      </w:r>
      <w:r>
        <w:rPr>
          <w:rFonts w:ascii="Arial" w:cs="Arial" w:eastAsia="Arial" w:hAnsi="Arial"/>
          <w:sz w:val="19"/>
          <w:szCs w:val="19"/>
          <w:u w:val="single" w:color="auto"/>
          <w:color w:val="auto"/>
        </w:rPr>
        <w:t>Approvals</w:t>
      </w:r>
      <w:r>
        <w:rPr>
          <w:rFonts w:ascii="Arial" w:cs="Arial" w:eastAsia="Arial" w:hAnsi="Arial"/>
          <w:sz w:val="19"/>
          <w:szCs w:val="19"/>
          <w:color w:val="auto"/>
        </w:rPr>
        <w:t>. No consent, order, authorization, waiver, approval or any other action, or registration, declaration or filing with, any person, board or body, public or private is required to be obtained by the Contracting Party in connection with the execution, delivery or performance of this Direct Agreement or the Assigned Agreement or the consummation of the transactions contemplated hereunder or thereunder.</w:t>
      </w:r>
    </w:p>
    <w:p>
      <w:pPr>
        <w:spacing w:after="0" w:line="160" w:lineRule="exact"/>
        <w:rPr>
          <w:sz w:val="20"/>
          <w:szCs w:val="20"/>
          <w:color w:val="auto"/>
        </w:rPr>
      </w:pPr>
    </w:p>
    <w:p>
      <w:pPr>
        <w:jc w:val="both"/>
        <w:ind w:firstLine="566"/>
        <w:spacing w:after="0" w:line="238" w:lineRule="auto"/>
        <w:rPr>
          <w:sz w:val="20"/>
          <w:szCs w:val="20"/>
          <w:color w:val="auto"/>
        </w:rPr>
      </w:pPr>
      <w:r>
        <w:rPr>
          <w:rFonts w:ascii="Arial" w:cs="Arial" w:eastAsia="Arial" w:hAnsi="Arial"/>
          <w:sz w:val="19"/>
          <w:szCs w:val="19"/>
          <w:color w:val="auto"/>
        </w:rPr>
        <w:t xml:space="preserve">3.7 </w:t>
      </w:r>
      <w:r>
        <w:rPr>
          <w:rFonts w:ascii="Arial" w:cs="Arial" w:eastAsia="Arial" w:hAnsi="Arial"/>
          <w:sz w:val="19"/>
          <w:szCs w:val="19"/>
          <w:u w:val="single" w:color="auto"/>
          <w:color w:val="auto"/>
        </w:rPr>
        <w:t>No Defaults, Etc</w:t>
      </w:r>
      <w:r>
        <w:rPr>
          <w:rFonts w:ascii="Arial" w:cs="Arial" w:eastAsia="Arial" w:hAnsi="Arial"/>
          <w:sz w:val="19"/>
          <w:szCs w:val="19"/>
          <w:color w:val="auto"/>
        </w:rPr>
        <w:t>. Neither the Contracting Party nor, to the best of the Contracting Party’s knowledge after due inquiry, any other party to the Assigned Agreement is in default of any of its obligations thereunder. No event or condition exists that would either immediately or with the passage of any applicable grace period or giving of notice, or both, enable either the Contracting Party or the Company to terminate or suspend its obligations under the Assigned Agreement. No event of force majeure exists under, and as defined in, the Assigned Agreement. There are no disputes or legal proceedings between the Contracting Party or the Company.</w:t>
      </w:r>
    </w:p>
    <w:p>
      <w:pPr>
        <w:spacing w:after="0" w:line="162" w:lineRule="exact"/>
        <w:rPr>
          <w:sz w:val="20"/>
          <w:szCs w:val="20"/>
          <w:color w:val="auto"/>
        </w:rPr>
      </w:pPr>
    </w:p>
    <w:p>
      <w:pPr>
        <w:jc w:val="both"/>
        <w:ind w:right="20" w:firstLine="566"/>
        <w:spacing w:after="0" w:line="244" w:lineRule="auto"/>
        <w:rPr>
          <w:sz w:val="20"/>
          <w:szCs w:val="20"/>
          <w:color w:val="auto"/>
        </w:rPr>
      </w:pPr>
      <w:r>
        <w:rPr>
          <w:rFonts w:ascii="Arial" w:cs="Arial" w:eastAsia="Arial" w:hAnsi="Arial"/>
          <w:sz w:val="19"/>
          <w:szCs w:val="19"/>
          <w:color w:val="auto"/>
        </w:rPr>
        <w:t xml:space="preserve">3.8 </w:t>
      </w:r>
      <w:r>
        <w:rPr>
          <w:rFonts w:ascii="Arial" w:cs="Arial" w:eastAsia="Arial" w:hAnsi="Arial"/>
          <w:sz w:val="19"/>
          <w:szCs w:val="19"/>
          <w:u w:val="single" w:color="auto"/>
          <w:color w:val="auto"/>
        </w:rPr>
        <w:t>No Unpaid Obligations</w:t>
      </w:r>
      <w:r>
        <w:rPr>
          <w:rFonts w:ascii="Arial" w:cs="Arial" w:eastAsia="Arial" w:hAnsi="Arial"/>
          <w:sz w:val="19"/>
          <w:szCs w:val="19"/>
          <w:color w:val="auto"/>
        </w:rPr>
        <w:t>. The Company does not owe any indemnity payments or other amounts to Contracting Party under the Assigned Agreement, and the Contracting Party is not aware of any existing counterclaims, offsets or defenses against the Company under the Assigned Agreement.</w:t>
      </w:r>
    </w:p>
    <w:p>
      <w:pPr>
        <w:spacing w:after="0" w:line="159" w:lineRule="exact"/>
        <w:rPr>
          <w:sz w:val="20"/>
          <w:szCs w:val="20"/>
          <w:color w:val="auto"/>
        </w:rPr>
      </w:pPr>
    </w:p>
    <w:p>
      <w:pPr>
        <w:jc w:val="both"/>
        <w:ind w:right="20" w:firstLine="566"/>
        <w:spacing w:after="0" w:line="253" w:lineRule="auto"/>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No Amendments or Assignments</w:t>
      </w:r>
      <w:r>
        <w:rPr>
          <w:rFonts w:ascii="Arial" w:cs="Arial" w:eastAsia="Arial" w:hAnsi="Arial"/>
          <w:sz w:val="18"/>
          <w:szCs w:val="18"/>
          <w:color w:val="auto"/>
        </w:rPr>
        <w:t>. The Assigned Agreement has not been amended, modified or supplemented in any manner. Neither of the Contracting Party nor, to the Contracting Party’s knowledge after due inquiry, the Company, has approved any change or amendment, and the Contracting Party is not aware of any pending change or amendment, and, to the Contracting Party’s knowledge, no facts or circumstances exist that would entitle the Contracting Party to any price or schedule adjustment or other change order or amendment. The Contracting Party has no notice of, and has not consented to, any assignment by the Company of all or any part of its rights under the Assigned Agreement.</w:t>
      </w:r>
    </w:p>
    <w:p>
      <w:pPr>
        <w:spacing w:after="0" w:line="153" w:lineRule="exact"/>
        <w:rPr>
          <w:sz w:val="20"/>
          <w:szCs w:val="20"/>
          <w:color w:val="auto"/>
        </w:rPr>
      </w:pPr>
    </w:p>
    <w:p>
      <w:pPr>
        <w:jc w:val="both"/>
        <w:ind w:right="20" w:firstLine="566"/>
        <w:spacing w:after="0" w:line="256" w:lineRule="auto"/>
        <w:rPr>
          <w:sz w:val="20"/>
          <w:szCs w:val="20"/>
          <w:color w:val="auto"/>
        </w:rPr>
      </w:pPr>
      <w:r>
        <w:rPr>
          <w:rFonts w:ascii="Arial" w:cs="Arial" w:eastAsia="Arial" w:hAnsi="Arial"/>
          <w:sz w:val="19"/>
          <w:szCs w:val="19"/>
          <w:color w:val="auto"/>
        </w:rPr>
        <w:t xml:space="preserve">3.10 </w:t>
      </w:r>
      <w:r>
        <w:rPr>
          <w:rFonts w:ascii="Arial" w:cs="Arial" w:eastAsia="Arial" w:hAnsi="Arial"/>
          <w:sz w:val="19"/>
          <w:szCs w:val="19"/>
          <w:u w:val="single" w:color="auto"/>
          <w:color w:val="auto"/>
        </w:rPr>
        <w:t>Conditions Precedent</w:t>
      </w:r>
      <w:r>
        <w:rPr>
          <w:rFonts w:ascii="Arial" w:cs="Arial" w:eastAsia="Arial" w:hAnsi="Arial"/>
          <w:sz w:val="19"/>
          <w:szCs w:val="19"/>
          <w:color w:val="auto"/>
        </w:rPr>
        <w:t>. All conditions precedent to effectiveness under the Assignment Agreement have been satisfied or waived.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659130</wp:posOffset>
            </wp:positionV>
            <wp:extent cx="6311265" cy="2222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940"/>
          </w:cols>
          <w:pgMar w:left="980" w:top="781" w:right="979" w:bottom="1440" w:gutter="0" w:footer="0" w:header="0"/>
        </w:sectPr>
      </w:pPr>
    </w:p>
    <w:bookmarkStart w:id="231" w:name="page232"/>
    <w:bookmarkEnd w:id="231"/>
    <w:p>
      <w:pPr>
        <w:jc w:val="both"/>
        <w:ind w:firstLine="566"/>
        <w:spacing w:after="0" w:line="255"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OFAC</w:t>
      </w:r>
      <w:r>
        <w:rPr>
          <w:rFonts w:ascii="Arial" w:cs="Arial" w:eastAsia="Arial" w:hAnsi="Arial"/>
          <w:sz w:val="18"/>
          <w:szCs w:val="18"/>
          <w:color w:val="auto"/>
        </w:rPr>
        <w:t>. The Contracting Party is not (a) a person (an “</w:t>
      </w:r>
      <w:r>
        <w:rPr>
          <w:rFonts w:ascii="Arial" w:cs="Arial" w:eastAsia="Arial" w:hAnsi="Arial"/>
          <w:sz w:val="18"/>
          <w:szCs w:val="18"/>
          <w:u w:val="single" w:color="auto"/>
          <w:color w:val="auto"/>
        </w:rPr>
        <w:t>OFAC Listed Person</w:t>
      </w:r>
      <w:r>
        <w:rPr>
          <w:rFonts w:ascii="Arial" w:cs="Arial" w:eastAsia="Arial" w:hAnsi="Arial"/>
          <w:sz w:val="18"/>
          <w:szCs w:val="18"/>
          <w:color w:val="auto"/>
        </w:rPr>
        <w:t>”) whose name appears on the list of Specially Designated Nationals and Blocked Persons published by the Office of Foreign Assets Control, U.S. Department of Treasury (“</w:t>
      </w:r>
      <w:r>
        <w:rPr>
          <w:rFonts w:ascii="Arial" w:cs="Arial" w:eastAsia="Arial" w:hAnsi="Arial"/>
          <w:sz w:val="18"/>
          <w:szCs w:val="18"/>
          <w:u w:val="single" w:color="auto"/>
          <w:color w:val="auto"/>
        </w:rPr>
        <w:t>OFAC</w:t>
      </w:r>
      <w:r>
        <w:rPr>
          <w:rFonts w:ascii="Arial" w:cs="Arial" w:eastAsia="Arial" w:hAnsi="Arial"/>
          <w:sz w:val="18"/>
          <w:szCs w:val="18"/>
          <w:color w:val="auto"/>
        </w:rPr>
        <w:t>”) or (b) a department, agency or instrumentality of, or is otherwise controlled by or acting on behalf of, directly or indirectly, (x) any OFAC Listed Person or (y) any person, entity, organization, foreign country or regime that is subject to any economic or trade sanction that OFAC is responsible for administering and enforcing.</w:t>
      </w:r>
    </w:p>
    <w:p>
      <w:pPr>
        <w:spacing w:after="0" w:line="150" w:lineRule="exact"/>
        <w:rPr>
          <w:sz w:val="20"/>
          <w:szCs w:val="20"/>
          <w:color w:val="auto"/>
        </w:rPr>
      </w:pPr>
    </w:p>
    <w:p>
      <w:pPr>
        <w:jc w:val="both"/>
        <w:ind w:right="20" w:firstLine="566"/>
        <w:spacing w:after="0" w:line="244" w:lineRule="auto"/>
        <w:rPr>
          <w:sz w:val="20"/>
          <w:szCs w:val="20"/>
          <w:color w:val="auto"/>
        </w:rPr>
      </w:pPr>
      <w:r>
        <w:rPr>
          <w:rFonts w:ascii="Arial" w:cs="Arial" w:eastAsia="Arial" w:hAnsi="Arial"/>
          <w:sz w:val="19"/>
          <w:szCs w:val="19"/>
          <w:color w:val="auto"/>
        </w:rPr>
        <w:t xml:space="preserve">3.12 </w:t>
      </w: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All representations, warranties and other statements made by the Contracting Party to the Company in the Assigned Agreement were true and correct as of the date when made and are true and correct as of the date of this Direct Agreement.</w:t>
      </w:r>
    </w:p>
    <w:p>
      <w:pPr>
        <w:spacing w:after="0" w:line="159"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SECTION 4.  </w:t>
      </w:r>
      <w:r>
        <w:rPr>
          <w:rFonts w:ascii="Arial" w:cs="Arial" w:eastAsia="Arial" w:hAnsi="Arial"/>
          <w:sz w:val="19"/>
          <w:szCs w:val="19"/>
          <w:u w:val="single" w:color="auto"/>
          <w:color w:val="auto"/>
        </w:rPr>
        <w:t>AMENDED AND RESTATED LICENSE AGREEMENT</w:t>
      </w:r>
      <w:r>
        <w:rPr>
          <w:rFonts w:ascii="Arial" w:cs="Arial" w:eastAsia="Arial" w:hAnsi="Arial"/>
          <w:sz w:val="19"/>
          <w:szCs w:val="19"/>
          <w:color w:val="auto"/>
        </w:rPr>
        <w:t>.</w:t>
      </w:r>
    </w:p>
    <w:p>
      <w:pPr>
        <w:spacing w:after="0" w:line="182" w:lineRule="exact"/>
        <w:rPr>
          <w:sz w:val="20"/>
          <w:szCs w:val="20"/>
          <w:color w:val="auto"/>
        </w:rPr>
      </w:pPr>
    </w:p>
    <w:p>
      <w:pPr>
        <w:jc w:val="both"/>
        <w:ind w:right="20" w:firstLine="566"/>
        <w:spacing w:after="0" w:line="244" w:lineRule="auto"/>
        <w:rPr>
          <w:sz w:val="20"/>
          <w:szCs w:val="20"/>
          <w:color w:val="auto"/>
        </w:rPr>
      </w:pPr>
      <w:r>
        <w:rPr>
          <w:rFonts w:ascii="Arial" w:cs="Arial" w:eastAsia="Arial" w:hAnsi="Arial"/>
          <w:sz w:val="19"/>
          <w:szCs w:val="19"/>
          <w:color w:val="auto"/>
        </w:rPr>
        <w:t>4.1 Following effectiveness of this Direct Agreement, the Company and the Contracting Party shall be permitted to formally amend and restate the Assigned Agreement solely to reflect the Amendments. For the avoidance of doubt, each of the Amendments shall be deemed effective as of the date of this Direct Agreement.</w:t>
      </w:r>
    </w:p>
    <w:p>
      <w:pPr>
        <w:spacing w:after="0" w:line="159"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SECTION 5.  </w:t>
      </w:r>
      <w:r>
        <w:rPr>
          <w:rFonts w:ascii="Arial" w:cs="Arial" w:eastAsia="Arial" w:hAnsi="Arial"/>
          <w:sz w:val="19"/>
          <w:szCs w:val="19"/>
          <w:u w:val="single" w:color="auto"/>
          <w:color w:val="auto"/>
        </w:rPr>
        <w:t>MISCELLANEOUS</w:t>
      </w:r>
      <w:r>
        <w:rPr>
          <w:rFonts w:ascii="Arial" w:cs="Arial" w:eastAsia="Arial" w:hAnsi="Arial"/>
          <w:sz w:val="19"/>
          <w:szCs w:val="19"/>
          <w:color w:val="auto"/>
        </w:rPr>
        <w:t>.</w:t>
      </w:r>
    </w:p>
    <w:p>
      <w:pPr>
        <w:spacing w:after="0" w:line="182" w:lineRule="exact"/>
        <w:rPr>
          <w:sz w:val="20"/>
          <w:szCs w:val="20"/>
          <w:color w:val="auto"/>
        </w:rPr>
      </w:pPr>
    </w:p>
    <w:p>
      <w:pPr>
        <w:jc w:val="both"/>
        <w:ind w:firstLine="566"/>
        <w:spacing w:after="0" w:line="239" w:lineRule="auto"/>
        <w:rPr>
          <w:sz w:val="20"/>
          <w:szCs w:val="20"/>
          <w:color w:val="auto"/>
        </w:rPr>
      </w:pPr>
      <w:r>
        <w:rPr>
          <w:rFonts w:ascii="Arial" w:cs="Arial" w:eastAsia="Arial" w:hAnsi="Arial"/>
          <w:sz w:val="19"/>
          <w:szCs w:val="19"/>
          <w:color w:val="auto"/>
        </w:rPr>
        <w:t xml:space="preserve">5.1 </w:t>
      </w:r>
      <w:r>
        <w:rPr>
          <w:rFonts w:ascii="Arial" w:cs="Arial" w:eastAsia="Arial" w:hAnsi="Arial"/>
          <w:sz w:val="19"/>
          <w:szCs w:val="19"/>
          <w:u w:val="single" w:color="auto"/>
          <w:color w:val="auto"/>
        </w:rPr>
        <w:t>Notices</w:t>
      </w:r>
      <w:r>
        <w:rPr>
          <w:rFonts w:ascii="Arial" w:cs="Arial" w:eastAsia="Arial" w:hAnsi="Arial"/>
          <w:sz w:val="19"/>
          <w:szCs w:val="19"/>
          <w:color w:val="auto"/>
        </w:rPr>
        <w:t>. All notices and other communications hereunder shall be in writing, shall be deemed given upon receipt thereof by the party or parties to whom such notice is addressed, shall refer on their face to the Assigned Agreement (although failure to so refer shall not render any such notice of communication ineffective), shall be sent by first class mail, by personal delivery, by a nationally recognized courier service or by facsimile (subject to electronic confirmation), and shall be directed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500" w:type="dxa"/>
            <w:vAlign w:val="bottom"/>
          </w:tcPr>
          <w:p>
            <w:pPr>
              <w:ind w:left="1080"/>
              <w:spacing w:after="0"/>
              <w:rPr>
                <w:sz w:val="20"/>
                <w:szCs w:val="20"/>
                <w:color w:val="auto"/>
              </w:rPr>
            </w:pPr>
            <w:r>
              <w:rPr>
                <w:rFonts w:ascii="Arial" w:cs="Arial" w:eastAsia="Arial" w:hAnsi="Arial"/>
                <w:sz w:val="19"/>
                <w:szCs w:val="19"/>
                <w:color w:val="auto"/>
              </w:rPr>
              <w:t>If to Contracting Party:</w:t>
            </w:r>
          </w:p>
        </w:tc>
        <w:tc>
          <w:tcPr>
            <w:tcW w:w="6440" w:type="dxa"/>
            <w:vAlign w:val="bottom"/>
          </w:tcPr>
          <w:p>
            <w:pPr>
              <w:ind w:left="660"/>
              <w:spacing w:after="0"/>
              <w:rPr>
                <w:sz w:val="20"/>
                <w:szCs w:val="20"/>
                <w:color w:val="auto"/>
              </w:rPr>
            </w:pPr>
            <w:r>
              <w:rPr>
                <w:rFonts w:ascii="Arial" w:cs="Arial" w:eastAsia="Arial" w:hAnsi="Arial"/>
                <w:sz w:val="19"/>
                <w:szCs w:val="19"/>
                <w:color w:val="auto"/>
              </w:rPr>
              <w:t>Antecip Bioventures II LLC</w:t>
            </w:r>
          </w:p>
        </w:tc>
      </w:tr>
      <w:tr>
        <w:trPr>
          <w:trHeight w:val="212"/>
        </w:trPr>
        <w:tc>
          <w:tcPr>
            <w:tcW w:w="3500" w:type="dxa"/>
            <w:vAlign w:val="bottom"/>
          </w:tcPr>
          <w:p>
            <w:pPr>
              <w:spacing w:after="0"/>
              <w:rPr>
                <w:sz w:val="18"/>
                <w:szCs w:val="18"/>
                <w:color w:val="auto"/>
              </w:rPr>
            </w:pPr>
          </w:p>
        </w:tc>
        <w:tc>
          <w:tcPr>
            <w:tcW w:w="6440" w:type="dxa"/>
            <w:vAlign w:val="bottom"/>
          </w:tcPr>
          <w:p>
            <w:pPr>
              <w:ind w:left="660"/>
              <w:spacing w:after="0" w:line="213" w:lineRule="exact"/>
              <w:rPr>
                <w:sz w:val="20"/>
                <w:szCs w:val="20"/>
                <w:color w:val="auto"/>
              </w:rPr>
            </w:pPr>
            <w:r>
              <w:rPr>
                <w:rFonts w:ascii="Arial" w:cs="Arial" w:eastAsia="Arial" w:hAnsi="Arial"/>
                <w:sz w:val="19"/>
                <w:szCs w:val="19"/>
                <w:color w:val="auto"/>
              </w:rPr>
              <w:t>630 Fifth Avenue, Suite 2000</w:t>
            </w:r>
          </w:p>
        </w:tc>
      </w:tr>
      <w:tr>
        <w:trPr>
          <w:trHeight w:val="212"/>
        </w:trPr>
        <w:tc>
          <w:tcPr>
            <w:tcW w:w="3500" w:type="dxa"/>
            <w:vAlign w:val="bottom"/>
          </w:tcPr>
          <w:p>
            <w:pPr>
              <w:spacing w:after="0"/>
              <w:rPr>
                <w:sz w:val="18"/>
                <w:szCs w:val="18"/>
                <w:color w:val="auto"/>
              </w:rPr>
            </w:pPr>
          </w:p>
        </w:tc>
        <w:tc>
          <w:tcPr>
            <w:tcW w:w="6440" w:type="dxa"/>
            <w:vAlign w:val="bottom"/>
          </w:tcPr>
          <w:p>
            <w:pPr>
              <w:ind w:left="660"/>
              <w:spacing w:after="0" w:line="213" w:lineRule="exact"/>
              <w:rPr>
                <w:sz w:val="20"/>
                <w:szCs w:val="20"/>
                <w:color w:val="auto"/>
              </w:rPr>
            </w:pPr>
            <w:r>
              <w:rPr>
                <w:rFonts w:ascii="Arial" w:cs="Arial" w:eastAsia="Arial" w:hAnsi="Arial"/>
                <w:sz w:val="19"/>
                <w:szCs w:val="19"/>
                <w:color w:val="auto"/>
              </w:rPr>
              <w:t>New York, NY 10111</w:t>
            </w:r>
          </w:p>
        </w:tc>
      </w:tr>
      <w:tr>
        <w:trPr>
          <w:trHeight w:val="212"/>
        </w:trPr>
        <w:tc>
          <w:tcPr>
            <w:tcW w:w="3500" w:type="dxa"/>
            <w:vAlign w:val="bottom"/>
          </w:tcPr>
          <w:p>
            <w:pPr>
              <w:spacing w:after="0"/>
              <w:rPr>
                <w:sz w:val="18"/>
                <w:szCs w:val="18"/>
                <w:color w:val="auto"/>
              </w:rPr>
            </w:pPr>
          </w:p>
        </w:tc>
        <w:tc>
          <w:tcPr>
            <w:tcW w:w="6440" w:type="dxa"/>
            <w:vAlign w:val="bottom"/>
          </w:tcPr>
          <w:p>
            <w:pPr>
              <w:ind w:left="660"/>
              <w:spacing w:after="0" w:line="213" w:lineRule="exact"/>
              <w:rPr>
                <w:sz w:val="20"/>
                <w:szCs w:val="20"/>
                <w:color w:val="auto"/>
              </w:rPr>
            </w:pPr>
            <w:r>
              <w:rPr>
                <w:rFonts w:ascii="Arial" w:cs="Arial" w:eastAsia="Arial" w:hAnsi="Arial"/>
                <w:sz w:val="19"/>
                <w:szCs w:val="19"/>
                <w:color w:val="auto"/>
              </w:rPr>
              <w:t>Attn: Herriot Tabuteau, M.D.</w:t>
            </w:r>
          </w:p>
        </w:tc>
      </w:tr>
      <w:tr>
        <w:trPr>
          <w:trHeight w:val="240"/>
        </w:trPr>
        <w:tc>
          <w:tcPr>
            <w:tcW w:w="3500" w:type="dxa"/>
            <w:vAlign w:val="bottom"/>
          </w:tcPr>
          <w:p>
            <w:pPr>
              <w:spacing w:after="0"/>
              <w:rPr>
                <w:sz w:val="20"/>
                <w:szCs w:val="20"/>
                <w:color w:val="auto"/>
              </w:rPr>
            </w:pPr>
          </w:p>
        </w:tc>
        <w:tc>
          <w:tcPr>
            <w:tcW w:w="6440" w:type="dxa"/>
            <w:vAlign w:val="bottom"/>
          </w:tcPr>
          <w:p>
            <w:pPr>
              <w:ind w:left="660"/>
              <w:spacing w:after="0"/>
              <w:rPr>
                <w:sz w:val="20"/>
                <w:szCs w:val="20"/>
                <w:color w:val="auto"/>
              </w:rPr>
            </w:pPr>
            <w:r>
              <w:rPr>
                <w:rFonts w:ascii="Arial" w:cs="Arial" w:eastAsia="Arial" w:hAnsi="Arial"/>
                <w:sz w:val="19"/>
                <w:szCs w:val="19"/>
                <w:color w:val="auto"/>
              </w:rPr>
              <w:t>Email: htabuteau@axsome.com</w:t>
            </w:r>
          </w:p>
        </w:tc>
      </w:tr>
      <w:tr>
        <w:trPr>
          <w:trHeight w:val="420"/>
        </w:trPr>
        <w:tc>
          <w:tcPr>
            <w:tcW w:w="3500" w:type="dxa"/>
            <w:vAlign w:val="bottom"/>
          </w:tcPr>
          <w:p>
            <w:pPr>
              <w:ind w:left="1080"/>
              <w:spacing w:after="0"/>
              <w:rPr>
                <w:sz w:val="20"/>
                <w:szCs w:val="20"/>
                <w:color w:val="auto"/>
              </w:rPr>
            </w:pPr>
            <w:r>
              <w:rPr>
                <w:rFonts w:ascii="Arial" w:cs="Arial" w:eastAsia="Arial" w:hAnsi="Arial"/>
                <w:sz w:val="19"/>
                <w:szCs w:val="19"/>
                <w:color w:val="auto"/>
              </w:rPr>
              <w:t>If to Company:</w:t>
            </w:r>
          </w:p>
        </w:tc>
        <w:tc>
          <w:tcPr>
            <w:tcW w:w="6440" w:type="dxa"/>
            <w:vAlign w:val="bottom"/>
          </w:tcPr>
          <w:p>
            <w:pPr>
              <w:ind w:left="660"/>
              <w:spacing w:after="0"/>
              <w:rPr>
                <w:sz w:val="20"/>
                <w:szCs w:val="20"/>
                <w:color w:val="auto"/>
              </w:rPr>
            </w:pPr>
            <w:r>
              <w:rPr>
                <w:rFonts w:ascii="Arial" w:cs="Arial" w:eastAsia="Arial" w:hAnsi="Arial"/>
                <w:sz w:val="19"/>
                <w:szCs w:val="19"/>
                <w:color w:val="auto"/>
              </w:rPr>
              <w:t>Axsome Therapeutics, Inc.</w:t>
            </w:r>
          </w:p>
        </w:tc>
      </w:tr>
      <w:tr>
        <w:trPr>
          <w:trHeight w:val="212"/>
        </w:trPr>
        <w:tc>
          <w:tcPr>
            <w:tcW w:w="3500" w:type="dxa"/>
            <w:vAlign w:val="bottom"/>
          </w:tcPr>
          <w:p>
            <w:pPr>
              <w:spacing w:after="0"/>
              <w:rPr>
                <w:sz w:val="18"/>
                <w:szCs w:val="18"/>
                <w:color w:val="auto"/>
              </w:rPr>
            </w:pPr>
          </w:p>
        </w:tc>
        <w:tc>
          <w:tcPr>
            <w:tcW w:w="6440" w:type="dxa"/>
            <w:vAlign w:val="bottom"/>
          </w:tcPr>
          <w:p>
            <w:pPr>
              <w:ind w:left="660"/>
              <w:spacing w:after="0" w:line="213" w:lineRule="exact"/>
              <w:rPr>
                <w:sz w:val="20"/>
                <w:szCs w:val="20"/>
                <w:color w:val="auto"/>
              </w:rPr>
            </w:pPr>
            <w:r>
              <w:rPr>
                <w:rFonts w:ascii="Arial" w:cs="Arial" w:eastAsia="Arial" w:hAnsi="Arial"/>
                <w:sz w:val="19"/>
                <w:szCs w:val="19"/>
                <w:color w:val="auto"/>
              </w:rPr>
              <w:t>22 Cortlandt Street, 16</w:t>
            </w:r>
            <w:r>
              <w:rPr>
                <w:rFonts w:ascii="Arial" w:cs="Arial" w:eastAsia="Arial" w:hAnsi="Arial"/>
                <w:sz w:val="14"/>
                <w:szCs w:val="14"/>
                <w:color w:val="auto"/>
              </w:rPr>
              <w:t>th</w:t>
            </w:r>
            <w:r>
              <w:rPr>
                <w:rFonts w:ascii="Arial" w:cs="Arial" w:eastAsia="Arial" w:hAnsi="Arial"/>
                <w:sz w:val="19"/>
                <w:szCs w:val="19"/>
                <w:color w:val="auto"/>
              </w:rPr>
              <w:t xml:space="preserve"> Floor</w:t>
            </w:r>
          </w:p>
        </w:tc>
      </w:tr>
      <w:tr>
        <w:trPr>
          <w:trHeight w:val="212"/>
        </w:trPr>
        <w:tc>
          <w:tcPr>
            <w:tcW w:w="3500" w:type="dxa"/>
            <w:vAlign w:val="bottom"/>
          </w:tcPr>
          <w:p>
            <w:pPr>
              <w:spacing w:after="0"/>
              <w:rPr>
                <w:sz w:val="18"/>
                <w:szCs w:val="18"/>
                <w:color w:val="auto"/>
              </w:rPr>
            </w:pPr>
          </w:p>
        </w:tc>
        <w:tc>
          <w:tcPr>
            <w:tcW w:w="6440" w:type="dxa"/>
            <w:vAlign w:val="bottom"/>
          </w:tcPr>
          <w:p>
            <w:pPr>
              <w:ind w:left="660"/>
              <w:spacing w:after="0" w:line="213" w:lineRule="exact"/>
              <w:rPr>
                <w:sz w:val="20"/>
                <w:szCs w:val="20"/>
                <w:color w:val="auto"/>
              </w:rPr>
            </w:pPr>
            <w:r>
              <w:rPr>
                <w:rFonts w:ascii="Arial" w:cs="Arial" w:eastAsia="Arial" w:hAnsi="Arial"/>
                <w:sz w:val="19"/>
                <w:szCs w:val="19"/>
                <w:color w:val="auto"/>
              </w:rPr>
              <w:t>New York, NY 10007</w:t>
            </w:r>
          </w:p>
        </w:tc>
      </w:tr>
      <w:tr>
        <w:trPr>
          <w:trHeight w:val="212"/>
        </w:trPr>
        <w:tc>
          <w:tcPr>
            <w:tcW w:w="3500" w:type="dxa"/>
            <w:vAlign w:val="bottom"/>
          </w:tcPr>
          <w:p>
            <w:pPr>
              <w:spacing w:after="0"/>
              <w:rPr>
                <w:sz w:val="18"/>
                <w:szCs w:val="18"/>
                <w:color w:val="auto"/>
              </w:rPr>
            </w:pPr>
          </w:p>
        </w:tc>
        <w:tc>
          <w:tcPr>
            <w:tcW w:w="6440" w:type="dxa"/>
            <w:vAlign w:val="bottom"/>
          </w:tcPr>
          <w:p>
            <w:pPr>
              <w:ind w:left="660"/>
              <w:spacing w:after="0" w:line="213" w:lineRule="exact"/>
              <w:rPr>
                <w:sz w:val="20"/>
                <w:szCs w:val="20"/>
                <w:color w:val="auto"/>
              </w:rPr>
            </w:pPr>
            <w:r>
              <w:rPr>
                <w:rFonts w:ascii="Arial" w:cs="Arial" w:eastAsia="Arial" w:hAnsi="Arial"/>
                <w:sz w:val="19"/>
                <w:szCs w:val="19"/>
                <w:color w:val="auto"/>
              </w:rPr>
              <w:t>Attn: Nick Pizzie</w:t>
            </w:r>
          </w:p>
        </w:tc>
      </w:tr>
      <w:tr>
        <w:trPr>
          <w:trHeight w:val="240"/>
        </w:trPr>
        <w:tc>
          <w:tcPr>
            <w:tcW w:w="3500" w:type="dxa"/>
            <w:vAlign w:val="bottom"/>
          </w:tcPr>
          <w:p>
            <w:pPr>
              <w:spacing w:after="0"/>
              <w:rPr>
                <w:sz w:val="20"/>
                <w:szCs w:val="20"/>
                <w:color w:val="auto"/>
              </w:rPr>
            </w:pPr>
          </w:p>
        </w:tc>
        <w:tc>
          <w:tcPr>
            <w:tcW w:w="6440" w:type="dxa"/>
            <w:vAlign w:val="bottom"/>
          </w:tcPr>
          <w:p>
            <w:pPr>
              <w:ind w:left="660"/>
              <w:spacing w:after="0"/>
              <w:rPr>
                <w:sz w:val="20"/>
                <w:szCs w:val="20"/>
                <w:color w:val="auto"/>
              </w:rPr>
            </w:pPr>
            <w:r>
              <w:rPr>
                <w:rFonts w:ascii="Arial" w:cs="Arial" w:eastAsia="Arial" w:hAnsi="Arial"/>
                <w:sz w:val="19"/>
                <w:szCs w:val="19"/>
                <w:color w:val="auto"/>
              </w:rPr>
              <w:t>Email: npizzie@axsome.com</w:t>
            </w:r>
          </w:p>
        </w:tc>
      </w:tr>
      <w:tr>
        <w:trPr>
          <w:trHeight w:val="397"/>
        </w:trPr>
        <w:tc>
          <w:tcPr>
            <w:tcW w:w="3500" w:type="dxa"/>
            <w:vAlign w:val="bottom"/>
          </w:tcPr>
          <w:p>
            <w:pPr>
              <w:ind w:left="1080"/>
              <w:spacing w:after="0"/>
              <w:rPr>
                <w:sz w:val="20"/>
                <w:szCs w:val="20"/>
                <w:color w:val="auto"/>
              </w:rPr>
            </w:pPr>
            <w:r>
              <w:rPr>
                <w:rFonts w:ascii="Arial" w:cs="Arial" w:eastAsia="Arial" w:hAnsi="Arial"/>
                <w:sz w:val="19"/>
                <w:szCs w:val="19"/>
                <w:color w:val="auto"/>
              </w:rPr>
              <w:t>If to Agent:</w:t>
            </w:r>
          </w:p>
        </w:tc>
        <w:tc>
          <w:tcPr>
            <w:tcW w:w="6440" w:type="dxa"/>
            <w:vAlign w:val="bottom"/>
          </w:tcPr>
          <w:p>
            <w:pPr>
              <w:ind w:left="660"/>
              <w:spacing w:after="0"/>
              <w:rPr>
                <w:sz w:val="20"/>
                <w:szCs w:val="20"/>
                <w:color w:val="auto"/>
              </w:rPr>
            </w:pPr>
            <w:r>
              <w:rPr>
                <w:rFonts w:ascii="Arial" w:cs="Arial" w:eastAsia="Arial" w:hAnsi="Arial"/>
                <w:sz w:val="19"/>
                <w:szCs w:val="19"/>
                <w:color w:val="auto"/>
              </w:rPr>
              <w:t>Hercules Capital, Inc.</w:t>
            </w:r>
          </w:p>
        </w:tc>
      </w:tr>
      <w:tr>
        <w:trPr>
          <w:trHeight w:val="212"/>
        </w:trPr>
        <w:tc>
          <w:tcPr>
            <w:tcW w:w="3500" w:type="dxa"/>
            <w:vAlign w:val="bottom"/>
          </w:tcPr>
          <w:p>
            <w:pPr>
              <w:spacing w:after="0"/>
              <w:rPr>
                <w:sz w:val="18"/>
                <w:szCs w:val="18"/>
                <w:color w:val="auto"/>
              </w:rPr>
            </w:pPr>
          </w:p>
        </w:tc>
        <w:tc>
          <w:tcPr>
            <w:tcW w:w="6440" w:type="dxa"/>
            <w:vAlign w:val="bottom"/>
          </w:tcPr>
          <w:p>
            <w:pPr>
              <w:ind w:left="660"/>
              <w:spacing w:after="0" w:line="213" w:lineRule="exact"/>
              <w:rPr>
                <w:sz w:val="20"/>
                <w:szCs w:val="20"/>
                <w:color w:val="auto"/>
              </w:rPr>
            </w:pPr>
            <w:r>
              <w:rPr>
                <w:rFonts w:ascii="Arial" w:cs="Arial" w:eastAsia="Arial" w:hAnsi="Arial"/>
                <w:sz w:val="19"/>
                <w:szCs w:val="19"/>
                <w:color w:val="auto"/>
              </w:rPr>
              <w:t>Legal Department</w:t>
            </w:r>
          </w:p>
        </w:tc>
      </w:tr>
      <w:tr>
        <w:trPr>
          <w:trHeight w:val="212"/>
        </w:trPr>
        <w:tc>
          <w:tcPr>
            <w:tcW w:w="3500" w:type="dxa"/>
            <w:vAlign w:val="bottom"/>
          </w:tcPr>
          <w:p>
            <w:pPr>
              <w:spacing w:after="0"/>
              <w:rPr>
                <w:sz w:val="18"/>
                <w:szCs w:val="18"/>
                <w:color w:val="auto"/>
              </w:rPr>
            </w:pPr>
          </w:p>
        </w:tc>
        <w:tc>
          <w:tcPr>
            <w:tcW w:w="6440" w:type="dxa"/>
            <w:vAlign w:val="bottom"/>
          </w:tcPr>
          <w:p>
            <w:pPr>
              <w:ind w:left="660"/>
              <w:spacing w:after="0" w:line="213" w:lineRule="exact"/>
              <w:rPr>
                <w:sz w:val="20"/>
                <w:szCs w:val="20"/>
                <w:color w:val="auto"/>
              </w:rPr>
            </w:pPr>
            <w:r>
              <w:rPr>
                <w:rFonts w:ascii="Arial" w:cs="Arial" w:eastAsia="Arial" w:hAnsi="Arial"/>
                <w:sz w:val="19"/>
                <w:szCs w:val="19"/>
                <w:color w:val="auto"/>
              </w:rPr>
              <w:t>400 Hamilton Avenue, Suite 310</w:t>
            </w:r>
          </w:p>
        </w:tc>
      </w:tr>
      <w:tr>
        <w:trPr>
          <w:trHeight w:val="212"/>
        </w:trPr>
        <w:tc>
          <w:tcPr>
            <w:tcW w:w="3500" w:type="dxa"/>
            <w:vAlign w:val="bottom"/>
          </w:tcPr>
          <w:p>
            <w:pPr>
              <w:spacing w:after="0"/>
              <w:rPr>
                <w:sz w:val="18"/>
                <w:szCs w:val="18"/>
                <w:color w:val="auto"/>
              </w:rPr>
            </w:pPr>
          </w:p>
        </w:tc>
        <w:tc>
          <w:tcPr>
            <w:tcW w:w="6440" w:type="dxa"/>
            <w:vAlign w:val="bottom"/>
          </w:tcPr>
          <w:p>
            <w:pPr>
              <w:ind w:left="660"/>
              <w:spacing w:after="0" w:line="213" w:lineRule="exact"/>
              <w:rPr>
                <w:sz w:val="20"/>
                <w:szCs w:val="20"/>
                <w:color w:val="auto"/>
              </w:rPr>
            </w:pPr>
            <w:r>
              <w:rPr>
                <w:rFonts w:ascii="Arial" w:cs="Arial" w:eastAsia="Arial" w:hAnsi="Arial"/>
                <w:sz w:val="19"/>
                <w:szCs w:val="19"/>
                <w:color w:val="auto"/>
              </w:rPr>
              <w:t>Palo Alto, CA 94301</w:t>
            </w:r>
          </w:p>
        </w:tc>
      </w:tr>
      <w:tr>
        <w:trPr>
          <w:trHeight w:val="212"/>
        </w:trPr>
        <w:tc>
          <w:tcPr>
            <w:tcW w:w="3500" w:type="dxa"/>
            <w:vAlign w:val="bottom"/>
          </w:tcPr>
          <w:p>
            <w:pPr>
              <w:spacing w:after="0"/>
              <w:rPr>
                <w:sz w:val="18"/>
                <w:szCs w:val="18"/>
                <w:color w:val="auto"/>
              </w:rPr>
            </w:pPr>
          </w:p>
        </w:tc>
        <w:tc>
          <w:tcPr>
            <w:tcW w:w="6440" w:type="dxa"/>
            <w:vAlign w:val="bottom"/>
          </w:tcPr>
          <w:p>
            <w:pPr>
              <w:ind w:left="660"/>
              <w:spacing w:after="0" w:line="213" w:lineRule="exact"/>
              <w:rPr>
                <w:sz w:val="20"/>
                <w:szCs w:val="20"/>
                <w:color w:val="auto"/>
              </w:rPr>
            </w:pPr>
            <w:r>
              <w:rPr>
                <w:rFonts w:ascii="Arial" w:cs="Arial" w:eastAsia="Arial" w:hAnsi="Arial"/>
                <w:sz w:val="19"/>
                <w:szCs w:val="19"/>
                <w:color w:val="auto"/>
              </w:rPr>
              <w:t>Attn: Chief Legal Officer and Michael Dutra</w:t>
            </w:r>
          </w:p>
        </w:tc>
      </w:tr>
      <w:tr>
        <w:trPr>
          <w:trHeight w:val="212"/>
        </w:trPr>
        <w:tc>
          <w:tcPr>
            <w:tcW w:w="3500" w:type="dxa"/>
            <w:vAlign w:val="bottom"/>
          </w:tcPr>
          <w:p>
            <w:pPr>
              <w:spacing w:after="0"/>
              <w:rPr>
                <w:sz w:val="18"/>
                <w:szCs w:val="18"/>
                <w:color w:val="auto"/>
              </w:rPr>
            </w:pPr>
          </w:p>
        </w:tc>
        <w:tc>
          <w:tcPr>
            <w:tcW w:w="6440" w:type="dxa"/>
            <w:vAlign w:val="bottom"/>
          </w:tcPr>
          <w:p>
            <w:pPr>
              <w:ind w:left="660"/>
              <w:spacing w:after="0" w:line="213" w:lineRule="exact"/>
              <w:rPr>
                <w:sz w:val="20"/>
                <w:szCs w:val="20"/>
                <w:color w:val="auto"/>
              </w:rPr>
            </w:pPr>
            <w:r>
              <w:rPr>
                <w:rFonts w:ascii="Arial" w:cs="Arial" w:eastAsia="Arial" w:hAnsi="Arial"/>
                <w:sz w:val="19"/>
                <w:szCs w:val="19"/>
                <w:color w:val="auto"/>
              </w:rPr>
              <w:t>Email: legal@htgc.com and mdutra@htgc.com</w:t>
            </w:r>
          </w:p>
        </w:tc>
      </w:tr>
      <w:tr>
        <w:trPr>
          <w:trHeight w:val="240"/>
        </w:trPr>
        <w:tc>
          <w:tcPr>
            <w:tcW w:w="3500" w:type="dxa"/>
            <w:vAlign w:val="bottom"/>
          </w:tcPr>
          <w:p>
            <w:pPr>
              <w:spacing w:after="0"/>
              <w:rPr>
                <w:sz w:val="20"/>
                <w:szCs w:val="20"/>
                <w:color w:val="auto"/>
              </w:rPr>
            </w:pPr>
          </w:p>
        </w:tc>
        <w:tc>
          <w:tcPr>
            <w:tcW w:w="6440" w:type="dxa"/>
            <w:vAlign w:val="bottom"/>
          </w:tcPr>
          <w:p>
            <w:pPr>
              <w:ind w:left="660"/>
              <w:spacing w:after="0"/>
              <w:rPr>
                <w:sz w:val="20"/>
                <w:szCs w:val="20"/>
                <w:color w:val="auto"/>
              </w:rPr>
            </w:pPr>
            <w:r>
              <w:rPr>
                <w:rFonts w:ascii="Arial" w:cs="Arial" w:eastAsia="Arial" w:hAnsi="Arial"/>
                <w:sz w:val="19"/>
                <w:szCs w:val="19"/>
                <w:color w:val="auto"/>
              </w:rPr>
              <w:t>Telephone: 650-289-3060</w:t>
            </w:r>
          </w:p>
        </w:tc>
      </w:tr>
      <w:tr>
        <w:trPr>
          <w:trHeight w:val="1539"/>
        </w:trPr>
        <w:tc>
          <w:tcPr>
            <w:tcW w:w="3500" w:type="dxa"/>
            <w:vAlign w:val="bottom"/>
            <w:tcBorders>
              <w:bottom w:val="single" w:sz="8" w:color="auto"/>
            </w:tcBorders>
          </w:tcPr>
          <w:p>
            <w:pPr>
              <w:spacing w:after="0"/>
              <w:rPr>
                <w:sz w:val="24"/>
                <w:szCs w:val="24"/>
                <w:color w:val="auto"/>
              </w:rPr>
            </w:pPr>
          </w:p>
        </w:tc>
        <w:tc>
          <w:tcPr>
            <w:tcW w:w="644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780" w:right="979" w:bottom="1440" w:gutter="0" w:footer="0" w:header="0"/>
        </w:sectPr>
      </w:pPr>
    </w:p>
    <w:bookmarkStart w:id="232" w:name="page233"/>
    <w:bookmarkEnd w:id="232"/>
    <w:p>
      <w:pPr>
        <w:spacing w:after="0" w:line="256" w:lineRule="auto"/>
        <w:rPr>
          <w:sz w:val="20"/>
          <w:szCs w:val="20"/>
          <w:color w:val="auto"/>
        </w:rPr>
      </w:pPr>
      <w:r>
        <w:rPr>
          <w:rFonts w:ascii="Arial" w:cs="Arial" w:eastAsia="Arial" w:hAnsi="Arial"/>
          <w:sz w:val="19"/>
          <w:szCs w:val="19"/>
          <w:color w:val="auto"/>
        </w:rPr>
        <w:t>A party may, by notice given hereunder, designate any further or different addresses to which subsequent notices or other communications shall be sent.</w:t>
      </w:r>
    </w:p>
    <w:p>
      <w:pPr>
        <w:spacing w:after="0" w:line="171" w:lineRule="exact"/>
        <w:rPr>
          <w:sz w:val="20"/>
          <w:szCs w:val="20"/>
          <w:color w:val="auto"/>
        </w:rPr>
      </w:pPr>
    </w:p>
    <w:p>
      <w:pPr>
        <w:ind w:left="560"/>
        <w:spacing w:after="0"/>
        <w:tabs>
          <w:tab w:leader="none" w:pos="1100" w:val="left"/>
        </w:tabs>
        <w:rPr>
          <w:sz w:val="20"/>
          <w:szCs w:val="20"/>
          <w:color w:val="auto"/>
        </w:rPr>
      </w:pPr>
      <w:r>
        <w:rPr>
          <w:rFonts w:ascii="Arial" w:cs="Arial" w:eastAsia="Arial" w:hAnsi="Arial"/>
          <w:sz w:val="19"/>
          <w:szCs w:val="19"/>
          <w:color w:val="auto"/>
        </w:rPr>
        <w:t>5.2</w:t>
      </w:r>
      <w:r>
        <w:rPr>
          <w:sz w:val="20"/>
          <w:szCs w:val="20"/>
          <w:color w:val="auto"/>
        </w:rPr>
        <w:tab/>
      </w:r>
      <w:r>
        <w:rPr>
          <w:rFonts w:ascii="Arial" w:cs="Arial" w:eastAsia="Arial" w:hAnsi="Arial"/>
          <w:sz w:val="17"/>
          <w:szCs w:val="17"/>
          <w:u w:val="single" w:color="auto"/>
          <w:color w:val="auto"/>
        </w:rPr>
        <w:t>Governing Law; Submission to Jurisdiction; Waiver of Jury Trial</w:t>
      </w:r>
      <w:r>
        <w:rPr>
          <w:rFonts w:ascii="Arial" w:cs="Arial" w:eastAsia="Arial" w:hAnsi="Arial"/>
          <w:sz w:val="17"/>
          <w:szCs w:val="17"/>
          <w:color w:val="auto"/>
        </w:rPr>
        <w:t>.</w:t>
      </w:r>
    </w:p>
    <w:p>
      <w:pPr>
        <w:spacing w:after="0" w:line="182" w:lineRule="exact"/>
        <w:rPr>
          <w:sz w:val="20"/>
          <w:szCs w:val="20"/>
          <w:color w:val="auto"/>
        </w:rPr>
      </w:pPr>
    </w:p>
    <w:p>
      <w:pPr>
        <w:ind w:right="20" w:firstLine="1128"/>
        <w:spacing w:after="0" w:line="284" w:lineRule="auto"/>
        <w:tabs>
          <w:tab w:leader="none" w:pos="1698"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THIS CONSENT AND THE RIGHTS AND OBLIGATIONS OF THE PARTIES HEREUNDER SHALL BE CONSTRUED IN ACCORDANCE WITH AND BE GOVERNED BY THE LAWS OF THE STATE OF CALIFORNIA.</w:t>
      </w:r>
    </w:p>
    <w:p>
      <w:pPr>
        <w:spacing w:after="0" w:line="123" w:lineRule="exact"/>
        <w:rPr>
          <w:rFonts w:ascii="Arial" w:cs="Arial" w:eastAsia="Arial" w:hAnsi="Arial"/>
          <w:sz w:val="18"/>
          <w:szCs w:val="18"/>
          <w:color w:val="auto"/>
        </w:rPr>
      </w:pPr>
    </w:p>
    <w:p>
      <w:pPr>
        <w:jc w:val="both"/>
        <w:ind w:firstLine="1128"/>
        <w:spacing w:after="0" w:line="265" w:lineRule="auto"/>
        <w:tabs>
          <w:tab w:leader="none" w:pos="1698" w:val="left"/>
        </w:tabs>
        <w:numPr>
          <w:ilvl w:val="0"/>
          <w:numId w:val="150"/>
        </w:numPr>
        <w:rPr>
          <w:rFonts w:ascii="Arial" w:cs="Arial" w:eastAsia="Arial" w:hAnsi="Arial"/>
          <w:sz w:val="17"/>
          <w:szCs w:val="17"/>
          <w:color w:val="auto"/>
        </w:rPr>
      </w:pPr>
      <w:r>
        <w:rPr>
          <w:rFonts w:ascii="Arial" w:cs="Arial" w:eastAsia="Arial" w:hAnsi="Arial"/>
          <w:sz w:val="17"/>
          <w:szCs w:val="17"/>
          <w:color w:val="auto"/>
        </w:rPr>
        <w:t>Any legal action or proceeding with respect to this Direct Agreement and any action for enforcement of any judgment in respect thereof may be brought in the state or federal court located in the State of California, and, by execution and delivery of this Direct Agreement, the Contracting Party hereby accepts for itself and in respect of its property, generally and unconditionally, the exclusive jurisdiction of the aforesaid courts and appellate courts from any appeal thereof. The Contracting Party further irrevocably consents to the service of process out of any of the aforementioned courts in any such action or proceeding by the mailing of copies thereof by registered or certified mail, postage prepaid, to the Contracting Party at its notice address provided pursuant to Section 6.1. The Contracting Party hereby irrevocably waives any objection that it may now or hereafter have to the laying of venue of any of the aforesaid actions or proceedings arising out of or in connection with this Direct Agreement brought in the courts referred to above and hereby further irrevocably waives and agrees not to plead or claim in any such court that any such action or proceeding brought in any such court has been brought in an inconvenient forum. Nothing herein shall affect the right of the Agent or its designee(s) or assignee(s) to serve process in any other manner permitted by law or to commence legal proceedings or otherwise proceed against the Contracting Party in any other jurisdiction.</w:t>
      </w:r>
    </w:p>
    <w:p>
      <w:pPr>
        <w:spacing w:after="0" w:line="145" w:lineRule="exact"/>
        <w:rPr>
          <w:rFonts w:ascii="Arial" w:cs="Arial" w:eastAsia="Arial" w:hAnsi="Arial"/>
          <w:sz w:val="17"/>
          <w:szCs w:val="17"/>
          <w:color w:val="auto"/>
        </w:rPr>
      </w:pPr>
    </w:p>
    <w:p>
      <w:pPr>
        <w:jc w:val="both"/>
        <w:ind w:right="20" w:firstLine="1128"/>
        <w:spacing w:after="0" w:line="241" w:lineRule="auto"/>
        <w:tabs>
          <w:tab w:leader="none" w:pos="1698" w:val="left"/>
        </w:tabs>
        <w:numPr>
          <w:ilvl w:val="0"/>
          <w:numId w:val="150"/>
        </w:numPr>
        <w:rPr>
          <w:rFonts w:ascii="Arial" w:cs="Arial" w:eastAsia="Arial" w:hAnsi="Arial"/>
          <w:sz w:val="19"/>
          <w:szCs w:val="19"/>
          <w:color w:val="auto"/>
        </w:rPr>
      </w:pPr>
      <w:r>
        <w:rPr>
          <w:rFonts w:ascii="Arial" w:cs="Arial" w:eastAsia="Arial" w:hAnsi="Arial"/>
          <w:sz w:val="19"/>
          <w:szCs w:val="19"/>
          <w:color w:val="auto"/>
        </w:rPr>
        <w:t>TO THE EXTENT PERMITTED BY APPLICABLE LAW, THE CONTRACTING PARTY AND THE COLLATERAL AGENT HEREBY IRREVOCABLY WAIVE ALL RIGHT OF TRIAL BY JURY IN ANY ACTION, PROCEEDING OR COUNTERCLAIM ARISING OUT OF OR IN CONNECTION WITH THIS CONSENT OR ANY MATTER ARISING HEREUNDER.</w:t>
      </w:r>
    </w:p>
    <w:p>
      <w:pPr>
        <w:spacing w:after="0" w:line="160" w:lineRule="exact"/>
        <w:rPr>
          <w:sz w:val="20"/>
          <w:szCs w:val="20"/>
          <w:color w:val="auto"/>
        </w:rPr>
      </w:pPr>
    </w:p>
    <w:p>
      <w:pPr>
        <w:jc w:val="both"/>
        <w:ind w:firstLine="566"/>
        <w:spacing w:after="0" w:line="278"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Counterparts</w:t>
      </w:r>
      <w:r>
        <w:rPr>
          <w:rFonts w:ascii="Arial" w:cs="Arial" w:eastAsia="Arial" w:hAnsi="Arial"/>
          <w:sz w:val="17"/>
          <w:szCs w:val="17"/>
          <w:color w:val="auto"/>
        </w:rPr>
        <w:t>. This Direct Agreement may be executed in any number of counterparts and by the different parties hereto on separate counterparts, each of which when so executed and delivered shall be an original, but all of which shall together constitute one and the same instrument. Delivery of an executed counterpart of a signature page to this Direct Agreement by facsimile or other electronic delivery shall be effective as delivery of a manually executed counterpart of this Agreement.</w:t>
      </w:r>
    </w:p>
    <w:p>
      <w:pPr>
        <w:spacing w:after="0" w:line="132" w:lineRule="exact"/>
        <w:rPr>
          <w:sz w:val="20"/>
          <w:szCs w:val="20"/>
          <w:color w:val="auto"/>
        </w:rPr>
      </w:pPr>
    </w:p>
    <w:p>
      <w:pPr>
        <w:jc w:val="both"/>
        <w:ind w:right="20" w:firstLine="566"/>
        <w:spacing w:after="0" w:line="284"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Headings Descriptive</w:t>
      </w:r>
      <w:r>
        <w:rPr>
          <w:rFonts w:ascii="Arial" w:cs="Arial" w:eastAsia="Arial" w:hAnsi="Arial"/>
          <w:sz w:val="18"/>
          <w:szCs w:val="18"/>
          <w:color w:val="auto"/>
        </w:rPr>
        <w:t>.The headings of the several sections and subsections of this Direct Agreement are inserted for convenience only and shall not in any way affect the meaning or construction of any provision of this Direct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644525</wp:posOffset>
            </wp:positionV>
            <wp:extent cx="6311265" cy="2222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940"/>
          </w:cols>
          <w:pgMar w:left="980" w:top="781" w:right="979" w:bottom="1440" w:gutter="0" w:footer="0" w:header="0"/>
        </w:sectPr>
      </w:pPr>
    </w:p>
    <w:bookmarkStart w:id="233" w:name="page234"/>
    <w:bookmarkEnd w:id="233"/>
    <w:p>
      <w:pPr>
        <w:jc w:val="both"/>
        <w:ind w:right="20" w:firstLine="566"/>
        <w:spacing w:after="0" w:line="244" w:lineRule="auto"/>
        <w:rPr>
          <w:sz w:val="20"/>
          <w:szCs w:val="20"/>
          <w:color w:val="auto"/>
        </w:rPr>
      </w:pPr>
      <w:r>
        <w:rPr>
          <w:rFonts w:ascii="Arial" w:cs="Arial" w:eastAsia="Arial" w:hAnsi="Arial"/>
          <w:sz w:val="19"/>
          <w:szCs w:val="19"/>
          <w:color w:val="auto"/>
        </w:rPr>
        <w:t xml:space="preserve">5.5 </w:t>
      </w:r>
      <w:r>
        <w:rPr>
          <w:rFonts w:ascii="Arial" w:cs="Arial" w:eastAsia="Arial" w:hAnsi="Arial"/>
          <w:sz w:val="19"/>
          <w:szCs w:val="19"/>
          <w:u w:val="single" w:color="auto"/>
          <w:color w:val="auto"/>
        </w:rPr>
        <w:t>Severability</w:t>
      </w:r>
      <w:r>
        <w:rPr>
          <w:rFonts w:ascii="Arial" w:cs="Arial" w:eastAsia="Arial" w:hAnsi="Arial"/>
          <w:sz w:val="19"/>
          <w:szCs w:val="19"/>
          <w:color w:val="auto"/>
        </w:rPr>
        <w:t>. In case any provision in or obligation under this Direct Agreement shall be invalid, illegal or unenforceable in any jurisdiction, the validity, legality and enforceability of the remaining provisions or obligations, or of such provision or obligation in any other jurisdiction, shall not in any way be affected or impaired thereby.</w:t>
      </w:r>
    </w:p>
    <w:p>
      <w:pPr>
        <w:spacing w:after="0" w:line="159" w:lineRule="exact"/>
        <w:rPr>
          <w:sz w:val="20"/>
          <w:szCs w:val="20"/>
          <w:color w:val="auto"/>
        </w:rPr>
      </w:pPr>
    </w:p>
    <w:p>
      <w:pPr>
        <w:jc w:val="both"/>
        <w:ind w:right="20" w:firstLine="566"/>
        <w:spacing w:after="0" w:line="315" w:lineRule="auto"/>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u w:val="single" w:color="auto"/>
          <w:color w:val="auto"/>
        </w:rPr>
        <w:t>Amendment</w:t>
      </w:r>
      <w:r>
        <w:rPr>
          <w:rFonts w:ascii="Arial" w:cs="Arial" w:eastAsia="Arial" w:hAnsi="Arial"/>
          <w:sz w:val="17"/>
          <w:szCs w:val="17"/>
          <w:color w:val="auto"/>
        </w:rPr>
        <w:t>. Neither this Direct Agreement nor any of the terms hereof may be terminated, amended, supplemented, waived or modified except by an instrument in writing signed by the Contracting Party, Company and the Agent.</w:t>
      </w:r>
    </w:p>
    <w:p>
      <w:pPr>
        <w:spacing w:after="0" w:line="100" w:lineRule="exact"/>
        <w:rPr>
          <w:sz w:val="20"/>
          <w:szCs w:val="20"/>
          <w:color w:val="auto"/>
        </w:rPr>
      </w:pPr>
    </w:p>
    <w:p>
      <w:pPr>
        <w:jc w:val="both"/>
        <w:ind w:firstLine="566"/>
        <w:spacing w:after="0" w:line="278" w:lineRule="auto"/>
        <w:rPr>
          <w:sz w:val="20"/>
          <w:szCs w:val="20"/>
          <w:color w:val="auto"/>
        </w:rPr>
      </w:pPr>
      <w:r>
        <w:rPr>
          <w:rFonts w:ascii="Arial" w:cs="Arial" w:eastAsia="Arial" w:hAnsi="Arial"/>
          <w:sz w:val="17"/>
          <w:szCs w:val="17"/>
          <w:color w:val="auto"/>
        </w:rPr>
        <w:t xml:space="preserve">5.7 </w:t>
      </w:r>
      <w:r>
        <w:rPr>
          <w:rFonts w:ascii="Arial" w:cs="Arial" w:eastAsia="Arial" w:hAnsi="Arial"/>
          <w:sz w:val="17"/>
          <w:szCs w:val="17"/>
          <w:u w:val="single" w:color="auto"/>
          <w:color w:val="auto"/>
        </w:rPr>
        <w:t>Termination</w:t>
      </w:r>
      <w:r>
        <w:rPr>
          <w:rFonts w:ascii="Arial" w:cs="Arial" w:eastAsia="Arial" w:hAnsi="Arial"/>
          <w:sz w:val="17"/>
          <w:szCs w:val="17"/>
          <w:color w:val="auto"/>
        </w:rPr>
        <w:t>. The Contracting Party’s obligations hereunder are absolute and unconditional, and the Contracting Party has no right, and shall have no right, to terminate this Direct Agreement or to be released, relieved or discharged from any obligation or liability hereunder until the Secured Obligations have been satisfied in full in cash pursuant to the terms of the Loan and Security Agreement, at which time this Direct Agreement shall be automatically terminated and of no further force or effect.</w:t>
      </w:r>
    </w:p>
    <w:p>
      <w:pPr>
        <w:spacing w:after="0" w:line="132" w:lineRule="exact"/>
        <w:rPr>
          <w:sz w:val="20"/>
          <w:szCs w:val="20"/>
          <w:color w:val="auto"/>
        </w:rPr>
      </w:pPr>
    </w:p>
    <w:p>
      <w:pPr>
        <w:jc w:val="both"/>
        <w:ind w:right="20" w:firstLine="566"/>
        <w:spacing w:after="0" w:line="244" w:lineRule="auto"/>
        <w:rPr>
          <w:sz w:val="20"/>
          <w:szCs w:val="20"/>
          <w:color w:val="auto"/>
        </w:rPr>
      </w:pPr>
      <w:r>
        <w:rPr>
          <w:rFonts w:ascii="Arial" w:cs="Arial" w:eastAsia="Arial" w:hAnsi="Arial"/>
          <w:sz w:val="19"/>
          <w:szCs w:val="19"/>
          <w:color w:val="auto"/>
        </w:rPr>
        <w:t xml:space="preserve">5.8 </w:t>
      </w:r>
      <w:r>
        <w:rPr>
          <w:rFonts w:ascii="Arial" w:cs="Arial" w:eastAsia="Arial" w:hAnsi="Arial"/>
          <w:sz w:val="19"/>
          <w:szCs w:val="19"/>
          <w:u w:val="single" w:color="auto"/>
          <w:color w:val="auto"/>
        </w:rPr>
        <w:t>Successors and Assigns</w:t>
      </w:r>
      <w:r>
        <w:rPr>
          <w:rFonts w:ascii="Arial" w:cs="Arial" w:eastAsia="Arial" w:hAnsi="Arial"/>
          <w:sz w:val="19"/>
          <w:szCs w:val="19"/>
          <w:color w:val="auto"/>
        </w:rPr>
        <w:t>. This Direct Agreement shall be binding upon the Contracting Party and its permitted successors and assigns and shall inure to the benefit of the Agent, its designee(s) and assignee(s) and their respective successors and assigns.</w:t>
      </w:r>
    </w:p>
    <w:p>
      <w:pPr>
        <w:spacing w:after="0" w:line="159" w:lineRule="exact"/>
        <w:rPr>
          <w:sz w:val="20"/>
          <w:szCs w:val="20"/>
          <w:color w:val="auto"/>
        </w:rPr>
      </w:pPr>
    </w:p>
    <w:p>
      <w:pPr>
        <w:ind w:left="560"/>
        <w:spacing w:after="0"/>
        <w:tabs>
          <w:tab w:leader="none" w:pos="1100" w:val="left"/>
        </w:tabs>
        <w:rPr>
          <w:sz w:val="20"/>
          <w:szCs w:val="20"/>
          <w:color w:val="auto"/>
        </w:rPr>
      </w:pPr>
      <w:r>
        <w:rPr>
          <w:rFonts w:ascii="Arial" w:cs="Arial" w:eastAsia="Arial" w:hAnsi="Arial"/>
          <w:sz w:val="19"/>
          <w:szCs w:val="19"/>
          <w:color w:val="auto"/>
        </w:rPr>
        <w:t>5.9</w:t>
      </w:r>
      <w:r>
        <w:rPr>
          <w:sz w:val="20"/>
          <w:szCs w:val="20"/>
          <w:color w:val="auto"/>
        </w:rPr>
        <w:tab/>
      </w:r>
      <w:r>
        <w:rPr>
          <w:rFonts w:ascii="Arial" w:cs="Arial" w:eastAsia="Arial" w:hAnsi="Arial"/>
          <w:sz w:val="17"/>
          <w:szCs w:val="17"/>
          <w:u w:val="single" w:color="auto"/>
          <w:color w:val="auto"/>
        </w:rPr>
        <w:t>Third Party Beneficiaries</w:t>
      </w:r>
      <w:r>
        <w:rPr>
          <w:rFonts w:ascii="Arial" w:cs="Arial" w:eastAsia="Arial" w:hAnsi="Arial"/>
          <w:sz w:val="17"/>
          <w:szCs w:val="17"/>
          <w:color w:val="auto"/>
        </w:rPr>
        <w:t>.</w:t>
      </w:r>
    </w:p>
    <w:p>
      <w:pPr>
        <w:spacing w:after="0" w:line="182" w:lineRule="exact"/>
        <w:rPr>
          <w:sz w:val="20"/>
          <w:szCs w:val="20"/>
          <w:color w:val="auto"/>
        </w:rPr>
      </w:pPr>
    </w:p>
    <w:p>
      <w:pPr>
        <w:jc w:val="both"/>
        <w:ind w:right="20" w:firstLine="1128"/>
        <w:spacing w:after="0" w:line="255" w:lineRule="auto"/>
        <w:tabs>
          <w:tab w:leader="none" w:pos="1698"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Contracting Party and the Agent hereby acknowledge and agree that the Secured Parties are intended third party beneficiaries of this Direct Agreement. Furthermore, the Company and the Contracting Party acknowledge that the terms of the Assigned Agreement are subject to in all cases the terms of this Direct Agreement. The Company and the Contracting Party agree, to the fullest extent of the law, that the Agent is an express third party beneficiary of the immediately preceding sentence with all powers granted to such third party beneficiary under applicable law.</w:t>
      </w:r>
    </w:p>
    <w:p>
      <w:pPr>
        <w:spacing w:after="0" w:line="150" w:lineRule="exact"/>
        <w:rPr>
          <w:sz w:val="20"/>
          <w:szCs w:val="20"/>
          <w:color w:val="auto"/>
        </w:rPr>
      </w:pPr>
    </w:p>
    <w:p>
      <w:pPr>
        <w:jc w:val="both"/>
        <w:ind w:right="20" w:firstLine="566"/>
        <w:spacing w:after="0" w:line="256" w:lineRule="auto"/>
        <w:rPr>
          <w:sz w:val="20"/>
          <w:szCs w:val="20"/>
          <w:color w:val="auto"/>
        </w:rPr>
      </w:pPr>
      <w:r>
        <w:rPr>
          <w:rFonts w:ascii="Arial" w:cs="Arial" w:eastAsia="Arial" w:hAnsi="Arial"/>
          <w:sz w:val="19"/>
          <w:szCs w:val="19"/>
          <w:color w:val="auto"/>
        </w:rPr>
        <w:t xml:space="preserve">5.10 </w:t>
      </w:r>
      <w:r>
        <w:rPr>
          <w:rFonts w:ascii="Arial" w:cs="Arial" w:eastAsia="Arial" w:hAnsi="Arial"/>
          <w:sz w:val="19"/>
          <w:szCs w:val="19"/>
          <w:u w:val="single" w:color="auto"/>
          <w:color w:val="auto"/>
        </w:rPr>
        <w:t>Further Assurances</w:t>
      </w:r>
      <w:r>
        <w:rPr>
          <w:rFonts w:ascii="Arial" w:cs="Arial" w:eastAsia="Arial" w:hAnsi="Arial"/>
          <w:sz w:val="19"/>
          <w:szCs w:val="19"/>
          <w:color w:val="auto"/>
        </w:rPr>
        <w:t>. The Contracting Party hereby agrees to execute and deliver all such instruments and take all such action as may be necessary to effectuate fully the purposes of this Direct Agreement.</w:t>
      </w:r>
    </w:p>
    <w:p>
      <w:pPr>
        <w:spacing w:after="0" w:line="147" w:lineRule="exact"/>
        <w:rPr>
          <w:sz w:val="20"/>
          <w:szCs w:val="20"/>
          <w:color w:val="auto"/>
        </w:rPr>
      </w:pPr>
    </w:p>
    <w:p>
      <w:pPr>
        <w:jc w:val="both"/>
        <w:ind w:right="20" w:firstLine="566"/>
        <w:spacing w:after="0" w:line="239" w:lineRule="auto"/>
        <w:rPr>
          <w:sz w:val="20"/>
          <w:szCs w:val="20"/>
          <w:color w:val="auto"/>
        </w:rPr>
      </w:pPr>
      <w:r>
        <w:rPr>
          <w:rFonts w:ascii="Arial" w:cs="Arial" w:eastAsia="Arial" w:hAnsi="Arial"/>
          <w:sz w:val="19"/>
          <w:szCs w:val="19"/>
          <w:color w:val="auto"/>
        </w:rPr>
        <w:t xml:space="preserve">5.11 </w:t>
      </w:r>
      <w:r>
        <w:rPr>
          <w:rFonts w:ascii="Arial" w:cs="Arial" w:eastAsia="Arial" w:hAnsi="Arial"/>
          <w:sz w:val="19"/>
          <w:szCs w:val="19"/>
          <w:u w:val="single" w:color="auto"/>
          <w:color w:val="auto"/>
        </w:rPr>
        <w:t>Agent</w:t>
      </w:r>
      <w:r>
        <w:rPr>
          <w:rFonts w:ascii="Arial" w:cs="Arial" w:eastAsia="Arial" w:hAnsi="Arial"/>
          <w:sz w:val="19"/>
          <w:szCs w:val="19"/>
          <w:color w:val="auto"/>
        </w:rPr>
        <w:t>. In the performance of its obligations hereunder, the Agent shall be entitled to all of the rights, benefits, protections and immunities afforded to it pursuant to the Loan and Security Agreement, and the related financing and security documents. Further, notwithstanding anything to the contrary in this Direct Agreement, the parties acknowledge and agree that Agent may exercise any of its rights or remedies under this Direct Agreement through any designees or assignees, without the consent of Contracting Party or Company.</w:t>
      </w:r>
    </w:p>
    <w:p>
      <w:pPr>
        <w:spacing w:after="0" w:line="162" w:lineRule="exact"/>
        <w:rPr>
          <w:sz w:val="20"/>
          <w:szCs w:val="20"/>
          <w:color w:val="auto"/>
        </w:rPr>
      </w:pPr>
    </w:p>
    <w:p>
      <w:pPr>
        <w:jc w:val="both"/>
        <w:ind w:right="20" w:firstLine="566"/>
        <w:spacing w:after="0" w:line="239" w:lineRule="auto"/>
        <w:rPr>
          <w:sz w:val="20"/>
          <w:szCs w:val="20"/>
          <w:color w:val="auto"/>
        </w:rPr>
      </w:pPr>
      <w:r>
        <w:rPr>
          <w:rFonts w:ascii="Arial" w:cs="Arial" w:eastAsia="Arial" w:hAnsi="Arial"/>
          <w:sz w:val="19"/>
          <w:szCs w:val="19"/>
          <w:color w:val="auto"/>
        </w:rPr>
        <w:t xml:space="preserve">5.12 </w:t>
      </w:r>
      <w:r>
        <w:rPr>
          <w:rFonts w:ascii="Arial" w:cs="Arial" w:eastAsia="Arial" w:hAnsi="Arial"/>
          <w:sz w:val="19"/>
          <w:szCs w:val="19"/>
          <w:u w:val="single" w:color="auto"/>
          <w:color w:val="auto"/>
        </w:rPr>
        <w:t>Entire Agreement</w:t>
      </w:r>
      <w:r>
        <w:rPr>
          <w:rFonts w:ascii="Arial" w:cs="Arial" w:eastAsia="Arial" w:hAnsi="Arial"/>
          <w:sz w:val="19"/>
          <w:szCs w:val="19"/>
          <w:color w:val="auto"/>
        </w:rPr>
        <w:t>. This Direct Agreement and any agreement, document or instrument attached hereto or referred to herein integrate all the terms and conditions mentioned herein or incidental hereto and supersede all oral negotiations and prior writings in respect to the subject matter hereof. In the event of any conflict between the terms, conditions and provisions of this Direct Agreement and any such agreement, document or instrument, the terms, conditions and provisions of this Direct Agreement shall prevail.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668655</wp:posOffset>
            </wp:positionV>
            <wp:extent cx="6311265" cy="2222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940"/>
          </w:cols>
          <w:pgMar w:left="980" w:top="781" w:right="979" w:bottom="1440" w:gutter="0" w:footer="0" w:header="0"/>
        </w:sectPr>
      </w:pPr>
    </w:p>
    <w:bookmarkStart w:id="234" w:name="page235"/>
    <w:bookmarkEnd w:id="234"/>
    <w:p>
      <w:pPr>
        <w:jc w:val="both"/>
        <w:ind w:firstLine="566"/>
        <w:spacing w:after="0" w:line="236" w:lineRule="auto"/>
        <w:rPr>
          <w:sz w:val="20"/>
          <w:szCs w:val="20"/>
          <w:color w:val="auto"/>
        </w:rPr>
      </w:pPr>
      <w:r>
        <w:rPr>
          <w:rFonts w:ascii="Arial" w:cs="Arial" w:eastAsia="Arial" w:hAnsi="Arial"/>
          <w:sz w:val="19"/>
          <w:szCs w:val="19"/>
          <w:color w:val="auto"/>
        </w:rPr>
        <w:t xml:space="preserve">5.13 </w:t>
      </w:r>
      <w:r>
        <w:rPr>
          <w:rFonts w:ascii="Arial" w:cs="Arial" w:eastAsia="Arial" w:hAnsi="Arial"/>
          <w:sz w:val="19"/>
          <w:szCs w:val="19"/>
          <w:u w:val="single" w:color="auto"/>
          <w:color w:val="auto"/>
        </w:rPr>
        <w:t>Electronic Execution of Certain Other Documents</w:t>
      </w:r>
      <w:r>
        <w:rPr>
          <w:rFonts w:ascii="Arial" w:cs="Arial" w:eastAsia="Arial" w:hAnsi="Arial"/>
          <w:sz w:val="19"/>
          <w:szCs w:val="19"/>
          <w:color w:val="auto"/>
        </w:rPr>
        <w:t>. The words “execution,” “execute”, “signed,” “signature,” and words of like import in or related to any document to be signed in connection with this Direct Agreement and the transactions contemplated hereby (including without limitation assignments, assumptions, amendments, waivers and consents) shall be deemed to include electronic signatures, the electronic matching of assignment terms and contract formations on electronic platforms approved by the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pages follow.</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561975</wp:posOffset>
            </wp:positionV>
            <wp:extent cx="6311265" cy="2222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940"/>
          </w:cols>
          <w:pgMar w:left="980" w:top="781" w:right="979" w:bottom="1440" w:gutter="0" w:footer="0" w:header="0"/>
        </w:sectPr>
      </w:pPr>
    </w:p>
    <w:bookmarkStart w:id="235" w:name="page236"/>
    <w:bookmarkEnd w:id="235"/>
    <w:p>
      <w:pPr>
        <w:ind w:firstLine="566"/>
        <w:spacing w:after="0" w:line="256" w:lineRule="auto"/>
        <w:rPr>
          <w:sz w:val="20"/>
          <w:szCs w:val="20"/>
          <w:color w:val="auto"/>
        </w:rPr>
      </w:pPr>
      <w:r>
        <w:rPr>
          <w:rFonts w:ascii="Arial" w:cs="Arial" w:eastAsia="Arial" w:hAnsi="Arial"/>
          <w:sz w:val="19"/>
          <w:szCs w:val="19"/>
          <w:color w:val="auto"/>
        </w:rPr>
        <w:t>IN WITNESS WHEREOF, the Contracting Party has caused this Direct Agreement to be duly executed and delivered by its officer thereunto duly authorized as of the date first above written.</w:t>
      </w:r>
    </w:p>
    <w:p>
      <w:pPr>
        <w:spacing w:after="0" w:line="171" w:lineRule="exact"/>
        <w:rPr>
          <w:sz w:val="20"/>
          <w:szCs w:val="20"/>
          <w:color w:val="auto"/>
        </w:rPr>
      </w:pPr>
    </w:p>
    <w:p>
      <w:pPr>
        <w:ind w:left="4720"/>
        <w:spacing w:after="0"/>
        <w:rPr>
          <w:sz w:val="20"/>
          <w:szCs w:val="20"/>
          <w:color w:val="auto"/>
        </w:rPr>
      </w:pPr>
      <w:r>
        <w:rPr>
          <w:rFonts w:ascii="Arial" w:cs="Arial" w:eastAsia="Arial" w:hAnsi="Arial"/>
          <w:sz w:val="19"/>
          <w:szCs w:val="19"/>
          <w:color w:val="auto"/>
        </w:rPr>
        <w:t>ANTECIP BIOVENTURES II LLC,</w:t>
      </w:r>
    </w:p>
    <w:p>
      <w:pPr>
        <w:spacing w:after="0" w:line="10" w:lineRule="exact"/>
        <w:rPr>
          <w:sz w:val="20"/>
          <w:szCs w:val="20"/>
          <w:color w:val="auto"/>
        </w:rPr>
      </w:pPr>
    </w:p>
    <w:p>
      <w:pPr>
        <w:ind w:left="4720"/>
        <w:spacing w:after="0"/>
        <w:rPr>
          <w:sz w:val="20"/>
          <w:szCs w:val="20"/>
          <w:color w:val="auto"/>
        </w:rPr>
      </w:pPr>
      <w:r>
        <w:rPr>
          <w:rFonts w:ascii="Arial" w:cs="Arial" w:eastAsia="Arial" w:hAnsi="Arial"/>
          <w:sz w:val="19"/>
          <w:szCs w:val="19"/>
          <w:color w:val="auto"/>
        </w:rPr>
        <w:t>as Contracting Party</w:t>
      </w:r>
    </w:p>
    <w:p>
      <w:pPr>
        <w:spacing w:after="0" w:line="200" w:lineRule="exact"/>
        <w:rPr>
          <w:sz w:val="20"/>
          <w:szCs w:val="20"/>
          <w:color w:val="auto"/>
        </w:rPr>
      </w:pPr>
    </w:p>
    <w:p>
      <w:pPr>
        <w:spacing w:after="0" w:line="202" w:lineRule="exact"/>
        <w:rPr>
          <w:sz w:val="20"/>
          <w:szCs w:val="20"/>
          <w:color w:val="auto"/>
        </w:rPr>
      </w:pPr>
    </w:p>
    <w:p>
      <w:pPr>
        <w:ind w:left="472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Herriot Tabuteau, M.D.</w:t>
      </w:r>
    </w:p>
    <w:p>
      <w:pPr>
        <w:spacing w:after="0" w:line="3" w:lineRule="exact"/>
        <w:rPr>
          <w:sz w:val="20"/>
          <w:szCs w:val="20"/>
          <w:color w:val="auto"/>
        </w:rPr>
      </w:pPr>
    </w:p>
    <w:p>
      <w:pPr>
        <w:ind w:left="4720"/>
        <w:spacing w:after="0"/>
        <w:rPr>
          <w:sz w:val="20"/>
          <w:szCs w:val="20"/>
          <w:color w:val="auto"/>
        </w:rPr>
      </w:pPr>
      <w:r>
        <w:rPr>
          <w:rFonts w:ascii="Arial" w:cs="Arial" w:eastAsia="Arial" w:hAnsi="Arial"/>
          <w:sz w:val="19"/>
          <w:szCs w:val="19"/>
          <w:color w:val="auto"/>
        </w:rPr>
        <w:t>Name: Herriot Tabuteau, M.D.</w:t>
      </w:r>
    </w:p>
    <w:p>
      <w:pPr>
        <w:ind w:left="4720"/>
        <w:spacing w:after="0"/>
        <w:rPr>
          <w:sz w:val="20"/>
          <w:szCs w:val="20"/>
          <w:color w:val="auto"/>
        </w:rPr>
      </w:pPr>
      <w:r>
        <w:rPr>
          <w:rFonts w:ascii="Arial" w:cs="Arial" w:eastAsia="Arial" w:hAnsi="Arial"/>
          <w:sz w:val="19"/>
          <w:szCs w:val="19"/>
          <w:color w:val="auto"/>
        </w:rPr>
        <w:t>Title: Managing Member</w:t>
      </w:r>
    </w:p>
    <w:p>
      <w:pPr>
        <w:spacing w:after="0" w:line="200" w:lineRule="exact"/>
        <w:rPr>
          <w:sz w:val="20"/>
          <w:szCs w:val="20"/>
          <w:color w:val="auto"/>
        </w:rPr>
      </w:pPr>
    </w:p>
    <w:p>
      <w:pPr>
        <w:spacing w:after="0" w:line="202" w:lineRule="exact"/>
        <w:rPr>
          <w:sz w:val="20"/>
          <w:szCs w:val="20"/>
          <w:color w:val="auto"/>
        </w:rPr>
      </w:pPr>
    </w:p>
    <w:p>
      <w:pPr>
        <w:ind w:left="4720"/>
        <w:spacing w:after="0"/>
        <w:rPr>
          <w:sz w:val="20"/>
          <w:szCs w:val="20"/>
          <w:color w:val="auto"/>
        </w:rPr>
      </w:pPr>
      <w:r>
        <w:rPr>
          <w:rFonts w:ascii="Arial" w:cs="Arial" w:eastAsia="Arial" w:hAnsi="Arial"/>
          <w:sz w:val="19"/>
          <w:szCs w:val="19"/>
          <w:color w:val="auto"/>
        </w:rPr>
        <w:t>HERCULES CAPITAL, INC.,</w:t>
      </w:r>
    </w:p>
    <w:p>
      <w:pPr>
        <w:spacing w:after="0" w:line="3" w:lineRule="exact"/>
        <w:rPr>
          <w:sz w:val="20"/>
          <w:szCs w:val="20"/>
          <w:color w:val="auto"/>
        </w:rPr>
      </w:pPr>
    </w:p>
    <w:p>
      <w:pPr>
        <w:ind w:left="4720"/>
        <w:spacing w:after="0"/>
        <w:rPr>
          <w:sz w:val="20"/>
          <w:szCs w:val="20"/>
          <w:color w:val="auto"/>
        </w:rPr>
      </w:pPr>
      <w:r>
        <w:rPr>
          <w:rFonts w:ascii="Arial" w:cs="Arial" w:eastAsia="Arial" w:hAnsi="Arial"/>
          <w:sz w:val="19"/>
          <w:szCs w:val="19"/>
          <w:color w:val="auto"/>
        </w:rPr>
        <w:t>not in its individual capacity but solely in its</w:t>
      </w:r>
    </w:p>
    <w:p>
      <w:pPr>
        <w:ind w:left="4720"/>
        <w:spacing w:after="0"/>
        <w:rPr>
          <w:sz w:val="20"/>
          <w:szCs w:val="20"/>
          <w:color w:val="auto"/>
        </w:rPr>
      </w:pPr>
      <w:r>
        <w:rPr>
          <w:rFonts w:ascii="Arial" w:cs="Arial" w:eastAsia="Arial" w:hAnsi="Arial"/>
          <w:sz w:val="19"/>
          <w:szCs w:val="19"/>
          <w:color w:val="auto"/>
        </w:rPr>
        <w:t>capacity as Agent for the Secured Parties</w:t>
      </w:r>
    </w:p>
    <w:p>
      <w:pPr>
        <w:spacing w:after="0" w:line="200" w:lineRule="exact"/>
        <w:rPr>
          <w:sz w:val="20"/>
          <w:szCs w:val="20"/>
          <w:color w:val="auto"/>
        </w:rPr>
      </w:pPr>
    </w:p>
    <w:p>
      <w:pPr>
        <w:spacing w:after="0" w:line="202" w:lineRule="exact"/>
        <w:rPr>
          <w:sz w:val="20"/>
          <w:szCs w:val="20"/>
          <w:color w:val="auto"/>
        </w:rPr>
      </w:pPr>
    </w:p>
    <w:p>
      <w:pPr>
        <w:ind w:left="472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Jennifer Choe</w:t>
      </w:r>
    </w:p>
    <w:p>
      <w:pPr>
        <w:spacing w:after="0" w:line="3" w:lineRule="exact"/>
        <w:rPr>
          <w:sz w:val="20"/>
          <w:szCs w:val="20"/>
          <w:color w:val="auto"/>
        </w:rPr>
      </w:pPr>
    </w:p>
    <w:p>
      <w:pPr>
        <w:ind w:left="4720"/>
        <w:spacing w:after="0"/>
        <w:rPr>
          <w:sz w:val="20"/>
          <w:szCs w:val="20"/>
          <w:color w:val="auto"/>
        </w:rPr>
      </w:pPr>
      <w:r>
        <w:rPr>
          <w:rFonts w:ascii="Arial" w:cs="Arial" w:eastAsia="Arial" w:hAnsi="Arial"/>
          <w:sz w:val="19"/>
          <w:szCs w:val="19"/>
          <w:color w:val="auto"/>
        </w:rPr>
        <w:t>Name: Jennifer Choe</w:t>
      </w:r>
    </w:p>
    <w:p>
      <w:pPr>
        <w:ind w:left="4720"/>
        <w:spacing w:after="0"/>
        <w:rPr>
          <w:sz w:val="20"/>
          <w:szCs w:val="20"/>
          <w:color w:val="auto"/>
        </w:rPr>
      </w:pPr>
      <w:r>
        <w:rPr>
          <w:rFonts w:ascii="Arial" w:cs="Arial" w:eastAsia="Arial" w:hAnsi="Arial"/>
          <w:sz w:val="19"/>
          <w:szCs w:val="19"/>
          <w:color w:val="auto"/>
        </w:rPr>
        <w:t>Title: Associate General Counsel</w:t>
      </w:r>
    </w:p>
    <w:p>
      <w:pPr>
        <w:spacing w:after="0" w:line="200" w:lineRule="exact"/>
        <w:rPr>
          <w:sz w:val="20"/>
          <w:szCs w:val="20"/>
          <w:color w:val="auto"/>
        </w:rPr>
      </w:pPr>
    </w:p>
    <w:p>
      <w:pPr>
        <w:spacing w:after="0" w:line="202" w:lineRule="exact"/>
        <w:rPr>
          <w:sz w:val="20"/>
          <w:szCs w:val="20"/>
          <w:color w:val="auto"/>
        </w:rPr>
      </w:pPr>
    </w:p>
    <w:p>
      <w:pPr>
        <w:ind w:left="4720"/>
        <w:spacing w:after="0"/>
        <w:rPr>
          <w:sz w:val="20"/>
          <w:szCs w:val="20"/>
          <w:color w:val="auto"/>
        </w:rPr>
      </w:pPr>
      <w:r>
        <w:rPr>
          <w:rFonts w:ascii="Arial" w:cs="Arial" w:eastAsia="Arial" w:hAnsi="Arial"/>
          <w:sz w:val="19"/>
          <w:szCs w:val="19"/>
          <w:color w:val="auto"/>
        </w:rPr>
        <w:t>AXSOME THERAPEUTICS, INC.,</w:t>
      </w:r>
    </w:p>
    <w:p>
      <w:pPr>
        <w:spacing w:after="0" w:line="10" w:lineRule="exact"/>
        <w:rPr>
          <w:sz w:val="20"/>
          <w:szCs w:val="20"/>
          <w:color w:val="auto"/>
        </w:rPr>
      </w:pPr>
    </w:p>
    <w:p>
      <w:pPr>
        <w:ind w:left="4720"/>
        <w:spacing w:after="0"/>
        <w:rPr>
          <w:sz w:val="20"/>
          <w:szCs w:val="20"/>
          <w:color w:val="auto"/>
        </w:rPr>
      </w:pPr>
      <w:r>
        <w:rPr>
          <w:rFonts w:ascii="Arial" w:cs="Arial" w:eastAsia="Arial" w:hAnsi="Arial"/>
          <w:sz w:val="19"/>
          <w:szCs w:val="19"/>
          <w:color w:val="auto"/>
        </w:rPr>
        <w:t>as Company</w:t>
      </w:r>
    </w:p>
    <w:p>
      <w:pPr>
        <w:spacing w:after="0" w:line="200" w:lineRule="exact"/>
        <w:rPr>
          <w:sz w:val="20"/>
          <w:szCs w:val="20"/>
          <w:color w:val="auto"/>
        </w:rPr>
      </w:pPr>
    </w:p>
    <w:p>
      <w:pPr>
        <w:spacing w:after="0" w:line="202" w:lineRule="exact"/>
        <w:rPr>
          <w:sz w:val="20"/>
          <w:szCs w:val="20"/>
          <w:color w:val="auto"/>
        </w:rPr>
      </w:pPr>
    </w:p>
    <w:p>
      <w:pPr>
        <w:ind w:left="472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 Nick Pizzie</w:t>
      </w:r>
    </w:p>
    <w:p>
      <w:pPr>
        <w:spacing w:after="0" w:line="3" w:lineRule="exact"/>
        <w:rPr>
          <w:sz w:val="20"/>
          <w:szCs w:val="20"/>
          <w:color w:val="auto"/>
        </w:rPr>
      </w:pPr>
    </w:p>
    <w:p>
      <w:pPr>
        <w:ind w:left="4720"/>
        <w:spacing w:after="0"/>
        <w:rPr>
          <w:sz w:val="20"/>
          <w:szCs w:val="20"/>
          <w:color w:val="auto"/>
        </w:rPr>
      </w:pPr>
      <w:r>
        <w:rPr>
          <w:rFonts w:ascii="Arial" w:cs="Arial" w:eastAsia="Arial" w:hAnsi="Arial"/>
          <w:sz w:val="19"/>
          <w:szCs w:val="19"/>
          <w:color w:val="auto"/>
        </w:rPr>
        <w:t>Name: Nick Pizzie</w:t>
      </w:r>
    </w:p>
    <w:p>
      <w:pPr>
        <w:ind w:left="4720"/>
        <w:spacing w:after="0"/>
        <w:rPr>
          <w:sz w:val="20"/>
          <w:szCs w:val="20"/>
          <w:color w:val="auto"/>
        </w:rPr>
      </w:pPr>
      <w:r>
        <w:rPr>
          <w:rFonts w:ascii="Arial" w:cs="Arial" w:eastAsia="Arial" w:hAnsi="Arial"/>
          <w:sz w:val="19"/>
          <w:szCs w:val="19"/>
          <w:color w:val="auto"/>
        </w:rPr>
        <w:t>Title: Chief Financial Officer</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to Direct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311785</wp:posOffset>
            </wp:positionV>
            <wp:extent cx="6311265" cy="2222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920"/>
          </w:cols>
          <w:pgMar w:left="980" w:top="781" w:right="999" w:bottom="1440" w:gutter="0" w:footer="0" w:header="0"/>
        </w:sectPr>
      </w:pPr>
    </w:p>
    <w:bookmarkStart w:id="236" w:name="page237"/>
    <w:bookmarkEnd w:id="236"/>
    <w:p>
      <w:pPr>
        <w:ind w:left="4060"/>
        <w:spacing w:after="0"/>
        <w:rPr>
          <w:sz w:val="20"/>
          <w:szCs w:val="20"/>
          <w:color w:val="auto"/>
        </w:rPr>
      </w:pPr>
      <w:r>
        <w:rPr>
          <w:rFonts w:ascii="Arial" w:cs="Arial" w:eastAsia="Arial" w:hAnsi="Arial"/>
          <w:sz w:val="17"/>
          <w:szCs w:val="17"/>
          <w:b w:val="1"/>
          <w:bCs w:val="1"/>
          <w:color w:val="auto"/>
        </w:rPr>
        <w:t>Schedule A</w:t>
      </w:r>
    </w:p>
    <w:p>
      <w:pPr>
        <w:spacing w:after="0" w:line="211" w:lineRule="exact"/>
        <w:rPr>
          <w:sz w:val="20"/>
          <w:szCs w:val="20"/>
          <w:color w:val="auto"/>
        </w:rPr>
      </w:pPr>
    </w:p>
    <w:p>
      <w:pPr>
        <w:ind w:left="3980"/>
        <w:spacing w:after="0"/>
        <w:rPr>
          <w:sz w:val="20"/>
          <w:szCs w:val="20"/>
          <w:color w:val="auto"/>
        </w:rPr>
      </w:pPr>
      <w:r>
        <w:rPr>
          <w:rFonts w:ascii="Arial" w:cs="Arial" w:eastAsia="Arial" w:hAnsi="Arial"/>
          <w:sz w:val="16"/>
          <w:szCs w:val="16"/>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wp:posOffset>
            </wp:positionH>
            <wp:positionV relativeFrom="paragraph">
              <wp:posOffset>568960</wp:posOffset>
            </wp:positionV>
            <wp:extent cx="6311265" cy="2222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3">
                      <a:extLst>
                        <a:ext uri="{28A0092B-C50C-407E-A947-70E740481C1C}"/>
                      </a:extLst>
                    </a:blip>
                    <a:srcRect/>
                    <a:stretch>
                      <a:fillRect/>
                    </a:stretch>
                  </pic:blipFill>
                  <pic:spPr bwMode="auto">
                    <a:xfrm>
                      <a:off x="0" y="0"/>
                      <a:ext cx="6311265" cy="22225"/>
                    </a:xfrm>
                    <a:prstGeom prst="rect">
                      <a:avLst/>
                    </a:prstGeom>
                    <a:noFill/>
                  </pic:spPr>
                </pic:pic>
              </a:graphicData>
            </a:graphic>
          </wp:anchor>
        </w:drawing>
      </w:r>
    </w:p>
    <w:p>
      <w:pPr>
        <w:sectPr>
          <w:pgSz w:w="11900" w:h="16838" w:orient="portrait"/>
          <w:cols w:equalWidth="0" w:num="1">
            <w:col w:w="9019"/>
          </w:cols>
          <w:pgMar w:left="1440" w:top="775" w:right="1440" w:bottom="1440" w:gutter="0" w:footer="0" w:header="0"/>
        </w:sectPr>
      </w:pPr>
    </w:p>
    <w:bookmarkStart w:id="237" w:name="page238"/>
    <w:bookmarkEnd w:id="237"/>
    <w:p>
      <w:pPr>
        <w:jc w:val="right"/>
        <w:ind w:right="39"/>
        <w:spacing w:after="0"/>
        <w:rPr>
          <w:sz w:val="20"/>
          <w:szCs w:val="20"/>
          <w:color w:val="auto"/>
        </w:rPr>
      </w:pPr>
      <w:r>
        <w:rPr>
          <w:rFonts w:ascii="Arial" w:cs="Arial" w:eastAsia="Arial" w:hAnsi="Arial"/>
          <w:sz w:val="16"/>
          <w:szCs w:val="16"/>
          <w:b w:val="1"/>
          <w:bCs w:val="1"/>
          <w:color w:val="auto"/>
        </w:rPr>
        <w:t>Exhibit 31.1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PERIODIC REPORT</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 Herriot Tabuteau, M.D., certify that:</w:t>
      </w:r>
    </w:p>
    <w:p>
      <w:pPr>
        <w:spacing w:after="0" w:line="170" w:lineRule="exact"/>
        <w:rPr>
          <w:sz w:val="20"/>
          <w:szCs w:val="20"/>
          <w:color w:val="auto"/>
        </w:rPr>
      </w:pPr>
    </w:p>
    <w:p>
      <w:pPr>
        <w:ind w:left="300" w:hanging="267"/>
        <w:spacing w:after="0"/>
        <w:tabs>
          <w:tab w:leader="none" w:pos="30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Axsome Therapeutics, Inc.;</w:t>
      </w:r>
    </w:p>
    <w:p>
      <w:pPr>
        <w:spacing w:after="0" w:line="169" w:lineRule="exact"/>
        <w:rPr>
          <w:rFonts w:ascii="Arial" w:cs="Arial" w:eastAsia="Arial" w:hAnsi="Arial"/>
          <w:sz w:val="16"/>
          <w:szCs w:val="16"/>
          <w:color w:val="auto"/>
        </w:rPr>
      </w:pPr>
    </w:p>
    <w:p>
      <w:pPr>
        <w:ind w:left="320" w:right="179" w:hanging="287"/>
        <w:spacing w:after="0" w:line="241" w:lineRule="auto"/>
        <w:tabs>
          <w:tab w:leader="none" w:pos="312" w:val="left"/>
        </w:tabs>
        <w:numPr>
          <w:ilvl w:val="0"/>
          <w:numId w:val="15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3" w:lineRule="exact"/>
        <w:rPr>
          <w:rFonts w:ascii="Arial" w:cs="Arial" w:eastAsia="Arial" w:hAnsi="Arial"/>
          <w:sz w:val="16"/>
          <w:szCs w:val="16"/>
          <w:color w:val="auto"/>
        </w:rPr>
      </w:pPr>
    </w:p>
    <w:p>
      <w:pPr>
        <w:ind w:left="320" w:right="219" w:hanging="287"/>
        <w:spacing w:after="0" w:line="365" w:lineRule="auto"/>
        <w:tabs>
          <w:tab w:leader="none" w:pos="312" w:val="left"/>
        </w:tabs>
        <w:numPr>
          <w:ilvl w:val="0"/>
          <w:numId w:val="152"/>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3"/>
          <w:szCs w:val="13"/>
          <w:color w:val="auto"/>
        </w:rPr>
      </w:pPr>
    </w:p>
    <w:p>
      <w:pPr>
        <w:ind w:left="320" w:right="119" w:hanging="287"/>
        <w:spacing w:after="0" w:line="295" w:lineRule="auto"/>
        <w:tabs>
          <w:tab w:leader="none" w:pos="309" w:val="left"/>
        </w:tabs>
        <w:numPr>
          <w:ilvl w:val="0"/>
          <w:numId w:val="152"/>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20"/>
        <w:spacing w:after="0"/>
        <w:rPr>
          <w:rFonts w:ascii="Arial" w:cs="Arial" w:eastAsia="Arial" w:hAnsi="Arial"/>
          <w:sz w:val="13"/>
          <w:szCs w:val="13"/>
          <w:color w:val="auto"/>
        </w:rPr>
      </w:pPr>
      <w:r>
        <w:rPr>
          <w:rFonts w:ascii="Arial" w:cs="Arial" w:eastAsia="Arial" w:hAnsi="Arial"/>
          <w:sz w:val="16"/>
          <w:szCs w:val="16"/>
          <w:color w:val="auto"/>
        </w:rPr>
        <w:t>13a-15(f) and 15d-15(f)) for the registrant and have:</w:t>
      </w:r>
    </w:p>
    <w:p>
      <w:pPr>
        <w:spacing w:after="0" w:line="155" w:lineRule="exact"/>
        <w:rPr>
          <w:rFonts w:ascii="Arial" w:cs="Arial" w:eastAsia="Arial" w:hAnsi="Arial"/>
          <w:sz w:val="13"/>
          <w:szCs w:val="13"/>
          <w:color w:val="auto"/>
        </w:rPr>
      </w:pPr>
    </w:p>
    <w:p>
      <w:pPr>
        <w:ind w:left="600" w:right="39" w:hanging="284"/>
        <w:spacing w:after="0" w:line="265" w:lineRule="auto"/>
        <w:tabs>
          <w:tab w:leader="none" w:pos="596" w:val="left"/>
        </w:tabs>
        <w:numPr>
          <w:ilvl w:val="1"/>
          <w:numId w:val="152"/>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6" w:lineRule="exact"/>
        <w:rPr>
          <w:rFonts w:ascii="Arial" w:cs="Arial" w:eastAsia="Arial" w:hAnsi="Arial"/>
          <w:sz w:val="15"/>
          <w:szCs w:val="15"/>
          <w:color w:val="auto"/>
        </w:rPr>
      </w:pPr>
    </w:p>
    <w:p>
      <w:pPr>
        <w:ind w:left="600" w:right="99" w:hanging="284"/>
        <w:spacing w:after="0" w:line="265" w:lineRule="auto"/>
        <w:tabs>
          <w:tab w:leader="none" w:pos="605" w:val="left"/>
        </w:tabs>
        <w:numPr>
          <w:ilvl w:val="1"/>
          <w:numId w:val="152"/>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6" w:lineRule="exact"/>
        <w:rPr>
          <w:rFonts w:ascii="Arial" w:cs="Arial" w:eastAsia="Arial" w:hAnsi="Arial"/>
          <w:sz w:val="15"/>
          <w:szCs w:val="15"/>
          <w:color w:val="auto"/>
        </w:rPr>
      </w:pPr>
    </w:p>
    <w:p>
      <w:pPr>
        <w:ind w:left="600" w:right="179" w:hanging="284"/>
        <w:spacing w:after="0" w:line="241" w:lineRule="auto"/>
        <w:tabs>
          <w:tab w:leader="none" w:pos="596" w:val="left"/>
        </w:tabs>
        <w:numPr>
          <w:ilvl w:val="1"/>
          <w:numId w:val="1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3" w:lineRule="exact"/>
        <w:rPr>
          <w:rFonts w:ascii="Arial" w:cs="Arial" w:eastAsia="Arial" w:hAnsi="Arial"/>
          <w:sz w:val="16"/>
          <w:szCs w:val="16"/>
          <w:color w:val="auto"/>
        </w:rPr>
      </w:pPr>
    </w:p>
    <w:p>
      <w:pPr>
        <w:ind w:left="600" w:right="259" w:hanging="284"/>
        <w:spacing w:after="0" w:line="265" w:lineRule="auto"/>
        <w:tabs>
          <w:tab w:leader="none" w:pos="605" w:val="left"/>
        </w:tabs>
        <w:numPr>
          <w:ilvl w:val="1"/>
          <w:numId w:val="152"/>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Arial" w:cs="Arial" w:eastAsia="Arial" w:hAnsi="Arial"/>
          <w:sz w:val="15"/>
          <w:szCs w:val="15"/>
          <w:color w:val="auto"/>
        </w:rPr>
      </w:pPr>
    </w:p>
    <w:p>
      <w:pPr>
        <w:ind w:left="320" w:right="159" w:hanging="287"/>
        <w:spacing w:after="0" w:line="241" w:lineRule="auto"/>
        <w:tabs>
          <w:tab w:leader="none" w:pos="309"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3" w:lineRule="exact"/>
        <w:rPr>
          <w:rFonts w:ascii="Arial" w:cs="Arial" w:eastAsia="Arial" w:hAnsi="Arial"/>
          <w:sz w:val="16"/>
          <w:szCs w:val="16"/>
          <w:color w:val="auto"/>
        </w:rPr>
      </w:pPr>
    </w:p>
    <w:p>
      <w:pPr>
        <w:ind w:left="600" w:right="159" w:hanging="284"/>
        <w:spacing w:after="0" w:line="365" w:lineRule="auto"/>
        <w:tabs>
          <w:tab w:leader="none" w:pos="588" w:val="left"/>
        </w:tabs>
        <w:numPr>
          <w:ilvl w:val="1"/>
          <w:numId w:val="152"/>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3"/>
          <w:szCs w:val="13"/>
          <w:color w:val="auto"/>
        </w:rPr>
      </w:pPr>
    </w:p>
    <w:p>
      <w:pPr>
        <w:ind w:left="600" w:right="399" w:hanging="284"/>
        <w:spacing w:after="0" w:line="251" w:lineRule="auto"/>
        <w:tabs>
          <w:tab w:leader="none" w:pos="596" w:val="left"/>
        </w:tabs>
        <w:numPr>
          <w:ilvl w:val="1"/>
          <w:numId w:val="15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40"/>
        <w:spacing w:after="0"/>
        <w:tabs>
          <w:tab w:leader="none" w:pos="4480" w:val="left"/>
        </w:tabs>
        <w:rPr>
          <w:sz w:val="20"/>
          <w:szCs w:val="20"/>
          <w:color w:val="auto"/>
        </w:rPr>
      </w:pPr>
      <w:r>
        <w:rPr>
          <w:rFonts w:ascii="Arial" w:cs="Arial" w:eastAsia="Arial" w:hAnsi="Arial"/>
          <w:sz w:val="16"/>
          <w:szCs w:val="16"/>
          <w:color w:val="auto"/>
        </w:rPr>
        <w:t>Date: November 5, 2020</w:t>
      </w:r>
      <w:r>
        <w:rPr>
          <w:sz w:val="20"/>
          <w:szCs w:val="20"/>
          <w:color w:val="auto"/>
        </w:rPr>
        <w:tab/>
      </w:r>
      <w:r>
        <w:rPr>
          <w:rFonts w:ascii="Arial" w:cs="Arial" w:eastAsia="Arial" w:hAnsi="Arial"/>
          <w:sz w:val="13"/>
          <w:szCs w:val="13"/>
          <w:color w:val="auto"/>
        </w:rPr>
        <w:t>/s/ Herriot Tabuteau,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2856230</wp:posOffset>
            </wp:positionH>
            <wp:positionV relativeFrom="paragraph">
              <wp:posOffset>3175</wp:posOffset>
            </wp:positionV>
            <wp:extent cx="2837180" cy="762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4">
                      <a:extLst>
                        <a:ext uri="{28A0092B-C50C-407E-A947-70E740481C1C}"/>
                      </a:extLst>
                    </a:blip>
                    <a:srcRect/>
                    <a:stretch>
                      <a:fillRect/>
                    </a:stretch>
                  </pic:blipFill>
                  <pic:spPr bwMode="auto">
                    <a:xfrm>
                      <a:off x="0" y="0"/>
                      <a:ext cx="2837180" cy="7620"/>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6"/>
          <w:szCs w:val="16"/>
          <w:color w:val="auto"/>
        </w:rPr>
        <w:t>Herriot Tabuteau, M.D.</w:t>
      </w:r>
    </w:p>
    <w:p>
      <w:pPr>
        <w:ind w:left="4500"/>
        <w:spacing w:after="0" w:line="230" w:lineRule="auto"/>
        <w:rPr>
          <w:sz w:val="20"/>
          <w:szCs w:val="20"/>
          <w:color w:val="auto"/>
        </w:rPr>
      </w:pPr>
      <w:r>
        <w:rPr>
          <w:rFonts w:ascii="Arial" w:cs="Arial" w:eastAsia="Arial" w:hAnsi="Arial"/>
          <w:sz w:val="16"/>
          <w:szCs w:val="16"/>
          <w:color w:val="auto"/>
        </w:rPr>
        <w:t>Chief Executive Officer</w:t>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518795</wp:posOffset>
            </wp:positionV>
            <wp:extent cx="5682615" cy="2222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5">
                      <a:extLst>
                        <a:ext uri="{28A0092B-C50C-407E-A947-70E740481C1C}"/>
                      </a:extLst>
                    </a:blip>
                    <a:srcRect/>
                    <a:stretch>
                      <a:fillRect/>
                    </a:stretch>
                  </pic:blipFill>
                  <pic:spPr bwMode="auto">
                    <a:xfrm>
                      <a:off x="0" y="0"/>
                      <a:ext cx="5682615" cy="2222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38" w:name="page239"/>
    <w:bookmarkEnd w:id="238"/>
    <w:p>
      <w:pPr>
        <w:jc w:val="right"/>
        <w:ind w:right="39"/>
        <w:spacing w:after="0"/>
        <w:rPr>
          <w:sz w:val="20"/>
          <w:szCs w:val="20"/>
          <w:color w:val="auto"/>
        </w:rPr>
      </w:pPr>
      <w:r>
        <w:rPr>
          <w:rFonts w:ascii="Arial" w:cs="Arial" w:eastAsia="Arial" w:hAnsi="Arial"/>
          <w:sz w:val="16"/>
          <w:szCs w:val="16"/>
          <w:b w:val="1"/>
          <w:bCs w:val="1"/>
          <w:color w:val="auto"/>
        </w:rPr>
        <w:t>Exhibit 31.2</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CERTIFICATION OF PERIODIC REPORT PURSUANT TO SECTION 302 OF THE</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SARBANES-OXLEY ACT OF 2002</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 Nick Pizzie, certify that:</w:t>
      </w:r>
    </w:p>
    <w:p>
      <w:pPr>
        <w:spacing w:after="0" w:line="170" w:lineRule="exact"/>
        <w:rPr>
          <w:sz w:val="20"/>
          <w:szCs w:val="20"/>
          <w:color w:val="auto"/>
        </w:rPr>
      </w:pPr>
    </w:p>
    <w:p>
      <w:pPr>
        <w:ind w:left="300" w:hanging="267"/>
        <w:spacing w:after="0"/>
        <w:tabs>
          <w:tab w:leader="none" w:pos="30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Axsome Therapeutics, Inc.;</w:t>
      </w:r>
    </w:p>
    <w:p>
      <w:pPr>
        <w:spacing w:after="0" w:line="169" w:lineRule="exact"/>
        <w:rPr>
          <w:rFonts w:ascii="Arial" w:cs="Arial" w:eastAsia="Arial" w:hAnsi="Arial"/>
          <w:sz w:val="16"/>
          <w:szCs w:val="16"/>
          <w:color w:val="auto"/>
        </w:rPr>
      </w:pPr>
    </w:p>
    <w:p>
      <w:pPr>
        <w:ind w:left="320" w:right="179" w:hanging="287"/>
        <w:spacing w:after="0" w:line="241" w:lineRule="auto"/>
        <w:tabs>
          <w:tab w:leader="none" w:pos="312" w:val="left"/>
        </w:tabs>
        <w:numPr>
          <w:ilvl w:val="0"/>
          <w:numId w:val="15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3" w:lineRule="exact"/>
        <w:rPr>
          <w:rFonts w:ascii="Arial" w:cs="Arial" w:eastAsia="Arial" w:hAnsi="Arial"/>
          <w:sz w:val="16"/>
          <w:szCs w:val="16"/>
          <w:color w:val="auto"/>
        </w:rPr>
      </w:pPr>
    </w:p>
    <w:p>
      <w:pPr>
        <w:ind w:left="320" w:right="219" w:hanging="287"/>
        <w:spacing w:after="0" w:line="365" w:lineRule="auto"/>
        <w:tabs>
          <w:tab w:leader="none" w:pos="312" w:val="left"/>
        </w:tabs>
        <w:numPr>
          <w:ilvl w:val="0"/>
          <w:numId w:val="153"/>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3"/>
          <w:szCs w:val="13"/>
          <w:color w:val="auto"/>
        </w:rPr>
      </w:pPr>
    </w:p>
    <w:p>
      <w:pPr>
        <w:ind w:left="320" w:right="119" w:hanging="287"/>
        <w:spacing w:after="0" w:line="295" w:lineRule="auto"/>
        <w:tabs>
          <w:tab w:leader="none" w:pos="309" w:val="left"/>
        </w:tabs>
        <w:numPr>
          <w:ilvl w:val="0"/>
          <w:numId w:val="153"/>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20"/>
        <w:spacing w:after="0"/>
        <w:rPr>
          <w:rFonts w:ascii="Arial" w:cs="Arial" w:eastAsia="Arial" w:hAnsi="Arial"/>
          <w:sz w:val="13"/>
          <w:szCs w:val="13"/>
          <w:color w:val="auto"/>
        </w:rPr>
      </w:pPr>
      <w:r>
        <w:rPr>
          <w:rFonts w:ascii="Arial" w:cs="Arial" w:eastAsia="Arial" w:hAnsi="Arial"/>
          <w:sz w:val="16"/>
          <w:szCs w:val="16"/>
          <w:color w:val="auto"/>
        </w:rPr>
        <w:t>13a-15(f) and 15d-15(f)) for the registrant and have:</w:t>
      </w:r>
    </w:p>
    <w:p>
      <w:pPr>
        <w:spacing w:after="0" w:line="155" w:lineRule="exact"/>
        <w:rPr>
          <w:rFonts w:ascii="Arial" w:cs="Arial" w:eastAsia="Arial" w:hAnsi="Arial"/>
          <w:sz w:val="13"/>
          <w:szCs w:val="13"/>
          <w:color w:val="auto"/>
        </w:rPr>
      </w:pPr>
    </w:p>
    <w:p>
      <w:pPr>
        <w:ind w:left="600" w:right="39" w:hanging="284"/>
        <w:spacing w:after="0" w:line="265" w:lineRule="auto"/>
        <w:tabs>
          <w:tab w:leader="none" w:pos="596" w:val="left"/>
        </w:tabs>
        <w:numPr>
          <w:ilvl w:val="1"/>
          <w:numId w:val="153"/>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6" w:lineRule="exact"/>
        <w:rPr>
          <w:rFonts w:ascii="Arial" w:cs="Arial" w:eastAsia="Arial" w:hAnsi="Arial"/>
          <w:sz w:val="15"/>
          <w:szCs w:val="15"/>
          <w:color w:val="auto"/>
        </w:rPr>
      </w:pPr>
    </w:p>
    <w:p>
      <w:pPr>
        <w:ind w:left="600" w:right="99" w:hanging="284"/>
        <w:spacing w:after="0" w:line="265" w:lineRule="auto"/>
        <w:tabs>
          <w:tab w:leader="none" w:pos="605" w:val="left"/>
        </w:tabs>
        <w:numPr>
          <w:ilvl w:val="1"/>
          <w:numId w:val="153"/>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6" w:lineRule="exact"/>
        <w:rPr>
          <w:rFonts w:ascii="Arial" w:cs="Arial" w:eastAsia="Arial" w:hAnsi="Arial"/>
          <w:sz w:val="15"/>
          <w:szCs w:val="15"/>
          <w:color w:val="auto"/>
        </w:rPr>
      </w:pPr>
    </w:p>
    <w:p>
      <w:pPr>
        <w:ind w:left="600" w:right="179" w:hanging="284"/>
        <w:spacing w:after="0" w:line="241" w:lineRule="auto"/>
        <w:tabs>
          <w:tab w:leader="none" w:pos="596" w:val="left"/>
        </w:tabs>
        <w:numPr>
          <w:ilvl w:val="1"/>
          <w:numId w:val="1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3" w:lineRule="exact"/>
        <w:rPr>
          <w:rFonts w:ascii="Arial" w:cs="Arial" w:eastAsia="Arial" w:hAnsi="Arial"/>
          <w:sz w:val="16"/>
          <w:szCs w:val="16"/>
          <w:color w:val="auto"/>
        </w:rPr>
      </w:pPr>
    </w:p>
    <w:p>
      <w:pPr>
        <w:ind w:left="600" w:right="259" w:hanging="284"/>
        <w:spacing w:after="0" w:line="265" w:lineRule="auto"/>
        <w:tabs>
          <w:tab w:leader="none" w:pos="605" w:val="left"/>
        </w:tabs>
        <w:numPr>
          <w:ilvl w:val="1"/>
          <w:numId w:val="153"/>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Arial" w:cs="Arial" w:eastAsia="Arial" w:hAnsi="Arial"/>
          <w:sz w:val="15"/>
          <w:szCs w:val="15"/>
          <w:color w:val="auto"/>
        </w:rPr>
      </w:pPr>
    </w:p>
    <w:p>
      <w:pPr>
        <w:ind w:left="320" w:right="159" w:hanging="287"/>
        <w:spacing w:after="0" w:line="241" w:lineRule="auto"/>
        <w:tabs>
          <w:tab w:leader="none" w:pos="309"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3" w:lineRule="exact"/>
        <w:rPr>
          <w:rFonts w:ascii="Arial" w:cs="Arial" w:eastAsia="Arial" w:hAnsi="Arial"/>
          <w:sz w:val="16"/>
          <w:szCs w:val="16"/>
          <w:color w:val="auto"/>
        </w:rPr>
      </w:pPr>
    </w:p>
    <w:p>
      <w:pPr>
        <w:ind w:left="600" w:right="159" w:hanging="284"/>
        <w:spacing w:after="0" w:line="365" w:lineRule="auto"/>
        <w:tabs>
          <w:tab w:leader="none" w:pos="588" w:val="left"/>
        </w:tabs>
        <w:numPr>
          <w:ilvl w:val="1"/>
          <w:numId w:val="153"/>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3"/>
          <w:szCs w:val="13"/>
          <w:color w:val="auto"/>
        </w:rPr>
      </w:pPr>
    </w:p>
    <w:p>
      <w:pPr>
        <w:ind w:left="600" w:right="399" w:hanging="284"/>
        <w:spacing w:after="0" w:line="251" w:lineRule="auto"/>
        <w:tabs>
          <w:tab w:leader="none" w:pos="596" w:val="left"/>
        </w:tabs>
        <w:numPr>
          <w:ilvl w:val="1"/>
          <w:numId w:val="15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40"/>
        <w:spacing w:after="0"/>
        <w:tabs>
          <w:tab w:leader="none" w:pos="4480" w:val="left"/>
        </w:tabs>
        <w:rPr>
          <w:sz w:val="20"/>
          <w:szCs w:val="20"/>
          <w:color w:val="auto"/>
        </w:rPr>
      </w:pPr>
      <w:r>
        <w:rPr>
          <w:rFonts w:ascii="Arial" w:cs="Arial" w:eastAsia="Arial" w:hAnsi="Arial"/>
          <w:sz w:val="16"/>
          <w:szCs w:val="16"/>
          <w:color w:val="auto"/>
        </w:rPr>
        <w:t>Date: November 5, 2020</w:t>
      </w:r>
      <w:r>
        <w:rPr>
          <w:sz w:val="20"/>
          <w:szCs w:val="20"/>
          <w:color w:val="auto"/>
        </w:rPr>
        <w:tab/>
      </w:r>
      <w:r>
        <w:rPr>
          <w:rFonts w:ascii="Arial" w:cs="Arial" w:eastAsia="Arial" w:hAnsi="Arial"/>
          <w:sz w:val="13"/>
          <w:szCs w:val="13"/>
          <w:color w:val="auto"/>
        </w:rPr>
        <w:t>/s/ Nick Pizzie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2856230</wp:posOffset>
            </wp:positionH>
            <wp:positionV relativeFrom="paragraph">
              <wp:posOffset>3175</wp:posOffset>
            </wp:positionV>
            <wp:extent cx="2837180" cy="762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6">
                      <a:extLst>
                        <a:ext uri="{28A0092B-C50C-407E-A947-70E740481C1C}"/>
                      </a:extLst>
                    </a:blip>
                    <a:srcRect/>
                    <a:stretch>
                      <a:fillRect/>
                    </a:stretch>
                  </pic:blipFill>
                  <pic:spPr bwMode="auto">
                    <a:xfrm>
                      <a:off x="0" y="0"/>
                      <a:ext cx="2837180" cy="7620"/>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6"/>
          <w:szCs w:val="16"/>
          <w:color w:val="auto"/>
        </w:rPr>
        <w:t>Nick Pizzie</w:t>
      </w:r>
    </w:p>
    <w:p>
      <w:pPr>
        <w:ind w:left="4500"/>
        <w:spacing w:after="0" w:line="230" w:lineRule="auto"/>
        <w:rPr>
          <w:sz w:val="20"/>
          <w:szCs w:val="20"/>
          <w:color w:val="auto"/>
        </w:rPr>
      </w:pPr>
      <w:r>
        <w:rPr>
          <w:rFonts w:ascii="Arial" w:cs="Arial" w:eastAsia="Arial" w:hAnsi="Arial"/>
          <w:sz w:val="16"/>
          <w:szCs w:val="16"/>
          <w:color w:val="auto"/>
        </w:rPr>
        <w:t>Chief Financial Officer</w:t>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406400</wp:posOffset>
            </wp:positionV>
            <wp:extent cx="5682615" cy="2222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7">
                      <a:extLst>
                        <a:ext uri="{28A0092B-C50C-407E-A947-70E740481C1C}"/>
                      </a:extLst>
                    </a:blip>
                    <a:srcRect/>
                    <a:stretch>
                      <a:fillRect/>
                    </a:stretch>
                  </pic:blipFill>
                  <pic:spPr bwMode="auto">
                    <a:xfrm>
                      <a:off x="0" y="0"/>
                      <a:ext cx="5682615" cy="2222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39" w:name="page240"/>
    <w:bookmarkEnd w:id="239"/>
    <w:p>
      <w:pPr>
        <w:jc w:val="right"/>
        <w:ind w:right="39"/>
        <w:spacing w:after="0"/>
        <w:rPr>
          <w:sz w:val="20"/>
          <w:szCs w:val="20"/>
          <w:color w:val="auto"/>
        </w:rPr>
      </w:pPr>
      <w:r>
        <w:rPr>
          <w:rFonts w:ascii="Arial" w:cs="Arial" w:eastAsia="Arial" w:hAnsi="Arial"/>
          <w:sz w:val="16"/>
          <w:szCs w:val="16"/>
          <w:b w:val="1"/>
          <w:bCs w:val="1"/>
          <w:color w:val="auto"/>
        </w:rPr>
        <w:t>Exhibit 32.1</w:t>
      </w:r>
    </w:p>
    <w:p>
      <w:pPr>
        <w:spacing w:after="0" w:line="170" w:lineRule="exact"/>
        <w:rPr>
          <w:sz w:val="20"/>
          <w:szCs w:val="20"/>
          <w:color w:val="auto"/>
        </w:rPr>
      </w:pPr>
    </w:p>
    <w:p>
      <w:pPr>
        <w:ind w:left="2440"/>
        <w:spacing w:after="0"/>
        <w:rPr>
          <w:sz w:val="20"/>
          <w:szCs w:val="20"/>
          <w:color w:val="auto"/>
        </w:rPr>
      </w:pPr>
      <w:r>
        <w:rPr>
          <w:rFonts w:ascii="Arial" w:cs="Arial" w:eastAsia="Arial" w:hAnsi="Arial"/>
          <w:sz w:val="16"/>
          <w:szCs w:val="16"/>
          <w:b w:val="1"/>
          <w:bCs w:val="1"/>
          <w:color w:val="auto"/>
        </w:rPr>
        <w:t>STATEMENT OF PRINCIPAL EXECUTIVE OFFICER OF</w:t>
      </w:r>
    </w:p>
    <w:p>
      <w:pPr>
        <w:spacing w:after="0" w:line="4" w:lineRule="exact"/>
        <w:rPr>
          <w:sz w:val="20"/>
          <w:szCs w:val="20"/>
          <w:color w:val="auto"/>
        </w:rPr>
      </w:pPr>
    </w:p>
    <w:p>
      <w:pPr>
        <w:ind w:left="3320"/>
        <w:spacing w:after="0"/>
        <w:rPr>
          <w:sz w:val="20"/>
          <w:szCs w:val="20"/>
          <w:color w:val="auto"/>
        </w:rPr>
      </w:pPr>
      <w:r>
        <w:rPr>
          <w:rFonts w:ascii="Arial" w:cs="Arial" w:eastAsia="Arial" w:hAnsi="Arial"/>
          <w:sz w:val="16"/>
          <w:szCs w:val="16"/>
          <w:b w:val="1"/>
          <w:bCs w:val="1"/>
          <w:color w:val="auto"/>
        </w:rPr>
        <w:t>AXSOME THERAPEUTICS, INC.</w:t>
      </w:r>
    </w:p>
    <w:p>
      <w:pPr>
        <w:ind w:left="3020"/>
        <w:spacing w:after="0" w:line="230" w:lineRule="auto"/>
        <w:rPr>
          <w:sz w:val="20"/>
          <w:szCs w:val="20"/>
          <w:color w:val="auto"/>
        </w:rPr>
      </w:pPr>
      <w:r>
        <w:rPr>
          <w:rFonts w:ascii="Arial" w:cs="Arial" w:eastAsia="Arial" w:hAnsi="Arial"/>
          <w:sz w:val="16"/>
          <w:szCs w:val="16"/>
          <w:b w:val="1"/>
          <w:bCs w:val="1"/>
          <w:color w:val="auto"/>
        </w:rPr>
        <w:t>PURSUANT TO 18 U.S.C. SECTION 1350,</w:t>
      </w:r>
    </w:p>
    <w:p>
      <w:pPr>
        <w:ind w:left="3400"/>
        <w:spacing w:after="0" w:line="231" w:lineRule="auto"/>
        <w:rPr>
          <w:sz w:val="20"/>
          <w:szCs w:val="20"/>
          <w:color w:val="auto"/>
        </w:rPr>
      </w:pPr>
      <w:r>
        <w:rPr>
          <w:rFonts w:ascii="Arial" w:cs="Arial" w:eastAsia="Arial" w:hAnsi="Arial"/>
          <w:sz w:val="16"/>
          <w:szCs w:val="16"/>
          <w:b w:val="1"/>
          <w:bCs w:val="1"/>
          <w:color w:val="auto"/>
        </w:rPr>
        <w:t>AS ADOPTED PURSUANT TO</w:t>
      </w:r>
    </w:p>
    <w:p>
      <w:pPr>
        <w:ind w:left="246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56" w:lineRule="exact"/>
        <w:rPr>
          <w:sz w:val="20"/>
          <w:szCs w:val="20"/>
          <w:color w:val="auto"/>
        </w:rPr>
      </w:pPr>
    </w:p>
    <w:p>
      <w:pPr>
        <w:ind w:left="40" w:right="139" w:firstLine="377"/>
        <w:spacing w:after="0" w:line="238" w:lineRule="auto"/>
        <w:rPr>
          <w:sz w:val="20"/>
          <w:szCs w:val="20"/>
          <w:color w:val="auto"/>
        </w:rPr>
      </w:pPr>
      <w:r>
        <w:rPr>
          <w:rFonts w:ascii="Arial" w:cs="Arial" w:eastAsia="Arial" w:hAnsi="Arial"/>
          <w:sz w:val="16"/>
          <w:szCs w:val="16"/>
          <w:color w:val="auto"/>
        </w:rPr>
        <w:t>In connection with the quarterly report of Axsome Therapeutics, Inc. (the “Company”) on Form 10-Q for the quarter ended September 30, 2020 as filed with the Securities and Exchange Commission (the “Report”), I, Herriot Tabuteau, M.D., Chief Executive Officer of the Company, certify, pursuant to 18 U.S.C. §1350, as adopted pursuant to §906 of the Sarbanes-Oxley Act of 2002, that, based on my knowledge:</w:t>
      </w:r>
    </w:p>
    <w:p>
      <w:pPr>
        <w:spacing w:after="0" w:line="154" w:lineRule="exact"/>
        <w:rPr>
          <w:sz w:val="20"/>
          <w:szCs w:val="20"/>
          <w:color w:val="auto"/>
        </w:rPr>
      </w:pPr>
    </w:p>
    <w:p>
      <w:pPr>
        <w:ind w:left="560" w:hanging="244"/>
        <w:spacing w:after="0"/>
        <w:tabs>
          <w:tab w:leader="none" w:pos="560" w:val="left"/>
        </w:tabs>
        <w:numPr>
          <w:ilvl w:val="0"/>
          <w:numId w:val="154"/>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as amended; and</w:t>
      </w:r>
    </w:p>
    <w:p>
      <w:pPr>
        <w:spacing w:after="0" w:line="204" w:lineRule="exact"/>
        <w:rPr>
          <w:rFonts w:ascii="Arial" w:cs="Arial" w:eastAsia="Arial" w:hAnsi="Arial"/>
          <w:sz w:val="13"/>
          <w:szCs w:val="13"/>
          <w:color w:val="auto"/>
        </w:rPr>
      </w:pPr>
    </w:p>
    <w:p>
      <w:pPr>
        <w:ind w:left="320" w:right="259" w:hanging="4"/>
        <w:spacing w:after="0" w:line="251" w:lineRule="auto"/>
        <w:tabs>
          <w:tab w:leader="none" w:pos="566"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57" w:lineRule="exact"/>
        <w:rPr>
          <w:sz w:val="20"/>
          <w:szCs w:val="20"/>
          <w:color w:val="auto"/>
        </w:rPr>
      </w:pPr>
    </w:p>
    <w:p>
      <w:pPr>
        <w:ind w:left="40"/>
        <w:spacing w:after="0"/>
        <w:tabs>
          <w:tab w:leader="none" w:pos="4480" w:val="left"/>
        </w:tabs>
        <w:rPr>
          <w:sz w:val="20"/>
          <w:szCs w:val="20"/>
          <w:color w:val="auto"/>
        </w:rPr>
      </w:pPr>
      <w:r>
        <w:rPr>
          <w:rFonts w:ascii="Arial" w:cs="Arial" w:eastAsia="Arial" w:hAnsi="Arial"/>
          <w:sz w:val="16"/>
          <w:szCs w:val="16"/>
          <w:color w:val="auto"/>
        </w:rPr>
        <w:t>Date: November 5, 2020</w:t>
      </w:r>
      <w:r>
        <w:rPr>
          <w:sz w:val="20"/>
          <w:szCs w:val="20"/>
          <w:color w:val="auto"/>
        </w:rPr>
        <w:tab/>
      </w:r>
      <w:r>
        <w:rPr>
          <w:rFonts w:ascii="Arial" w:cs="Arial" w:eastAsia="Arial" w:hAnsi="Arial"/>
          <w:sz w:val="13"/>
          <w:szCs w:val="13"/>
          <w:color w:val="auto"/>
        </w:rPr>
        <w:t>/s/ Herriot Tabuteau,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2856230</wp:posOffset>
            </wp:positionH>
            <wp:positionV relativeFrom="paragraph">
              <wp:posOffset>3175</wp:posOffset>
            </wp:positionV>
            <wp:extent cx="2837180" cy="762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8">
                      <a:extLst>
                        <a:ext uri="{28A0092B-C50C-407E-A947-70E740481C1C}"/>
                      </a:extLst>
                    </a:blip>
                    <a:srcRect/>
                    <a:stretch>
                      <a:fillRect/>
                    </a:stretch>
                  </pic:blipFill>
                  <pic:spPr bwMode="auto">
                    <a:xfrm>
                      <a:off x="0" y="0"/>
                      <a:ext cx="2837180" cy="7620"/>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6"/>
          <w:szCs w:val="16"/>
          <w:color w:val="auto"/>
        </w:rPr>
        <w:t>Herriot Tabuteau, M.D.</w:t>
      </w:r>
    </w:p>
    <w:p>
      <w:pPr>
        <w:ind w:left="4500"/>
        <w:spacing w:after="0" w:line="230" w:lineRule="auto"/>
        <w:rPr>
          <w:sz w:val="20"/>
          <w:szCs w:val="20"/>
          <w:color w:val="auto"/>
        </w:rPr>
      </w:pPr>
      <w:r>
        <w:rPr>
          <w:rFonts w:ascii="Arial" w:cs="Arial" w:eastAsia="Arial" w:hAnsi="Arial"/>
          <w:sz w:val="16"/>
          <w:szCs w:val="16"/>
          <w:color w:val="auto"/>
        </w:rPr>
        <w:t>Chief Executive Officer</w:t>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406400</wp:posOffset>
            </wp:positionV>
            <wp:extent cx="5682615" cy="2222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9">
                      <a:extLst>
                        <a:ext uri="{28A0092B-C50C-407E-A947-70E740481C1C}"/>
                      </a:extLst>
                    </a:blip>
                    <a:srcRect/>
                    <a:stretch>
                      <a:fillRect/>
                    </a:stretch>
                  </pic:blipFill>
                  <pic:spPr bwMode="auto">
                    <a:xfrm>
                      <a:off x="0" y="0"/>
                      <a:ext cx="5682615" cy="2222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40" w:name="page241"/>
    <w:bookmarkEnd w:id="240"/>
    <w:p>
      <w:pPr>
        <w:jc w:val="right"/>
        <w:ind w:right="39"/>
        <w:spacing w:after="0"/>
        <w:rPr>
          <w:sz w:val="20"/>
          <w:szCs w:val="20"/>
          <w:color w:val="auto"/>
        </w:rPr>
      </w:pPr>
      <w:r>
        <w:rPr>
          <w:rFonts w:ascii="Arial" w:cs="Arial" w:eastAsia="Arial" w:hAnsi="Arial"/>
          <w:sz w:val="16"/>
          <w:szCs w:val="16"/>
          <w:b w:val="1"/>
          <w:bCs w:val="1"/>
          <w:color w:val="auto"/>
        </w:rPr>
        <w:t>Exhibit 32.2</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STATEMENT OF PRINCIPAL FINANCIAL OFFICER OF</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AXSOME THERAPEUTICS, INC.</w:t>
      </w:r>
    </w:p>
    <w:p>
      <w:pPr>
        <w:jc w:val="center"/>
        <w:ind w:right="39"/>
        <w:spacing w:after="0" w:line="230" w:lineRule="auto"/>
        <w:rPr>
          <w:sz w:val="20"/>
          <w:szCs w:val="20"/>
          <w:color w:val="auto"/>
        </w:rPr>
      </w:pPr>
      <w:r>
        <w:rPr>
          <w:rFonts w:ascii="Arial" w:cs="Arial" w:eastAsia="Arial" w:hAnsi="Arial"/>
          <w:sz w:val="16"/>
          <w:szCs w:val="16"/>
          <w:b w:val="1"/>
          <w:bCs w:val="1"/>
          <w:color w:val="auto"/>
        </w:rPr>
        <w:t>PURSUANT TO 18 U.S.C. SECTION 1350,</w:t>
      </w:r>
    </w:p>
    <w:p>
      <w:pPr>
        <w:jc w:val="center"/>
        <w:ind w:right="39"/>
        <w:spacing w:after="0" w:line="231" w:lineRule="auto"/>
        <w:rPr>
          <w:sz w:val="20"/>
          <w:szCs w:val="20"/>
          <w:color w:val="auto"/>
        </w:rPr>
      </w:pPr>
      <w:r>
        <w:rPr>
          <w:rFonts w:ascii="Arial" w:cs="Arial" w:eastAsia="Arial" w:hAnsi="Arial"/>
          <w:sz w:val="16"/>
          <w:szCs w:val="16"/>
          <w:b w:val="1"/>
          <w:bCs w:val="1"/>
          <w:color w:val="auto"/>
        </w:rPr>
        <w:t>AS ADOPTED PURSUANT TO</w:t>
      </w: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56" w:lineRule="exact"/>
        <w:rPr>
          <w:sz w:val="20"/>
          <w:szCs w:val="20"/>
          <w:color w:val="auto"/>
        </w:rPr>
      </w:pPr>
    </w:p>
    <w:p>
      <w:pPr>
        <w:ind w:left="40" w:right="139" w:firstLine="377"/>
        <w:spacing w:after="0" w:line="324" w:lineRule="auto"/>
        <w:rPr>
          <w:sz w:val="20"/>
          <w:szCs w:val="20"/>
          <w:color w:val="auto"/>
        </w:rPr>
      </w:pPr>
      <w:r>
        <w:rPr>
          <w:rFonts w:ascii="Arial" w:cs="Arial" w:eastAsia="Arial" w:hAnsi="Arial"/>
          <w:sz w:val="13"/>
          <w:szCs w:val="13"/>
          <w:color w:val="auto"/>
        </w:rPr>
        <w:t>In connection with the quarterly report of Axsome Therapeutics, Inc. (the “Company”) on Form 10-Q for the quarter ended September 30, 2020 as filed with the Securities and Exchange Commission (the “Report”), I, Nick Pizzie, Chief Financial Officer of the Company, certify, pursuant to 18 U.S.C. §1350, as adopted pursuant to §906 of the Sarbanes-Oxley Act of 2002, that, based on my knowledge:</w:t>
      </w:r>
    </w:p>
    <w:p>
      <w:pPr>
        <w:spacing w:after="0" w:line="102" w:lineRule="exact"/>
        <w:rPr>
          <w:sz w:val="20"/>
          <w:szCs w:val="20"/>
          <w:color w:val="auto"/>
        </w:rPr>
      </w:pPr>
    </w:p>
    <w:p>
      <w:pPr>
        <w:ind w:left="560" w:hanging="244"/>
        <w:spacing w:after="0"/>
        <w:tabs>
          <w:tab w:leader="none" w:pos="560" w:val="left"/>
        </w:tabs>
        <w:numPr>
          <w:ilvl w:val="0"/>
          <w:numId w:val="155"/>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as amended; and</w:t>
      </w:r>
    </w:p>
    <w:p>
      <w:pPr>
        <w:spacing w:after="0" w:line="204" w:lineRule="exact"/>
        <w:rPr>
          <w:rFonts w:ascii="Arial" w:cs="Arial" w:eastAsia="Arial" w:hAnsi="Arial"/>
          <w:sz w:val="13"/>
          <w:szCs w:val="13"/>
          <w:color w:val="auto"/>
        </w:rPr>
      </w:pPr>
    </w:p>
    <w:p>
      <w:pPr>
        <w:ind w:left="320" w:right="259" w:hanging="4"/>
        <w:spacing w:after="0" w:line="251" w:lineRule="auto"/>
        <w:tabs>
          <w:tab w:leader="none" w:pos="566"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57" w:lineRule="exact"/>
        <w:rPr>
          <w:sz w:val="20"/>
          <w:szCs w:val="20"/>
          <w:color w:val="auto"/>
        </w:rPr>
      </w:pPr>
    </w:p>
    <w:p>
      <w:pPr>
        <w:ind w:left="40"/>
        <w:spacing w:after="0"/>
        <w:tabs>
          <w:tab w:leader="none" w:pos="4480" w:val="left"/>
        </w:tabs>
        <w:rPr>
          <w:sz w:val="20"/>
          <w:szCs w:val="20"/>
          <w:color w:val="auto"/>
        </w:rPr>
      </w:pPr>
      <w:r>
        <w:rPr>
          <w:rFonts w:ascii="Arial" w:cs="Arial" w:eastAsia="Arial" w:hAnsi="Arial"/>
          <w:sz w:val="16"/>
          <w:szCs w:val="16"/>
          <w:color w:val="auto"/>
        </w:rPr>
        <w:t>Date: November 5, 2020</w:t>
      </w:r>
      <w:r>
        <w:rPr>
          <w:sz w:val="20"/>
          <w:szCs w:val="20"/>
          <w:color w:val="auto"/>
        </w:rPr>
        <w:tab/>
      </w:r>
      <w:r>
        <w:rPr>
          <w:rFonts w:ascii="Arial" w:cs="Arial" w:eastAsia="Arial" w:hAnsi="Arial"/>
          <w:sz w:val="13"/>
          <w:szCs w:val="13"/>
          <w:color w:val="auto"/>
        </w:rPr>
        <w:t>/s/ Nick Pizzie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2856230</wp:posOffset>
            </wp:positionH>
            <wp:positionV relativeFrom="paragraph">
              <wp:posOffset>3175</wp:posOffset>
            </wp:positionV>
            <wp:extent cx="2837180" cy="762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0">
                      <a:extLst>
                        <a:ext uri="{28A0092B-C50C-407E-A947-70E740481C1C}"/>
                      </a:extLst>
                    </a:blip>
                    <a:srcRect/>
                    <a:stretch>
                      <a:fillRect/>
                    </a:stretch>
                  </pic:blipFill>
                  <pic:spPr bwMode="auto">
                    <a:xfrm>
                      <a:off x="0" y="0"/>
                      <a:ext cx="2837180" cy="7620"/>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6"/>
          <w:szCs w:val="16"/>
          <w:color w:val="auto"/>
        </w:rPr>
        <w:t>Nick Pizzie</w:t>
      </w:r>
    </w:p>
    <w:p>
      <w:pPr>
        <w:ind w:left="4500"/>
        <w:spacing w:after="0" w:line="230" w:lineRule="auto"/>
        <w:rPr>
          <w:sz w:val="20"/>
          <w:szCs w:val="20"/>
          <w:color w:val="auto"/>
        </w:rPr>
      </w:pPr>
      <w:r>
        <w:rPr>
          <w:rFonts w:ascii="Arial" w:cs="Arial" w:eastAsia="Arial" w:hAnsi="Arial"/>
          <w:sz w:val="16"/>
          <w:szCs w:val="16"/>
          <w:color w:val="auto"/>
        </w:rPr>
        <w:t>Chief Financial Officer</w:t>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406400</wp:posOffset>
            </wp:positionV>
            <wp:extent cx="5682615" cy="2222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1">
                      <a:extLst>
                        <a:ext uri="{28A0092B-C50C-407E-A947-70E740481C1C}"/>
                      </a:extLst>
                    </a:blip>
                    <a:srcRect/>
                    <a:stretch>
                      <a:fillRect/>
                    </a:stretch>
                  </pic:blipFill>
                  <pic:spPr bwMode="auto">
                    <a:xfrm>
                      <a:off x="0" y="0"/>
                      <a:ext cx="5682615" cy="22225"/>
                    </a:xfrm>
                    <a:prstGeom prst="rect">
                      <a:avLst/>
                    </a:prstGeom>
                    <a:noFill/>
                  </pic:spPr>
                </pic:pic>
              </a:graphicData>
            </a:graphic>
          </wp:anchor>
        </w:drawing>
      </w:r>
    </w:p>
    <w:sectPr>
      <w:pgSz w:w="11900" w:h="16838" w:orient="portrait"/>
      <w:cols w:equalWidth="0" w:num="1">
        <w:col w:w="9019"/>
      </w:cols>
      <w:pgMar w:left="1440" w:top="1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A0382C5"/>
    <w:multiLevelType w:val="hybridMultilevel"/>
    <w:lvl w:ilvl="0">
      <w:lvlJc w:val="left"/>
      <w:lvlText w:val="☒"/>
      <w:numFmt w:val="bullet"/>
      <w:start w:val="1"/>
    </w:lvl>
  </w:abstractNum>
  <w:abstractNum w:abstractNumId="1">
    <w:nsid w:val="8F2B15E"/>
    <w:multiLevelType w:val="hybridMultilevel"/>
    <w:lvl w:ilvl="0">
      <w:lvlJc w:val="left"/>
      <w:lvlText w:val="☐"/>
      <w:numFmt w:val="bullet"/>
      <w:start w:val="1"/>
    </w:lvl>
  </w:abstractNum>
  <w:abstractNum w:abstractNumId="2">
    <w:nsid w:val="1A32234B"/>
    <w:multiLevelType w:val="hybridMultilevel"/>
    <w:lvl w:ilvl="0">
      <w:lvlJc w:val="left"/>
      <w:lvlText w:val="●"/>
      <w:numFmt w:val="bullet"/>
      <w:start w:val="1"/>
    </w:lvl>
  </w:abstractNum>
  <w:abstractNum w:abstractNumId="3">
    <w:nsid w:val="3B0FD379"/>
    <w:multiLevelType w:val="hybridMultilevel"/>
    <w:lvl w:ilvl="0">
      <w:lvlJc w:val="left"/>
      <w:lvlText w:val="●"/>
      <w:numFmt w:val="bullet"/>
      <w:start w:val="1"/>
    </w:lvl>
  </w:abstractNum>
  <w:abstractNum w:abstractNumId="4">
    <w:nsid w:val="68EB2F63"/>
    <w:multiLevelType w:val="hybridMultilevel"/>
    <w:lvl w:ilvl="0">
      <w:lvlJc w:val="left"/>
      <w:lvlText w:val="●"/>
      <w:numFmt w:val="bullet"/>
      <w:start w:val="1"/>
    </w:lvl>
  </w:abstractNum>
  <w:abstractNum w:abstractNumId="5">
    <w:nsid w:val="4962813B"/>
    <w:multiLevelType w:val="hybridMultilevel"/>
    <w:lvl w:ilvl="0">
      <w:lvlJc w:val="left"/>
      <w:lvlText w:val="(%1)"/>
      <w:numFmt w:val="upperLetter"/>
      <w:start w:val="2"/>
    </w:lvl>
  </w:abstractNum>
  <w:abstractNum w:abstractNumId="6">
    <w:nsid w:val="60B6DF70"/>
    <w:multiLevelType w:val="hybridMultilevel"/>
    <w:lvl w:ilvl="0">
      <w:lvlJc w:val="left"/>
      <w:lvlText w:val="●"/>
      <w:numFmt w:val="bullet"/>
      <w:start w:val="1"/>
    </w:lvl>
  </w:abstractNum>
  <w:abstractNum w:abstractNumId="7">
    <w:nsid w:val="6A5EE64"/>
    <w:multiLevelType w:val="hybridMultilevel"/>
    <w:lvl w:ilvl="0">
      <w:lvlJc w:val="left"/>
      <w:lvlText w:val="●"/>
      <w:numFmt w:val="bullet"/>
      <w:start w:val="1"/>
    </w:lvl>
  </w:abstractNum>
  <w:abstractNum w:abstractNumId="8">
    <w:nsid w:val="14330624"/>
    <w:multiLevelType w:val="hybridMultilevel"/>
    <w:lvl w:ilvl="0">
      <w:lvlJc w:val="left"/>
      <w:lvlText w:val="●"/>
      <w:numFmt w:val="bullet"/>
      <w:start w:val="1"/>
    </w:lvl>
  </w:abstractNum>
  <w:abstractNum w:abstractNumId="9">
    <w:nsid w:val="7FFFCA11"/>
    <w:multiLevelType w:val="hybridMultilevel"/>
    <w:lvl w:ilvl="0">
      <w:lvlJc w:val="left"/>
      <w:lvlText w:val="●"/>
      <w:numFmt w:val="bullet"/>
      <w:start w:val="1"/>
    </w:lvl>
  </w:abstractNum>
  <w:abstractNum w:abstractNumId="10">
    <w:nsid w:val="1A27709E"/>
    <w:multiLevelType w:val="hybridMultilevel"/>
    <w:lvl w:ilvl="0">
      <w:lvlJc w:val="left"/>
      <w:lvlText w:val="●"/>
      <w:numFmt w:val="bullet"/>
      <w:start w:val="1"/>
    </w:lvl>
  </w:abstractNum>
  <w:abstractNum w:abstractNumId="11">
    <w:nsid w:val="71EA1109"/>
    <w:multiLevelType w:val="hybridMultilevel"/>
    <w:lvl w:ilvl="0">
      <w:lvlJc w:val="left"/>
      <w:lvlText w:val="●"/>
      <w:numFmt w:val="bullet"/>
      <w:start w:val="1"/>
    </w:lvl>
  </w:abstractNum>
  <w:abstractNum w:abstractNumId="12">
    <w:nsid w:val="100F59DC"/>
    <w:multiLevelType w:val="hybridMultilevel"/>
    <w:lvl w:ilvl="0">
      <w:lvlJc w:val="left"/>
      <w:lvlText w:val="●"/>
      <w:numFmt w:val="bullet"/>
      <w:start w:val="1"/>
    </w:lvl>
  </w:abstractNum>
  <w:abstractNum w:abstractNumId="13">
    <w:nsid w:val="7FB7E0AA"/>
    <w:multiLevelType w:val="hybridMultilevel"/>
    <w:lvl w:ilvl="0">
      <w:lvlJc w:val="left"/>
      <w:lvlText w:val="●"/>
      <w:numFmt w:val="bullet"/>
      <w:start w:val="1"/>
    </w:lvl>
  </w:abstractNum>
  <w:abstractNum w:abstractNumId="14">
    <w:nsid w:val="6EB5BD4"/>
    <w:multiLevelType w:val="hybridMultilevel"/>
    <w:lvl w:ilvl="0">
      <w:lvlJc w:val="left"/>
      <w:lvlText w:val="●"/>
      <w:numFmt w:val="bullet"/>
      <w:start w:val="1"/>
    </w:lvl>
  </w:abstractNum>
  <w:abstractNum w:abstractNumId="15">
    <w:nsid w:val="6F6DD9AC"/>
    <w:multiLevelType w:val="hybridMultilevel"/>
    <w:lvl w:ilvl="0">
      <w:lvlJc w:val="left"/>
      <w:lvlText w:val="●"/>
      <w:numFmt w:val="bullet"/>
      <w:start w:val="1"/>
    </w:lvl>
  </w:abstractNum>
  <w:abstractNum w:abstractNumId="16">
    <w:nsid w:val="94211F2"/>
    <w:multiLevelType w:val="hybridMultilevel"/>
    <w:lvl w:ilvl="0">
      <w:lvlJc w:val="left"/>
      <w:lvlText w:val="●"/>
      <w:numFmt w:val="bullet"/>
      <w:start w:val="1"/>
    </w:lvl>
  </w:abstractNum>
  <w:abstractNum w:abstractNumId="17">
    <w:nsid w:val="885E1B"/>
    <w:multiLevelType w:val="hybridMultilevel"/>
    <w:lvl w:ilvl="0">
      <w:lvlJc w:val="left"/>
      <w:lvlText w:val="●"/>
      <w:numFmt w:val="bullet"/>
      <w:start w:val="1"/>
    </w:lvl>
  </w:abstractNum>
  <w:abstractNum w:abstractNumId="18">
    <w:nsid w:val="76272110"/>
    <w:multiLevelType w:val="hybridMultilevel"/>
    <w:lvl w:ilvl="0">
      <w:lvlJc w:val="left"/>
      <w:lvlText w:val="●"/>
      <w:numFmt w:val="bullet"/>
      <w:start w:val="1"/>
    </w:lvl>
  </w:abstractNum>
  <w:abstractNum w:abstractNumId="19">
    <w:nsid w:val="4C04A8AF"/>
    <w:multiLevelType w:val="hybridMultilevel"/>
    <w:lvl w:ilvl="0">
      <w:lvlJc w:val="left"/>
      <w:lvlText w:val="●"/>
      <w:numFmt w:val="bullet"/>
      <w:start w:val="1"/>
    </w:lvl>
  </w:abstractNum>
  <w:abstractNum w:abstractNumId="20">
    <w:nsid w:val="1716703B"/>
    <w:multiLevelType w:val="hybridMultilevel"/>
    <w:lvl w:ilvl="0">
      <w:lvlJc w:val="left"/>
      <w:lvlText w:val="●"/>
      <w:numFmt w:val="bullet"/>
      <w:start w:val="1"/>
    </w:lvl>
  </w:abstractNum>
  <w:abstractNum w:abstractNumId="21">
    <w:nsid w:val="14E17E33"/>
    <w:multiLevelType w:val="hybridMultilevel"/>
    <w:lvl w:ilvl="0">
      <w:lvlJc w:val="left"/>
      <w:lvlText w:val="%1."/>
      <w:numFmt w:val="decimal"/>
      <w:start w:val="5"/>
    </w:lvl>
  </w:abstractNum>
  <w:abstractNum w:abstractNumId="22">
    <w:nsid w:val="3222E7CD"/>
    <w:multiLevelType w:val="hybridMultilevel"/>
    <w:lvl w:ilvl="0">
      <w:lvlJc w:val="left"/>
      <w:lvlText w:val="●"/>
      <w:numFmt w:val="bullet"/>
      <w:start w:val="1"/>
    </w:lvl>
  </w:abstractNum>
  <w:abstractNum w:abstractNumId="23">
    <w:nsid w:val="74DE0EE3"/>
    <w:multiLevelType w:val="hybridMultilevel"/>
    <w:lvl w:ilvl="0">
      <w:lvlJc w:val="left"/>
      <w:lvlText w:val="●"/>
      <w:numFmt w:val="bullet"/>
      <w:start w:val="1"/>
    </w:lvl>
  </w:abstractNum>
  <w:abstractNum w:abstractNumId="24">
    <w:nsid w:val="68EBC550"/>
    <w:multiLevelType w:val="hybridMultilevel"/>
    <w:lvl w:ilvl="0">
      <w:lvlJc w:val="left"/>
      <w:lvlText w:val="●"/>
      <w:numFmt w:val="bullet"/>
      <w:start w:val="1"/>
    </w:lvl>
  </w:abstractNum>
  <w:abstractNum w:abstractNumId="25">
    <w:nsid w:val="2DF6D648"/>
    <w:multiLevelType w:val="hybridMultilevel"/>
    <w:lvl w:ilvl="0">
      <w:lvlJc w:val="left"/>
      <w:lvlText w:val="●"/>
      <w:numFmt w:val="bullet"/>
      <w:start w:val="1"/>
    </w:lvl>
  </w:abstractNum>
  <w:abstractNum w:abstractNumId="26">
    <w:nsid w:val="46B7D447"/>
    <w:multiLevelType w:val="hybridMultilevel"/>
    <w:lvl w:ilvl="0">
      <w:lvlJc w:val="left"/>
      <w:lvlText w:val="●"/>
      <w:numFmt w:val="bullet"/>
      <w:start w:val="1"/>
    </w:lvl>
  </w:abstractNum>
  <w:abstractNum w:abstractNumId="27">
    <w:nsid w:val="4A2AC315"/>
    <w:multiLevelType w:val="hybridMultilevel"/>
    <w:lvl w:ilvl="0">
      <w:lvlJc w:val="left"/>
      <w:lvlText w:val="●"/>
      <w:numFmt w:val="bullet"/>
      <w:start w:val="1"/>
    </w:lvl>
  </w:abstractNum>
  <w:abstractNum w:abstractNumId="28">
    <w:nsid w:val="39EE015C"/>
    <w:multiLevelType w:val="hybridMultilevel"/>
    <w:lvl w:ilvl="0">
      <w:lvlJc w:val="left"/>
      <w:lvlText w:val="●"/>
      <w:numFmt w:val="bullet"/>
      <w:start w:val="1"/>
    </w:lvl>
  </w:abstractNum>
  <w:abstractNum w:abstractNumId="29">
    <w:nsid w:val="57FC4FBB"/>
    <w:multiLevelType w:val="hybridMultilevel"/>
    <w:lvl w:ilvl="0">
      <w:lvlJc w:val="left"/>
      <w:lvlText w:val="●"/>
      <w:numFmt w:val="bullet"/>
      <w:start w:val="1"/>
    </w:lvl>
  </w:abstractNum>
  <w:abstractNum w:abstractNumId="30">
    <w:nsid w:val="CC1016F"/>
    <w:multiLevelType w:val="hybridMultilevel"/>
    <w:lvl w:ilvl="0">
      <w:lvlJc w:val="left"/>
      <w:lvlText w:val="●"/>
      <w:numFmt w:val="bullet"/>
      <w:start w:val="1"/>
    </w:lvl>
  </w:abstractNum>
  <w:abstractNum w:abstractNumId="31">
    <w:nsid w:val="43F18422"/>
    <w:multiLevelType w:val="hybridMultilevel"/>
    <w:lvl w:ilvl="0">
      <w:lvlJc w:val="left"/>
      <w:lvlText w:val="●"/>
      <w:numFmt w:val="bullet"/>
      <w:start w:val="1"/>
    </w:lvl>
  </w:abstractNum>
  <w:abstractNum w:abstractNumId="32">
    <w:nsid w:val="60EF0119"/>
    <w:multiLevelType w:val="hybridMultilevel"/>
    <w:lvl w:ilvl="0">
      <w:lvlJc w:val="left"/>
      <w:lvlText w:val="●"/>
      <w:numFmt w:val="bullet"/>
      <w:start w:val="1"/>
    </w:lvl>
  </w:abstractNum>
  <w:abstractNum w:abstractNumId="33">
    <w:nsid w:val="26F324BA"/>
    <w:multiLevelType w:val="hybridMultilevel"/>
    <w:lvl w:ilvl="0">
      <w:lvlJc w:val="left"/>
      <w:lvlText w:val="●"/>
      <w:numFmt w:val="bullet"/>
      <w:start w:val="1"/>
    </w:lvl>
  </w:abstractNum>
  <w:abstractNum w:abstractNumId="34">
    <w:nsid w:val="7F01579B"/>
    <w:multiLevelType w:val="hybridMultilevel"/>
    <w:lvl w:ilvl="0">
      <w:lvlJc w:val="left"/>
      <w:lvlText w:val="●"/>
      <w:numFmt w:val="bullet"/>
      <w:start w:val="1"/>
    </w:lvl>
  </w:abstractNum>
  <w:abstractNum w:abstractNumId="35">
    <w:nsid w:val="49DA307D"/>
    <w:multiLevelType w:val="hybridMultilevel"/>
    <w:lvl w:ilvl="0">
      <w:lvlJc w:val="left"/>
      <w:lvlText w:val="●"/>
      <w:numFmt w:val="bullet"/>
      <w:start w:val="1"/>
    </w:lvl>
  </w:abstractNum>
  <w:abstractNum w:abstractNumId="36">
    <w:nsid w:val="7055A5F5"/>
    <w:multiLevelType w:val="hybridMultilevel"/>
    <w:lvl w:ilvl="0">
      <w:lvlJc w:val="left"/>
      <w:lvlText w:val="●"/>
      <w:numFmt w:val="bullet"/>
      <w:start w:val="1"/>
    </w:lvl>
  </w:abstractNum>
  <w:abstractNum w:abstractNumId="37">
    <w:nsid w:val="5FB8370B"/>
    <w:multiLevelType w:val="hybridMultilevel"/>
    <w:lvl w:ilvl="0">
      <w:lvlJc w:val="left"/>
      <w:lvlText w:val="●"/>
      <w:numFmt w:val="bullet"/>
      <w:start w:val="1"/>
    </w:lvl>
  </w:abstractNum>
  <w:abstractNum w:abstractNumId="38">
    <w:nsid w:val="50801EE1"/>
    <w:multiLevelType w:val="hybridMultilevel"/>
    <w:lvl w:ilvl="0">
      <w:lvlJc w:val="left"/>
      <w:lvlText w:val="●"/>
      <w:numFmt w:val="bullet"/>
      <w:start w:val="1"/>
    </w:lvl>
  </w:abstractNum>
  <w:abstractNum w:abstractNumId="39">
    <w:nsid w:val="488AC1A"/>
    <w:multiLevelType w:val="hybridMultilevel"/>
    <w:lvl w:ilvl="0">
      <w:lvlJc w:val="left"/>
      <w:lvlText w:val="●"/>
      <w:numFmt w:val="bullet"/>
      <w:start w:val="1"/>
    </w:lvl>
  </w:abstractNum>
  <w:abstractNum w:abstractNumId="40">
    <w:nsid w:val="5FB8011C"/>
    <w:multiLevelType w:val="hybridMultilevel"/>
    <w:lvl w:ilvl="0">
      <w:lvlJc w:val="left"/>
      <w:lvlText w:val="●"/>
      <w:numFmt w:val="bullet"/>
      <w:start w:val="1"/>
    </w:lvl>
  </w:abstractNum>
  <w:abstractNum w:abstractNumId="41">
    <w:nsid w:val="6AA78F7F"/>
    <w:multiLevelType w:val="hybridMultilevel"/>
    <w:lvl w:ilvl="0">
      <w:lvlJc w:val="left"/>
      <w:lvlText w:val="**"/>
      <w:numFmt w:val="bullet"/>
      <w:start w:val="1"/>
    </w:lvl>
    <w:lvl w:ilvl="1">
      <w:lvlJc w:val="left"/>
      <w:lvlText w:val="%2"/>
      <w:numFmt w:val="decimal"/>
      <w:start w:val="104"/>
    </w:lvl>
  </w:abstractNum>
  <w:abstractNum w:abstractNumId="42">
    <w:nsid w:val="7672BD23"/>
    <w:multiLevelType w:val="hybridMultilevel"/>
    <w:lvl w:ilvl="0">
      <w:lvlJc w:val="left"/>
      <w:lvlText w:val="+"/>
      <w:numFmt w:val="bullet"/>
      <w:start w:val="1"/>
    </w:lvl>
  </w:abstractNum>
  <w:abstractNum w:abstractNumId="43">
    <w:nsid w:val="6FC75AF8"/>
    <w:multiLevelType w:val="hybridMultilevel"/>
    <w:lvl w:ilvl="0">
      <w:lvlJc w:val="left"/>
      <w:lvlText w:val="%1."/>
      <w:numFmt w:val="upperLetter"/>
      <w:start w:val="1"/>
    </w:lvl>
  </w:abstractNum>
  <w:abstractNum w:abstractNumId="44">
    <w:nsid w:val="6A5F7029"/>
    <w:multiLevelType w:val="hybridMultilevel"/>
    <w:lvl w:ilvl="0">
      <w:lvlJc w:val="left"/>
      <w:lvlText w:val="(%1)"/>
      <w:numFmt w:val="lowerRoman"/>
      <w:start w:val="1"/>
    </w:lvl>
  </w:abstractNum>
  <w:abstractNum w:abstractNumId="45">
    <w:nsid w:val="7D5E18F8"/>
    <w:multiLevelType w:val="hybridMultilevel"/>
    <w:lvl w:ilvl="0">
      <w:lvlJc w:val="left"/>
      <w:lvlText w:val="(%1)"/>
      <w:numFmt w:val="lowerRoman"/>
      <w:start w:val="1"/>
    </w:lvl>
  </w:abstractNum>
  <w:abstractNum w:abstractNumId="46">
    <w:nsid w:val="5F3534A4"/>
    <w:multiLevelType w:val="hybridMultilevel"/>
    <w:lvl w:ilvl="0">
      <w:lvlJc w:val="left"/>
      <w:lvlText w:val="(%1)"/>
      <w:numFmt w:val="lowerRoman"/>
      <w:start w:val="3"/>
    </w:lvl>
  </w:abstractNum>
  <w:abstractNum w:abstractNumId="47">
    <w:nsid w:val="73A1821B"/>
    <w:multiLevelType w:val="hybridMultilevel"/>
    <w:lvl w:ilvl="0">
      <w:lvlJc w:val="left"/>
      <w:lvlText w:val="(%1)"/>
      <w:numFmt w:val="lowerRoman"/>
      <w:start w:val="14"/>
    </w:lvl>
  </w:abstractNum>
  <w:abstractNum w:abstractNumId="48">
    <w:nsid w:val="7DE67713"/>
    <w:multiLevelType w:val="hybridMultilevel"/>
    <w:lvl w:ilvl="0">
      <w:lvlJc w:val="left"/>
      <w:lvlText w:val="%1"/>
      <w:numFmt w:val="lowerLetter"/>
      <w:start w:val="1"/>
    </w:lvl>
    <w:lvl w:ilvl="1">
      <w:lvlJc w:val="left"/>
      <w:lvlText w:val="(%2)"/>
      <w:numFmt w:val="lowerRoman"/>
      <w:start w:val="1"/>
    </w:lvl>
  </w:abstractNum>
  <w:abstractNum w:abstractNumId="49">
    <w:nsid w:val="555C55B5"/>
    <w:multiLevelType w:val="hybridMultilevel"/>
    <w:lvl w:ilvl="0">
      <w:lvlJc w:val="left"/>
      <w:lvlText w:val="(%1)"/>
      <w:numFmt w:val="lowerLetter"/>
      <w:start w:val="5"/>
    </w:lvl>
    <w:lvl w:ilvl="1">
      <w:lvlJc w:val="left"/>
      <w:lvlText w:val="(%2)"/>
      <w:numFmt w:val="lowerRoman"/>
      <w:start w:val="3"/>
    </w:lvl>
  </w:abstractNum>
  <w:abstractNum w:abstractNumId="50">
    <w:nsid w:val="3FA62ACA"/>
    <w:multiLevelType w:val="hybridMultilevel"/>
    <w:lvl w:ilvl="0">
      <w:lvlJc w:val="left"/>
      <w:lvlText w:val="(%1)"/>
      <w:numFmt w:val="lowerRoman"/>
      <w:start w:val="7"/>
    </w:lvl>
  </w:abstractNum>
  <w:abstractNum w:abstractNumId="51">
    <w:nsid w:val="14FCE74E"/>
    <w:multiLevelType w:val="hybridMultilevel"/>
    <w:lvl w:ilvl="0">
      <w:lvlJc w:val="left"/>
      <w:lvlText w:val="(%1)"/>
      <w:numFmt w:val="lowerRoman"/>
      <w:start w:val="1"/>
    </w:lvl>
  </w:abstractNum>
  <w:abstractNum w:abstractNumId="52">
    <w:nsid w:val="6A3DD3E8"/>
    <w:multiLevelType w:val="hybridMultilevel"/>
    <w:lvl w:ilvl="0">
      <w:lvlJc w:val="left"/>
      <w:lvlText w:val="(%1)"/>
      <w:numFmt w:val="lowerRoman"/>
      <w:start w:val="4"/>
    </w:lvl>
  </w:abstractNum>
  <w:abstractNum w:abstractNumId="53">
    <w:nsid w:val="71C91298"/>
    <w:multiLevelType w:val="hybridMultilevel"/>
    <w:lvl w:ilvl="0">
      <w:lvlJc w:val="left"/>
      <w:lvlText w:val="(%1)"/>
      <w:numFmt w:val="lowerRoman"/>
      <w:start w:val="14"/>
    </w:lvl>
  </w:abstractNum>
  <w:abstractNum w:abstractNumId="54">
    <w:nsid w:val="9DAF632"/>
    <w:multiLevelType w:val="hybridMultilevel"/>
    <w:lvl w:ilvl="0">
      <w:lvlJc w:val="left"/>
      <w:lvlText w:val="(%1)"/>
      <w:numFmt w:val="lowerRoman"/>
      <w:start w:val="1"/>
    </w:lvl>
  </w:abstractNum>
  <w:abstractNum w:abstractNumId="55">
    <w:nsid w:val="53299938"/>
    <w:multiLevelType w:val="hybridMultilevel"/>
    <w:lvl w:ilvl="0">
      <w:lvlJc w:val="left"/>
      <w:lvlText w:val="(%1)"/>
      <w:numFmt w:val="lowerRoman"/>
      <w:start w:val="3"/>
    </w:lvl>
  </w:abstractNum>
  <w:abstractNum w:abstractNumId="56">
    <w:nsid w:val="1FBFE8E0"/>
    <w:multiLevelType w:val="hybridMultilevel"/>
    <w:lvl w:ilvl="0">
      <w:lvlJc w:val="left"/>
      <w:lvlText w:val="(%1)"/>
      <w:numFmt w:val="lowerRoman"/>
      <w:start w:val="4"/>
    </w:lvl>
  </w:abstractNum>
  <w:abstractNum w:abstractNumId="57">
    <w:nsid w:val="5092CA79"/>
    <w:multiLevelType w:val="hybridMultilevel"/>
    <w:lvl w:ilvl="0">
      <w:lvlJc w:val="left"/>
      <w:lvlText w:val="(%1)"/>
      <w:numFmt w:val="upperLetter"/>
      <w:start w:val="1"/>
    </w:lvl>
  </w:abstractNum>
  <w:abstractNum w:abstractNumId="58">
    <w:nsid w:val="1D545C4D"/>
    <w:multiLevelType w:val="hybridMultilevel"/>
    <w:lvl w:ilvl="0">
      <w:lvlJc w:val="left"/>
      <w:lvlText w:val="(%1)"/>
      <w:numFmt w:val="lowerLetter"/>
      <w:start w:val="1"/>
    </w:lvl>
    <w:lvl w:ilvl="1">
      <w:lvlJc w:val="left"/>
      <w:lvlText w:val="(%2)"/>
      <w:numFmt w:val="lowerLetter"/>
      <w:start w:val="9"/>
    </w:lvl>
  </w:abstractNum>
  <w:abstractNum w:abstractNumId="59">
    <w:nsid w:val="59ADEA3D"/>
    <w:multiLevelType w:val="hybridMultilevel"/>
    <w:lvl w:ilvl="0">
      <w:lvlJc w:val="left"/>
      <w:lvlText w:val="(%1)"/>
      <w:numFmt w:val="lowerRoman"/>
      <w:start w:val="2"/>
    </w:lvl>
  </w:abstractNum>
  <w:abstractNum w:abstractNumId="60">
    <w:nsid w:val="288F1A34"/>
    <w:multiLevelType w:val="hybridMultilevel"/>
    <w:lvl w:ilvl="0">
      <w:lvlJc w:val="left"/>
      <w:lvlText w:val="(%1)"/>
      <w:numFmt w:val="lowerLetter"/>
      <w:start w:val="2"/>
    </w:lvl>
    <w:lvl w:ilvl="1">
      <w:lvlJc w:val="left"/>
      <w:lvlText w:val="(%2)"/>
      <w:numFmt w:val="lowerRoman"/>
      <w:start w:val="1"/>
    </w:lvl>
  </w:abstractNum>
  <w:abstractNum w:abstractNumId="61">
    <w:nsid w:val="2A155DBC"/>
    <w:multiLevelType w:val="hybridMultilevel"/>
    <w:lvl w:ilvl="0">
      <w:lvlJc w:val="left"/>
      <w:lvlText w:val="(%1)"/>
      <w:numFmt w:val="lowerLetter"/>
      <w:start w:val="4"/>
    </w:lvl>
  </w:abstractNum>
  <w:abstractNum w:abstractNumId="62">
    <w:nsid w:val="1D9F6E5F"/>
    <w:multiLevelType w:val="hybridMultilevel"/>
    <w:lvl w:ilvl="0">
      <w:lvlJc w:val="left"/>
      <w:lvlText w:val="(%1)"/>
      <w:numFmt w:val="lowerRoman"/>
      <w:start w:val="2"/>
    </w:lvl>
  </w:abstractNum>
  <w:abstractNum w:abstractNumId="63">
    <w:nsid w:val="97E1B4E"/>
    <w:multiLevelType w:val="hybridMultilevel"/>
    <w:lvl w:ilvl="0">
      <w:lvlJc w:val="left"/>
      <w:lvlText w:val="(%1)"/>
      <w:numFmt w:val="lowerLetter"/>
      <w:start w:val="1"/>
    </w:lvl>
  </w:abstractNum>
  <w:abstractNum w:abstractNumId="64">
    <w:nsid w:val="51088277"/>
    <w:multiLevelType w:val="hybridMultilevel"/>
    <w:lvl w:ilvl="0">
      <w:lvlJc w:val="left"/>
      <w:lvlText w:val="(%1)"/>
      <w:numFmt w:val="lowerLetter"/>
      <w:start w:val="3"/>
    </w:lvl>
  </w:abstractNum>
  <w:abstractNum w:abstractNumId="65">
    <w:nsid w:val="1CA0C5FA"/>
    <w:multiLevelType w:val="hybridMultilevel"/>
    <w:lvl w:ilvl="0">
      <w:lvlJc w:val="left"/>
      <w:lvlText w:val="(%1)"/>
      <w:numFmt w:val="lowerLetter"/>
      <w:start w:val="1"/>
    </w:lvl>
  </w:abstractNum>
  <w:abstractNum w:abstractNumId="66">
    <w:nsid w:val="53584BCB"/>
    <w:multiLevelType w:val="hybridMultilevel"/>
    <w:lvl w:ilvl="0">
      <w:lvlJc w:val="left"/>
      <w:lvlText w:val="(%1)"/>
      <w:numFmt w:val="lowerLetter"/>
      <w:start w:val="1"/>
    </w:lvl>
  </w:abstractNum>
  <w:abstractNum w:abstractNumId="67">
    <w:nsid w:val="415E286C"/>
    <w:multiLevelType w:val="hybridMultilevel"/>
    <w:lvl w:ilvl="0">
      <w:lvlJc w:val="left"/>
      <w:lvlText w:val="(%1)"/>
      <w:numFmt w:val="lowerLetter"/>
      <w:start w:val="4"/>
    </w:lvl>
  </w:abstractNum>
  <w:abstractNum w:abstractNumId="68">
    <w:nsid w:val="7C58FD05"/>
    <w:multiLevelType w:val="hybridMultilevel"/>
    <w:lvl w:ilvl="0">
      <w:lvlJc w:val="left"/>
      <w:lvlText w:val="(%1)"/>
      <w:numFmt w:val="lowerLetter"/>
      <w:start w:val="1"/>
    </w:lvl>
  </w:abstractNum>
  <w:abstractNum w:abstractNumId="69">
    <w:nsid w:val="23D86AAC"/>
    <w:multiLevelType w:val="hybridMultilevel"/>
    <w:lvl w:ilvl="0">
      <w:lvlJc w:val="left"/>
      <w:lvlText w:val="(%1)"/>
      <w:numFmt w:val="lowerLetter"/>
      <w:start w:val="2"/>
    </w:lvl>
  </w:abstractNum>
  <w:abstractNum w:abstractNumId="70">
    <w:nsid w:val="45E6D486"/>
    <w:multiLevelType w:val="hybridMultilevel"/>
    <w:lvl w:ilvl="0">
      <w:lvlJc w:val="left"/>
      <w:lvlText w:val="(%1)"/>
      <w:numFmt w:val="lowerLetter"/>
      <w:start w:val="5"/>
    </w:lvl>
  </w:abstractNum>
  <w:abstractNum w:abstractNumId="71">
    <w:nsid w:val="5C10FE21"/>
    <w:multiLevelType w:val="hybridMultilevel"/>
    <w:lvl w:ilvl="0">
      <w:lvlJc w:val="left"/>
      <w:lvlText w:val="%1"/>
      <w:numFmt w:val="lowerLetter"/>
      <w:start w:val="1"/>
    </w:lvl>
    <w:lvl w:ilvl="1">
      <w:lvlJc w:val="left"/>
      <w:lvlText w:val="(%2)"/>
      <w:numFmt w:val="lowerLetter"/>
      <w:start w:val="8"/>
    </w:lvl>
  </w:abstractNum>
  <w:abstractNum w:abstractNumId="72">
    <w:nsid w:val="E7FFA2B"/>
    <w:multiLevelType w:val="hybridMultilevel"/>
    <w:lvl w:ilvl="0">
      <w:lvlJc w:val="left"/>
      <w:lvlText w:val="(%1)"/>
      <w:numFmt w:val="lowerLetter"/>
      <w:start w:val="9"/>
    </w:lvl>
    <w:lvl w:ilvl="1">
      <w:lvlJc w:val="left"/>
      <w:lvlText w:val="%2"/>
      <w:numFmt w:val="lowerLetter"/>
      <w:start w:val="1"/>
    </w:lvl>
  </w:abstractNum>
  <w:abstractNum w:abstractNumId="73">
    <w:nsid w:val="3C5991AA"/>
    <w:multiLevelType w:val="hybridMultilevel"/>
    <w:lvl w:ilvl="0">
      <w:lvlJc w:val="left"/>
      <w:lvlText w:val="(%1)"/>
      <w:numFmt w:val="lowerLetter"/>
      <w:start w:val="11"/>
    </w:lvl>
  </w:abstractNum>
  <w:abstractNum w:abstractNumId="74">
    <w:nsid w:val="4BD8591A"/>
    <w:multiLevelType w:val="hybridMultilevel"/>
    <w:lvl w:ilvl="0">
      <w:lvlJc w:val="left"/>
      <w:lvlText w:val="%1"/>
      <w:numFmt w:val="lowerLetter"/>
      <w:start w:val="1"/>
    </w:lvl>
    <w:lvl w:ilvl="1">
      <w:lvlJc w:val="left"/>
      <w:lvlText w:val="(%2)"/>
      <w:numFmt w:val="lowerLetter"/>
      <w:start w:val="1"/>
    </w:lvl>
  </w:abstractNum>
  <w:abstractNum w:abstractNumId="75">
    <w:nsid w:val="78DF6A55"/>
    <w:multiLevelType w:val="hybridMultilevel"/>
    <w:lvl w:ilvl="0">
      <w:lvlJc w:val="left"/>
      <w:lvlText w:val="(%1)"/>
      <w:numFmt w:val="lowerLetter"/>
      <w:start w:val="2"/>
    </w:lvl>
    <w:lvl w:ilvl="1">
      <w:lvlJc w:val="left"/>
      <w:lvlText w:val="%2"/>
      <w:numFmt w:val="lowerLetter"/>
      <w:start w:val="1"/>
    </w:lvl>
  </w:abstractNum>
  <w:abstractNum w:abstractNumId="76">
    <w:nsid w:val="39B7AAA2"/>
    <w:multiLevelType w:val="hybridMultilevel"/>
    <w:lvl w:ilvl="0">
      <w:lvlJc w:val="left"/>
      <w:lvlText w:val="(%1)"/>
      <w:numFmt w:val="lowerLetter"/>
      <w:start w:val="3"/>
    </w:lvl>
    <w:lvl w:ilvl="1">
      <w:lvlJc w:val="left"/>
      <w:lvlText w:val="(%2)"/>
      <w:numFmt w:val="lowerLetter"/>
      <w:start w:val="7"/>
    </w:lvl>
  </w:abstractNum>
  <w:abstractNum w:abstractNumId="77">
    <w:nsid w:val="2B0D8DBE"/>
    <w:multiLevelType w:val="hybridMultilevel"/>
    <w:lvl w:ilvl="0">
      <w:lvlJc w:val="left"/>
      <w:lvlText w:val="(%1)"/>
      <w:numFmt w:val="lowerLetter"/>
      <w:start w:val="8"/>
    </w:lvl>
  </w:abstractNum>
  <w:abstractNum w:abstractNumId="78">
    <w:nsid w:val="6C80EC70"/>
    <w:multiLevelType w:val="hybridMultilevel"/>
    <w:lvl w:ilvl="0">
      <w:lvlJc w:val="left"/>
      <w:lvlText w:val="(%1)"/>
      <w:numFmt w:val="lowerLetter"/>
      <w:start w:val="3"/>
    </w:lvl>
  </w:abstractNum>
  <w:abstractNum w:abstractNumId="79">
    <w:nsid w:val="379E21B5"/>
    <w:multiLevelType w:val="hybridMultilevel"/>
    <w:lvl w:ilvl="0">
      <w:lvlJc w:val="left"/>
      <w:lvlText w:val="%1"/>
      <w:numFmt w:val="lowerRoman"/>
      <w:start w:val="1"/>
    </w:lvl>
    <w:lvl w:ilvl="1">
      <w:lvlJc w:val="left"/>
      <w:lvlText w:val="(%2)"/>
      <w:numFmt w:val="lowerRoman"/>
      <w:start w:val="1"/>
    </w:lvl>
  </w:abstractNum>
  <w:abstractNum w:abstractNumId="80">
    <w:nsid w:val="69E373"/>
    <w:multiLevelType w:val="hybridMultilevel"/>
    <w:lvl w:ilvl="0">
      <w:lvlJc w:val="left"/>
      <w:lvlText w:val="(%1)"/>
      <w:numFmt w:val="lowerRoman"/>
      <w:start w:val="2"/>
    </w:lvl>
    <w:lvl w:ilvl="1">
      <w:lvlJc w:val="left"/>
      <w:lvlText w:val="%2"/>
      <w:numFmt w:val="lowerRoman"/>
      <w:start w:val="1"/>
    </w:lvl>
  </w:abstractNum>
  <w:abstractNum w:abstractNumId="81">
    <w:nsid w:val="2C27173B"/>
    <w:multiLevelType w:val="hybridMultilevel"/>
    <w:lvl w:ilvl="0">
      <w:lvlJc w:val="left"/>
      <w:lvlText w:val="(%1)"/>
      <w:numFmt w:val="lowerRoman"/>
      <w:start w:val="3"/>
    </w:lvl>
  </w:abstractNum>
  <w:abstractNum w:abstractNumId="82">
    <w:nsid w:val="4C9B0904"/>
    <w:multiLevelType w:val="hybridMultilevel"/>
    <w:lvl w:ilvl="0">
      <w:lvlJc w:val="left"/>
      <w:lvlText w:val="(%1)"/>
      <w:numFmt w:val="lowerLetter"/>
      <w:start w:val="21"/>
    </w:lvl>
  </w:abstractNum>
  <w:abstractNum w:abstractNumId="83">
    <w:nsid w:val="6AA7B75C"/>
    <w:multiLevelType w:val="hybridMultilevel"/>
    <w:lvl w:ilvl="0">
      <w:lvlJc w:val="left"/>
      <w:lvlText w:val="(%1)"/>
      <w:numFmt w:val="lowerRoman"/>
      <w:start w:val="1"/>
    </w:lvl>
  </w:abstractNum>
  <w:abstractNum w:abstractNumId="84">
    <w:nsid w:val="1DF029D3"/>
    <w:multiLevelType w:val="hybridMultilevel"/>
    <w:lvl w:ilvl="0">
      <w:lvlJc w:val="left"/>
      <w:lvlText w:val="(%1)"/>
      <w:numFmt w:val="lowerRoman"/>
      <w:start w:val="3"/>
    </w:lvl>
  </w:abstractNum>
  <w:abstractNum w:abstractNumId="85">
    <w:nsid w:val="5675FF36"/>
    <w:multiLevelType w:val="hybridMultilevel"/>
    <w:lvl w:ilvl="0">
      <w:lvlJc w:val="left"/>
      <w:lvlText w:val="(%1)"/>
      <w:numFmt w:val="lowerLetter"/>
      <w:start w:val="1"/>
    </w:lvl>
    <w:lvl w:ilvl="1">
      <w:lvlJc w:val="left"/>
      <w:lvlText w:val="(%2)"/>
      <w:numFmt w:val="lowerRoman"/>
      <w:start w:val="1"/>
    </w:lvl>
  </w:abstractNum>
  <w:abstractNum w:abstractNumId="86">
    <w:nsid w:val="3DD15094"/>
    <w:multiLevelType w:val="hybridMultilevel"/>
    <w:lvl w:ilvl="0">
      <w:lvlJc w:val="left"/>
      <w:lvlText w:val="(%1)"/>
      <w:numFmt w:val="lowerLetter"/>
      <w:start w:val="1"/>
    </w:lvl>
  </w:abstractNum>
  <w:abstractNum w:abstractNumId="87">
    <w:nsid w:val="3DB012B3"/>
    <w:multiLevelType w:val="hybridMultilevel"/>
    <w:lvl w:ilvl="0">
      <w:lvlJc w:val="left"/>
      <w:lvlText w:val="(%1)"/>
      <w:numFmt w:val="lowerRoman"/>
      <w:start w:val="3"/>
    </w:lvl>
  </w:abstractNum>
  <w:abstractNum w:abstractNumId="88">
    <w:nsid w:val="2708C9AF"/>
    <w:multiLevelType w:val="hybridMultilevel"/>
    <w:lvl w:ilvl="0">
      <w:lvlJc w:val="left"/>
      <w:lvlText w:val="(%1)"/>
      <w:numFmt w:val="lowerLetter"/>
      <w:start w:val="1"/>
    </w:lvl>
  </w:abstractNum>
  <w:abstractNum w:abstractNumId="89">
    <w:nsid w:val="5B25ACE2"/>
    <w:multiLevelType w:val="hybridMultilevel"/>
    <w:lvl w:ilvl="0">
      <w:lvlJc w:val="left"/>
      <w:lvlText w:val="(%1)"/>
      <w:numFmt w:val="lowerLetter"/>
      <w:start w:val="1"/>
    </w:lvl>
  </w:abstractNum>
  <w:abstractNum w:abstractNumId="90">
    <w:nsid w:val="175DFCF0"/>
    <w:multiLevelType w:val="hybridMultilevel"/>
    <w:lvl w:ilvl="0">
      <w:lvlJc w:val="left"/>
      <w:lvlText w:val="(%1)"/>
      <w:numFmt w:val="lowerLetter"/>
      <w:start w:val="2"/>
    </w:lvl>
  </w:abstractNum>
  <w:abstractNum w:abstractNumId="91">
    <w:nsid w:val="4F97E3E4"/>
    <w:multiLevelType w:val="hybridMultilevel"/>
    <w:lvl w:ilvl="0">
      <w:lvlJc w:val="left"/>
      <w:lvlText w:val="(%1)"/>
      <w:numFmt w:val="lowerLetter"/>
      <w:start w:val="1"/>
    </w:lvl>
  </w:abstractNum>
  <w:abstractNum w:abstractNumId="92">
    <w:nsid w:val="53B0A9E"/>
    <w:multiLevelType w:val="hybridMultilevel"/>
    <w:lvl w:ilvl="0">
      <w:lvlJc w:val="left"/>
      <w:lvlText w:val="(%1)"/>
      <w:numFmt w:val="lowerLetter"/>
      <w:start w:val="1"/>
    </w:lvl>
  </w:abstractNum>
  <w:abstractNum w:abstractNumId="93">
    <w:nsid w:val="34FD6B4F"/>
    <w:multiLevelType w:val="hybridMultilevel"/>
    <w:lvl w:ilvl="0">
      <w:lvlJc w:val="left"/>
      <w:lvlText w:val="(%1)"/>
      <w:numFmt w:val="lowerRoman"/>
      <w:start w:val="2"/>
    </w:lvl>
  </w:abstractNum>
  <w:abstractNum w:abstractNumId="94">
    <w:nsid w:val="5915FF32"/>
    <w:multiLevelType w:val="hybridMultilevel"/>
    <w:lvl w:ilvl="0">
      <w:lvlJc w:val="left"/>
      <w:lvlText w:val="%1."/>
      <w:numFmt w:val="decimal"/>
      <w:start w:val="1"/>
    </w:lvl>
    <w:lvl w:ilvl="1">
      <w:lvlJc w:val="left"/>
      <w:lvlText w:val="%2."/>
      <w:numFmt w:val="lowerLetter"/>
      <w:start w:val="1"/>
    </w:lvl>
  </w:abstractNum>
  <w:abstractNum w:abstractNumId="95">
    <w:nsid w:val="56438D1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7"/>
    </w:lvl>
  </w:abstractNum>
  <w:abstractNum w:abstractNumId="96">
    <w:nsid w:val="519E3149"/>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97">
    <w:nsid w:val="2C6E4AFD"/>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98">
    <w:nsid w:val="17A1B582"/>
    <w:multiLevelType w:val="hybridMultilevel"/>
    <w:lvl w:ilvl="0">
      <w:lvlJc w:val="left"/>
      <w:lvlText w:val="%1"/>
      <w:numFmt w:val="lowerRoman"/>
      <w:start w:val="1"/>
    </w:lvl>
    <w:lvl w:ilvl="1">
      <w:lvlJc w:val="left"/>
      <w:lvlText w:val="%2."/>
      <w:numFmt w:val="upperLetter"/>
      <w:start w:val="1"/>
    </w:lvl>
  </w:abstractNum>
  <w:abstractNum w:abstractNumId="99">
    <w:nsid w:val="4DF72E4E"/>
    <w:multiLevelType w:val="hybridMultilevel"/>
    <w:lvl w:ilvl="0">
      <w:lvlJc w:val="left"/>
      <w:lvlText w:val="%1."/>
      <w:numFmt w:val="lowerRoman"/>
      <w:start w:val="3"/>
    </w:lvl>
    <w:lvl w:ilvl="1">
      <w:lvlJc w:val="left"/>
      <w:lvlText w:val="%2"/>
      <w:numFmt w:val="upperLetter"/>
      <w:start w:val="1"/>
    </w:lvl>
  </w:abstractNum>
  <w:abstractNum w:abstractNumId="100">
    <w:nsid w:val="5046B5A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101">
    <w:nsid w:val="5D888A08"/>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02">
    <w:nsid w:val="2A082C70"/>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03">
    <w:nsid w:val="5EC6AFD4"/>
    <w:multiLevelType w:val="hybridMultilevel"/>
    <w:lvl w:ilvl="0">
      <w:lvlJc w:val="left"/>
      <w:lvlText w:val="%1."/>
      <w:numFmt w:val="decimal"/>
      <w:start w:val="9"/>
    </w:lvl>
  </w:abstractNum>
  <w:abstractNum w:abstractNumId="104">
    <w:nsid w:val="19E21BB2"/>
    <w:multiLevelType w:val="hybridMultilevel"/>
    <w:lvl w:ilvl="0">
      <w:lvlJc w:val="left"/>
      <w:lvlText w:val="(%1)"/>
      <w:numFmt w:val="lowerLetter"/>
      <w:start w:val="1"/>
    </w:lvl>
    <w:lvl w:ilvl="1">
      <w:lvlJc w:val="left"/>
      <w:lvlText w:val="(%2)"/>
      <w:numFmt w:val="lowerRoman"/>
      <w:start w:val="1"/>
    </w:lvl>
  </w:abstractNum>
  <w:abstractNum w:abstractNumId="105">
    <w:nsid w:val="75E0858A"/>
    <w:multiLevelType w:val="hybridMultilevel"/>
    <w:lvl w:ilvl="0">
      <w:lvlJc w:val="left"/>
      <w:lvlText w:val="(%1)"/>
      <w:numFmt w:val="lowerLetter"/>
      <w:start w:val="5"/>
    </w:lvl>
  </w:abstractNum>
  <w:abstractNum w:abstractNumId="106">
    <w:nsid w:val="57A61A29"/>
    <w:multiLevelType w:val="hybridMultilevel"/>
    <w:lvl w:ilvl="0">
      <w:lvlJc w:val="left"/>
      <w:lvlText w:val="["/>
      <w:numFmt w:val="bullet"/>
      <w:start w:val="1"/>
    </w:lvl>
  </w:abstractNum>
  <w:abstractNum w:abstractNumId="107">
    <w:nsid w:val="5399C654"/>
    <w:multiLevelType w:val="hybridMultilevel"/>
    <w:lvl w:ilvl="0">
      <w:lvlJc w:val="left"/>
      <w:lvlText w:val="%1."/>
      <w:numFmt w:val="lowerLetter"/>
      <w:start w:val="1"/>
    </w:lvl>
  </w:abstractNum>
  <w:abstractNum w:abstractNumId="108">
    <w:nsid w:val="20EE1348"/>
    <w:multiLevelType w:val="hybridMultilevel"/>
    <w:lvl w:ilvl="0">
      <w:lvlJc w:val="left"/>
      <w:lvlText w:val="%1."/>
      <w:numFmt w:val="decimal"/>
      <w:start w:val="1"/>
    </w:lvl>
  </w:abstractNum>
  <w:abstractNum w:abstractNumId="109">
    <w:nsid w:val="4427069A"/>
    <w:multiLevelType w:val="hybridMultilevel"/>
    <w:lvl w:ilvl="0">
      <w:lvlJc w:val="left"/>
      <w:lvlText w:val="%1."/>
      <w:numFmt w:val="decimal"/>
      <w:start w:val="2"/>
    </w:lvl>
  </w:abstractNum>
  <w:abstractNum w:abstractNumId="110">
    <w:nsid w:val="B37E80A"/>
    <w:multiLevelType w:val="hybridMultilevel"/>
    <w:lvl w:ilvl="0">
      <w:lvlJc w:val="left"/>
      <w:lvlText w:val="(%1)"/>
      <w:numFmt w:val="lowerLetter"/>
      <w:start w:val="1"/>
    </w:lvl>
  </w:abstractNum>
  <w:abstractNum w:abstractNumId="111">
    <w:nsid w:val="2157F6BC"/>
    <w:multiLevelType w:val="hybridMultilevel"/>
    <w:lvl w:ilvl="0">
      <w:lvlJc w:val="left"/>
      <w:lvlText w:val="(%1)"/>
      <w:numFmt w:val="lowerLetter"/>
      <w:start w:val="2"/>
    </w:lvl>
  </w:abstractNum>
  <w:abstractNum w:abstractNumId="112">
    <w:nsid w:val="704E1DD5"/>
    <w:multiLevelType w:val="hybridMultilevel"/>
    <w:lvl w:ilvl="0">
      <w:lvlJc w:val="left"/>
      <w:lvlText w:val="1"/>
      <w:numFmt w:val="bullet"/>
      <w:start w:val="1"/>
    </w:lvl>
  </w:abstractNum>
  <w:abstractNum w:abstractNumId="113">
    <w:nsid w:val="57D2F10E"/>
    <w:multiLevelType w:val="hybridMultilevel"/>
    <w:lvl w:ilvl="0">
      <w:lvlJc w:val="left"/>
      <w:lvlText w:val="4"/>
      <w:numFmt w:val="bullet"/>
      <w:start w:val="1"/>
    </w:lvl>
  </w:abstractNum>
  <w:abstractNum w:abstractNumId="114">
    <w:nsid w:val="BFFAE18"/>
    <w:multiLevelType w:val="hybridMultilevel"/>
    <w:lvl w:ilvl="0">
      <w:lvlJc w:val="left"/>
      <w:lvlText w:val="%1."/>
      <w:numFmt w:val="upperLetter"/>
      <w:start w:val="1"/>
    </w:lvl>
  </w:abstractNum>
  <w:abstractNum w:abstractNumId="115">
    <w:nsid w:val="E3E47A8"/>
    <w:multiLevelType w:val="hybridMultilevel"/>
    <w:lvl w:ilvl="0">
      <w:lvlJc w:val="left"/>
      <w:lvlText w:val="%1."/>
      <w:numFmt w:val="decimal"/>
      <w:start w:val="1"/>
    </w:lvl>
  </w:abstractNum>
  <w:abstractNum w:abstractNumId="116">
    <w:nsid w:val="2E48F044"/>
    <w:multiLevelType w:val="hybridMultilevel"/>
    <w:lvl w:ilvl="0">
      <w:lvlJc w:val="left"/>
      <w:lvlText w:val="%1."/>
      <w:numFmt w:val="decimal"/>
      <w:start w:val="4"/>
    </w:lvl>
  </w:abstractNum>
  <w:abstractNum w:abstractNumId="117">
    <w:nsid w:val="49D0FEAC"/>
    <w:multiLevelType w:val="hybridMultilevel"/>
    <w:lvl w:ilvl="0">
      <w:lvlJc w:val="left"/>
      <w:lvlText w:val="%1."/>
      <w:numFmt w:val="decimal"/>
      <w:start w:val="5"/>
    </w:lvl>
  </w:abstractNum>
  <w:abstractNum w:abstractNumId="118">
    <w:nsid w:val="4BEE5A5B"/>
    <w:multiLevelType w:val="hybridMultilevel"/>
    <w:lvl w:ilvl="0">
      <w:lvlJc w:val="left"/>
      <w:lvlText w:val="(%1)"/>
      <w:numFmt w:val="lowerRoman"/>
      <w:start w:val="4"/>
    </w:lvl>
  </w:abstractNum>
  <w:abstractNum w:abstractNumId="119">
    <w:nsid w:val="5551B9F3"/>
    <w:multiLevelType w:val="hybridMultilevel"/>
    <w:lvl w:ilvl="0">
      <w:lvlJc w:val="left"/>
      <w:lvlText w:val="(%1)"/>
      <w:numFmt w:val="lowerLetter"/>
      <w:start w:val="1"/>
    </w:lvl>
  </w:abstractNum>
  <w:abstractNum w:abstractNumId="120">
    <w:nsid w:val="24F6AB8E"/>
    <w:multiLevelType w:val="hybridMultilevel"/>
    <w:lvl w:ilvl="0">
      <w:lvlJc w:val="left"/>
      <w:lvlText w:val="(%1)"/>
      <w:numFmt w:val="lowerRoman"/>
      <w:start w:val="2"/>
    </w:lvl>
  </w:abstractNum>
  <w:abstractNum w:abstractNumId="121">
    <w:nsid w:val="634C574C"/>
    <w:multiLevelType w:val="hybridMultilevel"/>
    <w:lvl w:ilvl="0">
      <w:lvlJc w:val="left"/>
      <w:lvlText w:val="(%1)"/>
      <w:numFmt w:val="lowerLetter"/>
      <w:start w:val="2"/>
    </w:lvl>
  </w:abstractNum>
  <w:abstractNum w:abstractNumId="122">
    <w:nsid w:val="24E99DD7"/>
    <w:multiLevelType w:val="hybridMultilevel"/>
    <w:lvl w:ilvl="0">
      <w:lvlJc w:val="left"/>
      <w:lvlText w:val="(%1)"/>
      <w:numFmt w:val="lowerLetter"/>
      <w:start w:val="1"/>
    </w:lvl>
  </w:abstractNum>
  <w:abstractNum w:abstractNumId="123">
    <w:nsid w:val="2A31B62D"/>
    <w:multiLevelType w:val="hybridMultilevel"/>
    <w:lvl w:ilvl="0">
      <w:lvlJc w:val="left"/>
      <w:lvlText w:val="(%1)"/>
      <w:numFmt w:val="lowerRoman"/>
      <w:start w:val="1"/>
    </w:lvl>
  </w:abstractNum>
  <w:abstractNum w:abstractNumId="124">
    <w:nsid w:val="1849C29B"/>
    <w:multiLevelType w:val="hybridMultilevel"/>
    <w:lvl w:ilvl="0">
      <w:lvlJc w:val="left"/>
      <w:lvlText w:val="(%1)"/>
      <w:numFmt w:val="lowerLetter"/>
      <w:start w:val="2"/>
    </w:lvl>
  </w:abstractNum>
  <w:abstractNum w:abstractNumId="125">
    <w:nsid w:val="7DFF9D09"/>
    <w:multiLevelType w:val="hybridMultilevel"/>
    <w:lvl w:ilvl="0">
      <w:lvlJc w:val="left"/>
      <w:lvlText w:val="(%1)"/>
      <w:numFmt w:val="lowerLetter"/>
      <w:start w:val="1"/>
    </w:lvl>
  </w:abstractNum>
  <w:abstractNum w:abstractNumId="126">
    <w:nsid w:val="754342"/>
    <w:multiLevelType w:val="hybridMultilevel"/>
    <w:lvl w:ilvl="0">
      <w:lvlJc w:val="left"/>
      <w:lvlText w:val="(%1)"/>
      <w:numFmt w:val="lowerLetter"/>
      <w:start w:val="2"/>
    </w:lvl>
    <w:lvl w:ilvl="1">
      <w:lvlJc w:val="left"/>
      <w:lvlText w:val="(%2)"/>
      <w:numFmt w:val="lowerRoman"/>
      <w:start w:val="1"/>
    </w:lvl>
  </w:abstractNum>
  <w:abstractNum w:abstractNumId="127">
    <w:nsid w:val="69E7F3E5"/>
    <w:multiLevelType w:val="hybridMultilevel"/>
    <w:lvl w:ilvl="0">
      <w:lvlJc w:val="left"/>
      <w:lvlText w:val="%1"/>
      <w:numFmt w:val="decimal"/>
      <w:start w:val="1"/>
    </w:lvl>
    <w:lvl w:ilvl="1">
      <w:lvlJc w:val="left"/>
      <w:lvlText w:val="(%2)"/>
      <w:numFmt w:val="lowerLetter"/>
      <w:start w:val="1"/>
    </w:lvl>
  </w:abstractNum>
  <w:abstractNum w:abstractNumId="128">
    <w:nsid w:val="2A6DE806"/>
    <w:multiLevelType w:val="hybridMultilevel"/>
    <w:lvl w:ilvl="0">
      <w:lvlJc w:val="left"/>
      <w:lvlText w:val="(%1)"/>
      <w:numFmt w:val="decimal"/>
      <w:start w:val="2"/>
    </w:lvl>
    <w:lvl w:ilvl="1">
      <w:lvlJc w:val="left"/>
      <w:lvlText w:val="(%2)"/>
      <w:numFmt w:val="lowerLetter"/>
      <w:start w:val="3"/>
    </w:lvl>
  </w:abstractNum>
  <w:abstractNum w:abstractNumId="129">
    <w:nsid w:val="1816F8C4"/>
    <w:multiLevelType w:val="hybridMultilevel"/>
    <w:lvl w:ilvl="0">
      <w:lvlJc w:val="left"/>
      <w:lvlText w:val="(%1)"/>
      <w:numFmt w:val="lowerLetter"/>
      <w:start w:val="6"/>
    </w:lvl>
  </w:abstractNum>
  <w:abstractNum w:abstractNumId="130">
    <w:nsid w:val="37DF2233"/>
    <w:multiLevelType w:val="hybridMultilevel"/>
    <w:lvl w:ilvl="0">
      <w:lvlJc w:val="left"/>
      <w:lvlText w:val="(%1)"/>
      <w:numFmt w:val="lowerLetter"/>
      <w:start w:val="1"/>
    </w:lvl>
  </w:abstractNum>
  <w:abstractNum w:abstractNumId="131">
    <w:nsid w:val="7AB49DAF"/>
    <w:multiLevelType w:val="hybridMultilevel"/>
    <w:lvl w:ilvl="0">
      <w:lvlJc w:val="left"/>
      <w:lvlText w:val="(%1)"/>
      <w:numFmt w:val="lowerLetter"/>
      <w:start w:val="1"/>
    </w:lvl>
  </w:abstractNum>
  <w:abstractNum w:abstractNumId="132">
    <w:nsid w:val="759F82CD"/>
    <w:multiLevelType w:val="hybridMultilevel"/>
    <w:lvl w:ilvl="0">
      <w:lvlJc w:val="left"/>
      <w:lvlText w:val="(%1)"/>
      <w:numFmt w:val="lowerLetter"/>
      <w:start w:val="1"/>
    </w:lvl>
  </w:abstractNum>
  <w:abstractNum w:abstractNumId="133">
    <w:nsid w:val="61E74EA3"/>
    <w:multiLevelType w:val="hybridMultilevel"/>
    <w:lvl w:ilvl="0">
      <w:lvlJc w:val="left"/>
      <w:lvlText w:val="(%1)"/>
      <w:numFmt w:val="lowerLetter"/>
      <w:start w:val="8"/>
    </w:lvl>
  </w:abstractNum>
  <w:abstractNum w:abstractNumId="134">
    <w:nsid w:val="597B4D84"/>
    <w:multiLevelType w:val="hybridMultilevel"/>
    <w:lvl w:ilvl="0">
      <w:lvlJc w:val="left"/>
      <w:lvlText w:val="(%1)"/>
      <w:numFmt w:val="lowerLetter"/>
      <w:start w:val="10"/>
    </w:lvl>
  </w:abstractNum>
  <w:abstractNum w:abstractNumId="135">
    <w:nsid w:val="F819E7F"/>
    <w:multiLevelType w:val="hybridMultilevel"/>
    <w:lvl w:ilvl="0">
      <w:lvlJc w:val="left"/>
      <w:lvlText w:val="(%1)"/>
      <w:numFmt w:val="lowerLetter"/>
      <w:start w:val="17"/>
    </w:lvl>
  </w:abstractNum>
  <w:abstractNum w:abstractNumId="136">
    <w:nsid w:val="57C7D42D"/>
    <w:multiLevelType w:val="hybridMultilevel"/>
    <w:lvl w:ilvl="0">
      <w:lvlJc w:val="left"/>
      <w:lvlText w:val="(%1)"/>
      <w:numFmt w:val="decimal"/>
      <w:start w:val="1"/>
    </w:lvl>
  </w:abstractNum>
  <w:abstractNum w:abstractNumId="137">
    <w:nsid w:val="312167AD"/>
    <w:multiLevelType w:val="hybridMultilevel"/>
    <w:lvl w:ilvl="0">
      <w:lvlJc w:val="left"/>
      <w:lvlText w:val="%1."/>
      <w:numFmt w:val="decimal"/>
      <w:start w:val="1"/>
    </w:lvl>
  </w:abstractNum>
  <w:abstractNum w:abstractNumId="138">
    <w:nsid w:val="631B64D4"/>
    <w:multiLevelType w:val="hybridMultilevel"/>
    <w:lvl w:ilvl="0">
      <w:lvlJc w:val="left"/>
      <w:lvlText w:val="(%1)"/>
      <w:numFmt w:val="lowerLetter"/>
      <w:start w:val="1"/>
    </w:lvl>
  </w:abstractNum>
  <w:abstractNum w:abstractNumId="139">
    <w:nsid w:val="78B5E776"/>
    <w:multiLevelType w:val="hybridMultilevel"/>
    <w:lvl w:ilvl="0">
      <w:lvlJc w:val="left"/>
      <w:lvlText w:val="(%1)"/>
      <w:numFmt w:val="lowerLetter"/>
      <w:start w:val="3"/>
    </w:lvl>
  </w:abstractNum>
  <w:abstractNum w:abstractNumId="140">
    <w:nsid w:val="75486E47"/>
    <w:multiLevelType w:val="hybridMultilevel"/>
    <w:lvl w:ilvl="0">
      <w:lvlJc w:val="left"/>
      <w:lvlText w:val="(%1)"/>
      <w:numFmt w:val="lowerLetter"/>
      <w:start w:val="1"/>
    </w:lvl>
  </w:abstractNum>
  <w:abstractNum w:abstractNumId="141">
    <w:nsid w:val="6E534CDE"/>
    <w:multiLevelType w:val="hybridMultilevel"/>
    <w:lvl w:ilvl="0">
      <w:lvlJc w:val="left"/>
      <w:lvlText w:val="(%1)"/>
      <w:numFmt w:val="lowerLetter"/>
      <w:start w:val="1"/>
    </w:lvl>
  </w:abstractNum>
  <w:abstractNum w:abstractNumId="142">
    <w:nsid w:val="1A0DDE32"/>
    <w:multiLevelType w:val="hybridMultilevel"/>
    <w:lvl w:ilvl="0">
      <w:lvlJc w:val="left"/>
      <w:lvlText w:val="(%1)"/>
      <w:numFmt w:val="lowerLetter"/>
      <w:start w:val="1"/>
    </w:lvl>
  </w:abstractNum>
  <w:abstractNum w:abstractNumId="143">
    <w:nsid w:val="65968C1C"/>
    <w:multiLevelType w:val="hybridMultilevel"/>
    <w:lvl w:ilvl="0">
      <w:lvlJc w:val="left"/>
      <w:lvlText w:val="(%1)"/>
      <w:numFmt w:val="lowerLetter"/>
      <w:start w:val="2"/>
    </w:lvl>
  </w:abstractNum>
  <w:abstractNum w:abstractNumId="144">
    <w:nsid w:val="46263DEC"/>
    <w:multiLevelType w:val="hybridMultilevel"/>
    <w:lvl w:ilvl="0">
      <w:lvlJc w:val="left"/>
      <w:lvlText w:val="(%1)"/>
      <w:numFmt w:val="lowerLetter"/>
      <w:start w:val="1"/>
    </w:lvl>
  </w:abstractNum>
  <w:abstractNum w:abstractNumId="145">
    <w:nsid w:val="260D8C4A"/>
    <w:multiLevelType w:val="hybridMultilevel"/>
    <w:lvl w:ilvl="0">
      <w:lvlJc w:val="left"/>
      <w:lvlText w:val="(%1)"/>
      <w:numFmt w:val="lowerLetter"/>
      <w:start w:val="2"/>
    </w:lvl>
  </w:abstractNum>
  <w:abstractNum w:abstractNumId="146">
    <w:nsid w:val="73D4D3C4"/>
    <w:multiLevelType w:val="hybridMultilevel"/>
    <w:lvl w:ilvl="0">
      <w:lvlJc w:val="left"/>
      <w:lvlText w:val="(%1)"/>
      <w:numFmt w:val="lowerLetter"/>
      <w:start w:val="3"/>
    </w:lvl>
  </w:abstractNum>
  <w:abstractNum w:abstractNumId="147">
    <w:nsid w:val="746F2E30"/>
    <w:multiLevelType w:val="hybridMultilevel"/>
    <w:lvl w:ilvl="0">
      <w:lvlJc w:val="left"/>
      <w:lvlText w:val="(%1)"/>
      <w:numFmt w:val="lowerLetter"/>
      <w:start w:val="4"/>
    </w:lvl>
  </w:abstractNum>
  <w:abstractNum w:abstractNumId="148">
    <w:nsid w:val="6FDE8AF6"/>
    <w:multiLevelType w:val="hybridMultilevel"/>
    <w:lvl w:ilvl="0">
      <w:lvlJc w:val="left"/>
      <w:lvlText w:val="(%1)"/>
      <w:numFmt w:val="lowerLetter"/>
      <w:start w:val="5"/>
    </w:lvl>
  </w:abstractNum>
  <w:abstractNum w:abstractNumId="149">
    <w:nsid w:val="3FC32E20"/>
    <w:multiLevelType w:val="hybridMultilevel"/>
    <w:lvl w:ilvl="0">
      <w:lvlJc w:val="left"/>
      <w:lvlText w:val="(%1)"/>
      <w:numFmt w:val="lowerLetter"/>
      <w:start w:val="1"/>
    </w:lvl>
  </w:abstractNum>
  <w:abstractNum w:abstractNumId="150">
    <w:nsid w:val="49C0E823"/>
    <w:multiLevelType w:val="hybridMultilevel"/>
    <w:lvl w:ilvl="0">
      <w:lvlJc w:val="left"/>
      <w:lvlText w:val="(%1)"/>
      <w:numFmt w:val="lowerLetter"/>
      <w:start w:val="1"/>
    </w:lvl>
  </w:abstractNum>
  <w:abstractNum w:abstractNumId="151">
    <w:nsid w:val="14D53685"/>
    <w:multiLevelType w:val="hybridMultilevel"/>
    <w:lvl w:ilvl="0">
      <w:lvlJc w:val="left"/>
      <w:lvlText w:val="%1."/>
      <w:numFmt w:val="decimal"/>
      <w:start w:val="1"/>
    </w:lvl>
    <w:lvl w:ilvl="1">
      <w:lvlJc w:val="left"/>
      <w:lvlText w:val="%2)"/>
      <w:numFmt w:val="lowerLetter"/>
      <w:start w:val="1"/>
    </w:lvl>
  </w:abstractNum>
  <w:abstractNum w:abstractNumId="152">
    <w:nsid w:val="230F856C"/>
    <w:multiLevelType w:val="hybridMultilevel"/>
    <w:lvl w:ilvl="0">
      <w:lvlJc w:val="left"/>
      <w:lvlText w:val="%1."/>
      <w:numFmt w:val="decimal"/>
      <w:start w:val="1"/>
    </w:lvl>
    <w:lvl w:ilvl="1">
      <w:lvlJc w:val="left"/>
      <w:lvlText w:val="%2)"/>
      <w:numFmt w:val="lowerLetter"/>
      <w:start w:val="1"/>
    </w:lvl>
  </w:abstractNum>
  <w:abstractNum w:abstractNumId="153">
    <w:nsid w:val="6EAA85FB"/>
    <w:multiLevelType w:val="hybridMultilevel"/>
    <w:lvl w:ilvl="0">
      <w:lvlJc w:val="left"/>
      <w:lvlText w:val="%1)"/>
      <w:numFmt w:val="decimal"/>
      <w:start w:val="1"/>
    </w:lvl>
  </w:abstractNum>
  <w:abstractNum w:abstractNumId="154">
    <w:nsid w:val="3F06E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pn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png"/><Relationship Id="rId231" Type="http://schemas.openxmlformats.org/officeDocument/2006/relationships/image" Target="media/image223.png"/><Relationship Id="rId232" Type="http://schemas.openxmlformats.org/officeDocument/2006/relationships/image" Target="media/image224.png"/><Relationship Id="rId233" Type="http://schemas.openxmlformats.org/officeDocument/2006/relationships/image" Target="media/image225.png"/><Relationship Id="rId234" Type="http://schemas.openxmlformats.org/officeDocument/2006/relationships/image" Target="media/image226.png"/><Relationship Id="rId235" Type="http://schemas.openxmlformats.org/officeDocument/2006/relationships/image" Target="media/image227.png"/><Relationship Id="rId236" Type="http://schemas.openxmlformats.org/officeDocument/2006/relationships/image" Target="media/image228.png"/><Relationship Id="rId237" Type="http://schemas.openxmlformats.org/officeDocument/2006/relationships/image" Target="media/image229.png"/><Relationship Id="rId238" Type="http://schemas.openxmlformats.org/officeDocument/2006/relationships/image" Target="media/image230.png"/><Relationship Id="rId239" Type="http://schemas.openxmlformats.org/officeDocument/2006/relationships/image" Target="media/image231.png"/><Relationship Id="rId240" Type="http://schemas.openxmlformats.org/officeDocument/2006/relationships/image" Target="media/image232.png"/><Relationship Id="rId241" Type="http://schemas.openxmlformats.org/officeDocument/2006/relationships/image" Target="media/image233.png"/><Relationship Id="rId242" Type="http://schemas.openxmlformats.org/officeDocument/2006/relationships/image" Target="media/image234.png"/><Relationship Id="rId243" Type="http://schemas.openxmlformats.org/officeDocument/2006/relationships/image" Target="media/image235.png"/><Relationship Id="rId244" Type="http://schemas.openxmlformats.org/officeDocument/2006/relationships/image" Target="media/image236.png"/><Relationship Id="rId245" Type="http://schemas.openxmlformats.org/officeDocument/2006/relationships/image" Target="media/image237.png"/><Relationship Id="rId246" Type="http://schemas.openxmlformats.org/officeDocument/2006/relationships/image" Target="media/image238.pn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png"/><Relationship Id="rId263" Type="http://schemas.openxmlformats.org/officeDocument/2006/relationships/image" Target="media/image255.png"/><Relationship Id="rId264" Type="http://schemas.openxmlformats.org/officeDocument/2006/relationships/image" Target="media/image256.png"/><Relationship Id="rId265" Type="http://schemas.openxmlformats.org/officeDocument/2006/relationships/image" Target="media/image257.png"/><Relationship Id="rId266" Type="http://schemas.openxmlformats.org/officeDocument/2006/relationships/image" Target="media/image258.png"/><Relationship Id="rId267" Type="http://schemas.openxmlformats.org/officeDocument/2006/relationships/image" Target="media/image259.png"/><Relationship Id="rId268" Type="http://schemas.openxmlformats.org/officeDocument/2006/relationships/image" Target="media/image260.png"/><Relationship Id="rId269" Type="http://schemas.openxmlformats.org/officeDocument/2006/relationships/image" Target="media/image261.png"/><Relationship Id="rId270" Type="http://schemas.openxmlformats.org/officeDocument/2006/relationships/image" Target="media/image262.png"/><Relationship Id="rId271" Type="http://schemas.openxmlformats.org/officeDocument/2006/relationships/image" Target="media/image263.png"/><Relationship Id="rId272" Type="http://schemas.openxmlformats.org/officeDocument/2006/relationships/image" Target="media/image264.png"/><Relationship Id="rId273" Type="http://schemas.openxmlformats.org/officeDocument/2006/relationships/image" Target="media/image265.png"/><Relationship Id="rId274" Type="http://schemas.openxmlformats.org/officeDocument/2006/relationships/image" Target="media/image266.png"/><Relationship Id="rId275" Type="http://schemas.openxmlformats.org/officeDocument/2006/relationships/image" Target="media/image267.png"/><Relationship Id="rId276" Type="http://schemas.openxmlformats.org/officeDocument/2006/relationships/image" Target="media/image268.png"/><Relationship Id="rId277" Type="http://schemas.openxmlformats.org/officeDocument/2006/relationships/image" Target="media/image269.png"/><Relationship Id="rId278" Type="http://schemas.openxmlformats.org/officeDocument/2006/relationships/image" Target="media/image270.png"/><Relationship Id="rId279" Type="http://schemas.openxmlformats.org/officeDocument/2006/relationships/image" Target="media/image271.png"/><Relationship Id="rId280" Type="http://schemas.openxmlformats.org/officeDocument/2006/relationships/image" Target="media/image272.png"/><Relationship Id="rId281" Type="http://schemas.openxmlformats.org/officeDocument/2006/relationships/image" Target="media/image273.png"/><Relationship Id="rId282" Type="http://schemas.openxmlformats.org/officeDocument/2006/relationships/image" Target="media/image274.png"/><Relationship Id="rId283" Type="http://schemas.openxmlformats.org/officeDocument/2006/relationships/image" Target="media/image275.png"/><Relationship Id="rId284" Type="http://schemas.openxmlformats.org/officeDocument/2006/relationships/image" Target="media/image276.png"/><Relationship Id="rId285" Type="http://schemas.openxmlformats.org/officeDocument/2006/relationships/image" Target="media/image277.png"/><Relationship Id="rId286" Type="http://schemas.openxmlformats.org/officeDocument/2006/relationships/image" Target="media/image278.png"/><Relationship Id="rId287" Type="http://schemas.openxmlformats.org/officeDocument/2006/relationships/image" Target="media/image279.png"/><Relationship Id="rId288" Type="http://schemas.openxmlformats.org/officeDocument/2006/relationships/image" Target="media/image280.png"/><Relationship Id="rId289" Type="http://schemas.openxmlformats.org/officeDocument/2006/relationships/image" Target="media/image281.png"/><Relationship Id="rId290" Type="http://schemas.openxmlformats.org/officeDocument/2006/relationships/image" Target="media/image282.png"/><Relationship Id="rId291" Type="http://schemas.openxmlformats.org/officeDocument/2006/relationships/image" Target="media/image283.png"/><Relationship Id="rId292" Type="http://schemas.openxmlformats.org/officeDocument/2006/relationships/image" Target="media/image284.png"/><Relationship Id="rId293" Type="http://schemas.openxmlformats.org/officeDocument/2006/relationships/image" Target="media/image285.png"/><Relationship Id="rId294" Type="http://schemas.openxmlformats.org/officeDocument/2006/relationships/image" Target="media/image286.png"/><Relationship Id="rId295" Type="http://schemas.openxmlformats.org/officeDocument/2006/relationships/image" Target="media/image287.png"/><Relationship Id="rId296" Type="http://schemas.openxmlformats.org/officeDocument/2006/relationships/image" Target="media/image288.png"/><Relationship Id="rId297" Type="http://schemas.openxmlformats.org/officeDocument/2006/relationships/image" Target="media/image289.png"/><Relationship Id="rId298" Type="http://schemas.openxmlformats.org/officeDocument/2006/relationships/image" Target="media/image290.png"/><Relationship Id="rId299" Type="http://schemas.openxmlformats.org/officeDocument/2006/relationships/image" Target="media/image291.png"/><Relationship Id="rId300" Type="http://schemas.openxmlformats.org/officeDocument/2006/relationships/image" Target="media/image292.png"/><Relationship Id="rId301" Type="http://schemas.openxmlformats.org/officeDocument/2006/relationships/image" Target="media/image293.png"/><Relationship Id="rId302" Type="http://schemas.openxmlformats.org/officeDocument/2006/relationships/image" Target="media/image294.png"/><Relationship Id="rId303" Type="http://schemas.openxmlformats.org/officeDocument/2006/relationships/image" Target="media/image295.png"/><Relationship Id="rId304" Type="http://schemas.openxmlformats.org/officeDocument/2006/relationships/image" Target="media/image296.png"/><Relationship Id="rId305" Type="http://schemas.openxmlformats.org/officeDocument/2006/relationships/image" Target="media/image297.png"/><Relationship Id="rId306" Type="http://schemas.openxmlformats.org/officeDocument/2006/relationships/image" Target="media/image298.png"/><Relationship Id="rId307" Type="http://schemas.openxmlformats.org/officeDocument/2006/relationships/image" Target="media/image299.png"/><Relationship Id="rId308" Type="http://schemas.openxmlformats.org/officeDocument/2006/relationships/image" Target="media/image300.png"/><Relationship Id="rId309" Type="http://schemas.openxmlformats.org/officeDocument/2006/relationships/image" Target="media/image301.png"/><Relationship Id="rId310" Type="http://schemas.openxmlformats.org/officeDocument/2006/relationships/image" Target="media/image302.png"/><Relationship Id="rId311" Type="http://schemas.openxmlformats.org/officeDocument/2006/relationships/image" Target="media/image303.png"/><Relationship Id="rId120" Type="http://schemas.openxmlformats.org/officeDocument/2006/relationships/hyperlink" Target="https://www.sec.gov/Archives/edgar/data/1579428/000155837020010231/axsm-20200630x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2020-11-05T17:14:11Z</dcterms:created>
  <dcterms:modified xsi:type="dcterms:W3CDTF">2020-11-05T17:14:11Z</dcterms:modified>
</cp:coreProperties>
</file>