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0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70485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10-Q</w:t>
      </w:r>
    </w:p>
    <w:p>
      <w:pPr>
        <w:spacing w:after="0" w:line="91" w:lineRule="exact"/>
        <w:rPr>
          <w:sz w:val="24"/>
          <w:szCs w:val="24"/>
          <w:color w:val="auto"/>
        </w:rPr>
      </w:pPr>
    </w:p>
    <w:p>
      <w:pPr>
        <w:ind w:left="1600" w:hanging="187"/>
        <w:spacing w:after="0"/>
        <w:tabs>
          <w:tab w:leader="none" w:pos="160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72" w:lineRule="exact"/>
        <w:rPr>
          <w:rFonts w:ascii="MS PGothic" w:cs="MS PGothic" w:eastAsia="MS PGothic" w:hAnsi="MS PGothic"/>
          <w:sz w:val="16"/>
          <w:szCs w:val="16"/>
          <w:color w:val="auto"/>
          <w:highlight w:val="black"/>
        </w:rPr>
      </w:pPr>
    </w:p>
    <w:p>
      <w:pPr>
        <w:ind w:left="3980"/>
        <w:spacing w:after="0"/>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For the quarterly period ended September 30, 2021</w:t>
      </w:r>
    </w:p>
    <w:p>
      <w:pPr>
        <w:spacing w:after="0" w:line="329" w:lineRule="exact"/>
        <w:rPr>
          <w:sz w:val="24"/>
          <w:szCs w:val="24"/>
          <w:color w:val="auto"/>
        </w:rPr>
      </w:pPr>
    </w:p>
    <w:p>
      <w:pPr>
        <w:jc w:val="center"/>
        <w:ind w:left="3800" w:right="1400" w:hanging="2393"/>
        <w:spacing w:after="0" w:line="334" w:lineRule="auto"/>
        <w:tabs>
          <w:tab w:leader="none" w:pos="1595"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 For the transition period from ________ to ________</w:t>
      </w:r>
    </w:p>
    <w:p>
      <w:pPr>
        <w:ind w:left="4360"/>
        <w:spacing w:after="0"/>
        <w:rPr>
          <w:rFonts w:ascii="MS PGothic" w:cs="MS PGothic" w:eastAsia="MS PGothic" w:hAnsi="MS PGothic"/>
          <w:sz w:val="16"/>
          <w:szCs w:val="16"/>
          <w:color w:val="auto"/>
        </w:rPr>
      </w:pPr>
      <w:r>
        <w:rPr>
          <w:rFonts w:ascii="Arial" w:cs="Arial" w:eastAsia="Arial" w:hAnsi="Arial"/>
          <w:sz w:val="16"/>
          <w:szCs w:val="16"/>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71755</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AXSOME THERAPEUTICS, INC.</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91" w:lineRule="exact"/>
        <w:rPr>
          <w:sz w:val="24"/>
          <w:szCs w:val="24"/>
          <w:color w:val="auto"/>
        </w:rPr>
      </w:pPr>
    </w:p>
    <w:tbl>
      <w:tblPr>
        <w:tblLayout w:type="fixed"/>
        <w:tblInd w:w="1100" w:type="dxa"/>
        <w:tblCellMar>
          <w:top w:w="0" w:type="dxa"/>
          <w:left w:w="0" w:type="dxa"/>
          <w:bottom w:w="0" w:type="dxa"/>
          <w:right w:w="0" w:type="dxa"/>
        </w:tblCellMar>
      </w:tblPr>
      <w:tr>
        <w:trPr>
          <w:trHeight w:val="210"/>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Delaware</w:t>
            </w:r>
          </w:p>
        </w:tc>
        <w:tc>
          <w:tcPr>
            <w:tcW w:w="3520" w:type="dxa"/>
            <w:vAlign w:val="bottom"/>
          </w:tcPr>
          <w:p>
            <w:pPr>
              <w:jc w:val="right"/>
              <w:ind w:right="584"/>
              <w:spacing w:after="0"/>
              <w:rPr>
                <w:sz w:val="20"/>
                <w:szCs w:val="20"/>
                <w:color w:val="auto"/>
              </w:rPr>
            </w:pPr>
            <w:r>
              <w:rPr>
                <w:rFonts w:ascii="Arial" w:cs="Arial" w:eastAsia="Arial" w:hAnsi="Arial"/>
                <w:sz w:val="16"/>
                <w:szCs w:val="16"/>
                <w:b w:val="1"/>
                <w:bCs w:val="1"/>
                <w:color w:val="auto"/>
              </w:rPr>
              <w:t>45-4241907</w:t>
            </w:r>
          </w:p>
        </w:tc>
      </w:tr>
      <w:tr>
        <w:trPr>
          <w:trHeight w:val="210"/>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7"/>
              </w:rPr>
              <w:t>(I.R.S. Employer Identification No.)</w:t>
            </w:r>
          </w:p>
        </w:tc>
      </w:tr>
      <w:tr>
        <w:trPr>
          <w:trHeight w:val="282"/>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3"/>
              </w:rPr>
              <w:t>22 Cortlandt Street</w:t>
            </w:r>
          </w:p>
        </w:tc>
        <w:tc>
          <w:tcPr>
            <w:tcW w:w="3520" w:type="dxa"/>
            <w:vAlign w:val="bottom"/>
          </w:tcPr>
          <w:p>
            <w:pPr>
              <w:spacing w:after="0"/>
              <w:rPr>
                <w:sz w:val="24"/>
                <w:szCs w:val="24"/>
                <w:color w:val="auto"/>
              </w:rPr>
            </w:pPr>
          </w:p>
        </w:tc>
      </w:tr>
      <w:tr>
        <w:trPr>
          <w:trHeight w:val="203"/>
        </w:trPr>
        <w:tc>
          <w:tcPr>
            <w:tcW w:w="4860" w:type="dxa"/>
            <w:vAlign w:val="bottom"/>
          </w:tcPr>
          <w:p>
            <w:pPr>
              <w:jc w:val="center"/>
              <w:ind w:right="1342"/>
              <w:spacing w:after="0"/>
              <w:rPr>
                <w:sz w:val="20"/>
                <w:szCs w:val="20"/>
                <w:color w:val="auto"/>
              </w:rPr>
            </w:pPr>
            <w:r>
              <w:rPr>
                <w:rFonts w:ascii="Arial" w:cs="Arial" w:eastAsia="Arial" w:hAnsi="Arial"/>
                <w:sz w:val="16"/>
                <w:szCs w:val="16"/>
                <w:b w:val="1"/>
                <w:bCs w:val="1"/>
                <w:color w:val="auto"/>
                <w:w w:val="93"/>
              </w:rPr>
              <w:t>16th Floor</w:t>
            </w:r>
          </w:p>
        </w:tc>
        <w:tc>
          <w:tcPr>
            <w:tcW w:w="3520" w:type="dxa"/>
            <w:vAlign w:val="bottom"/>
          </w:tcPr>
          <w:p>
            <w:pPr>
              <w:spacing w:after="0"/>
              <w:rPr>
                <w:sz w:val="17"/>
                <w:szCs w:val="17"/>
                <w:color w:val="auto"/>
              </w:rPr>
            </w:pPr>
          </w:p>
        </w:tc>
      </w:tr>
      <w:tr>
        <w:trPr>
          <w:trHeight w:val="210"/>
        </w:trPr>
        <w:tc>
          <w:tcPr>
            <w:tcW w:w="4860" w:type="dxa"/>
            <w:vAlign w:val="bottom"/>
          </w:tcPr>
          <w:p>
            <w:pPr>
              <w:jc w:val="center"/>
              <w:ind w:right="1362"/>
              <w:spacing w:after="0"/>
              <w:rPr>
                <w:sz w:val="20"/>
                <w:szCs w:val="20"/>
                <w:color w:val="auto"/>
              </w:rPr>
            </w:pPr>
            <w:r>
              <w:rPr>
                <w:rFonts w:ascii="Arial" w:cs="Arial" w:eastAsia="Arial" w:hAnsi="Arial"/>
                <w:sz w:val="16"/>
                <w:szCs w:val="16"/>
                <w:b w:val="1"/>
                <w:bCs w:val="1"/>
                <w:color w:val="auto"/>
                <w:w w:val="94"/>
              </w:rPr>
              <w:t>New York, New York</w:t>
            </w:r>
          </w:p>
        </w:tc>
        <w:tc>
          <w:tcPr>
            <w:tcW w:w="3520" w:type="dxa"/>
            <w:vAlign w:val="bottom"/>
          </w:tcPr>
          <w:p>
            <w:pPr>
              <w:jc w:val="right"/>
              <w:ind w:right="764"/>
              <w:spacing w:after="0"/>
              <w:rPr>
                <w:sz w:val="20"/>
                <w:szCs w:val="20"/>
                <w:color w:val="auto"/>
              </w:rPr>
            </w:pPr>
            <w:r>
              <w:rPr>
                <w:rFonts w:ascii="Arial" w:cs="Arial" w:eastAsia="Arial" w:hAnsi="Arial"/>
                <w:sz w:val="16"/>
                <w:szCs w:val="16"/>
                <w:b w:val="1"/>
                <w:bCs w:val="1"/>
                <w:color w:val="auto"/>
              </w:rPr>
              <w:t>10007</w:t>
            </w:r>
          </w:p>
        </w:tc>
      </w:tr>
      <w:tr>
        <w:trPr>
          <w:trHeight w:val="210"/>
        </w:trPr>
        <w:tc>
          <w:tcPr>
            <w:tcW w:w="4860" w:type="dxa"/>
            <w:vAlign w:val="bottom"/>
          </w:tcPr>
          <w:p>
            <w:pPr>
              <w:jc w:val="center"/>
              <w:ind w:right="1342"/>
              <w:spacing w:after="0"/>
              <w:rPr>
                <w:sz w:val="20"/>
                <w:szCs w:val="20"/>
                <w:color w:val="auto"/>
              </w:rPr>
            </w:pPr>
            <w:r>
              <w:rPr>
                <w:rFonts w:ascii="Arial" w:cs="Arial" w:eastAsia="Arial" w:hAnsi="Arial"/>
                <w:sz w:val="14"/>
                <w:szCs w:val="14"/>
                <w:color w:val="auto"/>
                <w:w w:val="95"/>
              </w:rPr>
              <w:t>(Address of principal executive offices)</w:t>
            </w:r>
          </w:p>
        </w:tc>
        <w:tc>
          <w:tcPr>
            <w:tcW w:w="3520" w:type="dxa"/>
            <w:vAlign w:val="bottom"/>
          </w:tcPr>
          <w:p>
            <w:pPr>
              <w:jc w:val="center"/>
              <w:ind w:left="1344"/>
              <w:spacing w:after="0"/>
              <w:rPr>
                <w:sz w:val="20"/>
                <w:szCs w:val="20"/>
                <w:color w:val="auto"/>
              </w:rPr>
            </w:pPr>
            <w:r>
              <w:rPr>
                <w:rFonts w:ascii="Arial" w:cs="Arial" w:eastAsia="Arial" w:hAnsi="Arial"/>
                <w:sz w:val="14"/>
                <w:szCs w:val="14"/>
                <w:color w:val="auto"/>
                <w:w w:val="93"/>
              </w:rPr>
              <w:t>(Zip Code)</w:t>
            </w:r>
          </w:p>
        </w:tc>
      </w:tr>
    </w:tbl>
    <w:p>
      <w:pPr>
        <w:spacing w:after="0" w:line="6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Registrant’s telephone number, including area code: (212) 332-3241</w:t>
      </w:r>
    </w:p>
    <w:p>
      <w:pPr>
        <w:spacing w:after="0" w:line="81" w:lineRule="exact"/>
        <w:rPr>
          <w:sz w:val="24"/>
          <w:szCs w:val="24"/>
          <w:color w:val="auto"/>
        </w:rPr>
      </w:pPr>
    </w:p>
    <w:p>
      <w:pPr>
        <w:ind w:right="18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22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640"/>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2060" w:type="dxa"/>
            <w:vAlign w:val="bottom"/>
          </w:tcPr>
          <w:p>
            <w:pPr>
              <w:spacing w:after="0"/>
              <w:rPr>
                <w:sz w:val="20"/>
                <w:szCs w:val="20"/>
                <w:color w:val="auto"/>
              </w:rPr>
            </w:pPr>
            <w:r>
              <w:rPr>
                <w:rFonts w:ascii="Arial" w:cs="Arial" w:eastAsia="Arial" w:hAnsi="Arial"/>
                <w:sz w:val="14"/>
                <w:szCs w:val="14"/>
                <w:color w:val="auto"/>
              </w:rPr>
              <w:t>Non-accelerated filer</w:t>
            </w:r>
          </w:p>
        </w:tc>
        <w:tc>
          <w:tcPr>
            <w:tcW w:w="2220" w:type="dxa"/>
            <w:vAlign w:val="bottom"/>
          </w:tcPr>
          <w:p>
            <w:pPr>
              <w:ind w:left="740"/>
              <w:spacing w:after="0" w:line="141" w:lineRule="exact"/>
              <w:rPr>
                <w:sz w:val="20"/>
                <w:szCs w:val="20"/>
                <w:color w:val="auto"/>
              </w:rPr>
            </w:pPr>
            <w:r>
              <w:rPr>
                <w:rFonts w:ascii="MS PGothic" w:cs="MS PGothic" w:eastAsia="MS PGothic" w:hAnsi="MS PGothic"/>
                <w:sz w:val="14"/>
                <w:szCs w:val="14"/>
                <w:color w:val="auto"/>
              </w:rPr>
              <w:t>☐</w:t>
            </w:r>
          </w:p>
        </w:tc>
        <w:tc>
          <w:tcPr>
            <w:tcW w:w="352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06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3520" w:type="dxa"/>
            <w:vAlign w:val="bottom"/>
          </w:tcPr>
          <w:p>
            <w:pPr>
              <w:ind w:left="1340"/>
              <w:spacing w:after="0"/>
              <w:rPr>
                <w:sz w:val="20"/>
                <w:szCs w:val="20"/>
                <w:color w:val="auto"/>
              </w:rPr>
            </w:pPr>
            <w:r>
              <w:rPr>
                <w:rFonts w:ascii="Arial" w:cs="Arial" w:eastAsia="Arial" w:hAnsi="Arial"/>
                <w:sz w:val="14"/>
                <w:szCs w:val="14"/>
                <w:color w:val="auto"/>
              </w:rPr>
              <w:t>Emerging growth company</w:t>
            </w:r>
          </w:p>
        </w:tc>
        <w:tc>
          <w:tcPr>
            <w:tcW w:w="760" w:type="dxa"/>
            <w:vAlign w:val="bottom"/>
          </w:tcPr>
          <w:p>
            <w:pPr>
              <w:ind w:left="62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58" w:lineRule="exact"/>
        <w:rPr>
          <w:sz w:val="24"/>
          <w:szCs w:val="24"/>
          <w:color w:val="auto"/>
        </w:rPr>
      </w:pPr>
    </w:p>
    <w:p>
      <w:pPr>
        <w:ind w:right="560"/>
        <w:spacing w:after="0" w:line="18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Title of each class:</w:t>
            </w:r>
          </w:p>
        </w:tc>
        <w:tc>
          <w:tcPr>
            <w:tcW w:w="2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Trading Symbol(s)</w:t>
            </w:r>
          </w:p>
        </w:tc>
        <w:tc>
          <w:tcPr>
            <w:tcW w:w="20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Name of each exchange on which registered:</w:t>
            </w:r>
          </w:p>
        </w:tc>
      </w:tr>
      <w:tr>
        <w:trPr>
          <w:trHeight w:val="190"/>
        </w:trPr>
        <w:tc>
          <w:tcPr>
            <w:tcW w:w="3620" w:type="dxa"/>
            <w:vAlign w:val="bottom"/>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22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rPr>
              <w:t>AXSM</w:t>
            </w:r>
          </w:p>
        </w:tc>
        <w:tc>
          <w:tcPr>
            <w:tcW w:w="200" w:type="dxa"/>
            <w:vAlign w:val="bottom"/>
          </w:tcPr>
          <w:p>
            <w:pPr>
              <w:spacing w:after="0"/>
              <w:rPr>
                <w:sz w:val="16"/>
                <w:szCs w:val="16"/>
                <w:color w:val="auto"/>
              </w:rPr>
            </w:pPr>
          </w:p>
        </w:tc>
        <w:tc>
          <w:tcPr>
            <w:tcW w:w="3600" w:type="dxa"/>
            <w:vAlign w:val="bottom"/>
          </w:tcPr>
          <w:p>
            <w:pPr>
              <w:jc w:val="center"/>
              <w:spacing w:after="0"/>
              <w:rPr>
                <w:sz w:val="20"/>
                <w:szCs w:val="20"/>
                <w:color w:val="auto"/>
              </w:rPr>
            </w:pPr>
            <w:r>
              <w:rPr>
                <w:rFonts w:ascii="Arial" w:cs="Arial" w:eastAsia="Arial" w:hAnsi="Arial"/>
                <w:sz w:val="14"/>
                <w:szCs w:val="14"/>
                <w:color w:val="auto"/>
                <w:w w:val="93"/>
              </w:rPr>
              <w:t>The Nasdaq Global Market</w:t>
            </w:r>
          </w:p>
        </w:tc>
      </w:tr>
    </w:tbl>
    <w:p>
      <w:pPr>
        <w:spacing w:after="0" w:line="182" w:lineRule="exact"/>
        <w:rPr>
          <w:sz w:val="24"/>
          <w:szCs w:val="24"/>
          <w:color w:val="auto"/>
        </w:rPr>
      </w:pPr>
    </w:p>
    <w:p>
      <w:pPr>
        <w:spacing w:after="0"/>
        <w:rPr>
          <w:sz w:val="20"/>
          <w:szCs w:val="20"/>
          <w:color w:val="auto"/>
        </w:rPr>
      </w:pPr>
      <w:r>
        <w:rPr>
          <w:rFonts w:ascii="Arial" w:cs="Arial" w:eastAsia="Arial" w:hAnsi="Arial"/>
          <w:sz w:val="14"/>
          <w:szCs w:val="14"/>
          <w:color w:val="auto"/>
        </w:rPr>
        <w:t>There were 37,691,733 shares of the registrant’s common stock, $0.0001 par value, outstanding as of November 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419735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QUARTERLY REPORT ON FORM 10-Q</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QUARTER ENDED SEPTEMBER 30, 2021</w:t>
      </w: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560" w:type="dxa"/>
            <w:vAlign w:val="bottom"/>
            <w:gridSpan w:val="4"/>
          </w:tcPr>
          <w:p>
            <w:pPr>
              <w:ind w:left="1820"/>
              <w:spacing w:after="0"/>
              <w:rPr>
                <w:sz w:val="20"/>
                <w:szCs w:val="20"/>
                <w:color w:val="auto"/>
              </w:rPr>
            </w:pPr>
            <w:r>
              <w:rPr>
                <w:rFonts w:ascii="Arial" w:cs="Arial" w:eastAsia="Arial" w:hAnsi="Arial"/>
                <w:sz w:val="16"/>
                <w:szCs w:val="16"/>
                <w:b w:val="1"/>
                <w:bCs w:val="1"/>
                <w:color w:val="auto"/>
              </w:rPr>
              <w:t>TABLE OF CONTENTS</w:t>
            </w:r>
          </w:p>
        </w:tc>
        <w:tc>
          <w:tcPr>
            <w:tcW w:w="740" w:type="dxa"/>
            <w:vAlign w:val="bottom"/>
          </w:tcPr>
          <w:p>
            <w:pPr>
              <w:spacing w:after="0"/>
              <w:rPr>
                <w:sz w:val="18"/>
                <w:szCs w:val="18"/>
                <w:color w:val="auto"/>
              </w:rPr>
            </w:pPr>
          </w:p>
        </w:tc>
      </w:tr>
      <w:tr>
        <w:trPr>
          <w:trHeight w:val="499"/>
        </w:trPr>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Page</w:t>
            </w:r>
          </w:p>
        </w:tc>
      </w:tr>
      <w:tr>
        <w:trPr>
          <w:trHeight w:val="176"/>
        </w:trPr>
        <w:tc>
          <w:tcPr>
            <w:tcW w:w="5200" w:type="dxa"/>
            <w:vAlign w:val="bottom"/>
            <w:tcBorders>
              <w:bottom w:val="single" w:sz="8" w:color="0563C1"/>
            </w:tcBorders>
            <w:gridSpan w:val="11"/>
          </w:tcPr>
          <w:p>
            <w:pPr>
              <w:spacing w:after="0" w:line="175" w:lineRule="exact"/>
              <w:rPr>
                <w:rFonts w:ascii="Arial" w:cs="Arial" w:eastAsia="Arial" w:hAnsi="Arial"/>
                <w:sz w:val="16"/>
                <w:szCs w:val="16"/>
                <w:color w:val="0563C1"/>
                <w:w w:val="97"/>
              </w:rPr>
            </w:pPr>
            <w:hyperlink w:anchor="page3">
              <w:r>
                <w:rPr>
                  <w:rFonts w:ascii="Arial" w:cs="Arial" w:eastAsia="Arial" w:hAnsi="Arial"/>
                  <w:sz w:val="16"/>
                  <w:szCs w:val="16"/>
                  <w:color w:val="0563C1"/>
                  <w:w w:val="97"/>
                </w:rPr>
                <w:t>CAUTIONARY NOTE REGARDING FORWARD LOOKING STATEMENTS</w:t>
              </w:r>
            </w:hyperlink>
          </w:p>
        </w:tc>
        <w:tc>
          <w:tcPr>
            <w:tcW w:w="5280" w:type="dxa"/>
            <w:vAlign w:val="bottom"/>
            <w:gridSpan w:val="2"/>
          </w:tcPr>
          <w:p>
            <w:pPr>
              <w:spacing w:after="0"/>
              <w:rPr>
                <w:sz w:val="15"/>
                <w:szCs w:val="15"/>
                <w:color w:val="auto"/>
              </w:rPr>
            </w:pPr>
          </w:p>
        </w:tc>
        <w:tc>
          <w:tcPr>
            <w:tcW w:w="740" w:type="dxa"/>
            <w:vAlign w:val="bottom"/>
          </w:tcPr>
          <w:p>
            <w:pPr>
              <w:jc w:val="right"/>
              <w:spacing w:after="0" w:line="175" w:lineRule="exact"/>
              <w:rPr>
                <w:sz w:val="20"/>
                <w:szCs w:val="20"/>
                <w:color w:val="auto"/>
              </w:rPr>
            </w:pPr>
            <w:r>
              <w:rPr>
                <w:rFonts w:ascii="Arial" w:cs="Arial" w:eastAsia="Arial" w:hAnsi="Arial"/>
                <w:sz w:val="16"/>
                <w:szCs w:val="16"/>
                <w:color w:val="auto"/>
              </w:rPr>
              <w:t>3</w:t>
            </w:r>
          </w:p>
        </w:tc>
      </w:tr>
      <w:tr>
        <w:trPr>
          <w:trHeight w:val="209"/>
        </w:trPr>
        <w:tc>
          <w:tcPr>
            <w:tcW w:w="10480" w:type="dxa"/>
            <w:vAlign w:val="bottom"/>
            <w:gridSpan w:val="13"/>
          </w:tcPr>
          <w:p>
            <w:pPr>
              <w:spacing w:after="0"/>
              <w:rPr>
                <w:rFonts w:ascii="Arial" w:cs="Arial" w:eastAsia="Arial" w:hAnsi="Arial"/>
                <w:sz w:val="16"/>
                <w:szCs w:val="16"/>
                <w:b w:val="1"/>
                <w:bCs w:val="1"/>
                <w:color w:val="0563C1"/>
              </w:rPr>
            </w:pPr>
            <w:hyperlink w:anchor="page4">
              <w:r>
                <w:rPr>
                  <w:rFonts w:ascii="Arial" w:cs="Arial" w:eastAsia="Arial" w:hAnsi="Arial"/>
                  <w:sz w:val="16"/>
                  <w:szCs w:val="16"/>
                  <w:b w:val="1"/>
                  <w:bCs w:val="1"/>
                  <w:color w:val="0563C1"/>
                </w:rPr>
                <w:t>PART I — FINANCIAL INFORMATION</w:t>
              </w:r>
            </w:hyperlink>
          </w:p>
        </w:tc>
        <w:tc>
          <w:tcPr>
            <w:tcW w:w="740" w:type="dxa"/>
            <w:vAlign w:val="bottom"/>
          </w:tcPr>
          <w:p>
            <w:pPr>
              <w:spacing w:after="0"/>
              <w:rPr>
                <w:sz w:val="18"/>
                <w:szCs w:val="18"/>
                <w:color w:val="auto"/>
              </w:rPr>
            </w:pPr>
          </w:p>
        </w:tc>
      </w:tr>
      <w:tr>
        <w:trPr>
          <w:trHeight w:val="210"/>
        </w:trPr>
        <w:tc>
          <w:tcPr>
            <w:tcW w:w="920" w:type="dxa"/>
            <w:vAlign w:val="bottom"/>
            <w:tcBorders>
              <w:top w:val="single" w:sz="8" w:color="0563C1"/>
            </w:tcBorders>
            <w:gridSpan w:val="2"/>
          </w:tcPr>
          <w:p>
            <w:pPr>
              <w:spacing w:after="0"/>
              <w:rPr>
                <w:sz w:val="20"/>
                <w:szCs w:val="20"/>
                <w:color w:val="auto"/>
              </w:rPr>
            </w:pPr>
            <w:r>
              <w:rPr>
                <w:rFonts w:ascii="Arial" w:cs="Arial" w:eastAsia="Arial" w:hAnsi="Arial"/>
                <w:sz w:val="16"/>
                <w:szCs w:val="16"/>
                <w:color w:val="auto"/>
              </w:rPr>
              <w:t>ITEM 1</w:t>
            </w:r>
          </w:p>
        </w:tc>
        <w:tc>
          <w:tcPr>
            <w:tcW w:w="1360" w:type="dxa"/>
            <w:vAlign w:val="bottom"/>
            <w:tcBorders>
              <w:top w:val="single" w:sz="8" w:color="0563C1"/>
              <w:bottom w:val="single" w:sz="8" w:color="0563C1"/>
            </w:tcBorders>
            <w:gridSpan w:val="4"/>
          </w:tcPr>
          <w:p>
            <w:pPr>
              <w:spacing w:after="0"/>
              <w:rPr>
                <w:rFonts w:ascii="Arial" w:cs="Arial" w:eastAsia="Arial" w:hAnsi="Arial"/>
                <w:sz w:val="16"/>
                <w:szCs w:val="16"/>
                <w:color w:val="0563C1"/>
                <w:w w:val="89"/>
              </w:rPr>
            </w:pPr>
            <w:hyperlink w:anchor="page4">
              <w:r>
                <w:rPr>
                  <w:rFonts w:ascii="Arial" w:cs="Arial" w:eastAsia="Arial" w:hAnsi="Arial"/>
                  <w:sz w:val="16"/>
                  <w:szCs w:val="16"/>
                  <w:color w:val="0563C1"/>
                  <w:w w:val="89"/>
                </w:rPr>
                <w:t>Financial Statements</w:t>
              </w:r>
            </w:hyperlink>
          </w:p>
        </w:tc>
        <w:tc>
          <w:tcPr>
            <w:tcW w:w="640" w:type="dxa"/>
            <w:vAlign w:val="bottom"/>
            <w:tcBorders>
              <w:top w:val="single" w:sz="8" w:color="0563C1"/>
            </w:tcBorders>
            <w:gridSpan w:val="3"/>
          </w:tcPr>
          <w:p>
            <w:pPr>
              <w:spacing w:after="0"/>
              <w:rPr>
                <w:sz w:val="18"/>
                <w:szCs w:val="18"/>
                <w:color w:val="auto"/>
              </w:rPr>
            </w:pPr>
          </w:p>
        </w:tc>
        <w:tc>
          <w:tcPr>
            <w:tcW w:w="7560" w:type="dxa"/>
            <w:vAlign w:val="bottom"/>
            <w:gridSpan w:val="4"/>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09"/>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0563C1"/>
            </w:tcBorders>
            <w:gridSpan w:val="10"/>
          </w:tcPr>
          <w:p>
            <w:pPr>
              <w:spacing w:after="0"/>
              <w:rPr>
                <w:rFonts w:ascii="Arial" w:cs="Arial" w:eastAsia="Arial" w:hAnsi="Arial"/>
                <w:sz w:val="16"/>
                <w:szCs w:val="16"/>
                <w:color w:val="0563C1"/>
                <w:w w:val="92"/>
              </w:rPr>
            </w:pPr>
            <w:hyperlink w:anchor="page21">
              <w:r>
                <w:rPr>
                  <w:rFonts w:ascii="Arial" w:cs="Arial" w:eastAsia="Arial" w:hAnsi="Arial"/>
                  <w:sz w:val="16"/>
                  <w:szCs w:val="16"/>
                  <w:color w:val="0563C1"/>
                  <w:w w:val="92"/>
                </w:rPr>
                <w:t>Management’s Discussion and Analysis of Financial Condition and Results of Operations</w:t>
              </w:r>
            </w:hyperlink>
          </w:p>
        </w:tc>
        <w:tc>
          <w:tcPr>
            <w:tcW w:w="3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210"/>
        </w:trPr>
        <w:tc>
          <w:tcPr>
            <w:tcW w:w="9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9560" w:type="dxa"/>
            <w:vAlign w:val="bottom"/>
            <w:gridSpan w:val="11"/>
          </w:tcPr>
          <w:p>
            <w:pPr>
              <w:spacing w:after="0"/>
              <w:rPr>
                <w:rFonts w:ascii="Arial" w:cs="Arial" w:eastAsia="Arial" w:hAnsi="Arial"/>
                <w:sz w:val="16"/>
                <w:szCs w:val="16"/>
                <w:color w:val="0563C1"/>
              </w:rPr>
            </w:pPr>
            <w:hyperlink w:anchor="page35">
              <w:r>
                <w:rPr>
                  <w:rFonts w:ascii="Arial" w:cs="Arial" w:eastAsia="Arial" w:hAnsi="Arial"/>
                  <w:sz w:val="16"/>
                  <w:szCs w:val="16"/>
                  <w:color w:val="0563C1"/>
                </w:rPr>
                <w:t>Quantitative and Qualitative Disclosure About Market Risk</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9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1600" w:type="dxa"/>
            <w:vAlign w:val="bottom"/>
            <w:tcBorders>
              <w:top w:val="single" w:sz="8" w:color="0563C1"/>
              <w:bottom w:val="single" w:sz="8" w:color="0563C1"/>
            </w:tcBorders>
            <w:gridSpan w:val="5"/>
          </w:tcPr>
          <w:p>
            <w:pPr>
              <w:spacing w:after="0"/>
              <w:rPr>
                <w:rFonts w:ascii="Arial" w:cs="Arial" w:eastAsia="Arial" w:hAnsi="Arial"/>
                <w:sz w:val="16"/>
                <w:szCs w:val="16"/>
                <w:color w:val="0563C1"/>
                <w:w w:val="89"/>
              </w:rPr>
            </w:pPr>
            <w:hyperlink w:anchor="page35">
              <w:r>
                <w:rPr>
                  <w:rFonts w:ascii="Arial" w:cs="Arial" w:eastAsia="Arial" w:hAnsi="Arial"/>
                  <w:sz w:val="16"/>
                  <w:szCs w:val="16"/>
                  <w:color w:val="0563C1"/>
                  <w:w w:val="89"/>
                </w:rPr>
                <w:t>Controls and Procedures</w:t>
              </w:r>
            </w:hyperlink>
          </w:p>
        </w:tc>
        <w:tc>
          <w:tcPr>
            <w:tcW w:w="2260" w:type="dxa"/>
            <w:vAlign w:val="bottom"/>
            <w:tcBorders>
              <w:top w:val="single" w:sz="8" w:color="0563C1"/>
            </w:tcBorders>
            <w:gridSpan w:val="3"/>
          </w:tcPr>
          <w:p>
            <w:pPr>
              <w:spacing w:after="0"/>
              <w:rPr>
                <w:sz w:val="18"/>
                <w:szCs w:val="18"/>
                <w:color w:val="auto"/>
              </w:rPr>
            </w:pPr>
          </w:p>
        </w:tc>
        <w:tc>
          <w:tcPr>
            <w:tcW w:w="5700" w:type="dxa"/>
            <w:vAlign w:val="bottom"/>
            <w:gridSpan w:val="3"/>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2660" w:type="dxa"/>
            <w:vAlign w:val="bottom"/>
            <w:tcBorders>
              <w:bottom w:val="single" w:sz="8" w:color="0563C1"/>
            </w:tcBorders>
            <w:gridSpan w:val="8"/>
          </w:tcPr>
          <w:p>
            <w:pPr>
              <w:spacing w:after="0"/>
              <w:rPr>
                <w:rFonts w:ascii="Arial" w:cs="Arial" w:eastAsia="Arial" w:hAnsi="Arial"/>
                <w:sz w:val="16"/>
                <w:szCs w:val="16"/>
                <w:b w:val="1"/>
                <w:bCs w:val="1"/>
                <w:color w:val="0563C1"/>
              </w:rPr>
            </w:pPr>
            <w:hyperlink w:anchor="page36">
              <w:r>
                <w:rPr>
                  <w:rFonts w:ascii="Arial" w:cs="Arial" w:eastAsia="Arial" w:hAnsi="Arial"/>
                  <w:sz w:val="16"/>
                  <w:szCs w:val="16"/>
                  <w:b w:val="1"/>
                  <w:bCs w:val="1"/>
                  <w:color w:val="0563C1"/>
                </w:rPr>
                <w:t>PART II — OTHER INFORMATION</w:t>
              </w:r>
            </w:hyperlink>
          </w:p>
        </w:tc>
        <w:tc>
          <w:tcPr>
            <w:tcW w:w="7820" w:type="dxa"/>
            <w:vAlign w:val="bottom"/>
            <w:gridSpan w:val="5"/>
          </w:tcPr>
          <w:p>
            <w:pPr>
              <w:spacing w:after="0"/>
              <w:rPr>
                <w:sz w:val="18"/>
                <w:szCs w:val="18"/>
                <w:color w:val="auto"/>
              </w:rPr>
            </w:pPr>
          </w:p>
        </w:tc>
        <w:tc>
          <w:tcPr>
            <w:tcW w:w="740" w:type="dxa"/>
            <w:vAlign w:val="bottom"/>
          </w:tcPr>
          <w:p>
            <w:pPr>
              <w:spacing w:after="0"/>
              <w:rPr>
                <w:sz w:val="18"/>
                <w:szCs w:val="18"/>
                <w:color w:val="auto"/>
              </w:rPr>
            </w:pPr>
          </w:p>
        </w:tc>
      </w:tr>
      <w:tr>
        <w:trPr>
          <w:trHeight w:val="210"/>
        </w:trPr>
        <w:tc>
          <w:tcPr>
            <w:tcW w:w="9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9560" w:type="dxa"/>
            <w:vAlign w:val="bottom"/>
            <w:gridSpan w:val="11"/>
          </w:tcPr>
          <w:p>
            <w:pPr>
              <w:spacing w:after="0"/>
              <w:rPr>
                <w:rFonts w:ascii="Arial" w:cs="Arial" w:eastAsia="Arial" w:hAnsi="Arial"/>
                <w:sz w:val="16"/>
                <w:szCs w:val="16"/>
                <w:color w:val="0563C1"/>
              </w:rPr>
            </w:pPr>
            <w:hyperlink w:anchor="page36">
              <w:r>
                <w:rPr>
                  <w:rFonts w:ascii="Arial" w:cs="Arial" w:eastAsia="Arial" w:hAnsi="Arial"/>
                  <w:sz w:val="16"/>
                  <w:szCs w:val="16"/>
                  <w:color w:val="0563C1"/>
                </w:rPr>
                <w:t>Legal Proceedings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9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820" w:type="dxa"/>
            <w:vAlign w:val="bottom"/>
            <w:tcBorders>
              <w:top w:val="single" w:sz="8" w:color="0563C1"/>
              <w:bottom w:val="single" w:sz="8" w:color="0563C1"/>
            </w:tcBorders>
            <w:gridSpan w:val="2"/>
          </w:tcPr>
          <w:p>
            <w:pPr>
              <w:spacing w:after="0"/>
              <w:rPr>
                <w:rFonts w:ascii="Arial" w:cs="Arial" w:eastAsia="Arial" w:hAnsi="Arial"/>
                <w:sz w:val="16"/>
                <w:szCs w:val="16"/>
                <w:color w:val="0563C1"/>
                <w:w w:val="89"/>
              </w:rPr>
            </w:pPr>
            <w:hyperlink w:anchor="page36">
              <w:r>
                <w:rPr>
                  <w:rFonts w:ascii="Arial" w:cs="Arial" w:eastAsia="Arial" w:hAnsi="Arial"/>
                  <w:sz w:val="16"/>
                  <w:szCs w:val="16"/>
                  <w:color w:val="0563C1"/>
                  <w:w w:val="89"/>
                </w:rPr>
                <w:t>Risk Factors</w:t>
              </w:r>
            </w:hyperlink>
          </w:p>
        </w:tc>
        <w:tc>
          <w:tcPr>
            <w:tcW w:w="380" w:type="dxa"/>
            <w:vAlign w:val="bottom"/>
            <w:tcBorders>
              <w:top w:val="single" w:sz="8" w:color="0563C1"/>
            </w:tcBorders>
          </w:tcPr>
          <w:p>
            <w:pPr>
              <w:spacing w:after="0"/>
              <w:rPr>
                <w:sz w:val="18"/>
                <w:szCs w:val="18"/>
                <w:color w:val="auto"/>
              </w:rPr>
            </w:pPr>
          </w:p>
        </w:tc>
        <w:tc>
          <w:tcPr>
            <w:tcW w:w="8360" w:type="dxa"/>
            <w:vAlign w:val="bottom"/>
            <w:gridSpan w:val="8"/>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209"/>
        </w:trPr>
        <w:tc>
          <w:tcPr>
            <w:tcW w:w="9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9560" w:type="dxa"/>
            <w:vAlign w:val="bottom"/>
            <w:gridSpan w:val="11"/>
          </w:tcPr>
          <w:p>
            <w:pPr>
              <w:spacing w:after="0"/>
              <w:rPr>
                <w:rFonts w:ascii="Arial" w:cs="Arial" w:eastAsia="Arial" w:hAnsi="Arial"/>
                <w:sz w:val="16"/>
                <w:szCs w:val="16"/>
                <w:color w:val="0563C1"/>
              </w:rPr>
            </w:pPr>
            <w:hyperlink w:anchor="page84">
              <w:r>
                <w:rPr>
                  <w:rFonts w:ascii="Arial" w:cs="Arial" w:eastAsia="Arial" w:hAnsi="Arial"/>
                  <w:sz w:val="16"/>
                  <w:szCs w:val="16"/>
                  <w:color w:val="0563C1"/>
                </w:rPr>
                <w:t>Exhibits</w:t>
              </w:r>
            </w:hyperlink>
          </w:p>
        </w:tc>
        <w:tc>
          <w:tcPr>
            <w:tcW w:w="74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10"/>
        </w:trPr>
        <w:tc>
          <w:tcPr>
            <w:tcW w:w="920" w:type="dxa"/>
            <w:vAlign w:val="bottom"/>
            <w:gridSpan w:val="2"/>
          </w:tcPr>
          <w:p>
            <w:pPr>
              <w:spacing w:after="0"/>
              <w:rPr>
                <w:rFonts w:ascii="Arial" w:cs="Arial" w:eastAsia="Arial" w:hAnsi="Arial"/>
                <w:sz w:val="16"/>
                <w:szCs w:val="16"/>
                <w:color w:val="0563C1"/>
              </w:rPr>
            </w:pPr>
            <w:hyperlink w:anchor="page85">
              <w:r>
                <w:rPr>
                  <w:rFonts w:ascii="Arial" w:cs="Arial" w:eastAsia="Arial" w:hAnsi="Arial"/>
                  <w:sz w:val="16"/>
                  <w:szCs w:val="16"/>
                  <w:color w:val="0563C1"/>
                </w:rPr>
                <w:t>Signatures</w:t>
              </w:r>
            </w:hyperlink>
          </w:p>
        </w:tc>
        <w:tc>
          <w:tcPr>
            <w:tcW w:w="540" w:type="dxa"/>
            <w:vAlign w:val="bottom"/>
            <w:tcBorders>
              <w:top w:val="single" w:sz="8" w:color="0563C1"/>
            </w:tcBorders>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0"/>
        </w:trPr>
        <w:tc>
          <w:tcPr>
            <w:tcW w:w="680" w:type="dxa"/>
            <w:vAlign w:val="bottom"/>
            <w:shd w:val="clear" w:color="auto" w:fill="0563C1"/>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9"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7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expectations for increases or decreases in expenses;</w:t>
      </w:r>
    </w:p>
    <w:p>
      <w:pPr>
        <w:spacing w:after="0" w:line="127" w:lineRule="exact"/>
        <w:rPr>
          <w:sz w:val="20"/>
          <w:szCs w:val="20"/>
          <w:color w:val="auto"/>
        </w:rPr>
      </w:pPr>
    </w:p>
    <w:p>
      <w:pPr>
        <w:ind w:left="700" w:right="660"/>
        <w:spacing w:after="0" w:line="293" w:lineRule="auto"/>
        <w:rPr>
          <w:sz w:val="20"/>
          <w:szCs w:val="20"/>
          <w:color w:val="auto"/>
        </w:rPr>
      </w:pPr>
      <w:r>
        <w:rPr>
          <w:rFonts w:ascii="Arial" w:cs="Arial" w:eastAsia="Arial" w:hAnsi="Arial"/>
          <w:sz w:val="16"/>
          <w:szCs w:val="16"/>
          <w:color w:val="auto"/>
        </w:rPr>
        <w:t>our expectations for the clinical and preclinical development, manufacturing, regulatory approval, and commercialization of our pharmaceutical product candidates or any other products that we may acquire or in-license;</w:t>
      </w:r>
    </w:p>
    <w:p>
      <w:pPr>
        <w:spacing w:after="0" w:line="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estimates of the sufficiency of our existing capital resources combined with future anticipated cash flows to finance our operating requirements;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expectations for incurring capital expenditures to expand our research and development and manufacturing capabilities;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unforeseen circumstances or other disruptions to normal business operations arising from or related to  COVID-19;</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expectations for generating revenue or becoming profitable on a sustained basis;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expectations or ability to enter into marketing and other partnership agreements;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expectations or ability to enter into product acquisition and in-licensing transactions;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expectations or ability to build our own commercial infrastructure to manufacture, market and sell our product candidates;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expected losses;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ability to obtain and maintain intellectual property protection for our product candidates;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acceptance of our products by doctors, patients, or payors;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stock price and its volatility;</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ability to attract and retain key personnel;</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performance of our third-party manufacturers;</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expectations for future capital requirements; and</w:t>
      </w:r>
    </w:p>
    <w:p>
      <w:pPr>
        <w:spacing w:after="0" w:line="12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ability to successfully implement our strategy.</w:t>
      </w:r>
    </w:p>
    <w:p>
      <w:pPr>
        <w:spacing w:after="0" w:line="23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172"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 FINANCIAL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1"/>
              </w:rPr>
              <w:t>September 30,</w:t>
            </w:r>
          </w:p>
        </w:tc>
        <w:tc>
          <w:tcPr>
            <w:tcW w:w="240" w:type="dxa"/>
            <w:vAlign w:val="bottom"/>
          </w:tcPr>
          <w:p>
            <w:pPr>
              <w:spacing w:after="0"/>
              <w:rPr>
                <w:sz w:val="16"/>
                <w:szCs w:val="16"/>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7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2021</w:t>
            </w: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196"/>
        </w:trPr>
        <w:tc>
          <w:tcPr>
            <w:tcW w:w="7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7"/>
              </w:rPr>
              <w:t>(Unaudited)</w:t>
            </w: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114,622,893</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183,876,453</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401,302</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148,373</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115,024,195</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184,024,826</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Equipment, net</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314,891</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52,647</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Right-of-use asset - operating lease</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936,526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1,739,475</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322,910</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317,375</w:t>
            </w:r>
          </w:p>
        </w:tc>
        <w:tc>
          <w:tcPr>
            <w:tcW w:w="100" w:type="dxa"/>
            <w:vAlign w:val="bottom"/>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116,598,522</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186,134,323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Current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13,381,681</w:t>
            </w:r>
          </w:p>
        </w:tc>
        <w:tc>
          <w:tcPr>
            <w:tcW w:w="30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13,504,022</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10,445,172</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8,713,249</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Operating lease liability, current portion</w:t>
            </w: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880,116</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1,220,587</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24,706,969</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23,437,858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Loan payable, long-term</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49,173,709</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48,321,848</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liability, long-term</w:t>
            </w:r>
          </w:p>
        </w:tc>
        <w:tc>
          <w:tcPr>
            <w:tcW w:w="24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581,708</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liabilities</w:t>
            </w: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73,880,678</w:t>
            </w:r>
          </w:p>
        </w:tc>
        <w:tc>
          <w:tcPr>
            <w:tcW w:w="30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72,341,414</w:t>
            </w:r>
          </w:p>
        </w:tc>
        <w:tc>
          <w:tcPr>
            <w:tcW w:w="100" w:type="dxa"/>
            <w:vAlign w:val="bottom"/>
            <w:tcBorders>
              <w:top w:val="single" w:sz="8" w:color="CFF0FC"/>
            </w:tcBorders>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equity:</w:t>
            </w:r>
          </w:p>
        </w:tc>
        <w:tc>
          <w:tcPr>
            <w:tcW w:w="240" w:type="dxa"/>
            <w:vAlign w:val="bottom"/>
            <w:shd w:val="clear" w:color="auto" w:fill="CFF0FC"/>
          </w:tcPr>
          <w:p>
            <w:pPr>
              <w:spacing w:after="0"/>
              <w:rPr>
                <w:sz w:val="22"/>
                <w:szCs w:val="22"/>
                <w:color w:val="auto"/>
              </w:rPr>
            </w:pPr>
          </w:p>
        </w:tc>
        <w:tc>
          <w:tcPr>
            <w:tcW w:w="13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42"/>
        </w:trPr>
        <w:tc>
          <w:tcPr>
            <w:tcW w:w="7640" w:type="dxa"/>
            <w:vAlign w:val="bottom"/>
          </w:tcPr>
          <w:p>
            <w:pPr>
              <w:ind w:left="20"/>
              <w:spacing w:after="0"/>
              <w:rPr>
                <w:sz w:val="20"/>
                <w:szCs w:val="20"/>
                <w:color w:val="auto"/>
              </w:rPr>
            </w:pPr>
            <w:r>
              <w:rPr>
                <w:rFonts w:ascii="Arial" w:cs="Arial" w:eastAsia="Arial" w:hAnsi="Arial"/>
                <w:sz w:val="18"/>
                <w:szCs w:val="18"/>
                <w:color w:val="auto"/>
              </w:rPr>
              <w:t>Preferred stock, $0.0001 par value per share (10,000,000 shares authorized, none issued and</w:t>
            </w: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7640" w:type="dxa"/>
            <w:vAlign w:val="bottom"/>
          </w:tcPr>
          <w:p>
            <w:pPr>
              <w:ind w:left="20"/>
              <w:spacing w:after="0"/>
              <w:rPr>
                <w:sz w:val="20"/>
                <w:szCs w:val="20"/>
                <w:color w:val="auto"/>
              </w:rPr>
            </w:pPr>
            <w:r>
              <w:rPr>
                <w:rFonts w:ascii="Arial" w:cs="Arial" w:eastAsia="Arial" w:hAnsi="Arial"/>
                <w:sz w:val="18"/>
                <w:szCs w:val="18"/>
                <w:color w:val="auto"/>
              </w:rPr>
              <w:t>outstanding at September 30, 2021 and December 31, 2020, respectively)</w:t>
            </w:r>
          </w:p>
        </w:tc>
        <w:tc>
          <w:tcPr>
            <w:tcW w:w="240" w:type="dxa"/>
            <w:vAlign w:val="bottom"/>
          </w:tcPr>
          <w:p>
            <w:pPr>
              <w:spacing w:after="0"/>
              <w:rPr>
                <w:sz w:val="20"/>
                <w:szCs w:val="20"/>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9"/>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$0.0001 par value per share (150,000,000 shares authorized, 37,687,883 and</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0"/>
              </w:rPr>
              <w:t>37,374,088 shares issued and outstanding at September 30, 2021 and December 31, 2020, respectively)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3,737</w:t>
            </w: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Additional paid-in capital</w:t>
            </w:r>
          </w:p>
        </w:tc>
        <w:tc>
          <w:tcPr>
            <w:tcW w:w="2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417,937,024</w:t>
            </w: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392,585,265</w:t>
            </w:r>
          </w:p>
        </w:tc>
        <w:tc>
          <w:tcPr>
            <w:tcW w:w="100" w:type="dxa"/>
            <w:vAlign w:val="bottom"/>
          </w:tcPr>
          <w:p>
            <w:pPr>
              <w:spacing w:after="0"/>
              <w:rPr>
                <w:sz w:val="21"/>
                <w:szCs w:val="21"/>
                <w:color w:val="auto"/>
              </w:rPr>
            </w:pP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FF0FC"/>
          </w:tcPr>
          <w:p>
            <w:pPr>
              <w:spacing w:after="0"/>
              <w:rPr>
                <w:sz w:val="22"/>
                <w:szCs w:val="22"/>
                <w:color w:val="auto"/>
              </w:rPr>
            </w:pPr>
          </w:p>
        </w:tc>
        <w:tc>
          <w:tcPr>
            <w:tcW w:w="16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(375,222,949 )</w:t>
            </w:r>
          </w:p>
        </w:tc>
        <w:tc>
          <w:tcPr>
            <w:tcW w:w="240" w:type="dxa"/>
            <w:vAlign w:val="bottom"/>
            <w:shd w:val="clear" w:color="auto" w:fill="CFF0FC"/>
          </w:tcPr>
          <w:p>
            <w:pPr>
              <w:spacing w:after="0"/>
              <w:rPr>
                <w:sz w:val="22"/>
                <w:szCs w:val="22"/>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(278,796,093 )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rPr>
              <w:t>Total stockholders’ equity</w:t>
            </w:r>
          </w:p>
        </w:tc>
        <w:tc>
          <w:tcPr>
            <w:tcW w:w="2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42,717,844</w:t>
            </w:r>
          </w:p>
        </w:tc>
        <w:tc>
          <w:tcPr>
            <w:tcW w:w="300" w:type="dxa"/>
            <w:vAlign w:val="bottom"/>
            <w:tcBorders>
              <w:top w:val="single" w:sz="8" w:color="CFF0FC"/>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113,792,909</w:t>
            </w:r>
          </w:p>
        </w:tc>
        <w:tc>
          <w:tcPr>
            <w:tcW w:w="100" w:type="dxa"/>
            <w:vAlign w:val="bottom"/>
            <w:tcBorders>
              <w:top w:val="single" w:sz="8" w:color="CFF0FC"/>
            </w:tcBorders>
          </w:tcPr>
          <w:p>
            <w:pPr>
              <w:spacing w:after="0"/>
              <w:rPr>
                <w:sz w:val="21"/>
                <w:szCs w:val="21"/>
                <w:color w:val="auto"/>
              </w:rPr>
            </w:pP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116,598,522</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186,134,323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-2990850</wp:posOffset>
            </wp:positionV>
            <wp:extent cx="1797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-2973705</wp:posOffset>
            </wp:positionV>
            <wp:extent cx="1797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-2990850</wp:posOffset>
            </wp:positionV>
            <wp:extent cx="596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-2973705</wp:posOffset>
            </wp:positionV>
            <wp:extent cx="596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-1651000</wp:posOffset>
            </wp:positionV>
            <wp:extent cx="17970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-1651000</wp:posOffset>
            </wp:positionV>
            <wp:extent cx="5969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-365125</wp:posOffset>
            </wp:positionV>
            <wp:extent cx="17970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-365125</wp:posOffset>
            </wp:positionV>
            <wp:extent cx="5969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-24765</wp:posOffset>
            </wp:positionV>
            <wp:extent cx="1797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1797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-8255</wp:posOffset>
            </wp:positionV>
            <wp:extent cx="596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0" w:type="dxa"/>
            <w:vAlign w:val="bottom"/>
            <w:gridSpan w:val="5"/>
          </w:tcPr>
          <w:p>
            <w:pPr>
              <w:jc w:val="right"/>
              <w:ind w:right="820"/>
              <w:spacing w:after="0"/>
              <w:rPr>
                <w:sz w:val="20"/>
                <w:szCs w:val="20"/>
                <w:color w:val="auto"/>
              </w:rPr>
            </w:pPr>
            <w:r>
              <w:rPr>
                <w:rFonts w:ascii="Arial" w:cs="Arial" w:eastAsia="Arial" w:hAnsi="Arial"/>
                <w:sz w:val="13"/>
                <w:szCs w:val="13"/>
                <w:b w:val="1"/>
                <w:bCs w:val="1"/>
                <w:color w:val="auto"/>
              </w:rPr>
              <w:t>Nine Months Ended</w:t>
            </w:r>
          </w:p>
        </w:tc>
      </w:tr>
      <w:tr>
        <w:trPr>
          <w:trHeight w:val="198"/>
        </w:trPr>
        <w:tc>
          <w:tcPr>
            <w:tcW w:w="54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3"/>
                <w:szCs w:val="13"/>
                <w:b w:val="1"/>
                <w:bCs w:val="1"/>
                <w:color w:val="auto"/>
              </w:rPr>
              <w:t>September 30,</w:t>
            </w:r>
          </w:p>
        </w:tc>
        <w:tc>
          <w:tcPr>
            <w:tcW w:w="8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54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3"/>
                <w:szCs w:val="13"/>
                <w:b w:val="1"/>
                <w:bCs w:val="1"/>
                <w:color w:val="auto"/>
              </w:rPr>
              <w:t>2021</w:t>
            </w:r>
          </w:p>
        </w:tc>
        <w:tc>
          <w:tcPr>
            <w:tcW w:w="2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2020</w:t>
            </w:r>
          </w:p>
        </w:tc>
        <w:tc>
          <w:tcPr>
            <w:tcW w:w="2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4"/>
              <w:spacing w:after="0"/>
              <w:rPr>
                <w:sz w:val="20"/>
                <w:szCs w:val="20"/>
                <w:color w:val="auto"/>
              </w:rPr>
            </w:pPr>
            <w:r>
              <w:rPr>
                <w:rFonts w:ascii="Arial" w:cs="Arial" w:eastAsia="Arial" w:hAnsi="Arial"/>
                <w:sz w:val="13"/>
                <w:szCs w:val="13"/>
                <w:b w:val="1"/>
                <w:bCs w:val="1"/>
                <w:color w:val="auto"/>
              </w:rPr>
              <w:t>2021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61"/>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5"/>
                <w:szCs w:val="15"/>
                <w:color w:val="auto"/>
              </w:rPr>
            </w:pPr>
          </w:p>
        </w:tc>
      </w:tr>
      <w:tr>
        <w:trPr>
          <w:trHeight w:val="229"/>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0"/>
        </w:trPr>
        <w:tc>
          <w:tcPr>
            <w:tcW w:w="548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13,180,258</w:t>
            </w:r>
          </w:p>
        </w:tc>
        <w:tc>
          <w:tcPr>
            <w:tcW w:w="28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w w:val="99"/>
              </w:rPr>
              <w:t>14,795,493</w:t>
            </w:r>
          </w:p>
        </w:tc>
        <w:tc>
          <w:tcPr>
            <w:tcW w:w="260" w:type="dxa"/>
            <w:vAlign w:val="bottom"/>
          </w:tcPr>
          <w:p>
            <w:pPr>
              <w:spacing w:after="0"/>
              <w:rPr>
                <w:sz w:val="19"/>
                <w:szCs w:val="19"/>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44,279,272</w:t>
            </w:r>
          </w:p>
        </w:tc>
        <w:tc>
          <w:tcPr>
            <w:tcW w:w="260" w:type="dxa"/>
            <w:vAlign w:val="bottom"/>
          </w:tcPr>
          <w:p>
            <w:pPr>
              <w:spacing w:after="0"/>
              <w:rPr>
                <w:sz w:val="19"/>
                <w:szCs w:val="19"/>
                <w:color w:val="auto"/>
              </w:rPr>
            </w:pP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52,859,850</w:t>
            </w:r>
          </w:p>
        </w:tc>
        <w:tc>
          <w:tcPr>
            <w:tcW w:w="100" w:type="dxa"/>
            <w:vAlign w:val="bottom"/>
          </w:tcPr>
          <w:p>
            <w:pPr>
              <w:spacing w:after="0"/>
              <w:rPr>
                <w:sz w:val="19"/>
                <w:szCs w:val="19"/>
                <w:color w:val="auto"/>
              </w:rPr>
            </w:pPr>
          </w:p>
        </w:tc>
      </w:tr>
      <w:tr>
        <w:trPr>
          <w:trHeight w:val="233"/>
        </w:trPr>
        <w:tc>
          <w:tcPr>
            <w:tcW w:w="54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20,226,884</w:t>
            </w:r>
          </w:p>
        </w:tc>
        <w:tc>
          <w:tcPr>
            <w:tcW w:w="2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6,331,308</w:t>
            </w:r>
          </w:p>
        </w:tc>
        <w:tc>
          <w:tcPr>
            <w:tcW w:w="2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47,819,618</w:t>
            </w:r>
          </w:p>
        </w:tc>
        <w:tc>
          <w:tcPr>
            <w:tcW w:w="26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18,537,242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33,407,142</w:t>
            </w:r>
          </w:p>
        </w:tc>
        <w:tc>
          <w:tcPr>
            <w:tcW w:w="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21,126,801</w:t>
            </w:r>
          </w:p>
        </w:tc>
        <w:tc>
          <w:tcPr>
            <w:tcW w:w="2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92,098,890</w:t>
            </w:r>
          </w:p>
        </w:tc>
        <w:tc>
          <w:tcPr>
            <w:tcW w:w="2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71,397,092</w:t>
            </w:r>
          </w:p>
        </w:tc>
        <w:tc>
          <w:tcPr>
            <w:tcW w:w="100" w:type="dxa"/>
            <w:vAlign w:val="bottom"/>
          </w:tcPr>
          <w:p>
            <w:pPr>
              <w:spacing w:after="0"/>
              <w:rPr>
                <w:sz w:val="19"/>
                <w:szCs w:val="19"/>
                <w:color w:val="auto"/>
              </w:rPr>
            </w:pPr>
          </w:p>
        </w:tc>
      </w:tr>
      <w:tr>
        <w:trPr>
          <w:trHeight w:val="229"/>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(33,407,142 )</w:t>
            </w: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2"/>
              </w:rPr>
              <w:t>(21,126,801 )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(92,098,890 )</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w w:val="94"/>
              </w:rPr>
              <w:t>(71,397,092 )</w:t>
            </w:r>
          </w:p>
        </w:tc>
      </w:tr>
      <w:tr>
        <w:trPr>
          <w:trHeight w:val="220"/>
        </w:trPr>
        <w:tc>
          <w:tcPr>
            <w:tcW w:w="5480" w:type="dxa"/>
            <w:vAlign w:val="bottom"/>
          </w:tcPr>
          <w:p>
            <w:pPr>
              <w:ind w:left="20"/>
              <w:spacing w:after="0"/>
              <w:rPr>
                <w:sz w:val="20"/>
                <w:szCs w:val="20"/>
                <w:color w:val="auto"/>
              </w:rPr>
            </w:pPr>
            <w:r>
              <w:rPr>
                <w:rFonts w:ascii="Arial" w:cs="Arial" w:eastAsia="Arial" w:hAnsi="Arial"/>
                <w:sz w:val="16"/>
                <w:szCs w:val="16"/>
                <w:color w:val="auto"/>
              </w:rPr>
              <w:t>Interest and amortization of debt discount (expense) income</w:t>
            </w:r>
          </w:p>
        </w:tc>
        <w:tc>
          <w:tcPr>
            <w:tcW w:w="34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(1,475,535 )</w:t>
            </w:r>
          </w:p>
        </w:tc>
        <w:tc>
          <w:tcPr>
            <w:tcW w:w="34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(551,002 )</w:t>
            </w:r>
          </w:p>
        </w:tc>
        <w:tc>
          <w:tcPr>
            <w:tcW w:w="22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(4,327,966 )</w:t>
            </w:r>
          </w:p>
        </w:tc>
        <w:tc>
          <w:tcPr>
            <w:tcW w:w="28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(1,091,849 )</w:t>
            </w:r>
          </w:p>
        </w:tc>
      </w:tr>
      <w:tr>
        <w:trPr>
          <w:trHeight w:val="230"/>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on extinguishment of debt</w:t>
            </w: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(1,247,012 )</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(1,247,012 )</w:t>
            </w:r>
          </w:p>
        </w:tc>
      </w:tr>
      <w:tr>
        <w:trPr>
          <w:trHeight w:val="23"/>
        </w:trPr>
        <w:tc>
          <w:tcPr>
            <w:tcW w:w="54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FF0FC"/>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shd w:val="clear" w:color="auto" w:fill="CFF0FC"/>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223"/>
        </w:trPr>
        <w:tc>
          <w:tcPr>
            <w:tcW w:w="5480" w:type="dxa"/>
            <w:vAlign w:val="bottom"/>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(34,882,677 )</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w w:val="92"/>
              </w:rPr>
              <w:t>(22,924,815 )</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(96,426,856 )</w:t>
            </w:r>
          </w:p>
        </w:tc>
        <w:tc>
          <w:tcPr>
            <w:tcW w:w="280" w:type="dxa"/>
            <w:vAlign w:val="bottom"/>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w w:val="94"/>
              </w:rPr>
              <w:t>(73,735,953 )</w:t>
            </w:r>
          </w:p>
        </w:tc>
      </w:tr>
      <w:tr>
        <w:trPr>
          <w:trHeight w:val="20"/>
        </w:trPr>
        <w:tc>
          <w:tcPr>
            <w:tcW w:w="54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4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common share, basic and diluted</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38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(0.93 )</w:t>
            </w: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(0.61 )</w:t>
            </w:r>
          </w:p>
        </w:tc>
        <w:tc>
          <w:tcPr>
            <w:tcW w:w="2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(2.57 )</w:t>
            </w:r>
          </w:p>
        </w:tc>
        <w:tc>
          <w:tcPr>
            <w:tcW w:w="280" w:type="dxa"/>
            <w:vAlign w:val="bottom"/>
            <w:shd w:val="clear" w:color="auto" w:fill="CFF0FC"/>
          </w:tcPr>
          <w:p>
            <w:pPr>
              <w:jc w:val="right"/>
              <w:ind w:right="124"/>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(1.98 )</w:t>
            </w:r>
          </w:p>
        </w:tc>
      </w:tr>
      <w:tr>
        <w:trPr>
          <w:trHeight w:val="210"/>
        </w:trPr>
        <w:tc>
          <w:tcPr>
            <w:tcW w:w="5480" w:type="dxa"/>
            <w:vAlign w:val="bottom"/>
            <w:tcBorders>
              <w:top w:val="single" w:sz="8" w:color="CFF0FC"/>
            </w:tcBorders>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37,680,966</w:t>
            </w:r>
          </w:p>
        </w:tc>
        <w:tc>
          <w:tcPr>
            <w:tcW w:w="28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37,311,726</w:t>
            </w:r>
          </w:p>
        </w:tc>
        <w:tc>
          <w:tcPr>
            <w:tcW w:w="26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37,569,416</w:t>
            </w:r>
          </w:p>
        </w:tc>
        <w:tc>
          <w:tcPr>
            <w:tcW w:w="26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37,158,513</w:t>
            </w:r>
          </w:p>
        </w:tc>
        <w:tc>
          <w:tcPr>
            <w:tcW w:w="100" w:type="dxa"/>
            <w:vAlign w:val="bottom"/>
            <w:tcBorders>
              <w:top w:val="single" w:sz="8" w:color="CFF0FC"/>
            </w:tcBorders>
          </w:tcPr>
          <w:p>
            <w:pPr>
              <w:spacing w:after="0"/>
              <w:rPr>
                <w:sz w:val="18"/>
                <w:szCs w:val="18"/>
                <w:color w:val="auto"/>
              </w:rPr>
            </w:pPr>
          </w:p>
        </w:tc>
      </w:tr>
      <w:tr>
        <w:trPr>
          <w:trHeight w:val="20"/>
        </w:trPr>
        <w:tc>
          <w:tcPr>
            <w:tcW w:w="5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-1119505</wp:posOffset>
            </wp:positionV>
            <wp:extent cx="17970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-1119505</wp:posOffset>
            </wp:positionV>
            <wp:extent cx="16319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-1119505</wp:posOffset>
            </wp:positionV>
            <wp:extent cx="16319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-1119505</wp:posOffset>
            </wp:positionV>
            <wp:extent cx="5969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-519430</wp:posOffset>
            </wp:positionV>
            <wp:extent cx="17970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-519430</wp:posOffset>
            </wp:positionV>
            <wp:extent cx="16319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-519430</wp:posOffset>
            </wp:positionV>
            <wp:extent cx="163195"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-519430</wp:posOffset>
            </wp:positionV>
            <wp:extent cx="5969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-196850</wp:posOffset>
            </wp:positionV>
            <wp:extent cx="17970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-179070</wp:posOffset>
            </wp:positionV>
            <wp:extent cx="1797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-196850</wp:posOffset>
            </wp:positionV>
            <wp:extent cx="1631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-179070</wp:posOffset>
            </wp:positionV>
            <wp:extent cx="1631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-196850</wp:posOffset>
            </wp:positionV>
            <wp:extent cx="1631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-179070</wp:posOffset>
            </wp:positionV>
            <wp:extent cx="1631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-196850</wp:posOffset>
            </wp:positionV>
            <wp:extent cx="59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-179070</wp:posOffset>
            </wp:positionV>
            <wp:extent cx="596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80" w:type="dxa"/>
            <w:vAlign w:val="bottom"/>
          </w:tcPr>
          <w:p>
            <w:pPr>
              <w:spacing w:after="0"/>
              <w:rPr>
                <w:sz w:val="15"/>
                <w:szCs w:val="15"/>
                <w:color w:val="auto"/>
              </w:rPr>
            </w:pPr>
          </w:p>
        </w:tc>
        <w:tc>
          <w:tcPr>
            <w:tcW w:w="2300" w:type="dxa"/>
            <w:vAlign w:val="bottom"/>
            <w:gridSpan w:val="4"/>
            <w:vMerge w:val="restart"/>
          </w:tcPr>
          <w:p>
            <w:pPr>
              <w:jc w:val="right"/>
              <w:ind w:right="617"/>
              <w:spacing w:after="0"/>
              <w:rPr>
                <w:sz w:val="20"/>
                <w:szCs w:val="20"/>
                <w:color w:val="auto"/>
              </w:rPr>
            </w:pPr>
            <w:r>
              <w:rPr>
                <w:rFonts w:ascii="Arial" w:cs="Arial" w:eastAsia="Arial" w:hAnsi="Arial"/>
                <w:sz w:val="14"/>
                <w:szCs w:val="14"/>
                <w:b w:val="1"/>
                <w:bCs w:val="1"/>
                <w:color w:val="auto"/>
              </w:rPr>
              <w:t>Common stock</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2300" w:type="dxa"/>
            <w:vAlign w:val="bottom"/>
            <w:tcBorders>
              <w:bottom w:val="single" w:sz="8" w:color="auto"/>
            </w:tcBorders>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6"/>
                <w:szCs w:val="16"/>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Accumulated</w:t>
            </w:r>
          </w:p>
        </w:tc>
        <w:tc>
          <w:tcPr>
            <w:tcW w:w="80" w:type="dxa"/>
            <w:vAlign w:val="bottom"/>
          </w:tcPr>
          <w:p>
            <w:pPr>
              <w:spacing w:after="0"/>
              <w:rPr>
                <w:sz w:val="16"/>
                <w:szCs w:val="16"/>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106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paid-in capital</w:t>
            </w: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deficit</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2"/>
              </w:rPr>
              <w:t>equity</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December 31, 2019</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36,933,217</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3,693</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354,614,189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(175,895,493 )</w:t>
            </w:r>
          </w:p>
        </w:tc>
        <w:tc>
          <w:tcPr>
            <w:tcW w:w="8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178,722,389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2,133,530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2,133,530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60,186</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629,750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629,756</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related to license agreement</w:t>
            </w:r>
          </w:p>
        </w:tc>
        <w:tc>
          <w:tcPr>
            <w:tcW w:w="1060" w:type="dxa"/>
            <w:vAlign w:val="bottom"/>
          </w:tcPr>
          <w:p>
            <w:pPr>
              <w:jc w:val="right"/>
              <w:spacing w:after="0"/>
              <w:rPr>
                <w:sz w:val="20"/>
                <w:szCs w:val="20"/>
                <w:color w:val="auto"/>
              </w:rPr>
            </w:pPr>
            <w:r>
              <w:rPr>
                <w:rFonts w:ascii="Arial" w:cs="Arial" w:eastAsia="Arial" w:hAnsi="Arial"/>
                <w:sz w:val="13"/>
                <w:szCs w:val="13"/>
                <w:color w:val="auto"/>
              </w:rPr>
              <w:t>82,019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8</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7,155,329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7,155,337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(32,484,146 )</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(32,484,146 )</w:t>
            </w:r>
          </w:p>
        </w:tc>
        <w:tc>
          <w:tcPr>
            <w:tcW w:w="0" w:type="dxa"/>
            <w:vAlign w:val="bottom"/>
          </w:tcPr>
          <w:p>
            <w:pPr>
              <w:spacing w:after="0"/>
              <w:rPr>
                <w:sz w:val="1"/>
                <w:szCs w:val="1"/>
                <w:color w:val="auto"/>
              </w:rPr>
            </w:pPr>
          </w:p>
        </w:tc>
      </w:tr>
      <w:tr>
        <w:trPr>
          <w:trHeight w:val="22"/>
        </w:trPr>
        <w:tc>
          <w:tcPr>
            <w:tcW w:w="5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3"/>
                <w:szCs w:val="13"/>
                <w:color w:val="auto"/>
              </w:rPr>
              <w:t>Balance at March 31, 2020</w:t>
            </w:r>
          </w:p>
        </w:tc>
        <w:tc>
          <w:tcPr>
            <w:tcW w:w="1060" w:type="dxa"/>
            <w:vAlign w:val="bottom"/>
          </w:tcPr>
          <w:p>
            <w:pPr>
              <w:jc w:val="right"/>
              <w:spacing w:after="0"/>
              <w:rPr>
                <w:sz w:val="20"/>
                <w:szCs w:val="20"/>
                <w:color w:val="auto"/>
              </w:rPr>
            </w:pPr>
            <w:r>
              <w:rPr>
                <w:rFonts w:ascii="Arial" w:cs="Arial" w:eastAsia="Arial" w:hAnsi="Arial"/>
                <w:sz w:val="13"/>
                <w:szCs w:val="13"/>
                <w:color w:val="auto"/>
              </w:rPr>
              <w:t>37,075,422</w:t>
            </w:r>
          </w:p>
        </w:tc>
        <w:tc>
          <w:tcPr>
            <w:tcW w:w="2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3,707</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364,532,798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(208,379,639 )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156,156,866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4,148,025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4,148,025</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20,428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190,407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190,409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exercise of warrants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29,982</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financing</w:t>
            </w:r>
          </w:p>
        </w:tc>
        <w:tc>
          <w:tcPr>
            <w:tcW w:w="1060" w:type="dxa"/>
            <w:vAlign w:val="bottom"/>
          </w:tcPr>
          <w:p>
            <w:pPr>
              <w:jc w:val="right"/>
              <w:spacing w:after="0"/>
              <w:rPr>
                <w:sz w:val="20"/>
                <w:szCs w:val="20"/>
                <w:color w:val="auto"/>
              </w:rPr>
            </w:pPr>
            <w:r>
              <w:rPr>
                <w:rFonts w:ascii="Arial" w:cs="Arial" w:eastAsia="Arial" w:hAnsi="Arial"/>
                <w:sz w:val="13"/>
                <w:szCs w:val="13"/>
                <w:color w:val="auto"/>
              </w:rPr>
              <w:t>141,678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12,074,985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12,074,999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(18,326,992 )</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(18,326,992 )</w:t>
            </w:r>
          </w:p>
        </w:tc>
        <w:tc>
          <w:tcPr>
            <w:tcW w:w="0" w:type="dxa"/>
            <w:vAlign w:val="bottom"/>
          </w:tcPr>
          <w:p>
            <w:pPr>
              <w:spacing w:after="0"/>
              <w:rPr>
                <w:sz w:val="1"/>
                <w:szCs w:val="1"/>
                <w:color w:val="auto"/>
              </w:rPr>
            </w:pPr>
          </w:p>
        </w:tc>
      </w:tr>
      <w:tr>
        <w:trPr>
          <w:trHeight w:val="21"/>
        </w:trPr>
        <w:tc>
          <w:tcPr>
            <w:tcW w:w="5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3"/>
                <w:szCs w:val="13"/>
                <w:color w:val="auto"/>
              </w:rPr>
              <w:t>Balance at June 30, 2020</w:t>
            </w:r>
          </w:p>
        </w:tc>
        <w:tc>
          <w:tcPr>
            <w:tcW w:w="1060" w:type="dxa"/>
            <w:vAlign w:val="bottom"/>
          </w:tcPr>
          <w:p>
            <w:pPr>
              <w:jc w:val="right"/>
              <w:spacing w:after="0"/>
              <w:rPr>
                <w:sz w:val="20"/>
                <w:szCs w:val="20"/>
                <w:color w:val="auto"/>
              </w:rPr>
            </w:pPr>
            <w:r>
              <w:rPr>
                <w:rFonts w:ascii="Arial" w:cs="Arial" w:eastAsia="Arial" w:hAnsi="Arial"/>
                <w:sz w:val="13"/>
                <w:szCs w:val="13"/>
                <w:color w:val="auto"/>
              </w:rPr>
              <w:t>37,267,510</w:t>
            </w:r>
          </w:p>
        </w:tc>
        <w:tc>
          <w:tcPr>
            <w:tcW w:w="2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3,726</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380,946,215</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(226,706,631 )</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154,243,310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2,868,818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2,868,818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42,842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4</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190,222</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190,226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exercise of warrants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33,849</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warrants upon debt financing</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884,216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884,216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(22,924,815 )</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(22,924,815 )</w:t>
            </w:r>
          </w:p>
        </w:tc>
        <w:tc>
          <w:tcPr>
            <w:tcW w:w="0" w:type="dxa"/>
            <w:vAlign w:val="bottom"/>
          </w:tcPr>
          <w:p>
            <w:pPr>
              <w:spacing w:after="0"/>
              <w:rPr>
                <w:sz w:val="1"/>
                <w:szCs w:val="1"/>
                <w:color w:val="auto"/>
              </w:rPr>
            </w:pPr>
          </w:p>
        </w:tc>
      </w:tr>
      <w:tr>
        <w:trPr>
          <w:trHeight w:val="21"/>
        </w:trPr>
        <w:tc>
          <w:tcPr>
            <w:tcW w:w="5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2020</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37,344,201</w:t>
            </w:r>
          </w:p>
        </w:tc>
        <w:tc>
          <w:tcPr>
            <w:tcW w:w="2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3,733</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384,889,471</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(249,631,446 )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135,261,758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Balance at December 31, 2020</w:t>
            </w:r>
          </w:p>
        </w:tc>
        <w:tc>
          <w:tcPr>
            <w:tcW w:w="1060" w:type="dxa"/>
            <w:vAlign w:val="bottom"/>
          </w:tcPr>
          <w:p>
            <w:pPr>
              <w:jc w:val="right"/>
              <w:spacing w:after="0"/>
              <w:rPr>
                <w:sz w:val="20"/>
                <w:szCs w:val="20"/>
                <w:color w:val="auto"/>
              </w:rPr>
            </w:pPr>
            <w:r>
              <w:rPr>
                <w:rFonts w:ascii="Arial" w:cs="Arial" w:eastAsia="Arial" w:hAnsi="Arial"/>
                <w:sz w:val="13"/>
                <w:szCs w:val="13"/>
                <w:color w:val="auto"/>
              </w:rPr>
              <w:t>37,374,088</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3,737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392,585,265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(278,796,093 )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113,792,909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3,731,097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3,731,097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94,000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1,913,289</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1,913,299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vesting of RSUs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1,917</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financing</w:t>
            </w:r>
          </w:p>
        </w:tc>
        <w:tc>
          <w:tcPr>
            <w:tcW w:w="1060" w:type="dxa"/>
            <w:vAlign w:val="bottom"/>
          </w:tcPr>
          <w:p>
            <w:pPr>
              <w:jc w:val="right"/>
              <w:spacing w:after="0"/>
              <w:rPr>
                <w:sz w:val="20"/>
                <w:szCs w:val="20"/>
                <w:color w:val="auto"/>
              </w:rPr>
            </w:pPr>
            <w:r>
              <w:rPr>
                <w:rFonts w:ascii="Arial" w:cs="Arial" w:eastAsia="Arial" w:hAnsi="Arial"/>
                <w:sz w:val="13"/>
                <w:szCs w:val="13"/>
                <w:color w:val="auto"/>
              </w:rPr>
              <w:t>93,877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9</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6,115,855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6,115,864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(29,259,970 )</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(29,259,970 )</w:t>
            </w:r>
          </w:p>
        </w:tc>
        <w:tc>
          <w:tcPr>
            <w:tcW w:w="0" w:type="dxa"/>
            <w:vAlign w:val="bottom"/>
          </w:tcPr>
          <w:p>
            <w:pPr>
              <w:spacing w:after="0"/>
              <w:rPr>
                <w:sz w:val="1"/>
                <w:szCs w:val="1"/>
                <w:color w:val="auto"/>
              </w:rPr>
            </w:pPr>
          </w:p>
        </w:tc>
      </w:tr>
      <w:tr>
        <w:trPr>
          <w:trHeight w:val="22"/>
        </w:trPr>
        <w:tc>
          <w:tcPr>
            <w:tcW w:w="5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3"/>
                <w:szCs w:val="13"/>
                <w:color w:val="auto"/>
              </w:rPr>
              <w:t>Balance at March 31, 2021</w:t>
            </w:r>
          </w:p>
        </w:tc>
        <w:tc>
          <w:tcPr>
            <w:tcW w:w="1060" w:type="dxa"/>
            <w:vAlign w:val="bottom"/>
          </w:tcPr>
          <w:p>
            <w:pPr>
              <w:jc w:val="right"/>
              <w:spacing w:after="0"/>
              <w:rPr>
                <w:sz w:val="20"/>
                <w:szCs w:val="20"/>
                <w:color w:val="auto"/>
              </w:rPr>
            </w:pPr>
            <w:r>
              <w:rPr>
                <w:rFonts w:ascii="Arial" w:cs="Arial" w:eastAsia="Arial" w:hAnsi="Arial"/>
                <w:sz w:val="13"/>
                <w:szCs w:val="13"/>
                <w:color w:val="auto"/>
              </w:rPr>
              <w:t>37,563,882</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3,756</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404,345,506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(308,056,063 )</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96,293,199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5,456,242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5"/>
                <w:szCs w:val="15"/>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5,456,242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1060" w:type="dxa"/>
            <w:vAlign w:val="bottom"/>
          </w:tcPr>
          <w:p>
            <w:pPr>
              <w:jc w:val="right"/>
              <w:spacing w:after="0"/>
              <w:rPr>
                <w:sz w:val="20"/>
                <w:szCs w:val="20"/>
                <w:color w:val="auto"/>
              </w:rPr>
            </w:pPr>
            <w:r>
              <w:rPr>
                <w:rFonts w:ascii="Arial" w:cs="Arial" w:eastAsia="Arial" w:hAnsi="Arial"/>
                <w:sz w:val="13"/>
                <w:szCs w:val="13"/>
                <w:color w:val="auto"/>
              </w:rPr>
              <w:t>68,503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7</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958,888</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958,895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vesting of RSUs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144</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financing</w:t>
            </w:r>
          </w:p>
        </w:tc>
        <w:tc>
          <w:tcPr>
            <w:tcW w:w="1060" w:type="dxa"/>
            <w:vAlign w:val="bottom"/>
          </w:tcPr>
          <w:p>
            <w:pPr>
              <w:jc w:val="right"/>
              <w:spacing w:after="0"/>
              <w:rPr>
                <w:sz w:val="20"/>
                <w:szCs w:val="20"/>
                <w:color w:val="auto"/>
              </w:rPr>
            </w:pPr>
            <w:r>
              <w:rPr>
                <w:rFonts w:ascii="Arial" w:cs="Arial" w:eastAsia="Arial" w:hAnsi="Arial"/>
                <w:sz w:val="13"/>
                <w:szCs w:val="13"/>
                <w:color w:val="auto"/>
              </w:rPr>
              <w:t>16,419</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1,096,501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1,096,503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tendered for withholding taxes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0</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(84,010 )</w:t>
            </w: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(84,010 )</w:t>
            </w: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3"/>
                <w:szCs w:val="13"/>
                <w:color w:val="auto"/>
              </w:rPr>
              <w:t>(32,284,209 )</w:t>
            </w:r>
          </w:p>
        </w:tc>
        <w:tc>
          <w:tcPr>
            <w:tcW w:w="80" w:type="dxa"/>
            <w:vAlign w:val="bottom"/>
          </w:tcPr>
          <w:p>
            <w:pPr>
              <w:spacing w:after="0"/>
              <w:rPr>
                <w:sz w:val="15"/>
                <w:szCs w:val="15"/>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3"/>
                <w:szCs w:val="13"/>
                <w:color w:val="auto"/>
              </w:rPr>
              <w:t>(32,284,209 )</w:t>
            </w:r>
          </w:p>
        </w:tc>
        <w:tc>
          <w:tcPr>
            <w:tcW w:w="0" w:type="dxa"/>
            <w:vAlign w:val="bottom"/>
          </w:tcPr>
          <w:p>
            <w:pPr>
              <w:spacing w:after="0"/>
              <w:rPr>
                <w:sz w:val="1"/>
                <w:szCs w:val="1"/>
                <w:color w:val="auto"/>
              </w:rPr>
            </w:pPr>
          </w:p>
        </w:tc>
      </w:tr>
      <w:tr>
        <w:trPr>
          <w:trHeight w:val="22"/>
        </w:trPr>
        <w:tc>
          <w:tcPr>
            <w:tcW w:w="5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June 30, 2021</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37,648,948</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3,765</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411,773,127</w:t>
            </w: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(340,340,272 )</w:t>
            </w:r>
          </w:p>
        </w:tc>
        <w:tc>
          <w:tcPr>
            <w:tcW w:w="8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71,436,620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5180" w:type="dxa"/>
            <w:vAlign w:val="bottom"/>
            <w:tcBorders>
              <w:top w:val="single" w:sz="8" w:color="CFF0FC"/>
            </w:tcBorders>
          </w:tcPr>
          <w:p>
            <w:pPr>
              <w:ind w:left="20"/>
              <w:spacing w:after="0"/>
              <w:rPr>
                <w:sz w:val="20"/>
                <w:szCs w:val="20"/>
                <w:color w:val="auto"/>
              </w:rPr>
            </w:pPr>
            <w:r>
              <w:rPr>
                <w:rFonts w:ascii="Arial" w:cs="Arial" w:eastAsia="Arial" w:hAnsi="Arial"/>
                <w:sz w:val="13"/>
                <w:szCs w:val="13"/>
                <w:color w:val="auto"/>
              </w:rPr>
              <w:t>Stock-based compensation</w:t>
            </w:r>
          </w:p>
        </w:tc>
        <w:tc>
          <w:tcPr>
            <w:tcW w:w="10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5,725,217</w:t>
            </w:r>
          </w:p>
        </w:tc>
        <w:tc>
          <w:tcPr>
            <w:tcW w:w="20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top w:val="single" w:sz="8" w:color="CFF0FC"/>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5,725,217</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common stock upon exercise of options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35,618</w:t>
            </w: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w:t>
            </w: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438,680</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438,683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5180" w:type="dxa"/>
            <w:vAlign w:val="bottom"/>
          </w:tcPr>
          <w:p>
            <w:pPr>
              <w:ind w:left="20"/>
              <w:spacing w:after="0"/>
              <w:rPr>
                <w:sz w:val="20"/>
                <w:szCs w:val="20"/>
                <w:color w:val="auto"/>
              </w:rPr>
            </w:pPr>
            <w:r>
              <w:rPr>
                <w:rFonts w:ascii="Arial" w:cs="Arial" w:eastAsia="Arial" w:hAnsi="Arial"/>
                <w:sz w:val="13"/>
                <w:szCs w:val="13"/>
                <w:color w:val="auto"/>
              </w:rPr>
              <w:t>Issuance of common stock upon vesting of RSUs</w:t>
            </w:r>
          </w:p>
        </w:tc>
        <w:tc>
          <w:tcPr>
            <w:tcW w:w="1060" w:type="dxa"/>
            <w:vAlign w:val="bottom"/>
          </w:tcPr>
          <w:p>
            <w:pPr>
              <w:jc w:val="right"/>
              <w:spacing w:after="0"/>
              <w:rPr>
                <w:sz w:val="20"/>
                <w:szCs w:val="20"/>
                <w:color w:val="auto"/>
              </w:rPr>
            </w:pPr>
            <w:r>
              <w:rPr>
                <w:rFonts w:ascii="Arial" w:cs="Arial" w:eastAsia="Arial" w:hAnsi="Arial"/>
                <w:sz w:val="13"/>
                <w:szCs w:val="13"/>
                <w:color w:val="auto"/>
              </w:rPr>
              <w:t>3,317</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1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loss</w:t>
            </w:r>
          </w:p>
        </w:tc>
        <w:tc>
          <w:tcPr>
            <w:tcW w:w="10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(34,882,677 )</w:t>
            </w:r>
          </w:p>
        </w:tc>
        <w:tc>
          <w:tcPr>
            <w:tcW w:w="8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(34,882,677 )</w:t>
            </w:r>
          </w:p>
        </w:tc>
        <w:tc>
          <w:tcPr>
            <w:tcW w:w="0" w:type="dxa"/>
            <w:vAlign w:val="bottom"/>
          </w:tcPr>
          <w:p>
            <w:pPr>
              <w:spacing w:after="0"/>
              <w:rPr>
                <w:sz w:val="1"/>
                <w:szCs w:val="1"/>
                <w:color w:val="auto"/>
              </w:rPr>
            </w:pPr>
          </w:p>
        </w:tc>
      </w:tr>
      <w:tr>
        <w:trPr>
          <w:trHeight w:val="22"/>
        </w:trPr>
        <w:tc>
          <w:tcPr>
            <w:tcW w:w="5180" w:type="dxa"/>
            <w:vAlign w:val="bottom"/>
            <w:shd w:val="clear" w:color="auto" w:fill="CFF0F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180" w:type="dxa"/>
            <w:vAlign w:val="bottom"/>
          </w:tcPr>
          <w:p>
            <w:pPr>
              <w:ind w:left="20"/>
              <w:spacing w:after="0"/>
              <w:rPr>
                <w:sz w:val="20"/>
                <w:szCs w:val="20"/>
                <w:color w:val="auto"/>
              </w:rPr>
            </w:pPr>
            <w:r>
              <w:rPr>
                <w:rFonts w:ascii="Arial" w:cs="Arial" w:eastAsia="Arial" w:hAnsi="Arial"/>
                <w:sz w:val="13"/>
                <w:szCs w:val="13"/>
                <w:b w:val="1"/>
                <w:bCs w:val="1"/>
                <w:color w:val="auto"/>
              </w:rPr>
              <w:t>Balance at September 30, 2021</w:t>
            </w: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37,687,883</w:t>
            </w:r>
          </w:p>
        </w:tc>
        <w:tc>
          <w:tcPr>
            <w:tcW w:w="20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b w:val="1"/>
                <w:bCs w:val="1"/>
                <w:color w:val="auto"/>
                <w:w w:val="82"/>
              </w:rPr>
              <w:t>$</w:t>
            </w: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3,769</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rPr>
              <w:t>417,937,024</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14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rPr>
              <w:t>(375,222,949 )</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42,717,844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3965575</wp:posOffset>
            </wp:positionH>
            <wp:positionV relativeFrom="paragraph">
              <wp:posOffset>-4162425</wp:posOffset>
            </wp:positionV>
            <wp:extent cx="128905"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-4162425</wp:posOffset>
            </wp:positionV>
            <wp:extent cx="12001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-4162425</wp:posOffset>
            </wp:positionV>
            <wp:extent cx="128905" cy="57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-4162425</wp:posOffset>
            </wp:positionV>
            <wp:extent cx="128905" cy="57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-4162425</wp:posOffset>
            </wp:positionV>
            <wp:extent cx="5143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-3408045</wp:posOffset>
            </wp:positionV>
            <wp:extent cx="12890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-3408045</wp:posOffset>
            </wp:positionV>
            <wp:extent cx="12001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-3408045</wp:posOffset>
            </wp:positionV>
            <wp:extent cx="12890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-3408045</wp:posOffset>
            </wp:positionV>
            <wp:extent cx="12890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-3408045</wp:posOffset>
            </wp:positionV>
            <wp:extent cx="514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-2653665</wp:posOffset>
            </wp:positionV>
            <wp:extent cx="12890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-2653665</wp:posOffset>
            </wp:positionV>
            <wp:extent cx="12001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-2653665</wp:posOffset>
            </wp:positionV>
            <wp:extent cx="12890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-2653665</wp:posOffset>
            </wp:positionV>
            <wp:extent cx="12890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-2653665</wp:posOffset>
            </wp:positionV>
            <wp:extent cx="5143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-1659255</wp:posOffset>
            </wp:positionV>
            <wp:extent cx="12890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-1659255</wp:posOffset>
            </wp:positionV>
            <wp:extent cx="12001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-1659255</wp:posOffset>
            </wp:positionV>
            <wp:extent cx="12890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-1659255</wp:posOffset>
            </wp:positionV>
            <wp:extent cx="12890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-1659255</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-659130</wp:posOffset>
            </wp:positionV>
            <wp:extent cx="128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-641985</wp:posOffset>
            </wp:positionV>
            <wp:extent cx="1289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-659130</wp:posOffset>
            </wp:positionV>
            <wp:extent cx="120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-641985</wp:posOffset>
            </wp:positionV>
            <wp:extent cx="1200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-659130</wp:posOffset>
            </wp:positionV>
            <wp:extent cx="128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-641985</wp:posOffset>
            </wp:positionV>
            <wp:extent cx="12890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-659130</wp:posOffset>
            </wp:positionV>
            <wp:extent cx="128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-641985</wp:posOffset>
            </wp:positionV>
            <wp:extent cx="12890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-659130</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-641985</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-150495</wp:posOffset>
            </wp:positionV>
            <wp:extent cx="128905"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-150495</wp:posOffset>
            </wp:positionV>
            <wp:extent cx="120015"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-150495</wp:posOffset>
            </wp:positionV>
            <wp:extent cx="128905" cy="57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-150495</wp:posOffset>
            </wp:positionV>
            <wp:extent cx="128905"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-150495</wp:posOffset>
            </wp:positionV>
            <wp:extent cx="51435"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640" w:type="dxa"/>
            <w:vAlign w:val="bottom"/>
          </w:tcPr>
          <w:p>
            <w:pPr>
              <w:spacing w:after="0"/>
              <w:rPr>
                <w:sz w:val="17"/>
                <w:szCs w:val="17"/>
                <w:color w:val="auto"/>
              </w:rPr>
            </w:pPr>
          </w:p>
        </w:tc>
        <w:tc>
          <w:tcPr>
            <w:tcW w:w="4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top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(96,426,856 )</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(73,735,953 )</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Stock-based compensation expense</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14,912,556</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9,150,373</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Non-cash research and development license expense</w:t>
            </w:r>
          </w:p>
        </w:tc>
        <w:tc>
          <w:tcPr>
            <w:tcW w:w="4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7,155,337</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Amortization of debt discount</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851,862</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491,009</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Amortization of operating lease right-of-use asset</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802,949</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Change in operating lease liability</w:t>
            </w:r>
          </w:p>
        </w:tc>
        <w:tc>
          <w:tcPr>
            <w:tcW w:w="4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(922,179 )</w:t>
            </w: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on extinguishment of debt</w:t>
            </w:r>
          </w:p>
        </w:tc>
        <w:tc>
          <w:tcPr>
            <w:tcW w:w="4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1,247,012</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Depreciation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45,305</w:t>
            </w: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16,482</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(252,929 )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(498,897 )</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(5,535 )</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(177,500 )</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(122,341 )</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371,801</w:t>
            </w:r>
          </w:p>
        </w:tc>
        <w:tc>
          <w:tcPr>
            <w:tcW w:w="100" w:type="dxa"/>
            <w:vAlign w:val="bottom"/>
          </w:tcPr>
          <w:p>
            <w:pPr>
              <w:spacing w:after="0"/>
              <w:rPr>
                <w:sz w:val="21"/>
                <w:szCs w:val="21"/>
                <w:color w:val="auto"/>
              </w:rPr>
            </w:pPr>
          </w:p>
        </w:tc>
      </w:tr>
      <w:tr>
        <w:trPr>
          <w:trHeight w:val="256"/>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1,731,923</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(1,922,716 )</w:t>
            </w:r>
          </w:p>
        </w:tc>
      </w:tr>
      <w:tr>
        <w:trPr>
          <w:trHeight w:val="20"/>
        </w:trPr>
        <w:tc>
          <w:tcPr>
            <w:tcW w:w="764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4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(79,385,245 )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(57,903,052 )</w:t>
            </w:r>
          </w:p>
        </w:tc>
      </w:tr>
      <w:tr>
        <w:trPr>
          <w:trHeight w:val="257"/>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shd w:val="clear" w:color="auto" w:fill="CFF0FC"/>
          </w:tcPr>
          <w:p>
            <w:pPr>
              <w:spacing w:after="0"/>
              <w:rPr>
                <w:sz w:val="22"/>
                <w:szCs w:val="22"/>
                <w:color w:val="auto"/>
              </w:rPr>
            </w:pPr>
          </w:p>
        </w:tc>
        <w:tc>
          <w:tcPr>
            <w:tcW w:w="1220" w:type="dxa"/>
            <w:vAlign w:val="bottom"/>
            <w:tcBorders>
              <w:top w:val="single" w:sz="8" w:color="auto"/>
            </w:tcBorders>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Purchases of equipment</w:t>
            </w:r>
          </w:p>
        </w:tc>
        <w:tc>
          <w:tcPr>
            <w:tcW w:w="4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(307,549 )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(25,604 )</w:t>
            </w:r>
          </w:p>
        </w:tc>
      </w:tr>
      <w:tr>
        <w:trPr>
          <w:trHeight w:val="20"/>
        </w:trPr>
        <w:tc>
          <w:tcPr>
            <w:tcW w:w="7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shd w:val="clear" w:color="auto" w:fill="CFF0FC"/>
          </w:tcPr>
          <w:p>
            <w:pPr>
              <w:spacing w:after="0"/>
              <w:rPr>
                <w:sz w:val="21"/>
                <w:szCs w:val="21"/>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(307,549 )</w:t>
            </w:r>
          </w:p>
        </w:tc>
        <w:tc>
          <w:tcPr>
            <w:tcW w:w="3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(25,604 )</w:t>
            </w:r>
          </w:p>
        </w:tc>
      </w:tr>
      <w:tr>
        <w:trPr>
          <w:trHeight w:val="250"/>
        </w:trPr>
        <w:tc>
          <w:tcPr>
            <w:tcW w:w="764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300" w:type="dxa"/>
            <w:vAlign w:val="bottom"/>
            <w:tcBorders>
              <w:top w:val="single" w:sz="8" w:color="CFF0FC"/>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upon financing, net</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7,212,367</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12,074,999</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Proceeds from issuance of term loan</w:t>
            </w:r>
          </w:p>
        </w:tc>
        <w:tc>
          <w:tcPr>
            <w:tcW w:w="4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Payment of debt financing costs</w:t>
            </w:r>
          </w:p>
        </w:tc>
        <w:tc>
          <w:tcPr>
            <w:tcW w:w="40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(1,102,609 )</w:t>
            </w: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Repayment of principal on term loan</w:t>
            </w:r>
          </w:p>
        </w:tc>
        <w:tc>
          <w:tcPr>
            <w:tcW w:w="400" w:type="dxa"/>
            <w:vAlign w:val="bottom"/>
          </w:tcPr>
          <w:p>
            <w:pPr>
              <w:spacing w:after="0"/>
              <w:rPr>
                <w:sz w:val="21"/>
                <w:szCs w:val="21"/>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(21,660,000 )</w:t>
            </w: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Proceeds from issuance of common stock upon exercise of options</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3,310,877</w:t>
            </w: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1,010,391</w:t>
            </w: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Payments of tax withholdings on stock award</w:t>
            </w:r>
          </w:p>
        </w:tc>
        <w:tc>
          <w:tcPr>
            <w:tcW w:w="4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(84,010 )</w:t>
            </w:r>
          </w:p>
        </w:tc>
        <w:tc>
          <w:tcPr>
            <w:tcW w:w="38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0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10,439,234</w:t>
            </w:r>
          </w:p>
        </w:tc>
        <w:tc>
          <w:tcPr>
            <w:tcW w:w="30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40,322,781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Net (decrease) increase in cash</w:t>
            </w:r>
          </w:p>
        </w:tc>
        <w:tc>
          <w:tcPr>
            <w:tcW w:w="40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(69,253,560 )</w:t>
            </w:r>
          </w:p>
        </w:tc>
        <w:tc>
          <w:tcPr>
            <w:tcW w:w="380" w:type="dxa"/>
            <w:vAlign w:val="bottom"/>
          </w:tcPr>
          <w:p>
            <w:pPr>
              <w:spacing w:after="0"/>
              <w:rPr>
                <w:sz w:val="21"/>
                <w:szCs w:val="21"/>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(17,605,875 )</w:t>
            </w:r>
          </w:p>
        </w:tc>
      </w:tr>
      <w:tr>
        <w:trPr>
          <w:trHeight w:val="257"/>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at beginning of period</w:t>
            </w:r>
          </w:p>
        </w:tc>
        <w:tc>
          <w:tcPr>
            <w:tcW w:w="4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183,876,453</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219,966,167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Cash at end of period</w:t>
            </w: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114,622,893</w:t>
            </w:r>
          </w:p>
        </w:tc>
        <w:tc>
          <w:tcPr>
            <w:tcW w:w="300" w:type="dxa"/>
            <w:vAlign w:val="bottom"/>
          </w:tcPr>
          <w:p>
            <w:pPr>
              <w:spacing w:after="0"/>
              <w:rPr>
                <w:sz w:val="21"/>
                <w:szCs w:val="21"/>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202,360,292</w:t>
            </w:r>
          </w:p>
        </w:tc>
        <w:tc>
          <w:tcPr>
            <w:tcW w:w="100" w:type="dxa"/>
            <w:vAlign w:val="bottom"/>
          </w:tcPr>
          <w:p>
            <w:pPr>
              <w:spacing w:after="0"/>
              <w:rPr>
                <w:sz w:val="21"/>
                <w:szCs w:val="21"/>
                <w:color w:val="auto"/>
              </w:rPr>
            </w:pPr>
          </w:p>
        </w:tc>
      </w:tr>
      <w:tr>
        <w:trPr>
          <w:trHeight w:val="20"/>
        </w:trPr>
        <w:tc>
          <w:tcPr>
            <w:tcW w:w="7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4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Interest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3,482,083</w:t>
            </w:r>
          </w:p>
        </w:tc>
        <w:tc>
          <w:tcPr>
            <w:tcW w:w="300" w:type="dxa"/>
            <w:vAlign w:val="bottom"/>
          </w:tcPr>
          <w:p>
            <w:pPr>
              <w:spacing w:after="0"/>
              <w:rPr>
                <w:sz w:val="21"/>
                <w:szCs w:val="21"/>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1,179,337</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Supplemental disclosures of non-cash financing activity:</w:t>
            </w:r>
          </w:p>
        </w:tc>
        <w:tc>
          <w:tcPr>
            <w:tcW w:w="4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640" w:type="dxa"/>
            <w:vAlign w:val="bottom"/>
          </w:tcPr>
          <w:p>
            <w:pPr>
              <w:ind w:left="20"/>
              <w:spacing w:after="0"/>
              <w:rPr>
                <w:sz w:val="20"/>
                <w:szCs w:val="20"/>
                <w:color w:val="auto"/>
              </w:rPr>
            </w:pPr>
            <w:r>
              <w:rPr>
                <w:rFonts w:ascii="Arial" w:cs="Arial" w:eastAsia="Arial" w:hAnsi="Arial"/>
                <w:sz w:val="18"/>
                <w:szCs w:val="18"/>
                <w:color w:val="auto"/>
              </w:rPr>
              <w:t>Issuance of warrants in connection with debt financing</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884,216</w:t>
            </w:r>
          </w:p>
        </w:tc>
        <w:tc>
          <w:tcPr>
            <w:tcW w:w="100" w:type="dxa"/>
            <w:vAlign w:val="bottom"/>
          </w:tcPr>
          <w:p>
            <w:pPr>
              <w:spacing w:after="0"/>
              <w:rPr>
                <w:sz w:val="21"/>
                <w:szCs w:val="21"/>
                <w:color w:val="auto"/>
              </w:rPr>
            </w:pPr>
          </w:p>
        </w:tc>
      </w:tr>
      <w:tr>
        <w:trPr>
          <w:trHeight w:val="263"/>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Common stock issued in connection with license agreement with Pfizer, Inc.</w:t>
            </w:r>
          </w:p>
        </w:tc>
        <w:tc>
          <w:tcPr>
            <w:tcW w:w="40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8,000,000</w:t>
            </w:r>
          </w:p>
        </w:tc>
        <w:tc>
          <w:tcPr>
            <w:tcW w:w="100" w:type="dxa"/>
            <w:vAlign w:val="bottom"/>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-3339465</wp:posOffset>
            </wp:positionV>
            <wp:extent cx="179705"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-3339465</wp:posOffset>
            </wp:positionV>
            <wp:extent cx="59690"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-2662555</wp:posOffset>
            </wp:positionV>
            <wp:extent cx="17970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-2662555</wp:posOffset>
            </wp:positionV>
            <wp:extent cx="59690"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-1342390</wp:posOffset>
            </wp:positionV>
            <wp:extent cx="17970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-1342390</wp:posOffset>
            </wp:positionV>
            <wp:extent cx="59690"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-1007745</wp:posOffset>
            </wp:positionV>
            <wp:extent cx="17970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-1007745</wp:posOffset>
            </wp:positionV>
            <wp:extent cx="59690" cy="57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9690" cy="5715"/>
                    </a:xfrm>
                    <a:prstGeom prst="rect">
                      <a:avLst/>
                    </a:prstGeom>
                    <a:noFill/>
                  </pic:spPr>
                </pic:pic>
              </a:graphicData>
            </a:graphic>
          </wp:anchor>
        </w:drawing>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 consolidated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Axsome Therapeutics, Inc.</w:t>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 (Unaudited)</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Nature of Business and Basis of Presentation</w:t>
      </w:r>
    </w:p>
    <w:p>
      <w:pPr>
        <w:spacing w:after="0" w:line="198" w:lineRule="exact"/>
        <w:rPr>
          <w:sz w:val="20"/>
          <w:szCs w:val="20"/>
          <w:color w:val="auto"/>
        </w:rPr>
      </w:pPr>
    </w:p>
    <w:p>
      <w:pPr>
        <w:ind w:right="40" w:firstLine="749"/>
        <w:spacing w:after="0" w:line="269" w:lineRule="auto"/>
        <w:rPr>
          <w:sz w:val="20"/>
          <w:szCs w:val="20"/>
          <w:color w:val="auto"/>
        </w:rPr>
      </w:pPr>
      <w:r>
        <w:rPr>
          <w:rFonts w:ascii="Arial" w:cs="Arial" w:eastAsia="Arial" w:hAnsi="Arial"/>
          <w:sz w:val="16"/>
          <w:szCs w:val="16"/>
          <w:color w:val="auto"/>
        </w:rPr>
        <w:t>Axsome Therapeutics, Inc. (“Axsome” or the “Company”) is a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five product candidates, AXS-05, AXS-07, AXS-09, AXS-12, and AXS-14, which are being developed for multiple indications.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w:t>
      </w:r>
    </w:p>
    <w:p>
      <w:pPr>
        <w:spacing w:after="0" w:line="153" w:lineRule="exact"/>
        <w:rPr>
          <w:sz w:val="20"/>
          <w:szCs w:val="20"/>
          <w:color w:val="auto"/>
        </w:rPr>
      </w:pPr>
    </w:p>
    <w:p>
      <w:pPr>
        <w:jc w:val="both"/>
        <w:ind w:right="40" w:firstLine="749"/>
        <w:spacing w:after="0" w:line="318" w:lineRule="auto"/>
        <w:rPr>
          <w:sz w:val="20"/>
          <w:szCs w:val="20"/>
          <w:color w:val="auto"/>
        </w:rPr>
      </w:pPr>
      <w:r>
        <w:rPr>
          <w:rFonts w:ascii="Arial" w:cs="Arial" w:eastAsia="Arial" w:hAnsi="Arial"/>
          <w:sz w:val="14"/>
          <w:szCs w:val="14"/>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2020 filed with the SEC on March 1, 2021.</w:t>
      </w:r>
    </w:p>
    <w:p>
      <w:pPr>
        <w:spacing w:after="0" w:line="1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2021 are not necessarily indicative of the operating results for the full fiscal year or any future period.</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98"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The Company has incurred operating losses since its inception and expects to continue to incur operating losses for the foreseeable future and may never become profitable. As of September 30, 2021, the Company had an accumulated deficit of $375.2 million.</w:t>
      </w:r>
    </w:p>
    <w:p>
      <w:pPr>
        <w:spacing w:after="0" w:line="14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The Company’s primary sources of cash have been proceeds from the issuance and sale of its common stock in public offerings and the issuance of debt.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49"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may use a combination of public and private equity offerings, debt financings, other third-party funding, strategic alliances, licensing arrangements or marketing and distribution arrangements if market conditions are favorable or as a result of other strategic considerations to finance its future cash needs.</w:t>
      </w:r>
    </w:p>
    <w:p>
      <w:pPr>
        <w:spacing w:after="0" w:line="19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Company’s common stock is listed on the Nasdaq Global Market and trades under the symbol “AXSM”.</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w:t>
      </w:r>
    </w:p>
    <w:p>
      <w:pPr>
        <w:spacing w:after="0" w:line="198" w:lineRule="exact"/>
        <w:rPr>
          <w:sz w:val="20"/>
          <w:szCs w:val="20"/>
          <w:color w:val="auto"/>
        </w:rPr>
      </w:pPr>
    </w:p>
    <w:p>
      <w:pPr>
        <w:ind w:firstLine="749"/>
        <w:spacing w:after="0" w:line="267" w:lineRule="auto"/>
        <w:rPr>
          <w:sz w:val="20"/>
          <w:szCs w:val="20"/>
          <w:color w:val="auto"/>
        </w:rPr>
      </w:pPr>
      <w:r>
        <w:rPr>
          <w:rFonts w:ascii="Arial" w:cs="Arial" w:eastAsia="Arial" w:hAnsi="Arial"/>
          <w:sz w:val="16"/>
          <w:szCs w:val="16"/>
          <w:color w:val="auto"/>
        </w:rPr>
        <w:t>In December 2019, a novel (new)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 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the Company’s liquidity. In addition, a recession or market volatility resulting from the COVID-19 pandemic could affect the Company’s business. Given the nature and type of the Company’s short-term investments, the Company does not believe the COVID-19 pandemic has had or will have a material impact on the Company’s current investment liquidity.</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 w:name="page9"/>
    <w:bookmarkEnd w:id="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Summary of Significant Accounting Policies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Risks and Uncertainties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Company’s operations are subject to a number of factors that can affect its operating results and financial condition. Such factors include, but are not limited</w:t>
      </w:r>
    </w:p>
    <w:p>
      <w:pPr>
        <w:spacing w:after="0" w:line="45" w:lineRule="exact"/>
        <w:rPr>
          <w:sz w:val="20"/>
          <w:szCs w:val="20"/>
          <w:color w:val="auto"/>
        </w:rPr>
      </w:pPr>
    </w:p>
    <w:p>
      <w:pPr>
        <w:spacing w:after="0"/>
        <w:rPr>
          <w:sz w:val="20"/>
          <w:szCs w:val="20"/>
          <w:color w:val="auto"/>
        </w:rPr>
      </w:pPr>
      <w:r>
        <w:rPr>
          <w:rFonts w:ascii="Arial" w:cs="Arial" w:eastAsia="Arial" w:hAnsi="Arial"/>
          <w:sz w:val="15"/>
          <w:szCs w:val="15"/>
          <w:color w:val="auto"/>
        </w:rPr>
        <w:t>to: the results of clinical testing and trial activities of the Company’s product candidates; the Company’s ability to obtain regulatory approval to market its products, if</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approved; competition from products manufactured and sold or being developed by other companies; the price of, and demand for, the Company’s products, if approved; the</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Company’s ability to negotiate favorable licensing or other manufacturing and marketing agreements for its products, if approved; and the Company’s ability to raise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additional financing. If the Company does not successfully commercialize any of its product candidates, it will be unable to generate recurring product revenue or achieve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and maintain profitability.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39" w:lineRule="exact"/>
        <w:rPr>
          <w:sz w:val="20"/>
          <w:szCs w:val="20"/>
          <w:color w:val="auto"/>
        </w:rPr>
      </w:pPr>
    </w:p>
    <w:p>
      <w:pPr>
        <w:ind w:right="100" w:firstLine="749"/>
        <w:spacing w:after="0" w:line="203" w:lineRule="exact"/>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Translation</w:t>
      </w:r>
    </w:p>
    <w:p>
      <w:pPr>
        <w:spacing w:after="0" w:line="239" w:lineRule="exact"/>
        <w:rPr>
          <w:sz w:val="20"/>
          <w:szCs w:val="20"/>
          <w:color w:val="auto"/>
        </w:rPr>
      </w:pPr>
    </w:p>
    <w:p>
      <w:pPr>
        <w:ind w:right="280" w:firstLine="749"/>
        <w:spacing w:after="0" w:line="278" w:lineRule="auto"/>
        <w:rPr>
          <w:sz w:val="20"/>
          <w:szCs w:val="20"/>
          <w:color w:val="auto"/>
        </w:rPr>
      </w:pPr>
      <w:r>
        <w:rPr>
          <w:rFonts w:ascii="Arial" w:cs="Arial" w:eastAsia="Arial" w:hAnsi="Arial"/>
          <w:sz w:val="16"/>
          <w:szCs w:val="16"/>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and Geographic Information</w:t>
      </w:r>
    </w:p>
    <w:p>
      <w:pPr>
        <w:spacing w:after="0" w:line="239"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39"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September 30, 2021, the balance of cash and cash equivalents was $114.6 million, which approximates fair value and was determined based upon Level 1 inputs. The sweep account is valued using quoted market prices with no valuation adjustments applied. Accordingly, these securities are categorized as Level 1.</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39"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Financial instruments that potentially subject the Company to a concentration of credit risk consist of cash. The Company maintains its cash at financial institutions, which at times, exceed federally insured limits. At September 30, 2021,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of Financial Instruments</w:t>
      </w:r>
    </w:p>
    <w:p>
      <w:pPr>
        <w:spacing w:after="0" w:line="239" w:lineRule="exact"/>
        <w:rPr>
          <w:sz w:val="20"/>
          <w:szCs w:val="20"/>
          <w:color w:val="auto"/>
        </w:rPr>
      </w:pPr>
    </w:p>
    <w:p>
      <w:pPr>
        <w:ind w:right="140" w:firstLine="749"/>
        <w:spacing w:after="0" w:line="204"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1—Quoted prices in active markets for identical assets or liabilities that the Company has the ability to access at the measurement date.</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2—Inputs other than quoted prices in active markets that are observable for the asset or liability, either directly or indirectly.</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Level 3—Inputs that are unobservable for the asset or liability.</w:t>
      </w:r>
    </w:p>
    <w:p>
      <w:pPr>
        <w:spacing w:after="0" w:line="235" w:lineRule="exact"/>
        <w:rPr>
          <w:sz w:val="20"/>
          <w:szCs w:val="20"/>
          <w:color w:val="auto"/>
        </w:rPr>
      </w:pPr>
    </w:p>
    <w:p>
      <w:pPr>
        <w:ind w:right="300" w:firstLine="749"/>
        <w:spacing w:after="0" w:line="305" w:lineRule="auto"/>
        <w:rPr>
          <w:sz w:val="20"/>
          <w:szCs w:val="20"/>
          <w:color w:val="auto"/>
        </w:rPr>
      </w:pPr>
      <w:r>
        <w:rPr>
          <w:rFonts w:ascii="Arial" w:cs="Arial" w:eastAsia="Arial" w:hAnsi="Arial"/>
          <w:sz w:val="15"/>
          <w:szCs w:val="15"/>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6" w:lineRule="exact"/>
        <w:rPr>
          <w:sz w:val="20"/>
          <w:szCs w:val="20"/>
          <w:color w:val="auto"/>
        </w:rPr>
      </w:pPr>
    </w:p>
    <w:p>
      <w:pPr>
        <w:ind w:right="260" w:firstLine="749"/>
        <w:spacing w:after="0" w:line="273" w:lineRule="auto"/>
        <w:rPr>
          <w:sz w:val="20"/>
          <w:szCs w:val="20"/>
          <w:color w:val="auto"/>
        </w:rPr>
      </w:pPr>
      <w:r>
        <w:rPr>
          <w:rFonts w:ascii="Arial" w:cs="Arial" w:eastAsia="Arial" w:hAnsi="Arial"/>
          <w:sz w:val="16"/>
          <w:szCs w:val="16"/>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short-term maturities. The carrying value of debt on the Company’s balance sheet (see Note 6 – Loan and Security Agreement), is estimated to approximate its fair value as the interest rate approximates the market rate for loans with similar terms and risk characteristics.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39"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Equipment</w:t>
      </w:r>
    </w:p>
    <w:p>
      <w:pPr>
        <w:spacing w:after="0" w:line="239" w:lineRule="exact"/>
        <w:rPr>
          <w:sz w:val="20"/>
          <w:szCs w:val="20"/>
          <w:color w:val="auto"/>
        </w:rPr>
      </w:pPr>
    </w:p>
    <w:p>
      <w:pPr>
        <w:jc w:val="both"/>
        <w:ind w:right="360" w:firstLine="749"/>
        <w:spacing w:after="0" w:line="204" w:lineRule="exact"/>
        <w:rPr>
          <w:sz w:val="20"/>
          <w:szCs w:val="20"/>
          <w:color w:val="auto"/>
        </w:rPr>
      </w:pPr>
      <w:r>
        <w:rPr>
          <w:rFonts w:ascii="Arial" w:cs="Arial" w:eastAsia="Arial" w:hAnsi="Arial"/>
          <w:sz w:val="16"/>
          <w:szCs w:val="16"/>
          <w:color w:val="auto"/>
        </w:rPr>
        <w:t>Equipment consists primarily of computer equipment and is recorded at cost. Equipment is depreciated on a straight</w:t>
      </w:r>
      <w:r>
        <w:rPr>
          <w:rFonts w:ascii="MS PGothic" w:cs="MS PGothic" w:eastAsia="MS PGothic" w:hAnsi="MS PGothic"/>
          <w:sz w:val="16"/>
          <w:szCs w:val="16"/>
          <w:color w:val="auto"/>
        </w:rPr>
        <w:t>‑</w:t>
      </w:r>
      <w:r>
        <w:rPr>
          <w:rFonts w:ascii="Arial" w:cs="Arial" w:eastAsia="Arial" w:hAnsi="Arial"/>
          <w:sz w:val="16"/>
          <w:szCs w:val="16"/>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239" w:lineRule="exact"/>
        <w:rPr>
          <w:sz w:val="20"/>
          <w:szCs w:val="20"/>
          <w:color w:val="auto"/>
        </w:rPr>
      </w:pPr>
    </w:p>
    <w:p>
      <w:pPr>
        <w:ind w:right="40" w:firstLine="749"/>
        <w:spacing w:after="0" w:line="203" w:lineRule="exact"/>
        <w:rPr>
          <w:sz w:val="20"/>
          <w:szCs w:val="20"/>
          <w:color w:val="auto"/>
        </w:rPr>
      </w:pPr>
      <w:r>
        <w:rPr>
          <w:rFonts w:ascii="Arial" w:cs="Arial" w:eastAsia="Arial" w:hAnsi="Arial"/>
          <w:sz w:val="14"/>
          <w:szCs w:val="14"/>
          <w:color w:val="auto"/>
        </w:rPr>
        <w:t>Research and development costs are expensed as incurred. Research and development expenses consist primarily of employee-related expenses including salaries, benefits, travel, and stock</w:t>
      </w:r>
      <w:r>
        <w:rPr>
          <w:rFonts w:ascii="MS PGothic" w:cs="MS PGothic" w:eastAsia="MS PGothic" w:hAnsi="MS PGothic"/>
          <w:sz w:val="14"/>
          <w:szCs w:val="14"/>
          <w:color w:val="auto"/>
        </w:rPr>
        <w:t>‑</w:t>
      </w:r>
      <w:r>
        <w:rPr>
          <w:rFonts w:ascii="Arial" w:cs="Arial" w:eastAsia="Arial" w:hAnsi="Arial"/>
          <w:sz w:val="14"/>
          <w:szCs w:val="14"/>
          <w:color w:val="auto"/>
        </w:rPr>
        <w:t>based compensation expense, contract services, costs incurred to third-party service providers for the conduct of research, preclinical and clinical studies, laboratory supplies, product license fees, consulting and other related expenses. We estimate research, preclinical and clinical study expenses based on services performed, pursuant to contracts with third-party research and development organizations that conduct and manage research, preclinical and clinical activities on our behalf. We estimate these expenses based on discussions with internal management personnel and external service providers as to the progress or stage of completion of services and the contracted fees to be paid for such services. If the actual timing of the performance of services or the level of effort varies from the original estimates, we will adjust the accrual accordingly. Payments associated with licensing agreements to acquire licenses to develop, use, manufacture and commercialize products that have not reached technological feasibility and do not have alternative future use are expensed as incurred. Payments made to third parties under these arrangements in advance of the performance of the related services by the third parties are recorded as prepaid expenses until the services are rendered.</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39"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94" w:lineRule="exact"/>
        <w:rPr>
          <w:sz w:val="20"/>
          <w:szCs w:val="20"/>
          <w:color w:val="auto"/>
        </w:rPr>
      </w:pPr>
    </w:p>
    <w:p>
      <w:pPr>
        <w:ind w:right="480" w:firstLine="749"/>
        <w:spacing w:after="0" w:line="328" w:lineRule="auto"/>
        <w:rPr>
          <w:sz w:val="20"/>
          <w:szCs w:val="20"/>
          <w:color w:val="auto"/>
        </w:rPr>
      </w:pPr>
      <w:r>
        <w:rPr>
          <w:rFonts w:ascii="Arial" w:cs="Arial" w:eastAsia="Arial" w:hAnsi="Arial"/>
          <w:sz w:val="15"/>
          <w:szCs w:val="15"/>
          <w:color w:val="auto"/>
        </w:rPr>
        <w:t>The Company estimates an annual effective tax rate of 0% for the year ending December 31, 2021 and has not recorded an income tax benefit for the nine months ended September 30, 2021 and 2020 since it determined that a full valuation allowance is required against the Company’s deferred tax assets.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0" w:name="page11"/>
    <w:bookmarkEnd w:id="1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2021,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39"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For stock options issued,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 forfeitures as they occur.</w:t>
      </w:r>
    </w:p>
    <w:p>
      <w:pPr>
        <w:spacing w:after="0" w:line="213" w:lineRule="exact"/>
        <w:rPr>
          <w:sz w:val="20"/>
          <w:szCs w:val="20"/>
          <w:color w:val="auto"/>
        </w:rPr>
      </w:pPr>
    </w:p>
    <w:p>
      <w:pPr>
        <w:ind w:right="320" w:firstLine="749"/>
        <w:spacing w:after="0" w:line="278" w:lineRule="auto"/>
        <w:rPr>
          <w:sz w:val="20"/>
          <w:szCs w:val="20"/>
          <w:color w:val="auto"/>
        </w:rPr>
      </w:pPr>
      <w:r>
        <w:rPr>
          <w:rFonts w:ascii="Arial" w:cs="Arial" w:eastAsia="Arial" w:hAnsi="Arial"/>
          <w:sz w:val="16"/>
          <w:szCs w:val="16"/>
          <w:color w:val="auto"/>
        </w:rPr>
        <w:t>For restricted stock units (“RSUs”), the Company issues them in the form of Company common stock. The fair market value of these awards is based on the market closing price per share on the grant date. Prior to January 1, 2020, the Company only granted stock options. Beginning in 2020, for grants to employees, the Company granted a mix of stock options and RSUs.</w:t>
      </w:r>
    </w:p>
    <w:p>
      <w:pPr>
        <w:spacing w:after="0" w:line="184" w:lineRule="exact"/>
        <w:rPr>
          <w:sz w:val="20"/>
          <w:szCs w:val="20"/>
          <w:color w:val="auto"/>
        </w:rPr>
      </w:pPr>
    </w:p>
    <w:p>
      <w:pPr>
        <w:ind w:right="100" w:firstLine="749"/>
        <w:spacing w:after="0" w:line="273" w:lineRule="auto"/>
        <w:rPr>
          <w:sz w:val="20"/>
          <w:szCs w:val="20"/>
          <w:color w:val="auto"/>
        </w:rPr>
      </w:pPr>
      <w:r>
        <w:rPr>
          <w:rFonts w:ascii="Arial" w:cs="Arial" w:eastAsia="Arial" w:hAnsi="Arial"/>
          <w:sz w:val="16"/>
          <w:szCs w:val="16"/>
          <w:color w:val="auto"/>
        </w:rPr>
        <w:t>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89"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The Company’s policy upon exercise of stock options and RSUs is that shares will be issued as new shares drawing on the Company’s 2015 Omnibus Incentive Compensation Plan share pool that was adopted by the stockholders in November 2015.</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Basic and Diluted Net Loss per Common Share</w:t>
      </w:r>
    </w:p>
    <w:p>
      <w:pPr>
        <w:spacing w:after="0" w:line="239" w:lineRule="exact"/>
        <w:rPr>
          <w:sz w:val="20"/>
          <w:szCs w:val="20"/>
          <w:color w:val="auto"/>
        </w:rPr>
      </w:pPr>
    </w:p>
    <w:p>
      <w:pPr>
        <w:ind w:right="200" w:firstLine="749"/>
        <w:spacing w:after="0" w:line="297" w:lineRule="auto"/>
        <w:rPr>
          <w:sz w:val="20"/>
          <w:szCs w:val="20"/>
          <w:color w:val="auto"/>
        </w:rPr>
      </w:pPr>
      <w:r>
        <w:rPr>
          <w:rFonts w:ascii="Arial" w:cs="Arial" w:eastAsia="Arial" w:hAnsi="Arial"/>
          <w:sz w:val="15"/>
          <w:szCs w:val="15"/>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stock options, and RSUs, which would result in the issuance of incremental shares of common stock. As the impact of these items is anti-dilutive during periods of net loss, there was no difference between basic and diluted net loss per share of common stock for the three and nine months ended September 30, 2021 and 2020.</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Leases</w:t>
      </w:r>
    </w:p>
    <w:p>
      <w:pPr>
        <w:spacing w:after="0" w:line="239"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When evaluating whether a contract contains a lease, the Company considers whether (1) the contract explicitly or implicitly identifies assets that are contractually defined and (2) the Company obtains substantially all of the economic benefits from the use of that underlying asset and directs how and for what purpose the asset is used during the term of the contract.</w:t>
      </w:r>
    </w:p>
    <w:p>
      <w:pPr>
        <w:spacing w:after="0" w:line="172"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The Company’s lease agreement contains lease and non-lease components. Non-lease components primarily include payments for maintenance and utilities. The Company has applied the practical expedient to combine fixed payments for non-lease components with lease payments and account for them together as a single lease component, which increases the amount of lease assets and corresponding liabilities. Payments under the Company’s lease arrangement are primarily fixed, however variable payments, are expensed as incurred and not included in the operating lease asset and liability.</w:t>
      </w:r>
    </w:p>
    <w:p>
      <w:pPr>
        <w:spacing w:after="0" w:line="189" w:lineRule="exact"/>
        <w:rPr>
          <w:sz w:val="20"/>
          <w:szCs w:val="20"/>
          <w:color w:val="auto"/>
        </w:rPr>
      </w:pPr>
    </w:p>
    <w:p>
      <w:pPr>
        <w:ind w:right="160" w:firstLine="749"/>
        <w:spacing w:after="0" w:line="297" w:lineRule="auto"/>
        <w:rPr>
          <w:sz w:val="20"/>
          <w:szCs w:val="20"/>
          <w:color w:val="auto"/>
        </w:rPr>
      </w:pPr>
      <w:r>
        <w:rPr>
          <w:rFonts w:ascii="Arial" w:cs="Arial" w:eastAsia="Arial" w:hAnsi="Arial"/>
          <w:sz w:val="15"/>
          <w:szCs w:val="15"/>
          <w:color w:val="auto"/>
        </w:rPr>
        <w:t>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interest rate when readily determinable and uses the Company’s incremental borrowing rate when the implicit rate is not readily determinable based upon the information available at the commencement date in determining the present value of the lease payments.</w:t>
      </w:r>
    </w:p>
    <w:p>
      <w:pPr>
        <w:spacing w:after="0" w:line="172" w:lineRule="exact"/>
        <w:rPr>
          <w:sz w:val="20"/>
          <w:szCs w:val="20"/>
          <w:color w:val="auto"/>
        </w:rPr>
      </w:pPr>
    </w:p>
    <w:p>
      <w:pPr>
        <w:ind w:right="60" w:firstLine="749"/>
        <w:spacing w:after="0" w:line="324" w:lineRule="auto"/>
        <w:rPr>
          <w:sz w:val="20"/>
          <w:szCs w:val="20"/>
          <w:color w:val="auto"/>
        </w:rPr>
      </w:pPr>
      <w:r>
        <w:rPr>
          <w:rFonts w:ascii="Arial" w:cs="Arial" w:eastAsia="Arial" w:hAnsi="Arial"/>
          <w:sz w:val="14"/>
          <w:szCs w:val="14"/>
          <w:color w:val="auto"/>
        </w:rPr>
        <w:t>The Company’s operating leases are reflected in the right-of-use operating asset; operating lease liability, current portion; and operating lease liability, long-term portion in the Company’s consolidated balance sheets. Lease expense for minimum lease payments is recognized on a straight-line basis over the lease term. Short-term leases, defined as leases that have a lease term of 12 months or less at the commencement date, and do not include an option to extend the term or purchase the underlying asset that the Company is reasonably certain to exercise, are excluded from this treatment and are recognized on a straight-line basis over the term of the lease.</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9" w:lineRule="exact"/>
        <w:rPr>
          <w:sz w:val="20"/>
          <w:szCs w:val="20"/>
          <w:color w:val="auto"/>
        </w:rPr>
      </w:pPr>
    </w:p>
    <w:p>
      <w:pPr>
        <w:ind w:right="180" w:firstLine="749"/>
        <w:spacing w:after="0" w:line="293" w:lineRule="auto"/>
        <w:rPr>
          <w:sz w:val="20"/>
          <w:szCs w:val="20"/>
          <w:color w:val="auto"/>
        </w:rPr>
      </w:pPr>
      <w:r>
        <w:rPr>
          <w:rFonts w:ascii="Arial" w:cs="Arial" w:eastAsia="Arial" w:hAnsi="Arial"/>
          <w:sz w:val="15"/>
          <w:szCs w:val="15"/>
          <w:color w:val="auto"/>
        </w:rPr>
        <w:t>In December 2019, the FASB issued ASU 2019-12, Income Taxes (Topic 740): Simplifying the Accounting for Income Taxes,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annual periods, and interim periods within those annual periods, beginning after December 15, 2020. Early adoption is permitted, including adoption in an interim period. The Company adopted this standard on January 1, 2021, and the standard did not have a significant impact on its consolidated financial statements.</w:t>
      </w:r>
    </w:p>
    <w:p>
      <w:pPr>
        <w:spacing w:after="0" w:line="176"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In October 2020, the FASB issued ASU 2020-10, Codification Improvements, which clarifies various topics in the Accounting Standards Codification, including the addition of existing disclosure requirements to the relevant disclosure sections. The amendments in ASU 2020-10 do not change GAAP and, therefore, are not expected to result in a significant change in practice. ASU 2020-10 should be applied retrospectively to the beginning of the period that includes the adoption date. ASU 2020-10 is effective for fiscal years, and interim periods within those fiscal years, beginning after December 15, 2020. The Company adopted this standard on January 1, 2021, and the standard did not have a significant impact on its consolidated financial statements.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Accrued Expenses and Other Current Liabilities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At September 30, 2021 and December 31, 2020 accrued expenses and other current liabilities consisted of the following:</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0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395"/>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40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56"/>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research and development</w:t>
            </w:r>
          </w:p>
        </w:tc>
        <w:tc>
          <w:tcPr>
            <w:tcW w:w="3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1,962,691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4,293,522</w:t>
            </w:r>
          </w:p>
        </w:tc>
      </w:tr>
      <w:tr>
        <w:trPr>
          <w:trHeight w:val="250"/>
        </w:trPr>
        <w:tc>
          <w:tcPr>
            <w:tcW w:w="4060" w:type="dxa"/>
            <w:vAlign w:val="bottom"/>
          </w:tcPr>
          <w:p>
            <w:pPr>
              <w:ind w:left="20"/>
              <w:spacing w:after="0"/>
              <w:rPr>
                <w:sz w:val="20"/>
                <w:szCs w:val="20"/>
                <w:color w:val="auto"/>
              </w:rPr>
            </w:pPr>
            <w:r>
              <w:rPr>
                <w:rFonts w:ascii="Arial" w:cs="Arial" w:eastAsia="Arial" w:hAnsi="Arial"/>
                <w:sz w:val="18"/>
                <w:szCs w:val="18"/>
                <w:color w:val="auto"/>
              </w:rPr>
              <w:t>Accrued compensation</w:t>
            </w:r>
          </w:p>
        </w:tc>
        <w:tc>
          <w:tcPr>
            <w:tcW w:w="35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00" w:type="dxa"/>
            <w:vAlign w:val="bottom"/>
          </w:tcPr>
          <w:p>
            <w:pPr>
              <w:jc w:val="right"/>
              <w:ind w:right="35"/>
              <w:spacing w:after="0"/>
              <w:rPr>
                <w:sz w:val="20"/>
                <w:szCs w:val="20"/>
                <w:color w:val="auto"/>
              </w:rPr>
            </w:pPr>
            <w:r>
              <w:rPr>
                <w:rFonts w:ascii="Arial" w:cs="Arial" w:eastAsia="Arial" w:hAnsi="Arial"/>
                <w:sz w:val="18"/>
                <w:szCs w:val="18"/>
                <w:color w:val="auto"/>
              </w:rPr>
              <w:t>3,056,345</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2,870,261</w:t>
            </w:r>
          </w:p>
        </w:tc>
      </w:tr>
      <w:tr>
        <w:trPr>
          <w:trHeight w:val="263"/>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Accrued general and administrative</w:t>
            </w:r>
          </w:p>
        </w:tc>
        <w:tc>
          <w:tcPr>
            <w:tcW w:w="35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5,044,886</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1,155,508</w:t>
            </w:r>
          </w:p>
        </w:tc>
      </w:tr>
      <w:tr>
        <w:trPr>
          <w:trHeight w:val="250"/>
        </w:trPr>
        <w:tc>
          <w:tcPr>
            <w:tcW w:w="406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35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381,250</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393,958</w:t>
            </w:r>
          </w:p>
        </w:tc>
      </w:tr>
      <w:tr>
        <w:trPr>
          <w:trHeight w:val="290"/>
        </w:trPr>
        <w:tc>
          <w:tcPr>
            <w:tcW w:w="4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38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10,445,172</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8,713,249</w:t>
            </w:r>
          </w:p>
        </w:tc>
      </w:tr>
      <w:tr>
        <w:trPr>
          <w:trHeight w:val="643"/>
        </w:trPr>
        <w:tc>
          <w:tcPr>
            <w:tcW w:w="4060" w:type="dxa"/>
            <w:vAlign w:val="bottom"/>
            <w:tcBorders>
              <w:top w:val="single" w:sz="8" w:color="CFF0FC"/>
            </w:tcBorders>
          </w:tcPr>
          <w:p>
            <w:pPr>
              <w:spacing w:after="0"/>
              <w:rPr>
                <w:sz w:val="24"/>
                <w:szCs w:val="24"/>
                <w:color w:val="auto"/>
              </w:rPr>
            </w:pPr>
          </w:p>
        </w:tc>
        <w:tc>
          <w:tcPr>
            <w:tcW w:w="3580" w:type="dxa"/>
            <w:vAlign w:val="bottom"/>
            <w:tcBorders>
              <w:top w:val="single" w:sz="8" w:color="CFF0FC"/>
            </w:tcBorders>
          </w:tcPr>
          <w:p>
            <w:pPr>
              <w:jc w:val="right"/>
              <w:ind w:right="1853"/>
              <w:spacing w:after="0"/>
              <w:rPr>
                <w:sz w:val="20"/>
                <w:szCs w:val="20"/>
                <w:color w:val="auto"/>
              </w:rPr>
            </w:pPr>
            <w:r>
              <w:rPr>
                <w:rFonts w:ascii="Arial" w:cs="Arial" w:eastAsia="Arial" w:hAnsi="Arial"/>
                <w:sz w:val="16"/>
                <w:szCs w:val="16"/>
                <w:color w:val="auto"/>
              </w:rPr>
              <w:t>12</w:t>
            </w:r>
          </w:p>
        </w:tc>
        <w:tc>
          <w:tcPr>
            <w:tcW w:w="240" w:type="dxa"/>
            <w:vAlign w:val="bottom"/>
            <w:tcBorders>
              <w:top w:val="single" w:sz="8" w:color="auto"/>
            </w:tcBorders>
          </w:tcPr>
          <w:p>
            <w:pPr>
              <w:spacing w:after="0"/>
              <w:rPr>
                <w:sz w:val="24"/>
                <w:szCs w:val="24"/>
                <w:color w:val="auto"/>
              </w:rPr>
            </w:pPr>
          </w:p>
        </w:tc>
        <w:tc>
          <w:tcPr>
            <w:tcW w:w="1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r>
        <w:trPr>
          <w:trHeight w:val="121"/>
        </w:trPr>
        <w:tc>
          <w:tcPr>
            <w:tcW w:w="406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-530860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-513715</wp:posOffset>
            </wp:positionV>
            <wp:extent cx="1111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2" w:name="page13"/>
    <w:bookmarkEnd w:id="1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 Loan and Security Agreement</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Hercules Capital, Inc.</w:t>
      </w:r>
    </w:p>
    <w:p>
      <w:pPr>
        <w:spacing w:after="0" w:line="235" w:lineRule="exact"/>
        <w:rPr>
          <w:sz w:val="20"/>
          <w:szCs w:val="20"/>
          <w:color w:val="auto"/>
        </w:rPr>
      </w:pPr>
    </w:p>
    <w:p>
      <w:pPr>
        <w:ind w:right="80" w:firstLine="749"/>
        <w:spacing w:after="0" w:line="284" w:lineRule="auto"/>
        <w:rPr>
          <w:sz w:val="20"/>
          <w:szCs w:val="20"/>
          <w:color w:val="auto"/>
        </w:rPr>
      </w:pPr>
      <w:r>
        <w:rPr>
          <w:rFonts w:ascii="Arial" w:cs="Arial" w:eastAsia="Arial" w:hAnsi="Arial"/>
          <w:sz w:val="15"/>
          <w:szCs w:val="15"/>
          <w:color w:val="auto"/>
        </w:rPr>
        <w:t>In September 2020, the Company entered into a Loan and Security Agreement (the “Loan Agreement”) with Hercules Capital, Inc., in its capacity as administrative agent and collateral agent and as a lender (in such capacity, the “Agent” or “Hercules”) and the other financial institutions that from time to time become parties to the Loan Agreement as lenders (collectively, the “Lenders”). The Loan Agreement provides for term loans in an aggregate principal amount of up to $225.0 million under multiple tranches (the “2020 Term Loan”). The tranches consist of (i) a first tranche consisting of term loans in an aggregate principal amount of $60.0 million, of which $50.0 million was funded to the Company on the Closing Date (the “First Advance”), and of which the remaining $10.0 million was available at the Company’s option at any time through September 15, 2021; (ii) subject to the approval of the Company’s AXS-05 product candidate for the treatment of major depressive disorder (the “First Milestone”), a second tranche consisting of additional term loans in an aggregate principal amount of up to $35.0 million, available at the Company’s option beginning on the date that the First Milestone is achieved through the earlier of (A) 181 days following such date and (B) June 30, 2022; (iii) subject to the approval of the Company’s AXS-07 product candidate for the treatment of migraine (the “Second Milestone”), a third tranche consisting of additional term loans in an aggregate principal amount of up to $20.0 million, available at the Company’s option beginning on the date that the Second Milestone is achieved through the earlier of (A) 181 days following such date and (B) June 30, 2022; (iv) subject to the achievement of either the First Milestone or the Second Milestone and so long as the Company is in compliance with a required ratio of Lender indebtedness to net product revenue, a fourth tranche consisting of additional term loans in an aggregate principal amount of up to $60.0 million, available at the Company’s option beginning on January 1, 2022 and continuing through March 31, 2023; and (v) subject to approval by the Lenders’ in their discretion, a fifth tranche of additional term loans in an aggregate principal amount of up to $50.0 million, available through December 31, 2023. The remaining $10.0 million on the first tranche was not utilized and such tranche and future tranches were amended upon the execution of the First Amendment to the Loan and Security Agreement. See "First Amendment to the Loan and Security Agreement" below for further information. The Company intends to use the proceeds of the Term Loan Advances for working capital and general corporate purposes. In addition, approximately $21.7 million of the proceeds from the First Advance was used to satisfy in full and retire the Company’s indebtedness under the 2019 Term Loan (as defined below), as amended.</w:t>
      </w:r>
    </w:p>
    <w:p>
      <w:pPr>
        <w:spacing w:after="0" w:line="187" w:lineRule="exact"/>
        <w:rPr>
          <w:sz w:val="20"/>
          <w:szCs w:val="20"/>
          <w:color w:val="auto"/>
        </w:rPr>
      </w:pPr>
    </w:p>
    <w:p>
      <w:pPr>
        <w:jc w:val="both"/>
        <w:ind w:right="160" w:firstLine="749"/>
        <w:spacing w:after="0" w:line="288" w:lineRule="auto"/>
        <w:rPr>
          <w:sz w:val="20"/>
          <w:szCs w:val="20"/>
          <w:color w:val="auto"/>
        </w:rPr>
      </w:pPr>
      <w:r>
        <w:rPr>
          <w:rFonts w:ascii="Arial" w:cs="Arial" w:eastAsia="Arial" w:hAnsi="Arial"/>
          <w:sz w:val="14"/>
          <w:szCs w:val="14"/>
          <w:color w:val="auto"/>
        </w:rPr>
        <w:t xml:space="preserve">The outstanding principal balance of the term loans bears interest at an annual rate equal to the greater of either (i) the prime rate as reported in </w:t>
      </w:r>
      <w:r>
        <w:rPr>
          <w:rFonts w:ascii="Arial" w:cs="Arial" w:eastAsia="Arial" w:hAnsi="Arial"/>
          <w:sz w:val="14"/>
          <w:szCs w:val="14"/>
          <w:i w:val="1"/>
          <w:iCs w:val="1"/>
          <w:color w:val="auto"/>
        </w:rPr>
        <w:t>The Wall Street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Journal </w:t>
      </w:r>
      <w:r>
        <w:rPr>
          <w:rFonts w:ascii="Arial" w:cs="Arial" w:eastAsia="Arial" w:hAnsi="Arial"/>
          <w:sz w:val="14"/>
          <w:szCs w:val="14"/>
          <w:color w:val="auto"/>
        </w:rPr>
        <w:t>plus 5.90% or (ii) 9.15%, subject to an ability by the Company, during certain periods (each, a “PIK Deferral Period”), to request a reduction of the then-effective</w:t>
      </w:r>
      <w:r>
        <w:rPr>
          <w:rFonts w:ascii="Arial" w:cs="Arial" w:eastAsia="Arial" w:hAnsi="Arial"/>
          <w:sz w:val="14"/>
          <w:szCs w:val="14"/>
          <w:i w:val="1"/>
          <w:iCs w:val="1"/>
          <w:color w:val="auto"/>
        </w:rPr>
        <w:t xml:space="preserve"> </w:t>
      </w:r>
      <w:r>
        <w:rPr>
          <w:rFonts w:ascii="Arial" w:cs="Arial" w:eastAsia="Arial" w:hAnsi="Arial"/>
          <w:sz w:val="14"/>
          <w:szCs w:val="14"/>
          <w:color w:val="auto"/>
        </w:rPr>
        <w:t>cash-pay interest rate by up to 1.00% per annum (the “Cash Interest Reduction Amount”). Accrued interest is payable monthly following the funding of each term loan.</w:t>
      </w:r>
    </w:p>
    <w:p>
      <w:pPr>
        <w:spacing w:after="0" w:line="1" w:lineRule="exact"/>
        <w:rPr>
          <w:sz w:val="20"/>
          <w:szCs w:val="20"/>
          <w:color w:val="auto"/>
        </w:rPr>
      </w:pPr>
    </w:p>
    <w:p>
      <w:pPr>
        <w:jc w:val="both"/>
        <w:ind w:right="80"/>
        <w:spacing w:after="0" w:line="251" w:lineRule="auto"/>
        <w:rPr>
          <w:sz w:val="20"/>
          <w:szCs w:val="20"/>
          <w:color w:val="auto"/>
        </w:rPr>
      </w:pPr>
      <w:r>
        <w:rPr>
          <w:rFonts w:ascii="Arial" w:cs="Arial" w:eastAsia="Arial" w:hAnsi="Arial"/>
          <w:sz w:val="16"/>
          <w:szCs w:val="16"/>
          <w:color w:val="auto"/>
        </w:rPr>
        <w:t>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w:t>
      </w:r>
    </w:p>
    <w:p>
      <w:pPr>
        <w:spacing w:after="0" w:line="192" w:lineRule="exact"/>
        <w:rPr>
          <w:sz w:val="20"/>
          <w:szCs w:val="20"/>
          <w:color w:val="auto"/>
        </w:rPr>
      </w:pPr>
    </w:p>
    <w:p>
      <w:pPr>
        <w:ind w:right="100" w:firstLine="749"/>
        <w:spacing w:after="0" w:line="252" w:lineRule="auto"/>
        <w:rPr>
          <w:sz w:val="20"/>
          <w:szCs w:val="20"/>
          <w:color w:val="auto"/>
        </w:rPr>
      </w:pPr>
      <w:r>
        <w:rPr>
          <w:rFonts w:ascii="Arial" w:cs="Arial" w:eastAsia="Arial" w:hAnsi="Arial"/>
          <w:sz w:val="16"/>
          <w:szCs w:val="16"/>
          <w:color w:val="auto"/>
        </w:rPr>
        <w:t>The Company is required to repay the term loans in equal installments of principal and interest commencing on May 1, 2023 through October 1, 2025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91" w:lineRule="exact"/>
        <w:rPr>
          <w:sz w:val="20"/>
          <w:szCs w:val="20"/>
          <w:color w:val="auto"/>
        </w:rPr>
      </w:pPr>
    </w:p>
    <w:p>
      <w:pPr>
        <w:ind w:firstLine="749"/>
        <w:spacing w:after="0" w:line="253" w:lineRule="auto"/>
        <w:rPr>
          <w:sz w:val="20"/>
          <w:szCs w:val="20"/>
          <w:color w:val="auto"/>
        </w:rPr>
      </w:pPr>
      <w:r>
        <w:rPr>
          <w:rFonts w:ascii="Arial" w:cs="Arial" w:eastAsia="Arial" w:hAnsi="Arial"/>
          <w:sz w:val="16"/>
          <w:szCs w:val="16"/>
          <w:color w:val="auto"/>
        </w:rPr>
        <w:t>As collateral for the obligations, the Company has granted to Hercules a senior security interest in all of Company’s right, title, and interest in, to and under all of Company’s property, inclusive of intellectual property, which includes one of the Company’s existing license agreements (the “License Agreement”) with Antecip Bioventures II LLC (“Antecip”), an entity owned by Axsome’s Chief Executive Officer and Chairman of the Board, Herriot Tabuteau, M.D., subject to limited exceptions</w:t>
      </w:r>
      <w:r>
        <w:rPr>
          <w:rFonts w:ascii="Arial" w:cs="Arial" w:eastAsia="Arial" w:hAnsi="Arial"/>
          <w:sz w:val="16"/>
          <w:szCs w:val="16"/>
          <w:color w:val="FF0000"/>
        </w:rPr>
        <w:t>.</w:t>
      </w:r>
      <w:r>
        <w:rPr>
          <w:rFonts w:ascii="Arial" w:cs="Arial" w:eastAsia="Arial" w:hAnsi="Arial"/>
          <w:sz w:val="16"/>
          <w:szCs w:val="16"/>
          <w:color w:val="auto"/>
        </w:rPr>
        <w:t xml:space="preserve"> Antecip consented to the collateral assignment of the License Agreement, among other things, under a direct agreement (the “Direct Agreement”) with the Company and Hercules.</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60" w:firstLine="749"/>
        <w:spacing w:after="0" w:line="253"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the Company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the Company in the future, if the Company decides to do so, under the terms set forth in the Loan Agreement, there will be certain limited financial covenants that will apply, including:</w:t>
      </w:r>
    </w:p>
    <w:p>
      <w:pPr>
        <w:spacing w:after="0" w:line="191" w:lineRule="exact"/>
        <w:rPr>
          <w:sz w:val="20"/>
          <w:szCs w:val="20"/>
          <w:color w:val="auto"/>
        </w:rPr>
      </w:pPr>
    </w:p>
    <w:p>
      <w:pPr>
        <w:ind w:left="700" w:right="60"/>
        <w:spacing w:after="0" w:line="256" w:lineRule="auto"/>
        <w:rPr>
          <w:sz w:val="20"/>
          <w:szCs w:val="20"/>
          <w:color w:val="auto"/>
        </w:rPr>
      </w:pPr>
      <w:r>
        <w:rPr>
          <w:rFonts w:ascii="Arial" w:cs="Arial" w:eastAsia="Arial" w:hAnsi="Arial"/>
          <w:sz w:val="16"/>
          <w:szCs w:val="16"/>
          <w:color w:val="auto"/>
        </w:rPr>
        <w:t>Effective upon the date the outstanding principal amount of the advances under the Loan Agreement equals or exceeds $55.0 million, which has not yet occurred, the Company at all times thereafter must maintain cash in an account or accounts in which Hercules has a first priority security interest, in an aggregate amount greater than or equal to $15.0 million, plus the amount of the Company’s accounts payable under U.S. GAAP not paid after the 180th day following the invoice for such account payable (such amount, the “Qualified Cash A/P Amount”).</w:t>
      </w:r>
    </w:p>
    <w:p>
      <w:pPr>
        <w:spacing w:after="0" w:line="79" w:lineRule="exact"/>
        <w:rPr>
          <w:sz w:val="20"/>
          <w:szCs w:val="20"/>
          <w:color w:val="auto"/>
        </w:rPr>
      </w:pPr>
    </w:p>
    <w:p>
      <w:pPr>
        <w:ind w:left="700" w:right="40"/>
        <w:spacing w:after="0" w:line="268" w:lineRule="auto"/>
        <w:rPr>
          <w:sz w:val="20"/>
          <w:szCs w:val="20"/>
          <w:color w:val="auto"/>
        </w:rPr>
      </w:pPr>
      <w:r>
        <w:rPr>
          <w:rFonts w:ascii="Arial" w:cs="Arial" w:eastAsia="Arial" w:hAnsi="Arial"/>
          <w:sz w:val="15"/>
          <w:szCs w:val="15"/>
          <w:color w:val="auto"/>
        </w:rPr>
        <w:t xml:space="preserve">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neither of which have occurred yet, the Company is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(B) ensure that at all times that it maintains cash in an account which Hercules has a first priority security interest in an amount not less than 100% of the sum of the outstanding principal amount of the term loan advances </w:t>
      </w:r>
      <w:r>
        <w:rPr>
          <w:rFonts w:ascii="Arial" w:cs="Arial" w:eastAsia="Arial" w:hAnsi="Arial"/>
          <w:sz w:val="15"/>
          <w:szCs w:val="15"/>
          <w:i w:val="1"/>
          <w:iCs w:val="1"/>
          <w:color w:val="auto"/>
        </w:rPr>
        <w:t>plus</w:t>
      </w:r>
      <w:r>
        <w:rPr>
          <w:rFonts w:ascii="Arial" w:cs="Arial" w:eastAsia="Arial" w:hAnsi="Arial"/>
          <w:sz w:val="15"/>
          <w:szCs w:val="15"/>
          <w:color w:val="auto"/>
        </w:rPr>
        <w:t xml:space="preserve">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the Company’s most recent quarterly financial statement, determined on a quarterly basis.</w:t>
      </w:r>
    </w:p>
    <w:p>
      <w:pPr>
        <w:spacing w:after="0" w:line="72" w:lineRule="exact"/>
        <w:rPr>
          <w:sz w:val="20"/>
          <w:szCs w:val="20"/>
          <w:color w:val="auto"/>
        </w:rPr>
      </w:pPr>
    </w:p>
    <w:p>
      <w:pPr>
        <w:ind w:left="700" w:right="520"/>
        <w:spacing w:after="0" w:line="293" w:lineRule="auto"/>
        <w:rPr>
          <w:sz w:val="20"/>
          <w:szCs w:val="20"/>
          <w:color w:val="auto"/>
        </w:rPr>
      </w:pPr>
      <w:r>
        <w:rPr>
          <w:rFonts w:ascii="Arial" w:cs="Arial" w:eastAsia="Arial" w:hAnsi="Arial"/>
          <w:sz w:val="16"/>
          <w:szCs w:val="16"/>
          <w:color w:val="auto"/>
        </w:rPr>
        <w:t>Restrictions on the Company’s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The Company’s obligations under the Loan Agreement are subject to acceleration upon the occurrence of specified events of default, including payment default, insolvency and a material adverse change in the Borrower’s business, operations or financial or other condition.</w:t>
      </w:r>
    </w:p>
    <w:p>
      <w:pPr>
        <w:spacing w:after="0" w:line="172" w:lineRule="exact"/>
        <w:rPr>
          <w:sz w:val="20"/>
          <w:szCs w:val="20"/>
          <w:color w:val="auto"/>
        </w:rPr>
      </w:pPr>
    </w:p>
    <w:p>
      <w:pPr>
        <w:ind w:right="240" w:firstLine="749"/>
        <w:spacing w:after="0" w:line="278" w:lineRule="auto"/>
        <w:rPr>
          <w:sz w:val="20"/>
          <w:szCs w:val="20"/>
          <w:color w:val="auto"/>
        </w:rPr>
      </w:pPr>
      <w:r>
        <w:rPr>
          <w:rFonts w:ascii="Arial" w:cs="Arial" w:eastAsia="Arial" w:hAnsi="Arial"/>
          <w:sz w:val="16"/>
          <w:szCs w:val="16"/>
          <w:color w:val="auto"/>
        </w:rPr>
        <w:t>In addition, the Company is required to pay a final payment fee equal to the greater of (A) $2,910,000 and (B) 4.85% of the aggregate amount of all term loan advances minus the aggregate amount of repayments made. The final payment fee is being accreted and amortized into interest expense using the effective interest rate method over the term of the loan.</w:t>
      </w:r>
    </w:p>
    <w:p>
      <w:pPr>
        <w:spacing w:after="0" w:line="184" w:lineRule="exact"/>
        <w:rPr>
          <w:sz w:val="20"/>
          <w:szCs w:val="20"/>
          <w:color w:val="auto"/>
        </w:rPr>
      </w:pPr>
    </w:p>
    <w:p>
      <w:pPr>
        <w:jc w:val="both"/>
        <w:ind w:right="120" w:firstLine="749"/>
        <w:spacing w:after="0" w:line="273" w:lineRule="auto"/>
        <w:rPr>
          <w:sz w:val="20"/>
          <w:szCs w:val="20"/>
          <w:color w:val="auto"/>
        </w:rPr>
      </w:pPr>
      <w:r>
        <w:rPr>
          <w:rFonts w:ascii="Arial" w:cs="Arial" w:eastAsia="Arial" w:hAnsi="Arial"/>
          <w:sz w:val="16"/>
          <w:szCs w:val="16"/>
          <w:color w:val="auto"/>
        </w:rPr>
        <w:t>The Company may, at its option prepay the term loans in full or in part, subject to a prepayment penalty equal to (i) 2.0% of the principal amount prepaid if the prepayment occurs prior to the first anniversary of the Closing Date, (ii) 1.5% of the principal amount prepaid if the prepayment occurs on or after the first anniversary and prior to the second anniversary of the Closing Date, and (iii) 1.0% of the principal amount prepaid if the prepayment occurs on or after the second anniversary and prior to the third anniversary of the Closing Date.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First Amendment to the Loan Agreement</w:t>
      </w:r>
    </w:p>
    <w:p>
      <w:pPr>
        <w:spacing w:after="0" w:line="221" w:lineRule="exact"/>
        <w:rPr>
          <w:sz w:val="20"/>
          <w:szCs w:val="20"/>
          <w:color w:val="auto"/>
        </w:rPr>
      </w:pPr>
    </w:p>
    <w:p>
      <w:pPr>
        <w:ind w:right="220" w:firstLine="749"/>
        <w:spacing w:after="0" w:line="293" w:lineRule="auto"/>
        <w:rPr>
          <w:sz w:val="20"/>
          <w:szCs w:val="20"/>
          <w:color w:val="auto"/>
        </w:rPr>
      </w:pPr>
      <w:r>
        <w:rPr>
          <w:rFonts w:ascii="Arial" w:cs="Arial" w:eastAsia="Arial" w:hAnsi="Arial"/>
          <w:sz w:val="16"/>
          <w:szCs w:val="16"/>
          <w:color w:val="auto"/>
        </w:rPr>
        <w:t>On October 14, 2021 ("First Amendment Closing Date"), the Company entered into the first amendment to the Loan Agreement (the “First Amendment to the Loan Agreement”).</w:t>
      </w:r>
    </w:p>
    <w:p>
      <w:pPr>
        <w:spacing w:after="0" w:line="158" w:lineRule="exact"/>
        <w:rPr>
          <w:sz w:val="20"/>
          <w:szCs w:val="20"/>
          <w:color w:val="auto"/>
        </w:rPr>
      </w:pPr>
    </w:p>
    <w:p>
      <w:pPr>
        <w:ind w:left="760"/>
        <w:spacing w:after="0"/>
        <w:rPr>
          <w:sz w:val="20"/>
          <w:szCs w:val="20"/>
          <w:color w:val="auto"/>
        </w:rPr>
      </w:pPr>
      <w:r>
        <w:rPr>
          <w:rFonts w:ascii="Arial" w:cs="Arial" w:eastAsia="Arial" w:hAnsi="Arial"/>
          <w:sz w:val="15"/>
          <w:szCs w:val="15"/>
          <w:color w:val="auto"/>
        </w:rPr>
        <w:t>Under the First Amendment to the Loan Agreement, the First Amendment amended the terms of that certain Loan and Security Agreement, dated as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September 25, 2020, by and among the Company, Hercules and the Lenders (the “Loan Agreement”) to, among other things, (i) increase the aggregate principal amount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loan, available at the Company’s option, from $225,000,000 to $300,000,000, (ii) change the draw amounts and dates available in Tranche 2 through Tranche 5 including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increasing the amount available under Tranche 2 subject to FDA approval of the Company’s AXS-05 product candidate for the treatment of major depressive disorder from</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$35,000,000 to $100,000,000, maintaining the amount available under Tranche 3 subject to FDA approval of the Company’s AXS-07 product candidate for the acute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treatment of migraine of $20,000,000, reducing the amount under Tranche 4 available upon achievement of certain combined sales and outstanding debt criteria from</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$60,000,000 to $55,000,000, and increasing the amount available under Tranche 5 to support future strategic initiatives, including further pipeline advancement or expansion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from $50,000,000 to $75,000,000 subject to the approval from Hercules, (iii) extend the maturity date of the facility from the original October 2025 to October 2026, and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optionally to October 2027, subject to certain conditions, (iv) reset and extend the interest only period from the initial 30 months from the original loan closing to 48 months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from the First Amendment and extendable up to 60 months subject to FDA approval of the Company’s AXS-05 product candidate for the treatment of major depressive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disorder and subject to FDA approval of AXS-07 in the acute treatment of migraine, and (v) decrease the interest rate from 9.15% (floating rate based on the greater of (a)</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9.15% or (b) US WSJ Prime + 5.90%) to 8.95% (floating rate based on the greater of (a) 8.95% or (b) US WSJ Prime + 5.70%).</w:t>
      </w:r>
    </w:p>
    <w:p>
      <w:pPr>
        <w:spacing w:after="0" w:line="231" w:lineRule="exact"/>
        <w:rPr>
          <w:sz w:val="20"/>
          <w:szCs w:val="20"/>
          <w:color w:val="auto"/>
        </w:rPr>
      </w:pPr>
    </w:p>
    <w:p>
      <w:pPr>
        <w:ind w:left="760"/>
        <w:spacing w:after="0"/>
        <w:rPr>
          <w:sz w:val="20"/>
          <w:szCs w:val="20"/>
          <w:color w:val="auto"/>
        </w:rPr>
      </w:pPr>
      <w:r>
        <w:rPr>
          <w:rFonts w:ascii="Arial" w:cs="Arial" w:eastAsia="Arial" w:hAnsi="Arial"/>
          <w:sz w:val="14"/>
          <w:szCs w:val="14"/>
          <w:color w:val="auto"/>
        </w:rPr>
        <w:t>In addition, the Company is required to pay a final payment fee equal to (A) $2,910,000 plus (B) 4.5% of the aggregate amount of all term future loan advances.</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The final payment fee is being accreted and amortized into interest expense using the effective interest rate method over the term of the loan.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77"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The Company may, at its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Loan Agreement.</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Silicon Valley Bank</w:t>
      </w:r>
    </w:p>
    <w:p>
      <w:pPr>
        <w:spacing w:after="0" w:line="235" w:lineRule="exact"/>
        <w:rPr>
          <w:sz w:val="20"/>
          <w:szCs w:val="20"/>
          <w:color w:val="auto"/>
        </w:rPr>
      </w:pPr>
    </w:p>
    <w:p>
      <w:pPr>
        <w:ind w:right="120" w:firstLine="749"/>
        <w:spacing w:after="0" w:line="278"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or SVB and West River Innovation Lending Fund VIII, L.P., or WestRiver. In September 2020, the Company used a portion of the 2020 Term Loan to terminate and repay all amounts outstanding under the 2019 Term Loan and recorded a loss on extinguishment of the 2019 Term Loan.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Loan Interest Expense and Amortization</w:t>
      </w:r>
    </w:p>
    <w:p>
      <w:pPr>
        <w:spacing w:after="0" w:line="235" w:lineRule="exact"/>
        <w:rPr>
          <w:sz w:val="20"/>
          <w:szCs w:val="20"/>
          <w:color w:val="auto"/>
        </w:rPr>
      </w:pPr>
    </w:p>
    <w:p>
      <w:pPr>
        <w:ind w:firstLine="749"/>
        <w:spacing w:after="0" w:line="305" w:lineRule="auto"/>
        <w:rPr>
          <w:sz w:val="20"/>
          <w:szCs w:val="20"/>
          <w:color w:val="auto"/>
        </w:rPr>
      </w:pPr>
      <w:r>
        <w:rPr>
          <w:rFonts w:ascii="Arial" w:cs="Arial" w:eastAsia="Arial" w:hAnsi="Arial"/>
          <w:sz w:val="15"/>
          <w:szCs w:val="15"/>
          <w:color w:val="auto"/>
        </w:rPr>
        <w:t>The Company incurred interest expense of $1,169,167 and $3,469,375 for the three and nine months ended September 30, 2021 and $421,004 and $1,179,338 for the three and nine months ended September 30, 2020, respectively. In addition, amortization of the final payment fee was $155,226 and $448,096 for the three and nine months ended September 30, 2021 and $87,425 and $325,453 for the three and nine months ended September 30, 2020, respectively.</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outstanding debt and unamortized debt discount balances are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jc w:val="right"/>
              <w:ind w:right="395"/>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9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95"/>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r>
      <w:tr>
        <w:trPr>
          <w:trHeight w:val="256"/>
        </w:trPr>
        <w:tc>
          <w:tcPr>
            <w:tcW w:w="7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Outstanding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50,000,000</w:t>
            </w:r>
          </w:p>
        </w:tc>
        <w:tc>
          <w:tcPr>
            <w:tcW w:w="40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50,000,000</w:t>
            </w: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Add: accreted liability of final payment fee</w:t>
            </w:r>
          </w:p>
        </w:tc>
        <w:tc>
          <w:tcPr>
            <w:tcW w:w="240" w:type="dxa"/>
            <w:vAlign w:val="bottom"/>
          </w:tcPr>
          <w:p>
            <w:pPr>
              <w:spacing w:after="0"/>
              <w:rPr>
                <w:sz w:val="21"/>
                <w:szCs w:val="21"/>
                <w:color w:val="auto"/>
              </w:rPr>
            </w:pPr>
          </w:p>
        </w:tc>
        <w:tc>
          <w:tcPr>
            <w:tcW w:w="1500" w:type="dxa"/>
            <w:vAlign w:val="bottom"/>
          </w:tcPr>
          <w:p>
            <w:pPr>
              <w:jc w:val="right"/>
              <w:ind w:right="55"/>
              <w:spacing w:after="0"/>
              <w:rPr>
                <w:sz w:val="20"/>
                <w:szCs w:val="20"/>
                <w:color w:val="auto"/>
              </w:rPr>
            </w:pPr>
            <w:r>
              <w:rPr>
                <w:rFonts w:ascii="Arial" w:cs="Arial" w:eastAsia="Arial" w:hAnsi="Arial"/>
                <w:sz w:val="18"/>
                <w:szCs w:val="18"/>
                <w:color w:val="auto"/>
              </w:rPr>
              <w:t>600,009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151,912</w:t>
            </w:r>
          </w:p>
        </w:tc>
      </w:tr>
      <w:tr>
        <w:trPr>
          <w:trHeight w:val="263"/>
        </w:trPr>
        <w:tc>
          <w:tcPr>
            <w:tcW w:w="7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Less: unamortized debt discount, long-term</w:t>
            </w:r>
          </w:p>
        </w:tc>
        <w:tc>
          <w:tcPr>
            <w:tcW w:w="24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(1,426,300 )</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(1,830,064 )</w:t>
            </w:r>
          </w:p>
        </w:tc>
      </w:tr>
      <w:tr>
        <w:trPr>
          <w:trHeight w:val="250"/>
        </w:trPr>
        <w:tc>
          <w:tcPr>
            <w:tcW w:w="7660" w:type="dxa"/>
            <w:vAlign w:val="bottom"/>
          </w:tcPr>
          <w:p>
            <w:pPr>
              <w:ind w:left="200"/>
              <w:spacing w:after="0"/>
              <w:rPr>
                <w:sz w:val="20"/>
                <w:szCs w:val="20"/>
                <w:color w:val="auto"/>
              </w:rPr>
            </w:pPr>
            <w:r>
              <w:rPr>
                <w:rFonts w:ascii="Arial" w:cs="Arial" w:eastAsia="Arial" w:hAnsi="Arial"/>
                <w:sz w:val="18"/>
                <w:szCs w:val="18"/>
                <w:color w:val="auto"/>
              </w:rPr>
              <w:t>Less: current portion of long-term debt</w:t>
            </w:r>
          </w:p>
        </w:tc>
        <w:tc>
          <w:tcPr>
            <w:tcW w:w="2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r>
      <w:tr>
        <w:trPr>
          <w:trHeight w:val="290"/>
        </w:trPr>
        <w:tc>
          <w:tcPr>
            <w:tcW w:w="7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Loan payable, long-term</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49,173,709</w:t>
            </w:r>
          </w:p>
        </w:tc>
        <w:tc>
          <w:tcPr>
            <w:tcW w:w="16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48,321,848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028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028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40"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In connection with the entry into the Hercules Term Loan, the Company issued to Hercules a warrant to purchase a number of shares of the Company’s common stock equal to 2.5% of the aggregate amount of the Term Loan Advances that are funded. Further information on warrants issued related to this loan and prior debt financings and amendments are disclosed in Note 7 - Stockholders’ Equity under the “Warrants” section.</w:t>
      </w:r>
    </w:p>
    <w:p>
      <w:pPr>
        <w:spacing w:after="0" w:line="184"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color w:val="auto"/>
        </w:rPr>
        <w:t>Amortization of the debt discount in relation to warrants issued as described above was $135,885 and $403,767 for the three and nine months ended September 30, 2021 and $46,920 and $165,556 for the three and nine months ended September 30, 2020, respectively.</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220" w:type="dxa"/>
            <w:vAlign w:val="bottom"/>
          </w:tcPr>
          <w:p>
            <w:pPr>
              <w:ind w:left="760"/>
              <w:spacing w:after="0"/>
              <w:rPr>
                <w:sz w:val="20"/>
                <w:szCs w:val="20"/>
                <w:color w:val="auto"/>
              </w:rPr>
            </w:pPr>
            <w:r>
              <w:rPr>
                <w:rFonts w:ascii="Arial" w:cs="Arial" w:eastAsia="Arial" w:hAnsi="Arial"/>
                <w:sz w:val="16"/>
                <w:szCs w:val="16"/>
                <w:color w:val="auto"/>
              </w:rPr>
              <w:t>Scheduled Principal Payments on Outstanding Debt, as of September 30, 2021, are as follows:</w:t>
            </w:r>
          </w:p>
        </w:tc>
        <w:tc>
          <w:tcPr>
            <w:tcW w:w="6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76"/>
        </w:trPr>
        <w:tc>
          <w:tcPr>
            <w:tcW w:w="9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56"/>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60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2022</w:t>
            </w:r>
          </w:p>
        </w:tc>
        <w:tc>
          <w:tcPr>
            <w:tcW w:w="6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63"/>
        </w:trPr>
        <w:tc>
          <w:tcPr>
            <w:tcW w:w="922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60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rPr>
              <w:t>12,193,153</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2024</w:t>
            </w:r>
          </w:p>
        </w:tc>
        <w:tc>
          <w:tcPr>
            <w:tcW w:w="60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19,761,468</w:t>
            </w:r>
          </w:p>
        </w:tc>
      </w:tr>
      <w:tr>
        <w:trPr>
          <w:trHeight w:val="257"/>
        </w:trPr>
        <w:tc>
          <w:tcPr>
            <w:tcW w:w="92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600" w:type="dxa"/>
            <w:vAlign w:val="bottom"/>
            <w:tcBorders>
              <w:bottom w:val="single" w:sz="8" w:color="auto"/>
            </w:tcBorders>
            <w:shd w:val="clear" w:color="auto" w:fill="CFF0FC"/>
          </w:tcPr>
          <w:p>
            <w:pPr>
              <w:spacing w:after="0"/>
              <w:rPr>
                <w:sz w:val="22"/>
                <w:szCs w:val="22"/>
                <w:color w:val="auto"/>
              </w:rPr>
            </w:pPr>
          </w:p>
        </w:tc>
        <w:tc>
          <w:tcPr>
            <w:tcW w:w="142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18,045,379</w:t>
            </w:r>
          </w:p>
        </w:tc>
      </w:tr>
      <w:tr>
        <w:trPr>
          <w:trHeight w:val="250"/>
        </w:trPr>
        <w:tc>
          <w:tcPr>
            <w:tcW w:w="9220" w:type="dxa"/>
            <w:vAlign w:val="bottom"/>
          </w:tcPr>
          <w:p>
            <w:pPr>
              <w:ind w:left="20"/>
              <w:spacing w:after="0"/>
              <w:rPr>
                <w:sz w:val="20"/>
                <w:szCs w:val="20"/>
                <w:color w:val="auto"/>
              </w:rPr>
            </w:pPr>
            <w:r>
              <w:rPr>
                <w:rFonts w:ascii="Arial" w:cs="Arial" w:eastAsia="Arial" w:hAnsi="Arial"/>
                <w:sz w:val="18"/>
                <w:szCs w:val="18"/>
                <w:color w:val="auto"/>
              </w:rPr>
              <w:t>Total principal payments outstanding</w:t>
            </w: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50,000,000</w:t>
            </w:r>
          </w:p>
        </w:tc>
      </w:tr>
      <w:tr>
        <w:trPr>
          <w:trHeight w:val="20"/>
        </w:trPr>
        <w:tc>
          <w:tcPr>
            <w:tcW w:w="92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Company was in compliance with all covenants and requirements of its financing arrangements as of and during the nine months ended September 30, 2021.</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Net Loss per Common Share</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computation of basic and diluted net loss per common share:</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7"/>
              </w:rPr>
              <w:t>Three Months Ended September 30,</w:t>
            </w:r>
          </w:p>
        </w:tc>
        <w:tc>
          <w:tcPr>
            <w:tcW w:w="2660" w:type="dxa"/>
            <w:vAlign w:val="bottom"/>
            <w:gridSpan w:val="2"/>
          </w:tcPr>
          <w:p>
            <w:pPr>
              <w:jc w:val="right"/>
              <w:ind w:right="335"/>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196"/>
        </w:trPr>
        <w:tc>
          <w:tcPr>
            <w:tcW w:w="536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2021</w:t>
            </w:r>
          </w:p>
        </w:tc>
        <w:tc>
          <w:tcPr>
            <w:tcW w:w="116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2020</w:t>
            </w:r>
          </w:p>
        </w:tc>
      </w:tr>
      <w:tr>
        <w:trPr>
          <w:trHeight w:val="256"/>
        </w:trPr>
        <w:tc>
          <w:tcPr>
            <w:tcW w:w="5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22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160" w:type="dxa"/>
            <w:vAlign w:val="bottom"/>
            <w:shd w:val="clear" w:color="auto" w:fill="CFF0FC"/>
          </w:tcPr>
          <w:p>
            <w:pPr>
              <w:spacing w:after="0"/>
              <w:rPr>
                <w:sz w:val="22"/>
                <w:szCs w:val="22"/>
                <w:color w:val="auto"/>
              </w:rPr>
            </w:pP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(34,882,677 ) $</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(22,924,815 ) $</w:t>
            </w:r>
          </w:p>
        </w:tc>
        <w:tc>
          <w:tcPr>
            <w:tcW w:w="1500" w:type="dxa"/>
            <w:vAlign w:val="bottom"/>
          </w:tcPr>
          <w:p>
            <w:pPr>
              <w:jc w:val="right"/>
              <w:ind w:right="77"/>
              <w:spacing w:after="0"/>
              <w:rPr>
                <w:sz w:val="20"/>
                <w:szCs w:val="20"/>
                <w:color w:val="auto"/>
              </w:rPr>
            </w:pPr>
            <w:r>
              <w:rPr>
                <w:rFonts w:ascii="Arial" w:cs="Arial" w:eastAsia="Arial" w:hAnsi="Arial"/>
                <w:sz w:val="18"/>
                <w:szCs w:val="18"/>
                <w:color w:val="auto"/>
              </w:rPr>
              <w:t>(96,426,856 ) $</w:t>
            </w:r>
          </w:p>
        </w:tc>
        <w:tc>
          <w:tcPr>
            <w:tcW w:w="1160" w:type="dxa"/>
            <w:vAlign w:val="bottom"/>
          </w:tcPr>
          <w:p>
            <w:pPr>
              <w:jc w:val="right"/>
              <w:spacing w:after="0"/>
              <w:rPr>
                <w:sz w:val="20"/>
                <w:szCs w:val="20"/>
                <w:color w:val="auto"/>
              </w:rPr>
            </w:pPr>
            <w:r>
              <w:rPr>
                <w:rFonts w:ascii="Arial" w:cs="Arial" w:eastAsia="Arial" w:hAnsi="Arial"/>
                <w:sz w:val="18"/>
                <w:szCs w:val="18"/>
                <w:color w:val="auto"/>
              </w:rPr>
              <w:t>(73,735,953 )</w:t>
            </w:r>
          </w:p>
        </w:tc>
      </w:tr>
      <w:tr>
        <w:trPr>
          <w:trHeight w:val="257"/>
        </w:trPr>
        <w:tc>
          <w:tcPr>
            <w:tcW w:w="53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Weighted average common shares outstanding—basic and diluted</w:t>
            </w:r>
          </w:p>
        </w:tc>
        <w:tc>
          <w:tcPr>
            <w:tcW w:w="220" w:type="dxa"/>
            <w:vAlign w:val="bottom"/>
            <w:tcBorders>
              <w:bottom w:val="single" w:sz="8" w:color="auto"/>
            </w:tcBorders>
            <w:shd w:val="clear" w:color="auto" w:fill="CFF0FC"/>
          </w:tcPr>
          <w:p>
            <w:pPr>
              <w:spacing w:after="0"/>
              <w:rPr>
                <w:sz w:val="22"/>
                <w:szCs w:val="22"/>
                <w:color w:val="auto"/>
              </w:rPr>
            </w:pP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Arial" w:cs="Arial" w:eastAsia="Arial" w:hAnsi="Arial"/>
                <w:sz w:val="18"/>
                <w:szCs w:val="18"/>
                <w:color w:val="auto"/>
              </w:rPr>
              <w:t>37,680,966</w:t>
            </w:r>
          </w:p>
        </w:tc>
        <w:tc>
          <w:tcPr>
            <w:tcW w:w="2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1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37,311,726</w:t>
            </w:r>
          </w:p>
        </w:tc>
        <w:tc>
          <w:tcPr>
            <w:tcW w:w="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ind w:right="317"/>
              <w:spacing w:after="0"/>
              <w:rPr>
                <w:sz w:val="20"/>
                <w:szCs w:val="20"/>
                <w:color w:val="auto"/>
              </w:rPr>
            </w:pPr>
            <w:r>
              <w:rPr>
                <w:rFonts w:ascii="Arial" w:cs="Arial" w:eastAsia="Arial" w:hAnsi="Arial"/>
                <w:sz w:val="18"/>
                <w:szCs w:val="18"/>
                <w:color w:val="auto"/>
              </w:rPr>
              <w:t>37,569,416</w:t>
            </w:r>
          </w:p>
        </w:tc>
        <w:tc>
          <w:tcPr>
            <w:tcW w:w="11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37,158,513</w:t>
            </w:r>
          </w:p>
        </w:tc>
      </w:tr>
      <w:tr>
        <w:trPr>
          <w:trHeight w:val="250"/>
        </w:trPr>
        <w:tc>
          <w:tcPr>
            <w:tcW w:w="5360" w:type="dxa"/>
            <w:vAlign w:val="bottom"/>
          </w:tcPr>
          <w:p>
            <w:pPr>
              <w:ind w:left="20"/>
              <w:spacing w:after="0"/>
              <w:rPr>
                <w:sz w:val="20"/>
                <w:szCs w:val="20"/>
                <w:color w:val="auto"/>
              </w:rPr>
            </w:pPr>
            <w:r>
              <w:rPr>
                <w:rFonts w:ascii="Arial" w:cs="Arial" w:eastAsia="Arial" w:hAnsi="Arial"/>
                <w:sz w:val="18"/>
                <w:szCs w:val="18"/>
                <w:color w:val="auto"/>
              </w:rPr>
              <w:t>Net loss per common share—basic and 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gridSpan w:val="3"/>
          </w:tcPr>
          <w:p>
            <w:pPr>
              <w:jc w:val="right"/>
              <w:ind w:right="200"/>
              <w:spacing w:after="0"/>
              <w:rPr>
                <w:sz w:val="20"/>
                <w:szCs w:val="20"/>
                <w:color w:val="auto"/>
              </w:rPr>
            </w:pPr>
            <w:r>
              <w:rPr>
                <w:rFonts w:ascii="Arial" w:cs="Arial" w:eastAsia="Arial" w:hAnsi="Arial"/>
                <w:sz w:val="18"/>
                <w:szCs w:val="18"/>
                <w:color w:val="auto"/>
              </w:rPr>
              <w:t>(0.93 ) $</w:t>
            </w:r>
          </w:p>
        </w:tc>
        <w:tc>
          <w:tcPr>
            <w:tcW w:w="1420" w:type="dxa"/>
            <w:vAlign w:val="bottom"/>
            <w:gridSpan w:val="3"/>
          </w:tcPr>
          <w:p>
            <w:pPr>
              <w:jc w:val="right"/>
              <w:ind w:right="120"/>
              <w:spacing w:after="0"/>
              <w:rPr>
                <w:sz w:val="20"/>
                <w:szCs w:val="20"/>
                <w:color w:val="auto"/>
              </w:rPr>
            </w:pPr>
            <w:r>
              <w:rPr>
                <w:rFonts w:ascii="Arial" w:cs="Arial" w:eastAsia="Arial" w:hAnsi="Arial"/>
                <w:sz w:val="18"/>
                <w:szCs w:val="18"/>
                <w:color w:val="auto"/>
              </w:rPr>
              <w:t>(0.61 ) $</w:t>
            </w:r>
          </w:p>
        </w:tc>
        <w:tc>
          <w:tcPr>
            <w:tcW w:w="1500" w:type="dxa"/>
            <w:vAlign w:val="bottom"/>
          </w:tcPr>
          <w:p>
            <w:pPr>
              <w:jc w:val="right"/>
              <w:ind w:right="77"/>
              <w:spacing w:after="0"/>
              <w:rPr>
                <w:sz w:val="20"/>
                <w:szCs w:val="20"/>
                <w:color w:val="auto"/>
              </w:rPr>
            </w:pPr>
            <w:r>
              <w:rPr>
                <w:rFonts w:ascii="Arial" w:cs="Arial" w:eastAsia="Arial" w:hAnsi="Arial"/>
                <w:sz w:val="18"/>
                <w:szCs w:val="18"/>
                <w:color w:val="auto"/>
              </w:rPr>
              <w:t>(2.57 ) $</w:t>
            </w:r>
          </w:p>
        </w:tc>
        <w:tc>
          <w:tcPr>
            <w:tcW w:w="1160" w:type="dxa"/>
            <w:vAlign w:val="bottom"/>
          </w:tcPr>
          <w:p>
            <w:pPr>
              <w:jc w:val="right"/>
              <w:spacing w:after="0"/>
              <w:rPr>
                <w:sz w:val="20"/>
                <w:szCs w:val="20"/>
                <w:color w:val="auto"/>
              </w:rPr>
            </w:pPr>
            <w:r>
              <w:rPr>
                <w:rFonts w:ascii="Arial" w:cs="Arial" w:eastAsia="Arial" w:hAnsi="Arial"/>
                <w:sz w:val="18"/>
                <w:szCs w:val="18"/>
                <w:color w:val="auto"/>
              </w:rPr>
              <w:t>(1.98 )</w:t>
            </w:r>
          </w:p>
        </w:tc>
      </w:tr>
      <w:tr>
        <w:trPr>
          <w:trHeight w:val="20"/>
        </w:trPr>
        <w:tc>
          <w:tcPr>
            <w:tcW w:w="5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-193675</wp:posOffset>
            </wp:positionV>
            <wp:extent cx="17145" cy="57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-193675</wp:posOffset>
            </wp:positionV>
            <wp:extent cx="1714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571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-193675</wp:posOffset>
            </wp:positionV>
            <wp:extent cx="8890" cy="57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5715"/>
                    </a:xfrm>
                    <a:prstGeom prst="rect">
                      <a:avLst/>
                    </a:prstGeom>
                    <a:noFill/>
                  </pic:spPr>
                </pic:pic>
              </a:graphicData>
            </a:graphic>
          </wp:anchor>
        </w:drawing>
      </w:r>
    </w:p>
    <w:p>
      <w:pPr>
        <w:spacing w:after="0" w:line="240" w:lineRule="exact"/>
        <w:rPr>
          <w:sz w:val="20"/>
          <w:szCs w:val="20"/>
          <w:color w:val="auto"/>
        </w:rPr>
      </w:pPr>
    </w:p>
    <w:p>
      <w:pPr>
        <w:ind w:right="100" w:firstLine="749"/>
        <w:spacing w:after="0" w:line="293" w:lineRule="auto"/>
        <w:rPr>
          <w:sz w:val="20"/>
          <w:szCs w:val="20"/>
          <w:color w:val="auto"/>
        </w:rPr>
      </w:pPr>
      <w:r>
        <w:rPr>
          <w:rFonts w:ascii="Arial" w:cs="Arial" w:eastAsia="Arial" w:hAnsi="Arial"/>
          <w:sz w:val="16"/>
          <w:szCs w:val="16"/>
          <w:color w:val="auto"/>
        </w:rPr>
        <w:t>The following potentially dilutive securities outstanding at September 30, 2021 and 2020 have been excluded from the computation of diluted weighted average shares outstanding, as they would be anti-dilutive:</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2320" w:type="dxa"/>
            <w:vAlign w:val="bottom"/>
            <w:tcBorders>
              <w:bottom w:val="single" w:sz="8" w:color="auto"/>
            </w:tcBorders>
            <w:gridSpan w:val="3"/>
          </w:tcPr>
          <w:p>
            <w:pPr>
              <w:ind w:left="1280"/>
              <w:spacing w:after="0"/>
              <w:rPr>
                <w:sz w:val="20"/>
                <w:szCs w:val="20"/>
                <w:color w:val="auto"/>
              </w:rPr>
            </w:pPr>
            <w:r>
              <w:rPr>
                <w:rFonts w:ascii="Arial" w:cs="Arial" w:eastAsia="Arial" w:hAnsi="Arial"/>
                <w:sz w:val="14"/>
                <w:szCs w:val="14"/>
                <w:b w:val="1"/>
                <w:bCs w:val="1"/>
                <w:color w:val="auto"/>
              </w:rPr>
              <w:t>September 30,</w:t>
            </w:r>
          </w:p>
        </w:tc>
        <w:tc>
          <w:tcPr>
            <w:tcW w:w="1200" w:type="dxa"/>
            <w:vAlign w:val="bottom"/>
            <w:tcBorders>
              <w:bottom w:val="single" w:sz="8" w:color="auto"/>
            </w:tcBorders>
          </w:tcPr>
          <w:p>
            <w:pPr>
              <w:spacing w:after="0"/>
              <w:rPr>
                <w:sz w:val="16"/>
                <w:szCs w:val="16"/>
                <w:color w:val="auto"/>
              </w:rPr>
            </w:pPr>
          </w:p>
        </w:tc>
      </w:tr>
      <w:tr>
        <w:trPr>
          <w:trHeight w:val="196"/>
        </w:trPr>
        <w:tc>
          <w:tcPr>
            <w:tcW w:w="7720" w:type="dxa"/>
            <w:vAlign w:val="bottom"/>
          </w:tcPr>
          <w:p>
            <w:pPr>
              <w:spacing w:after="0"/>
              <w:rPr>
                <w:sz w:val="17"/>
                <w:szCs w:val="17"/>
                <w:color w:val="auto"/>
              </w:rPr>
            </w:pPr>
          </w:p>
        </w:tc>
        <w:tc>
          <w:tcPr>
            <w:tcW w:w="1680" w:type="dxa"/>
            <w:vAlign w:val="bottom"/>
            <w:tcBorders>
              <w:bottom w:val="single" w:sz="8" w:color="auto"/>
            </w:tcBorders>
          </w:tcPr>
          <w:p>
            <w:pPr>
              <w:jc w:val="right"/>
              <w:ind w:right="65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56"/>
        </w:trPr>
        <w:tc>
          <w:tcPr>
            <w:tcW w:w="7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 options</w:t>
            </w: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4,594,842</w:t>
            </w:r>
          </w:p>
        </w:tc>
        <w:tc>
          <w:tcPr>
            <w:tcW w:w="1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3,909,855</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Restricted stock units</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302,001</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155,922</w:t>
            </w:r>
          </w:p>
        </w:tc>
      </w:tr>
      <w:tr>
        <w:trPr>
          <w:trHeight w:val="257"/>
        </w:trPr>
        <w:tc>
          <w:tcPr>
            <w:tcW w:w="7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Warrants</w:t>
            </w:r>
          </w:p>
        </w:tc>
        <w:tc>
          <w:tcPr>
            <w:tcW w:w="16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15,541</w:t>
            </w:r>
          </w:p>
        </w:tc>
        <w:tc>
          <w:tcPr>
            <w:tcW w:w="1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15,541</w:t>
            </w:r>
          </w:p>
        </w:tc>
      </w:tr>
      <w:tr>
        <w:trPr>
          <w:trHeight w:val="250"/>
        </w:trPr>
        <w:tc>
          <w:tcPr>
            <w:tcW w:w="7720" w:type="dxa"/>
            <w:vAlign w:val="bottom"/>
          </w:tcPr>
          <w:p>
            <w:pPr>
              <w:ind w:left="2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4,912,384</w:t>
            </w:r>
          </w:p>
        </w:tc>
        <w:tc>
          <w:tcPr>
            <w:tcW w:w="1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4,081,318</w:t>
            </w:r>
          </w:p>
        </w:tc>
      </w:tr>
      <w:tr>
        <w:trPr>
          <w:trHeight w:val="20"/>
        </w:trPr>
        <w:tc>
          <w:tcPr>
            <w:tcW w:w="77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-193675</wp:posOffset>
            </wp:positionV>
            <wp:extent cx="11112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Commitments and Contingencies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Leases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For the three and nine months ended September 30, 2021, the Company had the following operating lease expense: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Three Months Ended September 30,</w:t>
            </w:r>
          </w:p>
        </w:tc>
        <w:tc>
          <w:tcPr>
            <w:tcW w:w="220" w:type="dxa"/>
            <w:vAlign w:val="bottom"/>
          </w:tcPr>
          <w:p>
            <w:pPr>
              <w:spacing w:after="0"/>
              <w:rPr>
                <w:sz w:val="16"/>
                <w:szCs w:val="16"/>
                <w:color w:val="auto"/>
              </w:rPr>
            </w:pPr>
          </w:p>
        </w:tc>
        <w:tc>
          <w:tcPr>
            <w:tcW w:w="2420" w:type="dxa"/>
            <w:vAlign w:val="bottom"/>
            <w:gridSpan w:val="8"/>
          </w:tcPr>
          <w:p>
            <w:pPr>
              <w:ind w:left="40"/>
              <w:spacing w:after="0"/>
              <w:rPr>
                <w:sz w:val="20"/>
                <w:szCs w:val="20"/>
                <w:color w:val="auto"/>
              </w:rPr>
            </w:pPr>
            <w:r>
              <w:rPr>
                <w:rFonts w:ascii="Arial" w:cs="Arial" w:eastAsia="Arial" w:hAnsi="Arial"/>
                <w:sz w:val="14"/>
                <w:szCs w:val="14"/>
                <w:b w:val="1"/>
                <w:bCs w:val="1"/>
                <w:color w:val="auto"/>
              </w:rPr>
              <w:t>Nine Months Ended September 30,</w:t>
            </w:r>
          </w:p>
        </w:tc>
      </w:tr>
      <w:tr>
        <w:trPr>
          <w:trHeight w:val="197"/>
        </w:trPr>
        <w:tc>
          <w:tcPr>
            <w:tcW w:w="2640" w:type="dxa"/>
            <w:vAlign w:val="bottom"/>
          </w:tcPr>
          <w:p>
            <w:pPr>
              <w:spacing w:after="0"/>
              <w:rPr>
                <w:sz w:val="17"/>
                <w:szCs w:val="17"/>
                <w:color w:val="auto"/>
              </w:rPr>
            </w:pPr>
          </w:p>
        </w:tc>
        <w:tc>
          <w:tcPr>
            <w:tcW w:w="35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Statement of Operations Location</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2"/>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expense</w:t>
            </w:r>
          </w:p>
        </w:tc>
        <w:tc>
          <w:tcPr>
            <w:tcW w:w="36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w w:val="99"/>
              </w:rPr>
              <w:t>General and administrative and Research and</w:t>
            </w:r>
          </w:p>
        </w:tc>
        <w:tc>
          <w:tcPr>
            <w:tcW w:w="22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286,923</w:t>
            </w:r>
          </w:p>
        </w:tc>
        <w:tc>
          <w:tcPr>
            <w:tcW w:w="60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ind w:left="46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w w:val="89"/>
              </w:rPr>
              <w:t>860,769</w:t>
            </w:r>
          </w:p>
        </w:tc>
        <w:tc>
          <w:tcPr>
            <w:tcW w:w="44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r>
      <w:tr>
        <w:trPr>
          <w:trHeight w:val="230"/>
        </w:trPr>
        <w:tc>
          <w:tcPr>
            <w:tcW w:w="2640" w:type="dxa"/>
            <w:vAlign w:val="bottom"/>
            <w:tcBorders>
              <w:bottom w:val="single" w:sz="8" w:color="CFF0FC"/>
            </w:tcBorders>
            <w:shd w:val="clear" w:color="auto" w:fill="CFF0FC"/>
          </w:tcPr>
          <w:p>
            <w:pPr>
              <w:spacing w:after="0"/>
              <w:rPr>
                <w:sz w:val="20"/>
                <w:szCs w:val="20"/>
                <w:color w:val="auto"/>
              </w:rPr>
            </w:pPr>
          </w:p>
        </w:tc>
        <w:tc>
          <w:tcPr>
            <w:tcW w:w="368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development</w:t>
            </w:r>
          </w:p>
        </w:tc>
        <w:tc>
          <w:tcPr>
            <w:tcW w:w="22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r>
      <w:tr>
        <w:trPr>
          <w:trHeight w:val="243"/>
        </w:trPr>
        <w:tc>
          <w:tcPr>
            <w:tcW w:w="2640" w:type="dxa"/>
            <w:vAlign w:val="bottom"/>
          </w:tcPr>
          <w:p>
            <w:pPr>
              <w:ind w:left="20"/>
              <w:spacing w:after="0"/>
              <w:rPr>
                <w:sz w:val="20"/>
                <w:szCs w:val="20"/>
                <w:color w:val="auto"/>
              </w:rPr>
            </w:pPr>
            <w:r>
              <w:rPr>
                <w:rFonts w:ascii="Arial" w:cs="Arial" w:eastAsia="Arial" w:hAnsi="Arial"/>
                <w:sz w:val="18"/>
                <w:szCs w:val="18"/>
                <w:color w:val="auto"/>
              </w:rPr>
              <w:t>Total operating lease expense</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286,923</w:t>
            </w:r>
          </w:p>
        </w:tc>
        <w:tc>
          <w:tcPr>
            <w:tcW w:w="240" w:type="dxa"/>
            <w:vAlign w:val="bottom"/>
          </w:tcPr>
          <w:p>
            <w:pPr>
              <w:spacing w:after="0"/>
              <w:rPr>
                <w:sz w:val="21"/>
                <w:szCs w:val="21"/>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gridSpan w:val="2"/>
          </w:tcPr>
          <w:p>
            <w:pPr>
              <w:ind w:left="220"/>
              <w:spacing w:after="0"/>
              <w:rPr>
                <w:sz w:val="20"/>
                <w:szCs w:val="20"/>
                <w:color w:val="auto"/>
              </w:rPr>
            </w:pPr>
            <w:r>
              <w:rPr>
                <w:rFonts w:ascii="Arial" w:cs="Arial" w:eastAsia="Arial" w:hAnsi="Arial"/>
                <w:sz w:val="18"/>
                <w:szCs w:val="18"/>
                <w:color w:val="auto"/>
                <w:w w:val="89"/>
              </w:rPr>
              <w:t>860,769</w:t>
            </w:r>
          </w:p>
        </w:tc>
        <w:tc>
          <w:tcPr>
            <w:tcW w:w="22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spacing w:after="0"/>
              <w:rPr>
                <w:sz w:val="21"/>
                <w:szCs w:val="21"/>
                <w:color w:val="auto"/>
              </w:rPr>
            </w:pPr>
          </w:p>
        </w:tc>
      </w:tr>
      <w:tr>
        <w:trPr>
          <w:trHeight w:val="20"/>
        </w:trPr>
        <w:tc>
          <w:tcPr>
            <w:tcW w:w="6320" w:type="dxa"/>
            <w:vAlign w:val="bottom"/>
            <w:gridSpan w:val="3"/>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0"/>
        </w:trPr>
        <w:tc>
          <w:tcPr>
            <w:tcW w:w="7940" w:type="dxa"/>
            <w:vAlign w:val="bottom"/>
            <w:gridSpan w:val="7"/>
          </w:tcPr>
          <w:p>
            <w:pPr>
              <w:ind w:left="760"/>
              <w:spacing w:after="0"/>
              <w:rPr>
                <w:sz w:val="20"/>
                <w:szCs w:val="20"/>
                <w:color w:val="auto"/>
              </w:rPr>
            </w:pPr>
            <w:r>
              <w:rPr>
                <w:rFonts w:ascii="Arial" w:cs="Arial" w:eastAsia="Arial" w:hAnsi="Arial"/>
                <w:sz w:val="16"/>
                <w:szCs w:val="16"/>
                <w:color w:val="auto"/>
                <w:w w:val="90"/>
              </w:rPr>
              <w:t>Future minimum lease payments of the Company’s operating leases as of September 30, 2021 were as follows:</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6"/>
        </w:trPr>
        <w:tc>
          <w:tcPr>
            <w:tcW w:w="264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CFF0FC"/>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100" w:type="dxa"/>
            <w:vAlign w:val="bottom"/>
            <w:tcBorders>
              <w:bottom w:val="single" w:sz="8" w:color="CFF0FC"/>
            </w:tcBorders>
          </w:tcPr>
          <w:p>
            <w:pPr>
              <w:spacing w:after="0"/>
              <w:rPr>
                <w:sz w:val="24"/>
                <w:szCs w:val="24"/>
                <w:color w:val="auto"/>
              </w:rPr>
            </w:pPr>
          </w:p>
        </w:tc>
      </w:tr>
      <w:tr>
        <w:trPr>
          <w:trHeight w:val="250"/>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2021</w:t>
            </w:r>
          </w:p>
        </w:tc>
        <w:tc>
          <w:tcPr>
            <w:tcW w:w="35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270,000</w:t>
            </w:r>
          </w:p>
        </w:tc>
        <w:tc>
          <w:tcPr>
            <w:tcW w:w="100" w:type="dxa"/>
            <w:vAlign w:val="bottom"/>
            <w:shd w:val="clear" w:color="auto" w:fill="CFF0FC"/>
          </w:tcPr>
          <w:p>
            <w:pPr>
              <w:spacing w:after="0"/>
              <w:rPr>
                <w:sz w:val="21"/>
                <w:szCs w:val="21"/>
                <w:color w:val="auto"/>
              </w:rPr>
            </w:pPr>
          </w:p>
        </w:tc>
      </w:tr>
      <w:tr>
        <w:trPr>
          <w:trHeight w:val="250"/>
        </w:trPr>
        <w:tc>
          <w:tcPr>
            <w:tcW w:w="2640" w:type="dxa"/>
            <w:vAlign w:val="bottom"/>
          </w:tcPr>
          <w:p>
            <w:pPr>
              <w:ind w:left="20"/>
              <w:spacing w:after="0"/>
              <w:rPr>
                <w:sz w:val="20"/>
                <w:szCs w:val="20"/>
                <w:color w:val="auto"/>
              </w:rPr>
            </w:pPr>
            <w:r>
              <w:rPr>
                <w:rFonts w:ascii="Arial" w:cs="Arial" w:eastAsia="Arial" w:hAnsi="Arial"/>
                <w:sz w:val="18"/>
                <w:szCs w:val="18"/>
                <w:color w:val="auto"/>
              </w:rPr>
              <w:t>2022</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630,000</w:t>
            </w:r>
          </w:p>
        </w:tc>
        <w:tc>
          <w:tcPr>
            <w:tcW w:w="100" w:type="dxa"/>
            <w:vAlign w:val="bottom"/>
          </w:tcPr>
          <w:p>
            <w:pPr>
              <w:spacing w:after="0"/>
              <w:rPr>
                <w:sz w:val="21"/>
                <w:szCs w:val="21"/>
                <w:color w:val="auto"/>
              </w:rPr>
            </w:pPr>
          </w:p>
        </w:tc>
      </w:tr>
      <w:tr>
        <w:trPr>
          <w:trHeight w:val="263"/>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2023</w:t>
            </w:r>
          </w:p>
        </w:tc>
        <w:tc>
          <w:tcPr>
            <w:tcW w:w="35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Pr>
          <w:p>
            <w:pPr>
              <w:ind w:left="20"/>
              <w:spacing w:after="0"/>
              <w:rPr>
                <w:sz w:val="20"/>
                <w:szCs w:val="20"/>
                <w:color w:val="auto"/>
              </w:rPr>
            </w:pPr>
            <w:r>
              <w:rPr>
                <w:rFonts w:ascii="Arial" w:cs="Arial" w:eastAsia="Arial" w:hAnsi="Arial"/>
                <w:sz w:val="18"/>
                <w:szCs w:val="18"/>
                <w:color w:val="auto"/>
              </w:rPr>
              <w:t>2024</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63"/>
        </w:trPr>
        <w:tc>
          <w:tcPr>
            <w:tcW w:w="2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2025</w:t>
            </w:r>
          </w:p>
        </w:tc>
        <w:tc>
          <w:tcPr>
            <w:tcW w:w="35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8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50"/>
        </w:trPr>
        <w:tc>
          <w:tcPr>
            <w:tcW w:w="26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2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payments</w:t>
            </w:r>
          </w:p>
        </w:tc>
        <w:tc>
          <w:tcPr>
            <w:tcW w:w="354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shd w:val="clear" w:color="auto" w:fill="CFF0FC"/>
          </w:tcPr>
          <w:p>
            <w:pPr>
              <w:spacing w:after="0"/>
              <w:rPr>
                <w:sz w:val="22"/>
                <w:szCs w:val="22"/>
                <w:color w:val="auto"/>
              </w:rPr>
            </w:pPr>
          </w:p>
        </w:tc>
      </w:tr>
      <w:tr>
        <w:trPr>
          <w:trHeight w:val="250"/>
        </w:trPr>
        <w:tc>
          <w:tcPr>
            <w:tcW w:w="264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3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(19,884 )</w:t>
            </w:r>
          </w:p>
        </w:tc>
      </w:tr>
      <w:tr>
        <w:trPr>
          <w:trHeight w:val="290"/>
        </w:trPr>
        <w:tc>
          <w:tcPr>
            <w:tcW w:w="6320" w:type="dxa"/>
            <w:vAlign w:val="bottom"/>
            <w:tcBorders>
              <w:bottom w:val="single" w:sz="8" w:color="CFF0FC"/>
            </w:tcBorders>
            <w:gridSpan w:val="3"/>
            <w:shd w:val="clear" w:color="auto" w:fill="CFF0FC"/>
          </w:tcPr>
          <w:p>
            <w:pPr>
              <w:ind w:left="120"/>
              <w:spacing w:after="0"/>
              <w:rPr>
                <w:sz w:val="20"/>
                <w:szCs w:val="20"/>
                <w:color w:val="auto"/>
              </w:rPr>
            </w:pPr>
            <w:r>
              <w:rPr>
                <w:rFonts w:ascii="Arial" w:cs="Arial" w:eastAsia="Arial" w:hAnsi="Arial"/>
                <w:sz w:val="18"/>
                <w:szCs w:val="18"/>
                <w:color w:val="auto"/>
              </w:rPr>
              <w:t>Present value of operating lease liabilities</w:t>
            </w:r>
          </w:p>
        </w:tc>
        <w:tc>
          <w:tcPr>
            <w:tcW w:w="220" w:type="dxa"/>
            <w:vAlign w:val="bottom"/>
            <w:tcBorders>
              <w:bottom w:val="single" w:sz="8" w:color="CFF0FC"/>
            </w:tcBorders>
            <w:shd w:val="clear" w:color="auto" w:fill="CFF0FC"/>
          </w:tcPr>
          <w:p>
            <w:pPr>
              <w:spacing w:after="0"/>
              <w:rPr>
                <w:sz w:val="24"/>
                <w:szCs w:val="24"/>
                <w:color w:val="auto"/>
              </w:rPr>
            </w:pPr>
          </w:p>
        </w:tc>
        <w:tc>
          <w:tcPr>
            <w:tcW w:w="8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6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880,116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-2148205</wp:posOffset>
            </wp:positionV>
            <wp:extent cx="15430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54305" cy="571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-2148205</wp:posOffset>
            </wp:positionV>
            <wp:extent cx="146050"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46050" cy="571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-2148205</wp:posOffset>
            </wp:positionV>
            <wp:extent cx="13716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-2148205</wp:posOffset>
            </wp:positionV>
            <wp:extent cx="137160" cy="57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-1516380</wp:posOffset>
            </wp:positionV>
            <wp:extent cx="137160" cy="57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716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-1516380</wp:posOffset>
            </wp:positionV>
            <wp:extent cx="5969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-24765</wp:posOffset>
            </wp:positionV>
            <wp:extent cx="596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86" w:lineRule="exact"/>
        <w:rPr>
          <w:sz w:val="20"/>
          <w:szCs w:val="20"/>
          <w:color w:val="auto"/>
        </w:rPr>
      </w:pPr>
    </w:p>
    <w:p>
      <w:pPr>
        <w:ind w:right="80" w:firstLine="749"/>
        <w:spacing w:after="0" w:line="273" w:lineRule="auto"/>
        <w:rPr>
          <w:sz w:val="20"/>
          <w:szCs w:val="20"/>
          <w:color w:val="auto"/>
        </w:rPr>
      </w:pPr>
      <w:r>
        <w:rPr>
          <w:rFonts w:ascii="Arial" w:cs="Arial" w:eastAsia="Arial" w:hAnsi="Arial"/>
          <w:sz w:val="16"/>
          <w:szCs w:val="16"/>
          <w:color w:val="auto"/>
        </w:rPr>
        <w:t>As of September 30, 2021, the remaining lease term for our operating lease was 0.8 years with a discount rate of 6.0%. The interest rate implicit in lease contracts is typically not readily determinable and as such, the Company uses its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Stockholders’ Equity</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 Structure</w:t>
      </w:r>
    </w:p>
    <w:p>
      <w:pPr>
        <w:spacing w:after="0" w:line="239" w:lineRule="exact"/>
        <w:rPr>
          <w:sz w:val="20"/>
          <w:szCs w:val="20"/>
          <w:color w:val="auto"/>
        </w:rPr>
      </w:pPr>
    </w:p>
    <w:p>
      <w:pPr>
        <w:ind w:right="60" w:firstLine="749"/>
        <w:spacing w:after="0" w:line="271" w:lineRule="auto"/>
        <w:rPr>
          <w:sz w:val="20"/>
          <w:szCs w:val="20"/>
          <w:color w:val="auto"/>
        </w:rPr>
      </w:pPr>
      <w:r>
        <w:rPr>
          <w:rFonts w:ascii="Arial" w:cs="Arial" w:eastAsia="Arial" w:hAnsi="Arial"/>
          <w:sz w:val="16"/>
          <w:szCs w:val="16"/>
          <w:color w:val="auto"/>
        </w:rPr>
        <w:t>In May 2019, the Company entered into the May 2019 Sales Agreement with SVB Leerink, pursuant to which the Company may sell up to $50 million in shares of the Company’s common stock from time to time through SVB Leerink, acting as the Company’s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at the Company’s option, the shares that were unsold of approximately $29.9 million under the May 2019 Sales Agreement, may be rolled over to the December 2019 Sales Agreement (see below).</w:t>
      </w:r>
    </w:p>
    <w:p>
      <w:pPr>
        <w:spacing w:after="0" w:line="190"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In December 2019, the Company entered into the December 2019 Sales Agreement with SVB Leerink, pursuant to which the Company may sell up to $80 million in shares of the Company’s common stock from time to time through SVB Leerink, acting as the Company’s sales agent, in one or more at-the-market offerings utilizing the 2019 Shelf Registration Statement. SVB Leerink is entitled to receive a commission of 3.0% of the gross proceeds for any shares sold under the December 2019 Sales Agreement. For the nine months ended September 30, 2021, the Company received approximately $7.4 million in gross proceeds through the sale of 110,296 shares, of which net proceeds were approximately $7.2 million. There was no sale of shares during the three months ended September 30, 2021. For the nine months ended September 30, 2020, the Company received approximately $12.4 million in gross proceeds through the sale of 141,678 shares, of which net proceeds were approximately $12.1 million.</w:t>
      </w:r>
    </w:p>
    <w:p>
      <w:pPr>
        <w:spacing w:after="0" w:line="190" w:lineRule="exact"/>
        <w:rPr>
          <w:sz w:val="20"/>
          <w:szCs w:val="20"/>
          <w:color w:val="auto"/>
        </w:rPr>
      </w:pPr>
    </w:p>
    <w:p>
      <w:pPr>
        <w:ind w:right="420" w:firstLine="749"/>
        <w:spacing w:after="0" w:line="278" w:lineRule="auto"/>
        <w:rPr>
          <w:sz w:val="20"/>
          <w:szCs w:val="20"/>
          <w:color w:val="auto"/>
        </w:rPr>
      </w:pPr>
      <w:r>
        <w:rPr>
          <w:rFonts w:ascii="Arial" w:cs="Arial" w:eastAsia="Arial" w:hAnsi="Arial"/>
          <w:sz w:val="16"/>
          <w:szCs w:val="16"/>
          <w:color w:val="auto"/>
        </w:rPr>
        <w:t>In December 2019, the Company completed an underwritten public offering, whereby the Company sold 2,300,000 shares of our common stock at a public offering price of $87.00 per share. The Company received gross proceeds of approximately $200.1 million and net proceeds of approximately $187.1 million, net of underwriting discounts and offering expenses.</w:t>
      </w:r>
    </w:p>
    <w:p>
      <w:pPr>
        <w:spacing w:after="0" w:line="184"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Shelf Registration Statement</w:t>
      </w:r>
    </w:p>
    <w:p>
      <w:pPr>
        <w:spacing w:after="0" w:line="239" w:lineRule="exact"/>
        <w:rPr>
          <w:sz w:val="20"/>
          <w:szCs w:val="20"/>
          <w:color w:val="auto"/>
        </w:rPr>
      </w:pPr>
    </w:p>
    <w:p>
      <w:pPr>
        <w:ind w:right="200" w:firstLine="749"/>
        <w:spacing w:after="0" w:line="273" w:lineRule="auto"/>
        <w:rPr>
          <w:sz w:val="20"/>
          <w:szCs w:val="20"/>
          <w:color w:val="auto"/>
        </w:rPr>
      </w:pPr>
      <w:r>
        <w:rPr>
          <w:rFonts w:ascii="Arial" w:cs="Arial" w:eastAsia="Arial" w:hAnsi="Arial"/>
          <w:sz w:val="16"/>
          <w:szCs w:val="16"/>
          <w:color w:val="auto"/>
        </w:rPr>
        <w:t>On December 5, 2019, the Company filed an automatic shelf registration statement (“2019 Shelf Registration”) with the Securities and Exchange Commission (“SEC”) for the issuance of common stock, preferred stock, warrants, rights, debt securities and units. It became effective upon filing with the SEC and is currently the Company’s only active shelf registration. Through the date of this report, the Company has issued common stock of approximately $229.3 million pursuant to such shelf registration statement.</w:t>
      </w:r>
    </w:p>
    <w:p>
      <w:pPr>
        <w:spacing w:after="0" w:line="189" w:lineRule="exact"/>
        <w:rPr>
          <w:sz w:val="20"/>
          <w:szCs w:val="20"/>
          <w:color w:val="auto"/>
        </w:rPr>
      </w:pPr>
    </w:p>
    <w:p>
      <w:pPr>
        <w:ind w:right="160" w:firstLine="749"/>
        <w:spacing w:after="0" w:line="273" w:lineRule="auto"/>
        <w:rPr>
          <w:sz w:val="20"/>
          <w:szCs w:val="20"/>
          <w:color w:val="auto"/>
        </w:rPr>
      </w:pPr>
      <w:r>
        <w:rPr>
          <w:rFonts w:ascii="Arial" w:cs="Arial" w:eastAsia="Arial" w:hAnsi="Arial"/>
          <w:sz w:val="16"/>
          <w:szCs w:val="16"/>
          <w:color w:val="auto"/>
        </w:rPr>
        <w:t>Under SEC rules, the 2019 Shelf Registration Statement allows for the potential future offer and sale by the Company, from time to time, in one or more public offerings, of an indeterminate amount of the Company’s common stock, preferred stock, debt securities, and units at indeterminate prices. At the time any of the securities covered by the 2019 Shelf Registration Statement are offered for sale, a prospectus supplement will be prepared and filed with the SEC containing specific information about the terms of any such offering.</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Incentive Plans</w:t>
      </w:r>
    </w:p>
    <w:p>
      <w:pPr>
        <w:spacing w:after="0" w:line="239"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There were 4,410,279 shares available for the issuance of stock options or stock-based awards under the Company’s 2015 Omnibus Incentive Compensation Plan at September 30, 2021.</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stock option activity for the nine months ended September 30, 2021:</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35"/>
              <w:spacing w:after="0"/>
              <w:rPr>
                <w:sz w:val="20"/>
                <w:szCs w:val="20"/>
                <w:color w:val="auto"/>
              </w:rPr>
            </w:pPr>
            <w:r>
              <w:rPr>
                <w:rFonts w:ascii="Arial" w:cs="Arial" w:eastAsia="Arial" w:hAnsi="Arial"/>
                <w:sz w:val="14"/>
                <w:szCs w:val="14"/>
                <w:b w:val="1"/>
                <w:bCs w:val="1"/>
                <w:color w:val="auto"/>
                <w:w w:val="91"/>
              </w:rPr>
              <w:t>Weighted</w:t>
            </w:r>
          </w:p>
        </w:tc>
        <w:tc>
          <w:tcPr>
            <w:tcW w:w="120" w:type="dxa"/>
            <w:vAlign w:val="bottom"/>
          </w:tcPr>
          <w:p>
            <w:pPr>
              <w:spacing w:after="0"/>
              <w:rPr>
                <w:sz w:val="15"/>
                <w:szCs w:val="15"/>
                <w:color w:val="auto"/>
              </w:rPr>
            </w:pPr>
          </w:p>
        </w:tc>
        <w:tc>
          <w:tcPr>
            <w:tcW w:w="1180" w:type="dxa"/>
            <w:vAlign w:val="bottom"/>
          </w:tcPr>
          <w:p>
            <w:pPr>
              <w:jc w:val="center"/>
              <w:ind w:right="21"/>
              <w:spacing w:after="0"/>
              <w:rPr>
                <w:sz w:val="20"/>
                <w:szCs w:val="20"/>
                <w:color w:val="auto"/>
              </w:rPr>
            </w:pPr>
            <w:r>
              <w:rPr>
                <w:rFonts w:ascii="Arial" w:cs="Arial" w:eastAsia="Arial" w:hAnsi="Arial"/>
                <w:sz w:val="14"/>
                <w:szCs w:val="14"/>
                <w:b w:val="1"/>
                <w:bCs w:val="1"/>
                <w:color w:val="auto"/>
                <w:w w:val="95"/>
              </w:rPr>
              <w:t>Weighted</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239"/>
              <w:spacing w:after="0"/>
              <w:rPr>
                <w:sz w:val="20"/>
                <w:szCs w:val="20"/>
                <w:color w:val="auto"/>
              </w:rPr>
            </w:pPr>
            <w:r>
              <w:rPr>
                <w:rFonts w:ascii="Arial" w:cs="Arial" w:eastAsia="Arial" w:hAnsi="Arial"/>
                <w:sz w:val="14"/>
                <w:szCs w:val="14"/>
                <w:b w:val="1"/>
                <w:bCs w:val="1"/>
                <w:color w:val="auto"/>
                <w:w w:val="92"/>
              </w:rPr>
              <w:t>Aggregate</w:t>
            </w:r>
          </w:p>
        </w:tc>
      </w:tr>
      <w:tr>
        <w:trPr>
          <w:trHeight w:val="176"/>
        </w:trPr>
        <w:tc>
          <w:tcPr>
            <w:tcW w:w="5720" w:type="dxa"/>
            <w:vAlign w:val="bottom"/>
          </w:tcPr>
          <w:p>
            <w:pPr>
              <w:spacing w:after="0"/>
              <w:rPr>
                <w:sz w:val="15"/>
                <w:szCs w:val="15"/>
                <w:color w:val="auto"/>
              </w:rPr>
            </w:pPr>
          </w:p>
        </w:tc>
        <w:tc>
          <w:tcPr>
            <w:tcW w:w="1220" w:type="dxa"/>
            <w:vAlign w:val="bottom"/>
          </w:tcPr>
          <w:p>
            <w:pPr>
              <w:jc w:val="right"/>
              <w:ind w:right="314"/>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center"/>
              <w:ind w:right="155"/>
              <w:spacing w:after="0"/>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5"/>
                <w:szCs w:val="15"/>
                <w:color w:val="auto"/>
              </w:rPr>
            </w:pPr>
          </w:p>
        </w:tc>
        <w:tc>
          <w:tcPr>
            <w:tcW w:w="1180" w:type="dxa"/>
            <w:vAlign w:val="bottom"/>
          </w:tcPr>
          <w:p>
            <w:pPr>
              <w:jc w:val="center"/>
              <w:ind w:right="21"/>
              <w:spacing w:after="0"/>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jc w:val="center"/>
              <w:ind w:right="239"/>
              <w:spacing w:after="0"/>
              <w:rPr>
                <w:sz w:val="20"/>
                <w:szCs w:val="20"/>
                <w:color w:val="auto"/>
              </w:rPr>
            </w:pPr>
            <w:r>
              <w:rPr>
                <w:rFonts w:ascii="Arial" w:cs="Arial" w:eastAsia="Arial" w:hAnsi="Arial"/>
                <w:sz w:val="14"/>
                <w:szCs w:val="14"/>
                <w:b w:val="1"/>
                <w:bCs w:val="1"/>
                <w:color w:val="auto"/>
                <w:w w:val="95"/>
              </w:rPr>
              <w:t>intrinsic</w:t>
            </w:r>
          </w:p>
        </w:tc>
      </w:tr>
      <w:tr>
        <w:trPr>
          <w:trHeight w:val="192"/>
        </w:trPr>
        <w:tc>
          <w:tcPr>
            <w:tcW w:w="5720" w:type="dxa"/>
            <w:vAlign w:val="bottom"/>
          </w:tcPr>
          <w:p>
            <w:pPr>
              <w:spacing w:after="0"/>
              <w:rPr>
                <w:sz w:val="16"/>
                <w:szCs w:val="16"/>
                <w:color w:val="auto"/>
              </w:rPr>
            </w:pPr>
          </w:p>
        </w:tc>
        <w:tc>
          <w:tcPr>
            <w:tcW w:w="12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of shares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exercise price</w:t>
            </w:r>
          </w:p>
        </w:tc>
        <w:tc>
          <w:tcPr>
            <w:tcW w:w="120" w:type="dxa"/>
            <w:vAlign w:val="bottom"/>
          </w:tcPr>
          <w:p>
            <w:pPr>
              <w:spacing w:after="0"/>
              <w:rPr>
                <w:sz w:val="16"/>
                <w:szCs w:val="16"/>
                <w:color w:val="auto"/>
              </w:rPr>
            </w:pPr>
          </w:p>
        </w:tc>
        <w:tc>
          <w:tcPr>
            <w:tcW w:w="118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94"/>
              </w:rPr>
              <w:t>contractual term</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39"/>
              <w:spacing w:after="0"/>
              <w:rPr>
                <w:sz w:val="20"/>
                <w:szCs w:val="20"/>
                <w:color w:val="auto"/>
              </w:rPr>
            </w:pPr>
            <w:r>
              <w:rPr>
                <w:rFonts w:ascii="Arial" w:cs="Arial" w:eastAsia="Arial" w:hAnsi="Arial"/>
                <w:sz w:val="14"/>
                <w:szCs w:val="14"/>
                <w:b w:val="1"/>
                <w:bCs w:val="1"/>
                <w:color w:val="auto"/>
                <w:w w:val="89"/>
              </w:rPr>
              <w:t>value</w:t>
            </w:r>
          </w:p>
        </w:tc>
      </w:tr>
      <w:tr>
        <w:trPr>
          <w:trHeight w:val="256"/>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2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3,725,648</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16.36</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1,279,152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62.09</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57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(198,121 )</w:t>
            </w:r>
          </w:p>
        </w:tc>
        <w:tc>
          <w:tcPr>
            <w:tcW w:w="1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1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16.71</w:t>
            </w:r>
          </w:p>
        </w:tc>
        <w:tc>
          <w:tcPr>
            <w:tcW w:w="120" w:type="dxa"/>
            <w:vAlign w:val="bottom"/>
            <w:shd w:val="clear" w:color="auto" w:fill="CFF0FC"/>
          </w:tcPr>
          <w:p>
            <w:pPr>
              <w:spacing w:after="0"/>
              <w:rPr>
                <w:sz w:val="22"/>
                <w:szCs w:val="22"/>
                <w:color w:val="auto"/>
              </w:rPr>
            </w:pPr>
          </w:p>
        </w:tc>
        <w:tc>
          <w:tcPr>
            <w:tcW w:w="11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r>
      <w:tr>
        <w:trPr>
          <w:trHeight w:val="250"/>
        </w:trPr>
        <w:tc>
          <w:tcPr>
            <w:tcW w:w="572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220" w:type="dxa"/>
            <w:vAlign w:val="bottom"/>
          </w:tcPr>
          <w:p>
            <w:pPr>
              <w:jc w:val="right"/>
              <w:spacing w:after="0"/>
              <w:rPr>
                <w:sz w:val="20"/>
                <w:szCs w:val="20"/>
                <w:color w:val="auto"/>
              </w:rPr>
            </w:pPr>
            <w:r>
              <w:rPr>
                <w:rFonts w:ascii="Arial" w:cs="Arial" w:eastAsia="Arial" w:hAnsi="Arial"/>
                <w:sz w:val="18"/>
                <w:szCs w:val="18"/>
                <w:color w:val="auto"/>
              </w:rPr>
              <w:t>(210,854 )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41.68</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63"/>
        </w:trPr>
        <w:tc>
          <w:tcPr>
            <w:tcW w:w="57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Expired</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(983 )</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1160" w:type="dxa"/>
            <w:vAlign w:val="bottom"/>
            <w:tcBorders>
              <w:bottom w:val="single" w:sz="8" w:color="CFF0FC"/>
            </w:tcBorders>
            <w:shd w:val="clear" w:color="auto" w:fill="CFF0FC"/>
          </w:tcPr>
          <w:p>
            <w:pPr>
              <w:jc w:val="right"/>
              <w:ind w:right="35"/>
              <w:spacing w:after="0"/>
              <w:rPr>
                <w:sz w:val="20"/>
                <w:szCs w:val="20"/>
                <w:color w:val="auto"/>
              </w:rPr>
            </w:pPr>
            <w:r>
              <w:rPr>
                <w:rFonts w:ascii="Arial" w:cs="Arial" w:eastAsia="Arial" w:hAnsi="Arial"/>
                <w:sz w:val="18"/>
                <w:szCs w:val="18"/>
                <w:color w:val="auto"/>
              </w:rPr>
              <w:t>79.19</w:t>
            </w:r>
          </w:p>
        </w:tc>
        <w:tc>
          <w:tcPr>
            <w:tcW w:w="120" w:type="dxa"/>
            <w:vAlign w:val="bottom"/>
            <w:tcBorders>
              <w:bottom w:val="single" w:sz="8" w:color="CFF0FC"/>
            </w:tcBorders>
            <w:shd w:val="clear" w:color="auto" w:fill="CFF0FC"/>
          </w:tcPr>
          <w:p>
            <w:pPr>
              <w:spacing w:after="0"/>
              <w:rPr>
                <w:sz w:val="22"/>
                <w:szCs w:val="22"/>
                <w:color w:val="auto"/>
              </w:rPr>
            </w:pPr>
          </w:p>
        </w:tc>
        <w:tc>
          <w:tcPr>
            <w:tcW w:w="118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CFF0FC"/>
            </w:tcBorders>
            <w:shd w:val="clear" w:color="auto" w:fill="CFF0FC"/>
          </w:tcPr>
          <w:p>
            <w:pPr>
              <w:spacing w:after="0"/>
              <w:rPr>
                <w:sz w:val="22"/>
                <w:szCs w:val="22"/>
                <w:color w:val="auto"/>
              </w:rPr>
            </w:pPr>
          </w:p>
        </w:tc>
        <w:tc>
          <w:tcPr>
            <w:tcW w:w="1240" w:type="dxa"/>
            <w:vAlign w:val="bottom"/>
            <w:tcBorders>
              <w:bottom w:val="single" w:sz="8" w:color="CFF0FC"/>
            </w:tcBorders>
            <w:shd w:val="clear" w:color="auto" w:fill="CFF0FC"/>
          </w:tcPr>
          <w:p>
            <w:pPr>
              <w:spacing w:after="0"/>
              <w:rPr>
                <w:sz w:val="22"/>
                <w:szCs w:val="22"/>
                <w:color w:val="auto"/>
              </w:rPr>
            </w:pPr>
          </w:p>
        </w:tc>
      </w:tr>
      <w:tr>
        <w:trPr>
          <w:trHeight w:val="243"/>
        </w:trPr>
        <w:tc>
          <w:tcPr>
            <w:tcW w:w="572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2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4,594,842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27.90</w:t>
            </w:r>
          </w:p>
        </w:tc>
        <w:tc>
          <w:tcPr>
            <w:tcW w:w="120" w:type="dxa"/>
            <w:vAlign w:val="bottom"/>
          </w:tcPr>
          <w:p>
            <w:pPr>
              <w:spacing w:after="0"/>
              <w:rPr>
                <w:sz w:val="21"/>
                <w:szCs w:val="21"/>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184,602,602</w:t>
            </w:r>
          </w:p>
        </w:tc>
      </w:tr>
      <w:tr>
        <w:trPr>
          <w:trHeight w:val="20"/>
        </w:trPr>
        <w:tc>
          <w:tcPr>
            <w:tcW w:w="5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77"/>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Vested and expected to vest at September 30, 2021</w:t>
            </w:r>
          </w:p>
        </w:tc>
        <w:tc>
          <w:tcPr>
            <w:tcW w:w="12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4,588,673</w:t>
            </w:r>
          </w:p>
        </w:tc>
        <w:tc>
          <w:tcPr>
            <w:tcW w:w="12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27.94</w:t>
            </w:r>
          </w:p>
        </w:tc>
        <w:tc>
          <w:tcPr>
            <w:tcW w:w="120" w:type="dxa"/>
            <w:vAlign w:val="bottom"/>
            <w:tcBorders>
              <w:bottom w:val="single" w:sz="8" w:color="CFF0FC"/>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FF0FC"/>
          </w:tcPr>
          <w:p>
            <w:pPr>
              <w:jc w:val="right"/>
              <w:ind w:right="19"/>
              <w:spacing w:after="0"/>
              <w:rPr>
                <w:sz w:val="20"/>
                <w:szCs w:val="20"/>
                <w:color w:val="auto"/>
              </w:rPr>
            </w:pPr>
            <w:r>
              <w:rPr>
                <w:rFonts w:ascii="Arial" w:cs="Arial" w:eastAsia="Arial" w:hAnsi="Arial"/>
                <w:sz w:val="18"/>
                <w:szCs w:val="18"/>
                <w:color w:val="auto"/>
              </w:rPr>
              <w:t>184,194,454</w:t>
            </w:r>
          </w:p>
        </w:tc>
      </w:tr>
      <w:tr>
        <w:trPr>
          <w:trHeight w:val="237"/>
        </w:trPr>
        <w:tc>
          <w:tcPr>
            <w:tcW w:w="5720" w:type="dxa"/>
            <w:vAlign w:val="bottom"/>
          </w:tcPr>
          <w:p>
            <w:pPr>
              <w:ind w:left="20"/>
              <w:spacing w:after="0"/>
              <w:rPr>
                <w:sz w:val="20"/>
                <w:szCs w:val="20"/>
                <w:color w:val="auto"/>
              </w:rPr>
            </w:pPr>
            <w:r>
              <w:rPr>
                <w:rFonts w:ascii="Arial" w:cs="Arial" w:eastAsia="Arial" w:hAnsi="Arial"/>
                <w:sz w:val="18"/>
                <w:szCs w:val="18"/>
                <w:color w:val="auto"/>
              </w:rPr>
              <w:t>Exercisable at September 30, 2021</w:t>
            </w: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2,784,567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14.26</w:t>
            </w:r>
          </w:p>
        </w:tc>
        <w:tc>
          <w:tcPr>
            <w:tcW w:w="1300" w:type="dxa"/>
            <w:vAlign w:val="bottom"/>
            <w:gridSpan w:val="2"/>
          </w:tcPr>
          <w:p>
            <w:pPr>
              <w:jc w:val="right"/>
              <w:ind w:right="21"/>
              <w:spacing w:after="0"/>
              <w:rPr>
                <w:sz w:val="20"/>
                <w:szCs w:val="20"/>
                <w:color w:val="auto"/>
              </w:rPr>
            </w:pPr>
            <w:r>
              <w:rPr>
                <w:rFonts w:ascii="Arial" w:cs="Arial" w:eastAsia="Arial" w:hAnsi="Arial"/>
                <w:sz w:val="18"/>
                <w:szCs w:val="18"/>
                <w:color w:val="auto"/>
              </w:rPr>
              <w:t>5.6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149,261,931</w:t>
            </w:r>
          </w:p>
        </w:tc>
      </w:tr>
      <w:tr>
        <w:trPr>
          <w:trHeight w:val="20"/>
        </w:trPr>
        <w:tc>
          <w:tcPr>
            <w:tcW w:w="57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-570865</wp:posOffset>
            </wp:positionV>
            <wp:extent cx="7747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-213995</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-196850</wp:posOffset>
            </wp:positionV>
            <wp:extent cx="7747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-213995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-196850</wp:posOffset>
            </wp:positionV>
            <wp:extent cx="6858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-196850</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40"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The fair value of each stock option grant is estimated on the date of grant using the Black-Scholes option pricing model. The expected term of the Company’s stock options has been determined utilizing the “simplified” method as described in the SEC’s Staff Accounting Bulletin No. 107 relating to stock-based compensation. The simplified method was chosen because the Company has limited historical option exercise experience due to its short operating history. The risk-free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76" w:lineRule="exact"/>
        <w:rPr>
          <w:sz w:val="20"/>
          <w:szCs w:val="20"/>
          <w:color w:val="auto"/>
        </w:rPr>
      </w:pPr>
    </w:p>
    <w:p>
      <w:pPr>
        <w:ind w:right="120" w:firstLine="749"/>
        <w:spacing w:after="0" w:line="204" w:lineRule="exact"/>
        <w:rPr>
          <w:sz w:val="20"/>
          <w:szCs w:val="20"/>
          <w:color w:val="auto"/>
        </w:rPr>
      </w:pPr>
      <w:r>
        <w:rPr>
          <w:rFonts w:ascii="Arial" w:cs="Arial" w:eastAsia="Arial" w:hAnsi="Arial"/>
          <w:sz w:val="15"/>
          <w:szCs w:val="15"/>
          <w:color w:val="auto"/>
        </w:rPr>
        <w:t>The weighted average grant date fair value of options granted was $45.81 per option for the nine months ended September 30, 2021. As of September 30, 2021, there was $60.4 million of total unrecognized compensation cost related to non-vested stock options which is expected to be recognized over a weighted average period of 3.2 years. These amounts do not include 6,169 options outstanding as of September 30, 2021, which are performance-based and vest upon the achievement of certain corporate milestones. Stock</w:t>
      </w:r>
      <w:r>
        <w:rPr>
          <w:rFonts w:ascii="MS PGothic" w:cs="MS PGothic" w:eastAsia="MS PGothic" w:hAnsi="MS PGothic"/>
          <w:sz w:val="15"/>
          <w:szCs w:val="15"/>
          <w:color w:val="auto"/>
        </w:rPr>
        <w:t>‑</w:t>
      </w:r>
      <w:r>
        <w:rPr>
          <w:rFonts w:ascii="Arial" w:cs="Arial" w:eastAsia="Arial" w:hAnsi="Arial"/>
          <w:sz w:val="15"/>
          <w:szCs w:val="15"/>
          <w:color w:val="auto"/>
        </w:rPr>
        <w:t>based compensation will be measured and recorded if and when it is probable that the milestone will occur.</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239"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In 2020, the Company began granting RSUs covering an equal number of its shares of common stock to employees. The fair value of RSUs is determined on the date of the grant based on the market price of its shares of common stock as of that date. The fair value of the RSUs is recognized as an expense ratably over the vesting period of four years. As of September 30, 2021, total compensation cost not yet recognized related to unvested RSUs was $10.8 million, which is expected to be recognized over a weighted-average period of 3.2 years.</w:t>
      </w:r>
    </w:p>
    <w:p>
      <w:pPr>
        <w:spacing w:after="0" w:line="18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sets forth the RSU activity for the nine months ended September 30, 2021:</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80" w:type="dxa"/>
            <w:vAlign w:val="bottom"/>
          </w:tcPr>
          <w:p>
            <w:pPr>
              <w:spacing w:after="0"/>
              <w:rPr>
                <w:sz w:val="15"/>
                <w:szCs w:val="15"/>
                <w:color w:val="auto"/>
              </w:rPr>
            </w:pPr>
          </w:p>
        </w:tc>
        <w:tc>
          <w:tcPr>
            <w:tcW w:w="1680" w:type="dxa"/>
            <w:vAlign w:val="bottom"/>
          </w:tcPr>
          <w:p>
            <w:pPr>
              <w:jc w:val="right"/>
              <w:ind w:right="555"/>
              <w:spacing w:after="0"/>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ind w:right="275"/>
              <w:spacing w:after="0"/>
              <w:rPr>
                <w:sz w:val="20"/>
                <w:szCs w:val="20"/>
                <w:color w:val="auto"/>
              </w:rPr>
            </w:pPr>
            <w:r>
              <w:rPr>
                <w:rFonts w:ascii="Arial" w:cs="Arial" w:eastAsia="Arial" w:hAnsi="Arial"/>
                <w:sz w:val="14"/>
                <w:szCs w:val="14"/>
                <w:b w:val="1"/>
                <w:bCs w:val="1"/>
                <w:color w:val="auto"/>
                <w:w w:val="98"/>
              </w:rPr>
              <w:t>Weighted average</w:t>
            </w:r>
          </w:p>
        </w:tc>
      </w:tr>
      <w:tr>
        <w:trPr>
          <w:trHeight w:val="192"/>
        </w:trPr>
        <w:tc>
          <w:tcPr>
            <w:tcW w:w="7680" w:type="dxa"/>
            <w:vAlign w:val="bottom"/>
          </w:tcPr>
          <w:p>
            <w:pPr>
              <w:spacing w:after="0"/>
              <w:rPr>
                <w:sz w:val="16"/>
                <w:szCs w:val="16"/>
                <w:color w:val="auto"/>
              </w:rPr>
            </w:pPr>
          </w:p>
        </w:tc>
        <w:tc>
          <w:tcPr>
            <w:tcW w:w="16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of shares</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94"/>
              </w:rPr>
              <w:t>grant date fair value</w:t>
            </w: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6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136,067</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36.83</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Granted</w:t>
            </w:r>
          </w:p>
        </w:tc>
        <w:tc>
          <w:tcPr>
            <w:tcW w:w="1680" w:type="dxa"/>
            <w:vAlign w:val="bottom"/>
          </w:tcPr>
          <w:p>
            <w:pPr>
              <w:jc w:val="right"/>
              <w:ind w:right="35"/>
              <w:spacing w:after="0"/>
              <w:rPr>
                <w:sz w:val="20"/>
                <w:szCs w:val="20"/>
                <w:color w:val="auto"/>
              </w:rPr>
            </w:pPr>
            <w:r>
              <w:rPr>
                <w:rFonts w:ascii="Arial" w:cs="Arial" w:eastAsia="Arial" w:hAnsi="Arial"/>
                <w:sz w:val="18"/>
                <w:szCs w:val="18"/>
                <w:color w:val="auto"/>
              </w:rPr>
              <w:t>203,629</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49.28</w:t>
            </w:r>
          </w:p>
        </w:tc>
      </w:tr>
      <w:tr>
        <w:trPr>
          <w:trHeight w:val="263"/>
        </w:trPr>
        <w:tc>
          <w:tcPr>
            <w:tcW w:w="76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Vested</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(8,815 )</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45.12</w:t>
            </w:r>
          </w:p>
        </w:tc>
      </w:tr>
      <w:tr>
        <w:trPr>
          <w:trHeight w:val="257"/>
        </w:trPr>
        <w:tc>
          <w:tcPr>
            <w:tcW w:w="7680" w:type="dxa"/>
            <w:vAlign w:val="bottom"/>
          </w:tcPr>
          <w:p>
            <w:pPr>
              <w:ind w:left="200"/>
              <w:spacing w:after="0"/>
              <w:rPr>
                <w:sz w:val="20"/>
                <w:szCs w:val="20"/>
                <w:color w:val="auto"/>
              </w:rPr>
            </w:pPr>
            <w:r>
              <w:rPr>
                <w:rFonts w:ascii="Arial" w:cs="Arial" w:eastAsia="Arial" w:hAnsi="Arial"/>
                <w:sz w:val="18"/>
                <w:szCs w:val="18"/>
                <w:color w:val="auto"/>
              </w:rPr>
              <w:t>Forfeited</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(28,880 )</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tcPr>
          <w:p>
            <w:pPr>
              <w:jc w:val="right"/>
              <w:ind w:right="35"/>
              <w:spacing w:after="0"/>
              <w:rPr>
                <w:sz w:val="20"/>
                <w:szCs w:val="20"/>
                <w:color w:val="auto"/>
              </w:rPr>
            </w:pPr>
            <w:r>
              <w:rPr>
                <w:rFonts w:ascii="Arial" w:cs="Arial" w:eastAsia="Arial" w:hAnsi="Arial"/>
                <w:sz w:val="18"/>
                <w:szCs w:val="18"/>
                <w:color w:val="auto"/>
              </w:rPr>
              <w:t>45.59</w:t>
            </w:r>
          </w:p>
        </w:tc>
      </w:tr>
      <w:tr>
        <w:trPr>
          <w:trHeight w:val="283"/>
        </w:trPr>
        <w:tc>
          <w:tcPr>
            <w:tcW w:w="76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Outstanding at September 30, 2021</w:t>
            </w:r>
          </w:p>
        </w:tc>
        <w:tc>
          <w:tcPr>
            <w:tcW w:w="168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302,001</w:t>
            </w:r>
          </w:p>
        </w:tc>
        <w:tc>
          <w:tcPr>
            <w:tcW w:w="18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44.15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-25400</wp:posOffset>
            </wp:positionV>
            <wp:extent cx="1111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-8255</wp:posOffset>
            </wp:positionV>
            <wp:extent cx="11112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125" cy="8890"/>
                    </a:xfrm>
                    <a:prstGeom prst="rect">
                      <a:avLst/>
                    </a:prstGeom>
                    <a:noFill/>
                  </pic:spPr>
                </pic:pic>
              </a:graphicData>
            </a:graphic>
          </wp:anchor>
        </w:drawing>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Stock-based compensation expense recognized for the three and nine months ended September 30, 2021 and 2020 was allocated as follows:</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37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2020</w:t>
            </w:r>
          </w:p>
        </w:tc>
      </w:tr>
      <w:tr>
        <w:trPr>
          <w:trHeight w:val="256"/>
        </w:trPr>
        <w:tc>
          <w:tcPr>
            <w:tcW w:w="376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Research and development</w:t>
            </w:r>
          </w:p>
        </w:tc>
        <w:tc>
          <w:tcPr>
            <w:tcW w:w="20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FF0FC"/>
          </w:tcPr>
          <w:p>
            <w:pPr>
              <w:ind w:left="300"/>
              <w:spacing w:after="0"/>
              <w:rPr>
                <w:sz w:val="20"/>
                <w:szCs w:val="20"/>
                <w:color w:val="auto"/>
              </w:rPr>
            </w:pPr>
            <w:r>
              <w:rPr>
                <w:rFonts w:ascii="Arial" w:cs="Arial" w:eastAsia="Arial" w:hAnsi="Arial"/>
                <w:sz w:val="18"/>
                <w:szCs w:val="18"/>
                <w:color w:val="auto"/>
              </w:rPr>
              <w:t>1,979,765</w:t>
            </w:r>
          </w:p>
        </w:tc>
        <w:tc>
          <w:tcPr>
            <w:tcW w:w="42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860,744</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ind w:right="17"/>
              <w:spacing w:after="0"/>
              <w:rPr>
                <w:sz w:val="20"/>
                <w:szCs w:val="20"/>
                <w:color w:val="auto"/>
              </w:rPr>
            </w:pPr>
            <w:r>
              <w:rPr>
                <w:rFonts w:ascii="Arial" w:cs="Arial" w:eastAsia="Arial" w:hAnsi="Arial"/>
                <w:sz w:val="18"/>
                <w:szCs w:val="18"/>
                <w:color w:val="auto"/>
              </w:rPr>
              <w:t>5,816,664</w:t>
            </w:r>
          </w:p>
        </w:tc>
        <w:tc>
          <w:tcPr>
            <w:tcW w:w="40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2,532,649</w:t>
            </w:r>
          </w:p>
        </w:tc>
      </w:tr>
      <w:tr>
        <w:trPr>
          <w:trHeight w:val="250"/>
        </w:trPr>
        <w:tc>
          <w:tcPr>
            <w:tcW w:w="376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19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3,745,452</w:t>
            </w:r>
          </w:p>
        </w:tc>
        <w:tc>
          <w:tcPr>
            <w:tcW w:w="1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2,008,074</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9,095,892</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6,617,724</w:t>
            </w:r>
          </w:p>
        </w:tc>
      </w:tr>
      <w:tr>
        <w:trPr>
          <w:trHeight w:val="290"/>
        </w:trPr>
        <w:tc>
          <w:tcPr>
            <w:tcW w:w="3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ind w:left="300"/>
              <w:spacing w:after="0"/>
              <w:rPr>
                <w:sz w:val="20"/>
                <w:szCs w:val="20"/>
                <w:color w:val="auto"/>
              </w:rPr>
            </w:pPr>
            <w:r>
              <w:rPr>
                <w:rFonts w:ascii="Arial" w:cs="Arial" w:eastAsia="Arial" w:hAnsi="Arial"/>
                <w:sz w:val="18"/>
                <w:szCs w:val="18"/>
                <w:color w:val="auto"/>
              </w:rPr>
              <w:t>5,725,217</w:t>
            </w:r>
          </w:p>
        </w:tc>
        <w:tc>
          <w:tcPr>
            <w:tcW w:w="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2,868,818</w:t>
            </w:r>
          </w:p>
        </w:tc>
        <w:tc>
          <w:tcPr>
            <w:tcW w:w="1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FF0FC"/>
          </w:tcPr>
          <w:p>
            <w:pPr>
              <w:jc w:val="right"/>
              <w:ind w:right="17"/>
              <w:spacing w:after="0"/>
              <w:rPr>
                <w:sz w:val="20"/>
                <w:szCs w:val="20"/>
                <w:color w:val="auto"/>
              </w:rPr>
            </w:pPr>
            <w:r>
              <w:rPr>
                <w:rFonts w:ascii="Arial" w:cs="Arial" w:eastAsia="Arial" w:hAnsi="Arial"/>
                <w:sz w:val="18"/>
                <w:szCs w:val="18"/>
                <w:color w:val="auto"/>
              </w:rPr>
              <w:t>14,912,556</w:t>
            </w:r>
          </w:p>
        </w:tc>
        <w:tc>
          <w:tcPr>
            <w:tcW w:w="1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ind w:left="200"/>
              <w:spacing w:after="0"/>
              <w:rPr>
                <w:sz w:val="20"/>
                <w:szCs w:val="20"/>
                <w:color w:val="auto"/>
              </w:rPr>
            </w:pPr>
            <w:r>
              <w:rPr>
                <w:rFonts w:ascii="Arial" w:cs="Arial" w:eastAsia="Arial" w:hAnsi="Arial"/>
                <w:sz w:val="18"/>
                <w:szCs w:val="18"/>
                <w:color w:val="auto"/>
                <w:w w:val="99"/>
              </w:rPr>
              <w:t>9,150,373</w:t>
            </w:r>
          </w:p>
        </w:tc>
      </w:tr>
      <w:tr>
        <w:trPr>
          <w:trHeight w:val="629"/>
        </w:trPr>
        <w:tc>
          <w:tcPr>
            <w:tcW w:w="3760" w:type="dxa"/>
            <w:vAlign w:val="bottom"/>
          </w:tcPr>
          <w:p>
            <w:pPr>
              <w:spacing w:after="0"/>
              <w:rPr>
                <w:sz w:val="24"/>
                <w:szCs w:val="24"/>
                <w:color w:val="auto"/>
              </w:rPr>
            </w:pPr>
          </w:p>
        </w:tc>
        <w:tc>
          <w:tcPr>
            <w:tcW w:w="2060" w:type="dxa"/>
            <w:vAlign w:val="bottom"/>
            <w:gridSpan w:val="2"/>
          </w:tcPr>
          <w:p>
            <w:pPr>
              <w:jc w:val="right"/>
              <w:ind w:right="30"/>
              <w:spacing w:after="0"/>
              <w:rPr>
                <w:sz w:val="20"/>
                <w:szCs w:val="20"/>
                <w:color w:val="auto"/>
              </w:rPr>
            </w:pPr>
            <w:r>
              <w:rPr>
                <w:rFonts w:ascii="Arial" w:cs="Arial" w:eastAsia="Arial" w:hAnsi="Arial"/>
                <w:sz w:val="16"/>
                <w:szCs w:val="16"/>
                <w:color w:val="auto"/>
              </w:rPr>
              <w:t>18</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21"/>
        </w:trPr>
        <w:tc>
          <w:tcPr>
            <w:tcW w:w="376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-521970</wp:posOffset>
            </wp:positionV>
            <wp:extent cx="857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-504825</wp:posOffset>
            </wp:positionV>
            <wp:extent cx="857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-521970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-504825</wp:posOffset>
            </wp:positionV>
            <wp:extent cx="774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-521970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-504825</wp:posOffset>
            </wp:positionV>
            <wp:extent cx="7747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8" w:name="page19"/>
    <w:bookmarkEnd w:id="1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Warrants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warrant activity for the nine months ended September 30, 2021:</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tcPr>
          <w:p>
            <w:pPr>
              <w:jc w:val="center"/>
              <w:ind w:right="278"/>
              <w:spacing w:after="0"/>
              <w:rPr>
                <w:sz w:val="20"/>
                <w:szCs w:val="20"/>
                <w:color w:val="auto"/>
              </w:rPr>
            </w:pPr>
            <w:r>
              <w:rPr>
                <w:rFonts w:ascii="Arial" w:cs="Arial" w:eastAsia="Arial" w:hAnsi="Arial"/>
                <w:sz w:val="14"/>
                <w:szCs w:val="14"/>
                <w:b w:val="1"/>
                <w:bCs w:val="1"/>
                <w:color w:val="auto"/>
                <w:w w:val="91"/>
              </w:rPr>
              <w:t>Weighted</w:t>
            </w:r>
          </w:p>
        </w:tc>
      </w:tr>
      <w:tr>
        <w:trPr>
          <w:trHeight w:val="203"/>
        </w:trPr>
        <w:tc>
          <w:tcPr>
            <w:tcW w:w="76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Pr>
          <w:p>
            <w:pPr>
              <w:jc w:val="center"/>
              <w:ind w:right="258"/>
              <w:spacing w:after="0"/>
              <w:rPr>
                <w:sz w:val="20"/>
                <w:szCs w:val="20"/>
                <w:color w:val="auto"/>
              </w:rPr>
            </w:pPr>
            <w:r>
              <w:rPr>
                <w:rFonts w:ascii="Arial" w:cs="Arial" w:eastAsia="Arial" w:hAnsi="Arial"/>
                <w:sz w:val="14"/>
                <w:szCs w:val="14"/>
                <w:b w:val="1"/>
                <w:bCs w:val="1"/>
                <w:color w:val="auto"/>
                <w:w w:val="90"/>
              </w:rPr>
              <w:t>average</w:t>
            </w:r>
          </w:p>
        </w:tc>
      </w:tr>
      <w:tr>
        <w:trPr>
          <w:trHeight w:val="209"/>
        </w:trPr>
        <w:tc>
          <w:tcPr>
            <w:tcW w:w="7680" w:type="dxa"/>
            <w:vAlign w:val="bottom"/>
          </w:tcPr>
          <w:p>
            <w:pPr>
              <w:spacing w:after="0"/>
              <w:rPr>
                <w:sz w:val="18"/>
                <w:szCs w:val="18"/>
                <w:color w:val="auto"/>
              </w:rPr>
            </w:pPr>
          </w:p>
        </w:tc>
        <w:tc>
          <w:tcPr>
            <w:tcW w:w="16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Number of warrants</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89"/>
              </w:rPr>
              <w:t>exercise price</w:t>
            </w:r>
          </w:p>
        </w:tc>
      </w:tr>
      <w:tr>
        <w:trPr>
          <w:trHeight w:val="256"/>
        </w:trPr>
        <w:tc>
          <w:tcPr>
            <w:tcW w:w="7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Outstanding at December 31, 2020</w:t>
            </w:r>
          </w:p>
        </w:tc>
        <w:tc>
          <w:tcPr>
            <w:tcW w:w="16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15,541</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FF0FC"/>
          </w:tcPr>
          <w:p>
            <w:pPr>
              <w:jc w:val="right"/>
              <w:ind w:right="38"/>
              <w:spacing w:after="0"/>
              <w:rPr>
                <w:sz w:val="20"/>
                <w:szCs w:val="20"/>
                <w:color w:val="auto"/>
              </w:rPr>
            </w:pPr>
            <w:r>
              <w:rPr>
                <w:rFonts w:ascii="Arial" w:cs="Arial" w:eastAsia="Arial" w:hAnsi="Arial"/>
                <w:sz w:val="18"/>
                <w:szCs w:val="18"/>
                <w:color w:val="auto"/>
              </w:rPr>
              <w:t>80.43</w:t>
            </w:r>
          </w:p>
        </w:tc>
      </w:tr>
      <w:tr>
        <w:trPr>
          <w:trHeight w:val="250"/>
        </w:trPr>
        <w:tc>
          <w:tcPr>
            <w:tcW w:w="7680" w:type="dxa"/>
            <w:vAlign w:val="bottom"/>
          </w:tcPr>
          <w:p>
            <w:pPr>
              <w:ind w:left="200"/>
              <w:spacing w:after="0"/>
              <w:rPr>
                <w:sz w:val="20"/>
                <w:szCs w:val="20"/>
                <w:color w:val="auto"/>
              </w:rPr>
            </w:pPr>
            <w:r>
              <w:rPr>
                <w:rFonts w:ascii="Arial" w:cs="Arial" w:eastAsia="Arial" w:hAnsi="Arial"/>
                <w:sz w:val="18"/>
                <w:szCs w:val="18"/>
                <w:color w:val="auto"/>
              </w:rPr>
              <w:t>Issued</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w:t>
            </w:r>
          </w:p>
        </w:tc>
      </w:tr>
      <w:tr>
        <w:trPr>
          <w:trHeight w:val="257"/>
        </w:trPr>
        <w:tc>
          <w:tcPr>
            <w:tcW w:w="7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Exercised</w:t>
            </w:r>
          </w:p>
        </w:tc>
        <w:tc>
          <w:tcPr>
            <w:tcW w:w="16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46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w:t>
            </w:r>
          </w:p>
        </w:tc>
      </w:tr>
      <w:tr>
        <w:trPr>
          <w:trHeight w:val="250"/>
        </w:trPr>
        <w:tc>
          <w:tcPr>
            <w:tcW w:w="7680" w:type="dxa"/>
            <w:vAlign w:val="bottom"/>
          </w:tcPr>
          <w:p>
            <w:pPr>
              <w:ind w:left="20"/>
              <w:spacing w:after="0"/>
              <w:rPr>
                <w:sz w:val="20"/>
                <w:szCs w:val="20"/>
                <w:color w:val="auto"/>
              </w:rPr>
            </w:pPr>
            <w:r>
              <w:rPr>
                <w:rFonts w:ascii="Arial" w:cs="Arial" w:eastAsia="Arial" w:hAnsi="Arial"/>
                <w:sz w:val="18"/>
                <w:szCs w:val="18"/>
                <w:color w:val="auto"/>
              </w:rPr>
              <w:t>Outstanding at September 30, 2021</w:t>
            </w:r>
          </w:p>
        </w:tc>
        <w:tc>
          <w:tcPr>
            <w:tcW w:w="1680" w:type="dxa"/>
            <w:vAlign w:val="bottom"/>
          </w:tcPr>
          <w:p>
            <w:pPr>
              <w:jc w:val="right"/>
              <w:ind w:right="34"/>
              <w:spacing w:after="0"/>
              <w:rPr>
                <w:sz w:val="20"/>
                <w:szCs w:val="20"/>
                <w:color w:val="auto"/>
              </w:rPr>
            </w:pPr>
            <w:r>
              <w:rPr>
                <w:rFonts w:ascii="Arial" w:cs="Arial" w:eastAsia="Arial" w:hAnsi="Arial"/>
                <w:sz w:val="18"/>
                <w:szCs w:val="18"/>
                <w:color w:val="auto"/>
              </w:rPr>
              <w:t>15,541</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8"/>
              <w:spacing w:after="0"/>
              <w:rPr>
                <w:sz w:val="20"/>
                <w:szCs w:val="20"/>
                <w:color w:val="auto"/>
              </w:rPr>
            </w:pPr>
            <w:r>
              <w:rPr>
                <w:rFonts w:ascii="Arial" w:cs="Arial" w:eastAsia="Arial" w:hAnsi="Arial"/>
                <w:sz w:val="18"/>
                <w:szCs w:val="18"/>
                <w:color w:val="auto"/>
              </w:rPr>
              <w:t>80.43</w:t>
            </w:r>
          </w:p>
        </w:tc>
      </w:tr>
      <w:tr>
        <w:trPr>
          <w:trHeight w:val="20"/>
        </w:trPr>
        <w:tc>
          <w:tcPr>
            <w:tcW w:w="76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5945505</wp:posOffset>
            </wp:positionH>
            <wp:positionV relativeFrom="paragraph">
              <wp:posOffset>-193675</wp:posOffset>
            </wp:positionV>
            <wp:extent cx="111125"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571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Outstanding Warrants</w:t>
      </w:r>
    </w:p>
    <w:p>
      <w:pPr>
        <w:spacing w:after="0" w:line="235" w:lineRule="exact"/>
        <w:rPr>
          <w:sz w:val="20"/>
          <w:szCs w:val="20"/>
          <w:color w:val="auto"/>
        </w:rPr>
      </w:pPr>
    </w:p>
    <w:p>
      <w:pPr>
        <w:ind w:right="80" w:firstLine="749"/>
        <w:spacing w:after="0" w:line="291" w:lineRule="auto"/>
        <w:rPr>
          <w:sz w:val="20"/>
          <w:szCs w:val="20"/>
          <w:color w:val="auto"/>
        </w:rPr>
      </w:pPr>
      <w:r>
        <w:rPr>
          <w:rFonts w:ascii="Arial" w:cs="Arial" w:eastAsia="Arial" w:hAnsi="Arial"/>
          <w:sz w:val="15"/>
          <w:szCs w:val="15"/>
          <w:color w:val="auto"/>
        </w:rPr>
        <w:t>In connection with the first advance of the 2020 Term Loan, Hercules Capital Inc. received warrants to purchase an aggregate 15,541 shares of the Company’s common stock at an exercise price of $80.43 per share, which was the volume weighted average price of the Company’s common stock over the ten-day trading period immediately preceding the initial closing, subject to certain limited adjustments as specified in the warrant. The warrants are exercisable for seven years from the date of issuance. The warrants were classified as a component of stockholders’ equity. The relative fair value of the warrants of approximately $0.9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License Agreements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 with Pfizer</w:t>
      </w:r>
    </w:p>
    <w:p>
      <w:pPr>
        <w:spacing w:after="0" w:line="235" w:lineRule="exact"/>
        <w:rPr>
          <w:sz w:val="20"/>
          <w:szCs w:val="20"/>
          <w:color w:val="auto"/>
        </w:rPr>
      </w:pPr>
    </w:p>
    <w:p>
      <w:pPr>
        <w:ind w:right="80" w:firstLine="749"/>
        <w:spacing w:after="0" w:line="273" w:lineRule="auto"/>
        <w:rPr>
          <w:sz w:val="20"/>
          <w:szCs w:val="20"/>
          <w:color w:val="auto"/>
        </w:rPr>
      </w:pPr>
      <w:r>
        <w:rPr>
          <w:rFonts w:ascii="Arial" w:cs="Arial" w:eastAsia="Arial" w:hAnsi="Arial"/>
          <w:sz w:val="16"/>
          <w:szCs w:val="16"/>
          <w:color w:val="auto"/>
        </w:rPr>
        <w:t>In January 2020, the Company entered into an exclusive license agreement with Pfizer Inc. (“Pfizer”) for Pfizer’s clinical and nonclinical data, and intellectual property for reboxetine, the active pharmaceutical ingredient in AXS-12 which the Company is developing for the treatment of narcolepsy. The agreement also provides the Company exclusive rights to develop and commercialize esreboxetine, a new late-stage product candidate referred to as AXS-14, in the U.S. for the treatment of fibromyalgia.</w:t>
      </w:r>
    </w:p>
    <w:p>
      <w:pPr>
        <w:spacing w:after="0" w:line="189" w:lineRule="exact"/>
        <w:rPr>
          <w:sz w:val="20"/>
          <w:szCs w:val="20"/>
          <w:color w:val="auto"/>
        </w:rPr>
      </w:pPr>
    </w:p>
    <w:p>
      <w:pPr>
        <w:ind w:right="100" w:firstLine="749"/>
        <w:spacing w:after="0" w:line="293" w:lineRule="auto"/>
        <w:rPr>
          <w:sz w:val="20"/>
          <w:szCs w:val="20"/>
          <w:color w:val="auto"/>
        </w:rPr>
      </w:pPr>
      <w:r>
        <w:rPr>
          <w:rFonts w:ascii="Arial" w:cs="Arial" w:eastAsia="Arial" w:hAnsi="Arial"/>
          <w:sz w:val="15"/>
          <w:szCs w:val="15"/>
          <w:color w:val="auto"/>
        </w:rPr>
        <w:t>Under the terms of the agreement, Pfizer received 82,019 shares of the Company’s common stock having a stated value of $8.0 million, based on the average closing price of the Company’s common stock for the ten prior trading days of $97.54, in consideration for the license and rights and also received an upfront cash payment of $3.0 million. The Company determined that the fair value of each share of common stock granted to Pfizer on the closing date of January 9, 2020 was $87.24, based on the closing price of the Company’s stock on that date. As a result, the fair value of the stock issued was $7.2 million and therefore, the total research and development expense recognized was $10.2 million related to the Pfizer license agreement during the year ended 2020.</w:t>
      </w:r>
    </w:p>
    <w:p>
      <w:pPr>
        <w:spacing w:after="0" w:line="176" w:lineRule="exact"/>
        <w:rPr>
          <w:sz w:val="20"/>
          <w:szCs w:val="20"/>
          <w:color w:val="auto"/>
        </w:rPr>
      </w:pPr>
    </w:p>
    <w:p>
      <w:pPr>
        <w:ind w:right="240" w:firstLine="749"/>
        <w:spacing w:after="0" w:line="278" w:lineRule="auto"/>
        <w:rPr>
          <w:sz w:val="20"/>
          <w:szCs w:val="20"/>
          <w:color w:val="auto"/>
        </w:rPr>
      </w:pPr>
      <w:r>
        <w:rPr>
          <w:rFonts w:ascii="Arial" w:cs="Arial" w:eastAsia="Arial" w:hAnsi="Arial"/>
          <w:sz w:val="16"/>
          <w:szCs w:val="16"/>
          <w:color w:val="auto"/>
        </w:rPr>
        <w:t>Pfizer can also receive up to $323 million in regulatory and sales milestones, and tiered mid-single to low double-digit royalties on future sales related to the licensed products. Pfizer will also have a right of first negotiation on any potential future strategic transactions involving AXS-12 and AXS-14. During the three and nine months ended September 30, 2021 and 2020, no milestone payments or royalties were paid to Pfizer by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56515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Exclusive License Agreements with Antecip</w:t>
      </w:r>
    </w:p>
    <w:p>
      <w:pPr>
        <w:spacing w:after="0" w:line="235" w:lineRule="exact"/>
        <w:rPr>
          <w:sz w:val="20"/>
          <w:szCs w:val="20"/>
          <w:color w:val="auto"/>
        </w:rPr>
      </w:pPr>
    </w:p>
    <w:p>
      <w:pPr>
        <w:ind w:firstLine="749"/>
        <w:spacing w:after="0" w:line="266" w:lineRule="auto"/>
        <w:rPr>
          <w:sz w:val="20"/>
          <w:szCs w:val="20"/>
          <w:color w:val="auto"/>
        </w:rPr>
      </w:pPr>
      <w:r>
        <w:rPr>
          <w:rFonts w:ascii="Arial" w:cs="Arial" w:eastAsia="Arial" w:hAnsi="Arial"/>
          <w:sz w:val="16"/>
          <w:szCs w:val="16"/>
          <w:color w:val="auto"/>
        </w:rPr>
        <w:t>In 2012, the Company entered into three exclusive license agreements with Antecip, in which it was granted exclusive licenses to develop, manufacture, and commercialize Antecip’s patents and applications related to the development of AXS-02, AXS-05, and AXS-04, anywhere in the world for human therapeutic, veterinary, and diagnostic use. Pursuant to the agreements, the Company is required to use commercially reasonable efforts to develop, obtain regulatory approval for and commercialize AXS-02, AXS-05, and AXS-04. Under the terms of the agreements, the Company is required to pay to Antecip a royalty equal to 4.5% for AXS-02, 3.0% for AXS-05, and 1.5% for AXS-04, of net sales of products containing the licensed technology by the Company, its affiliates, or permitted sublicensees. These royalty payments are subject to reduction by an amount up to 50.0% of any required payments to third parties. Unless earlier terminated by a party for cause or by the Company for convenience, the agreements shall remain in effect on a product-by-product and country-by-country basis until the later to occur of (i) the applicable product is no longer covered by a valid claim in that country or (ii) 10 years from the first commercial sale of the applicable product in that country. Upon expiration of the agreements with respect to a product in a country, the Company’s license grant for that product in that country will become a fully paid-up, royalty-free, perpetual non-exclusive license. If Antecip terminates any of the agreements for cause, or if the Company exercises its right to terminate any of the agreements for convenience, the rights granted to the Company under such terminated agreement will revert to Antecip. To date, the Company has not been required to make any payments to Antecip under any of the license agreements.</w:t>
      </w:r>
    </w:p>
    <w:p>
      <w:pPr>
        <w:spacing w:after="0" w:line="199" w:lineRule="exact"/>
        <w:rPr>
          <w:sz w:val="20"/>
          <w:szCs w:val="20"/>
          <w:color w:val="auto"/>
        </w:rPr>
      </w:pPr>
    </w:p>
    <w:p>
      <w:pPr>
        <w:ind w:right="440" w:firstLine="749"/>
        <w:spacing w:after="0" w:line="293" w:lineRule="auto"/>
        <w:rPr>
          <w:sz w:val="20"/>
          <w:szCs w:val="20"/>
          <w:color w:val="auto"/>
        </w:rPr>
      </w:pPr>
      <w:r>
        <w:rPr>
          <w:rFonts w:ascii="Arial" w:cs="Arial" w:eastAsia="Arial" w:hAnsi="Arial"/>
          <w:sz w:val="16"/>
          <w:szCs w:val="16"/>
          <w:color w:val="auto"/>
        </w:rPr>
        <w:t>In connection with the 2020 Term Loan, the Company entered into a Direct Agreement with Antecip pursuant to which Antecip consented to the collateral assignment of the License Agreement to Hercules, among other things.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Subsequent Event</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15"/>
          <w:szCs w:val="15"/>
          <w:color w:val="auto"/>
        </w:rPr>
        <w:t>On October 14, 2021, the Company entered into the First Amendment to the Loan Agreement. Refer to Note 4 – Loan and Security Agreement for further</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auto"/>
        </w:rPr>
        <w:t>discussion.</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0" w:name="page21"/>
    <w:bookmarkEnd w:id="2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39" w:lineRule="exact"/>
        <w:rPr>
          <w:sz w:val="20"/>
          <w:szCs w:val="20"/>
          <w:color w:val="auto"/>
        </w:rPr>
      </w:pPr>
    </w:p>
    <w:p>
      <w:pPr>
        <w:ind w:right="40" w:firstLine="749"/>
        <w:spacing w:after="0" w:line="297" w:lineRule="auto"/>
        <w:rPr>
          <w:sz w:val="20"/>
          <w:szCs w:val="20"/>
          <w:color w:val="auto"/>
        </w:rPr>
      </w:pPr>
      <w:r>
        <w:rPr>
          <w:rFonts w:ascii="Arial" w:cs="Arial" w:eastAsia="Arial" w:hAnsi="Arial"/>
          <w:sz w:val="15"/>
          <w:szCs w:val="15"/>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72" w:lineRule="exact"/>
        <w:rPr>
          <w:sz w:val="20"/>
          <w:szCs w:val="20"/>
          <w:color w:val="auto"/>
        </w:rPr>
      </w:pPr>
    </w:p>
    <w:p>
      <w:pPr>
        <w:ind w:right="40" w:firstLine="749"/>
        <w:spacing w:after="0" w:line="305" w:lineRule="auto"/>
        <w:rPr>
          <w:sz w:val="20"/>
          <w:szCs w:val="20"/>
          <w:color w:val="auto"/>
        </w:rPr>
      </w:pPr>
      <w:r>
        <w:rPr>
          <w:rFonts w:ascii="Arial" w:cs="Arial" w:eastAsia="Arial" w:hAnsi="Arial"/>
          <w:sz w:val="15"/>
          <w:szCs w:val="15"/>
          <w:i w:val="1"/>
          <w:iCs w:val="1"/>
          <w:color w:val="auto"/>
        </w:rPr>
        <w:t xml:space="preserve">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2020 </w:t>
      </w:r>
      <w:r>
        <w:rPr>
          <w:rFonts w:ascii="Arial" w:cs="Arial" w:eastAsia="Arial" w:hAnsi="Arial"/>
          <w:sz w:val="15"/>
          <w:szCs w:val="15"/>
          <w:color w:val="auto"/>
        </w:rPr>
        <w:t>which wa</w:t>
      </w:r>
      <w:r>
        <w:rPr>
          <w:rFonts w:ascii="Arial" w:cs="Arial" w:eastAsia="Arial" w:hAnsi="Arial"/>
          <w:sz w:val="15"/>
          <w:szCs w:val="15"/>
          <w:i w:val="1"/>
          <w:iCs w:val="1"/>
          <w:color w:val="auto"/>
        </w:rPr>
        <w:t>s filed with the Securities and Exchange Commission, or SEC, on March 1, 2021</w:t>
      </w:r>
      <w:r>
        <w:rPr>
          <w:rFonts w:ascii="Arial" w:cs="Arial" w:eastAsia="Arial" w:hAnsi="Arial"/>
          <w:sz w:val="15"/>
          <w:szCs w:val="15"/>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39" w:lineRule="exact"/>
        <w:rPr>
          <w:sz w:val="20"/>
          <w:szCs w:val="20"/>
          <w:color w:val="auto"/>
        </w:rPr>
      </w:pPr>
    </w:p>
    <w:p>
      <w:pPr>
        <w:ind w:firstLine="749"/>
        <w:spacing w:after="0" w:line="284" w:lineRule="auto"/>
        <w:rPr>
          <w:sz w:val="20"/>
          <w:szCs w:val="20"/>
          <w:color w:val="auto"/>
        </w:rPr>
      </w:pPr>
      <w:r>
        <w:rPr>
          <w:rFonts w:ascii="Arial" w:cs="Arial" w:eastAsia="Arial" w:hAnsi="Arial"/>
          <w:sz w:val="15"/>
          <w:szCs w:val="15"/>
          <w:color w:val="auto"/>
        </w:rPr>
        <w:t>We are a biopharmaceutical company developing novel therapies for the management of central nervous system, or CNS, conditions that have limited treatment options. By focusing on this therapeutic area, we are addressing significant and growing markets where current treatment options are limited or inadequate. Our core CNS portfolio includes five CNS product candidates, AXS-05, AXS-07, AXS-09, AXS-12, and AXS-14 which are being developed for multiple indications. AXS-05 is being developed for the treatment of major depressive disorder, or MDD, for which we have completed a Phase 2 controlled trial and Phase 3 controlled trial, which we refer to as the ASCEND study and the GEMINI study, respectively, and a Phase 3 long-term open-label study, which we refer to as the COMET study. A New Drug Application, or NDA, has been submitted and accepted for filing for AXS-05 for the treatment of MDD. The FDA had set a Prescription Drug User Fee Act (PDUFA) target action date for the AXS-05 NDA of August 22, 2021, which was not completed on such date and therefore the review of the application is ongoing. AXS-05 is also under development for the treatment of Alzheimer's disease agitation, or AD agitation. We have completed one Phase 2/3 controlled trial, which we refer to as the ADVANCE study, for this indication. We are conducting a Phase 3 placebo-controlled, randomized withdrawal trial in AD agitation, which we refer to as the ACCORD study, and one open-label long-term safety study in AD agitation. AXS-05 is also being developed for smoking cessation and a Phase 2 trial in this indication has been completed. AXS-07 is being developed for the acute treatment of migraine, for which we have completed two Phase 3 controlled trials, which we refer to as the MOMENTUM study and the INTERCEPT study, and one Phase 3 long-term open-label trial, which we refer to as the MOVEMENT study. An NDA has been submitted and accepted for filing for AXS-07 for the acute treatment of migraine. The FDA has set a PDUFA target action date for the AXS-07 NDA of April 30, 2022. AXS-09 is being developed for the treatment of CNS disorders. AXS-12 is being developed for the treatment of narcolepsy. We have completed a Phase 2 trial with AXS-12, which we refer to as the CONCERT study. A randomized, placebo-controlled Phase 3 trial with AXS-12 in narcolepsy was initiated in the third quarter of 2021, which we refer to as the SYMPHONY study, and one open-label long-term safety extension study was also initiated. AXS-14 is being developed for the treatment of fibromyalgia. We plan to submit an NDA for AXS-14 in 2023 for the management of fibromyalgia based on a pre-NDA meeting with the FDA which occurred in the second quarter of 2021. Additionally, we are currently evaluating other product candidates, which we intend to develop for CNS disorders. We aim to become a fully integrated biopharmaceutical company that develops and commercializes differentiated therapies that increase available treatment options and improve the lives of patients living with CNS disorders.</w:t>
      </w:r>
    </w:p>
    <w:p>
      <w:pPr>
        <w:spacing w:after="0" w:line="186" w:lineRule="exact"/>
        <w:rPr>
          <w:sz w:val="20"/>
          <w:szCs w:val="20"/>
          <w:color w:val="auto"/>
        </w:rPr>
      </w:pPr>
    </w:p>
    <w:p>
      <w:pPr>
        <w:ind w:right="60" w:firstLine="749"/>
        <w:spacing w:after="0" w:line="191" w:lineRule="exact"/>
        <w:rPr>
          <w:sz w:val="20"/>
          <w:szCs w:val="20"/>
          <w:color w:val="auto"/>
        </w:rPr>
      </w:pPr>
      <w:r>
        <w:rPr>
          <w:rFonts w:ascii="Arial" w:cs="Arial" w:eastAsia="Arial" w:hAnsi="Arial"/>
          <w:sz w:val="16"/>
          <w:szCs w:val="16"/>
          <w:color w:val="auto"/>
        </w:rPr>
        <w:t>AXS-05 is a novel, oral, investigational NMDA, or N-methyl-D-aspartate, receptor antagonist with multimodal activity under development for the treatment of CNS disorders. AXS-05 consists of a proprietary formulation and dose of bupropion and dextromethorphan and utilizes our metabolic inhibition technology. The dextromethorphan component of AXS-05 is an uncompetitive NMDA, receptor antagonist, also known as a glutamate receptor modulator. The dextromethorphan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are seeking FDA, approval for AXS</w:t>
      </w:r>
      <w:r>
        <w:rPr>
          <w:rFonts w:ascii="MS PGothic" w:cs="MS PGothic" w:eastAsia="MS PGothic" w:hAnsi="MS PGothic"/>
          <w:sz w:val="16"/>
          <w:szCs w:val="16"/>
          <w:color w:val="auto"/>
        </w:rPr>
        <w:t>‑</w:t>
      </w:r>
      <w:r>
        <w:rPr>
          <w:rFonts w:ascii="Arial" w:cs="Arial" w:eastAsia="Arial" w:hAnsi="Arial"/>
          <w:sz w:val="16"/>
          <w:szCs w:val="16"/>
          <w:color w:val="auto"/>
        </w:rPr>
        <w:t>05 utilizing the 505(b)(2) regulatory development pathway. AXS-05 has been granted FDA Breakthrough Therapy designation for both the treatment of MDD and the treatment of Alzheimer’s disease agitation, as well as Fast Track designations for the treatment of Alzheimer’s disease agitation and treatment resistant depression.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65" w:lineRule="auto"/>
        <w:rPr>
          <w:sz w:val="20"/>
          <w:szCs w:val="20"/>
          <w:color w:val="auto"/>
        </w:rPr>
      </w:pPr>
      <w:r>
        <w:rPr>
          <w:rFonts w:ascii="Arial" w:cs="Arial" w:eastAsia="Arial" w:hAnsi="Arial"/>
          <w:sz w:val="15"/>
          <w:szCs w:val="15"/>
          <w:color w:val="auto"/>
        </w:rPr>
        <w:t>We have completed two pivotal trials, one Phase 2 and one Phase 3, of AXS-05 in MDD, which we refer to as the ASCEND and GEMINI trials, respectively. AXS-05 achieved the primary endpoint in both the ASCEND and GEMINI trials. A Phase 3, open-label, long-term safety study with AXS-05 in patients with MDD and TRD known as the COMET trial has also been completed. Additionally, three Phase 2 open-label efficacy sub-studies of the COMET trial have been completed. These sub-studies evaluated the efficacy and safety of AXS-05 in three clinically pertinent MDD patient populations: the COMET-TRD trial in treatment resistant MDD (TRD), the COMET-AU trial in antidepressant unresponsive MDD, and the COMET-SI trial in MDD with suicidal ideation. In the overall COMET trial, AXS-05 treatment resulted in rapid, substantial, and durable improvement in depressive symptoms, measured using the MADRS, which was sustained or increased with long-term treatment. Additionally, AXS-05 was well tolerated with long-term dosing. Similar findings of rapid and durable improvements in depressive symptoms were demonstrated in the COMET-AU and COMET-TRD sub-studies. In the COMET-SI trial, a rapid reduction in suicidal ideation was observed with AXS-05 treatment, as demonstrated by reductions in the MADRS-SI score. We have completed a Phase 3 trial of AXS-05 in TRD, which we refer to as the STRIDE-1 trial, which met key secondary endpoints but did not reach statistical significance on the primary endpoint. Additionally, we have completed a Phase 2, double-blind, placebo-controlled, multi-center, relapse prevention study in patients with TRD, which we call the MERIT trial. In the MERIT trial, AXS-05 achieved its primary and secondary endpoints by delaying time to relapse and preventing relapse as compared to placebo. We have also completed a Phase 2/3 trial of AXS-05 in AD agitation, which we refer to as the ADVANCE trial. AXS-05 achieved the primary endpoint in the ADVANCE trial. We are conducting the ACCORD trial, a Phase 3, double blind, placebo-controlled, randomized withdrawal trial in patients with AD agitation, and one open-label long-term safety study in AD agitation. AXS-05 is also being developed as an aid to smoking cessation treatment and a positive Phase 2 trial in this indication has been completed under a research collaboration with Duke University. We have submitted an NDA, for AXS-05 for the treatment of MDD supported by the positive results from the ASCEND and GEMINI trials which was accepted for filing by the FDA and was granted the application Priority Review resulting in a PDUFA target action date of August 22, 2021. On August 20, 2021, the FDA informed us that its review would not be completed by the PDUFA target action date and the review of the application is ongoing.</w:t>
      </w:r>
    </w:p>
    <w:p>
      <w:pPr>
        <w:spacing w:after="0" w:line="190" w:lineRule="exact"/>
        <w:rPr>
          <w:sz w:val="20"/>
          <w:szCs w:val="20"/>
          <w:color w:val="auto"/>
        </w:rPr>
      </w:pPr>
    </w:p>
    <w:p>
      <w:pPr>
        <w:ind w:right="40" w:firstLine="749"/>
        <w:spacing w:after="0" w:line="288" w:lineRule="auto"/>
        <w:rPr>
          <w:sz w:val="20"/>
          <w:szCs w:val="20"/>
          <w:color w:val="auto"/>
        </w:rPr>
      </w:pPr>
      <w:r>
        <w:rPr>
          <w:rFonts w:ascii="Arial" w:cs="Arial" w:eastAsia="Arial" w:hAnsi="Arial"/>
          <w:sz w:val="15"/>
          <w:szCs w:val="15"/>
          <w:color w:val="auto"/>
        </w:rPr>
        <w:t>AXS-07 is a novel, oral, rapidly absorbed, multi-mechanistic, investigational medicine under development for the acute treatment of migraine. AXS-07 consists of MoSEIC™, or Molecular Solubility Enhanced Inclusion Complex, meloxicam and rizatriptan.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9"/>
          <w:szCs w:val="9"/>
          <w:color w:val="auto"/>
        </w:rPr>
        <w:t>max</w:t>
      </w:r>
      <w:r>
        <w:rPr>
          <w:rFonts w:ascii="Arial" w:cs="Arial" w:eastAsia="Arial" w:hAnsi="Arial"/>
          <w:sz w:val="15"/>
          <w:szCs w:val="15"/>
          <w:color w:val="auto"/>
        </w:rPr>
        <w:t>,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9"/>
          <w:szCs w:val="9"/>
          <w:color w:val="auto"/>
        </w:rPr>
        <w:t>1B/1D</w:t>
      </w:r>
      <w:r>
        <w:rPr>
          <w:rFonts w:ascii="Arial" w:cs="Arial" w:eastAsia="Arial" w:hAnsi="Arial"/>
          <w:sz w:val="15"/>
          <w:szCs w:val="15"/>
          <w:color w:val="auto"/>
        </w:rPr>
        <w:t xml:space="preserve">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are seeking FDA approval for AXS-07 utilizing the 505(b)(2) regulatory development pathway.</w:t>
      </w:r>
    </w:p>
    <w:p>
      <w:pPr>
        <w:spacing w:after="0" w:line="180" w:lineRule="exact"/>
        <w:rPr>
          <w:sz w:val="20"/>
          <w:szCs w:val="20"/>
          <w:color w:val="auto"/>
        </w:rPr>
      </w:pPr>
    </w:p>
    <w:p>
      <w:pPr>
        <w:ind w:right="20" w:firstLine="749"/>
        <w:spacing w:after="0" w:line="293" w:lineRule="auto"/>
        <w:rPr>
          <w:sz w:val="20"/>
          <w:szCs w:val="20"/>
          <w:color w:val="auto"/>
        </w:rPr>
      </w:pPr>
      <w:r>
        <w:rPr>
          <w:rFonts w:ascii="Arial" w:cs="Arial" w:eastAsia="Arial" w:hAnsi="Arial"/>
          <w:sz w:val="15"/>
          <w:szCs w:val="15"/>
          <w:color w:val="auto"/>
        </w:rPr>
        <w:t>We have completed two Phase 3 trials of AXS-07 for the acute treatment of migraine, which we refer to as the MOMENTUM and INTERCEPT trials. AXS-07 achieved the co-primary endpoints in both the MOMENTUM and INTERCEPT trials. An open-label, long-term, safety study of AXS-07 in patients with migraine known as the MOVEMENT trial has also been completed. In the MOVEMENT trial, administration of AXS-07 resulted in rapid, and substantial relief of migraine pain and associated symptoms and was well tolerated with long term dosing. We have submitted an NDA for AXS-07 for the acute treatment of migraine supported by the positive results from the MOMENTUM and INTERCEPT trials which was accepted for filing by the FDA with a PDUFA target action date of April 30, 2022.</w:t>
      </w:r>
    </w:p>
    <w:p>
      <w:pPr>
        <w:spacing w:after="0" w:line="176"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AXS-12, reboxetine, is a novel, oral, investigational medicine in development for the treatment of narcolepsy. AXS-12 is a highly selective and potent norepinephrine reuptake inhibitor. AXS-12 has been granted FDA Orphan Drug Designation for the treatment of narcolepsy. We have completed a Phase 2 trial with AXS-12, which we refer to as the CONCERT trial. AXS-12 achieved the primary endpoint in the CONCERT trial. A randomized, placebo-controlled Phase 3 trial with AXS-12 in narcolepsy was initiated in the third quarter of 2021, which we refer to as the SYMPHONY study, and an open-label safety extension study was also initiated.</w:t>
      </w:r>
    </w:p>
    <w:p>
      <w:pPr>
        <w:spacing w:after="0" w:line="172"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AXS-14, esreboxetine, is a novel, oral, investigational medicine in development for the treatment of fibromyalgia. AXS-14 is a highly selective and potent norepinephrine reuptake inhibitor. We are initially developing esreboxetine for the management of fibromyalgia. Esreboxetine, the SS-enantiomer of reboxetine, is more potent and selective than racemic reboxetine. We have in-licensed data from Pfizer which includes a completed Phase 2 trial and Phase 3 trial in fibromyalgia, both of which were positive. We plan to submit an NDA for AXS-14 in 2023 for the management of fibromyalgia.</w:t>
      </w:r>
    </w:p>
    <w:p>
      <w:pPr>
        <w:spacing w:after="0" w:line="189" w:lineRule="exact"/>
        <w:rPr>
          <w:sz w:val="20"/>
          <w:szCs w:val="20"/>
          <w:color w:val="auto"/>
        </w:rPr>
      </w:pPr>
    </w:p>
    <w:p>
      <w:pPr>
        <w:ind w:right="140" w:firstLine="749"/>
        <w:spacing w:after="0" w:line="293" w:lineRule="auto"/>
        <w:rPr>
          <w:sz w:val="20"/>
          <w:szCs w:val="20"/>
          <w:color w:val="auto"/>
        </w:rPr>
      </w:pPr>
      <w:r>
        <w:rPr>
          <w:rFonts w:ascii="Arial" w:cs="Arial" w:eastAsia="Arial" w:hAnsi="Arial"/>
          <w:sz w:val="15"/>
          <w:szCs w:val="15"/>
          <w:color w:val="auto"/>
        </w:rPr>
        <w:t>AXS-09 is an oral, investigational NMDA receptor antagonist with multimodal activity consisting of esbupropion and dextromethorphan, which is being developed for the treatment of CNS disorders. AXS-09 contains esbupropion, the chirally pure S-enantiomer of bupropion, as compared to the company’s first-generation product candidate AXS-05 which contains racemic bupropion, equal amounts of the S- and R-enantiomers. We have demonstrated in a Phase 1 trial that dextromethorphan plasma levels are substantially increased into a potentially therapeutic range with repeated administration of AXS-09. Results of this Phase 1 trial coupled with preclinical data also indicate the potential for enhanced absorption and therapeutic effect of the S-enantiomer as compared to the R-enantiomer.</w:t>
      </w:r>
    </w:p>
    <w:p>
      <w:pPr>
        <w:spacing w:after="0" w:line="176" w:lineRule="exact"/>
        <w:rPr>
          <w:sz w:val="20"/>
          <w:szCs w:val="20"/>
          <w:color w:val="auto"/>
        </w:rPr>
      </w:pPr>
    </w:p>
    <w:p>
      <w:pPr>
        <w:ind w:right="520" w:firstLine="749"/>
        <w:spacing w:after="0" w:line="273" w:lineRule="auto"/>
        <w:rPr>
          <w:sz w:val="20"/>
          <w:szCs w:val="20"/>
          <w:color w:val="auto"/>
        </w:rPr>
      </w:pPr>
      <w:r>
        <w:rPr>
          <w:rFonts w:ascii="Arial" w:cs="Arial" w:eastAsia="Arial" w:hAnsi="Arial"/>
          <w:sz w:val="16"/>
          <w:szCs w:val="16"/>
          <w:color w:val="auto"/>
        </w:rPr>
        <w:t>Since our incorporation in January 2012, our operations to date have included organizing and staffing our company, business planning, raising capital, developing our compounds, and engaging in other discovery and preclinical activities.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580" w:firstLine="749"/>
        <w:spacing w:after="0" w:line="293" w:lineRule="auto"/>
        <w:rPr>
          <w:sz w:val="20"/>
          <w:szCs w:val="20"/>
          <w:color w:val="auto"/>
        </w:rPr>
      </w:pPr>
      <w:r>
        <w:rPr>
          <w:rFonts w:ascii="Arial" w:cs="Arial" w:eastAsia="Arial" w:hAnsi="Arial"/>
          <w:sz w:val="16"/>
          <w:szCs w:val="16"/>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72" w:lineRule="exact"/>
        <w:rPr>
          <w:sz w:val="20"/>
          <w:szCs w:val="20"/>
          <w:color w:val="auto"/>
        </w:rPr>
      </w:pPr>
    </w:p>
    <w:p>
      <w:pPr>
        <w:ind w:firstLine="749"/>
        <w:spacing w:after="0" w:line="309" w:lineRule="auto"/>
        <w:rPr>
          <w:sz w:val="20"/>
          <w:szCs w:val="20"/>
          <w:color w:val="auto"/>
        </w:rPr>
      </w:pPr>
      <w:r>
        <w:rPr>
          <w:rFonts w:ascii="Arial" w:cs="Arial" w:eastAsia="Arial" w:hAnsi="Arial"/>
          <w:sz w:val="14"/>
          <w:szCs w:val="14"/>
          <w:color w:val="auto"/>
        </w:rPr>
        <w:t>We have incurred significant operating expenses and net losses since inception. We incurred net losses of $96.4 million and $73.7 million for the nine months ended September 30, 2021 and 2020, respectively. Our accumulated deficit as of September 30, 2021 was $375.2 million, and we expect to incur significant expenses and increasing operating losses for the foreseeable future. We expect to continue to incur expenses in connection with the development of our product candidates, including with respect to conducting clinical trials and seeking regulatory approval for our current product candidates and any other product candidates that we develop or in-license and advance to clinical development. In preparation for obtaining regulatory approval for our product candidates, we expect to incur significant expenses in order to create an infrastructure and market readiness to support the commercialization of the product candidates,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and/or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 to Date and Recent Developments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AXS-05</w:t>
      </w:r>
    </w:p>
    <w:p>
      <w:pPr>
        <w:spacing w:after="0" w:line="235" w:lineRule="exact"/>
        <w:rPr>
          <w:sz w:val="20"/>
          <w:szCs w:val="20"/>
          <w:color w:val="auto"/>
        </w:rPr>
      </w:pPr>
    </w:p>
    <w:p>
      <w:pPr>
        <w:jc w:val="both"/>
        <w:ind w:right="380" w:firstLine="749"/>
        <w:spacing w:after="0" w:line="293" w:lineRule="auto"/>
        <w:rPr>
          <w:sz w:val="20"/>
          <w:szCs w:val="20"/>
          <w:color w:val="auto"/>
        </w:rPr>
      </w:pPr>
      <w:r>
        <w:rPr>
          <w:rFonts w:ascii="Arial" w:cs="Arial" w:eastAsia="Arial" w:hAnsi="Arial"/>
          <w:sz w:val="16"/>
          <w:szCs w:val="16"/>
          <w:color w:val="auto"/>
        </w:rPr>
        <w:t>In April 2021, we announced that the FDA has accepted for filing the NDA for AXS-05 for the treatment of MDD, and has granted the application Priority Review resulting in a PDUFA target action date of August 22, 2021.</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In August 2021, we announced that AXS-05 achieved primary and key secondary endpoints in the MERIT Phase 2 Trial in treatment resistant depression.</w:t>
      </w:r>
    </w:p>
    <w:p>
      <w:pPr>
        <w:spacing w:after="0" w:line="246" w:lineRule="exact"/>
        <w:rPr>
          <w:sz w:val="20"/>
          <w:szCs w:val="20"/>
          <w:color w:val="auto"/>
        </w:rPr>
      </w:pPr>
    </w:p>
    <w:p>
      <w:pPr>
        <w:ind w:right="20" w:firstLine="749"/>
        <w:spacing w:after="0" w:line="293" w:lineRule="auto"/>
        <w:rPr>
          <w:sz w:val="20"/>
          <w:szCs w:val="20"/>
          <w:color w:val="auto"/>
        </w:rPr>
      </w:pPr>
      <w:r>
        <w:rPr>
          <w:rFonts w:ascii="Arial" w:cs="Arial" w:eastAsia="Arial" w:hAnsi="Arial"/>
          <w:sz w:val="16"/>
          <w:szCs w:val="16"/>
          <w:color w:val="auto"/>
        </w:rPr>
        <w:t>In August 2021, we announced that we received a letter from the FDA related to its review of the NDA for AXS-05 for the treatment of MDD, stating that it has identified deficiencies that preclude discussion of labeling and post-marketing requirements/commitments.</w:t>
      </w:r>
    </w:p>
    <w:p>
      <w:pPr>
        <w:spacing w:after="0" w:line="172" w:lineRule="exact"/>
        <w:rPr>
          <w:sz w:val="20"/>
          <w:szCs w:val="20"/>
          <w:color w:val="auto"/>
        </w:rPr>
      </w:pPr>
    </w:p>
    <w:p>
      <w:pPr>
        <w:ind w:right="60" w:firstLine="749"/>
        <w:spacing w:after="0" w:line="293" w:lineRule="auto"/>
        <w:rPr>
          <w:sz w:val="20"/>
          <w:szCs w:val="20"/>
          <w:color w:val="auto"/>
        </w:rPr>
      </w:pPr>
      <w:r>
        <w:rPr>
          <w:rFonts w:ascii="Arial" w:cs="Arial" w:eastAsia="Arial" w:hAnsi="Arial"/>
          <w:sz w:val="16"/>
          <w:szCs w:val="16"/>
          <w:color w:val="auto"/>
        </w:rPr>
        <w:t>In August 2021, we provided an update that the FDA informed us that its review of the NDA for AXS-05 for the treatment of MDD would not be completed by PDUFA target action date of August 22, 2021 and its review of the application is still ongoing.</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AXS-07</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In June 2021, we submitted an NDA for filing for AXS-07 for the acute treatment of migraine.</w:t>
      </w:r>
    </w:p>
    <w:p>
      <w:pPr>
        <w:spacing w:after="0" w:line="235" w:lineRule="exact"/>
        <w:rPr>
          <w:sz w:val="20"/>
          <w:szCs w:val="20"/>
          <w:color w:val="auto"/>
        </w:rPr>
      </w:pPr>
    </w:p>
    <w:p>
      <w:pPr>
        <w:ind w:right="180" w:firstLine="749"/>
        <w:spacing w:after="0" w:line="293" w:lineRule="auto"/>
        <w:rPr>
          <w:sz w:val="20"/>
          <w:szCs w:val="20"/>
          <w:color w:val="auto"/>
        </w:rPr>
      </w:pPr>
      <w:r>
        <w:rPr>
          <w:rFonts w:ascii="Arial" w:cs="Arial" w:eastAsia="Arial" w:hAnsi="Arial"/>
          <w:sz w:val="16"/>
          <w:szCs w:val="16"/>
          <w:color w:val="auto"/>
        </w:rPr>
        <w:t>In September 2021, we announced that the FDA has accepted for filing the NDA for AXS-07 for the acute treatment of migraine, with a PDUFA target action date of April 30, 2022.</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AXS-12</w:t>
      </w:r>
    </w:p>
    <w:p>
      <w:pPr>
        <w:spacing w:after="0" w:line="235" w:lineRule="exact"/>
        <w:rPr>
          <w:sz w:val="20"/>
          <w:szCs w:val="20"/>
          <w:color w:val="auto"/>
        </w:rPr>
      </w:pPr>
    </w:p>
    <w:p>
      <w:pPr>
        <w:jc w:val="both"/>
        <w:ind w:right="360" w:firstLine="749"/>
        <w:spacing w:after="0" w:line="278" w:lineRule="auto"/>
        <w:rPr>
          <w:sz w:val="20"/>
          <w:szCs w:val="20"/>
          <w:color w:val="auto"/>
        </w:rPr>
      </w:pPr>
      <w:r>
        <w:rPr>
          <w:rFonts w:ascii="Arial" w:cs="Arial" w:eastAsia="Arial" w:hAnsi="Arial"/>
          <w:sz w:val="16"/>
          <w:szCs w:val="16"/>
          <w:color w:val="auto"/>
        </w:rPr>
        <w:t>In July 2021, we announced that we were notified by the FDA that the FDA has rescinded our Breakthrough Therapy Designation for our AXS-12 product candidate for the treatment of cataplexy in narcolepsy, due to the FDA approving an additional drug product for the treatment of cataplexy in narcolepsy subsequent to granting AXS-12 Breakthrough Therapy Designation.</w:t>
      </w:r>
    </w:p>
    <w:p>
      <w:pPr>
        <w:spacing w:after="0" w:line="184"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In September 2021, we announced the enrollment of the first patient in our SYMPHONY (Study Evaluating a Mechanistic Approach to Treating Narcolepsy) Phase 3 trial of AXS-12 (reboxetine) in narcolepsy.</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AXS-14</w:t>
      </w:r>
    </w:p>
    <w:p>
      <w:pPr>
        <w:spacing w:after="0" w:line="235"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In June 2021, we announced that we plan to submit an NDA for AXS-14 for the management of fibromyalgia following a pre-NDA meeting with the U.S. Food and Drug Administration.</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3" w:name="page24"/>
    <w:bookmarkEnd w:id="2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Financial</w:t>
      </w:r>
    </w:p>
    <w:p>
      <w:pPr>
        <w:spacing w:after="0" w:line="235" w:lineRule="exact"/>
        <w:rPr>
          <w:sz w:val="20"/>
          <w:szCs w:val="20"/>
          <w:color w:val="auto"/>
        </w:rPr>
      </w:pPr>
    </w:p>
    <w:p>
      <w:pPr>
        <w:jc w:val="both"/>
        <w:ind w:right="380" w:firstLine="749"/>
        <w:spacing w:after="0" w:line="278" w:lineRule="auto"/>
        <w:rPr>
          <w:sz w:val="20"/>
          <w:szCs w:val="20"/>
          <w:color w:val="auto"/>
        </w:rPr>
      </w:pPr>
      <w:r>
        <w:rPr>
          <w:rFonts w:ascii="Arial" w:cs="Arial" w:eastAsia="Arial" w:hAnsi="Arial"/>
          <w:sz w:val="16"/>
          <w:szCs w:val="16"/>
          <w:color w:val="auto"/>
        </w:rPr>
        <w:t>In October 2021, we amended and increased the size of the our 2020 Term Loan facility with Hercules Capital to $300 million, which increased the amount immediately available upon FDA approval of AXS-05 for major depressive disorder to $100 million and provides access to an additional $150 million thereafter, at the Company’s option. The amendment also extends the maturity and interest-only period of the facility.</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235" w:lineRule="exact"/>
        <w:rPr>
          <w:sz w:val="20"/>
          <w:szCs w:val="20"/>
          <w:color w:val="auto"/>
        </w:rPr>
      </w:pPr>
    </w:p>
    <w:p>
      <w:pPr>
        <w:ind w:right="60" w:firstLine="749"/>
        <w:spacing w:after="0" w:line="273" w:lineRule="auto"/>
        <w:rPr>
          <w:sz w:val="20"/>
          <w:szCs w:val="20"/>
          <w:color w:val="auto"/>
        </w:rPr>
      </w:pPr>
      <w:r>
        <w:rPr>
          <w:rFonts w:ascii="Arial" w:cs="Arial" w:eastAsia="Arial" w:hAnsi="Arial"/>
          <w:sz w:val="16"/>
          <w:szCs w:val="16"/>
          <w:color w:val="auto"/>
        </w:rPr>
        <w:t>We have not generated any revenue and have incurred significant operating losses since inception, and we do not expect to generate any revenue from the sale of any products unless or until we obtain regulatory approval. If we fail to complete the development of our product candidates in a timely manner or obtain regulatory approval for them, our ability to generate future revenue, and our results of operations and financial position, would be materially and adversely affected. If we enter into licensing or collaboration arrangements, such agreements may generate revenue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35" w:lineRule="exact"/>
        <w:rPr>
          <w:sz w:val="20"/>
          <w:szCs w:val="20"/>
          <w:color w:val="auto"/>
        </w:rPr>
      </w:pPr>
    </w:p>
    <w:p>
      <w:pPr>
        <w:jc w:val="both"/>
        <w:ind w:right="300" w:firstLine="749"/>
        <w:spacing w:after="0" w:line="204" w:lineRule="exact"/>
        <w:rPr>
          <w:sz w:val="20"/>
          <w:szCs w:val="20"/>
          <w:color w:val="auto"/>
        </w:rPr>
      </w:pPr>
      <w:r>
        <w:rPr>
          <w:rFonts w:ascii="Arial" w:cs="Arial" w:eastAsia="Arial" w:hAnsi="Arial"/>
          <w:sz w:val="15"/>
          <w:szCs w:val="15"/>
          <w:color w:val="auto"/>
        </w:rPr>
        <w:t>Research and development expenses primarily include preclinical studies, clinical trials, manufacturing costs, employee-related expenses including salaries, benefits, travel, and stock</w:t>
      </w:r>
      <w:r>
        <w:rPr>
          <w:rFonts w:ascii="MS PGothic" w:cs="MS PGothic" w:eastAsia="MS PGothic" w:hAnsi="MS PGothic"/>
          <w:sz w:val="15"/>
          <w:szCs w:val="15"/>
          <w:color w:val="auto"/>
        </w:rPr>
        <w:t>‑</w:t>
      </w:r>
      <w:r>
        <w:rPr>
          <w:rFonts w:ascii="Arial" w:cs="Arial" w:eastAsia="Arial" w:hAnsi="Arial"/>
          <w:sz w:val="15"/>
          <w:szCs w:val="15"/>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213" w:lineRule="exact"/>
        <w:rPr>
          <w:sz w:val="20"/>
          <w:szCs w:val="20"/>
          <w:color w:val="auto"/>
        </w:rPr>
      </w:pPr>
    </w:p>
    <w:p>
      <w:pPr>
        <w:ind w:firstLine="749"/>
        <w:spacing w:after="0" w:line="288" w:lineRule="auto"/>
        <w:rPr>
          <w:sz w:val="20"/>
          <w:szCs w:val="20"/>
          <w:color w:val="auto"/>
        </w:rPr>
      </w:pPr>
      <w:r>
        <w:rPr>
          <w:rFonts w:ascii="Arial" w:cs="Arial" w:eastAsia="Arial" w:hAnsi="Arial"/>
          <w:sz w:val="15"/>
          <w:szCs w:val="15"/>
          <w:color w:val="auto"/>
        </w:rPr>
        <w:t>Research and development activities are central to our business model. We have and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80" w:lineRule="exact"/>
        <w:rPr>
          <w:sz w:val="20"/>
          <w:szCs w:val="20"/>
          <w:color w:val="auto"/>
        </w:rPr>
      </w:pPr>
    </w:p>
    <w:p>
      <w:pPr>
        <w:ind w:right="160" w:firstLine="749"/>
        <w:spacing w:after="0" w:line="315" w:lineRule="auto"/>
        <w:rPr>
          <w:sz w:val="20"/>
          <w:szCs w:val="20"/>
          <w:color w:val="auto"/>
        </w:rPr>
      </w:pPr>
      <w:r>
        <w:rPr>
          <w:rFonts w:ascii="Arial" w:cs="Arial" w:eastAsia="Arial" w:hAnsi="Arial"/>
          <w:sz w:val="14"/>
          <w:szCs w:val="14"/>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163"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summarizes our research and development expenses for our primary programs for the three and nine months ended September 30, 2021 and</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2020: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80" w:type="dxa"/>
            <w:vAlign w:val="bottom"/>
            <w:gridSpan w:val="4"/>
          </w:tcPr>
          <w:p>
            <w:pPr>
              <w:jc w:val="right"/>
              <w:ind w:right="712"/>
              <w:spacing w:after="0"/>
              <w:rPr>
                <w:sz w:val="20"/>
                <w:szCs w:val="20"/>
                <w:color w:val="auto"/>
              </w:rPr>
            </w:pPr>
            <w:r>
              <w:rPr>
                <w:rFonts w:ascii="Arial" w:cs="Arial" w:eastAsia="Arial" w:hAnsi="Arial"/>
                <w:sz w:val="14"/>
                <w:szCs w:val="14"/>
                <w:b w:val="1"/>
                <w:bCs w:val="1"/>
                <w:color w:val="auto"/>
              </w:rPr>
              <w:t>Nine Months Ended</w:t>
            </w:r>
          </w:p>
        </w:tc>
      </w:tr>
      <w:tr>
        <w:trPr>
          <w:trHeight w:val="209"/>
        </w:trPr>
        <w:tc>
          <w:tcPr>
            <w:tcW w:w="56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40" w:type="dxa"/>
            <w:vAlign w:val="bottom"/>
            <w:tcBorders>
              <w:bottom w:val="single" w:sz="8" w:color="auto"/>
            </w:tcBorders>
          </w:tcPr>
          <w:p>
            <w:pPr>
              <w:spacing w:after="0"/>
              <w:rPr>
                <w:sz w:val="18"/>
                <w:szCs w:val="18"/>
                <w:color w:val="auto"/>
              </w:rPr>
            </w:pPr>
          </w:p>
        </w:tc>
      </w:tr>
      <w:tr>
        <w:trPr>
          <w:trHeight w:val="196"/>
        </w:trPr>
        <w:tc>
          <w:tcPr>
            <w:tcW w:w="56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r>
      <w:tr>
        <w:trPr>
          <w:trHeight w:val="256"/>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AXS-05</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6,021,979</w:t>
            </w:r>
          </w:p>
        </w:tc>
        <w:tc>
          <w:tcPr>
            <w:tcW w:w="4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8,449,823</w:t>
            </w:r>
          </w:p>
        </w:tc>
        <w:tc>
          <w:tcPr>
            <w:tcW w:w="36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18,250,901</w:t>
            </w:r>
          </w:p>
        </w:tc>
        <w:tc>
          <w:tcPr>
            <w:tcW w:w="480" w:type="dxa"/>
            <w:vAlign w:val="bottom"/>
            <w:gridSpan w:val="2"/>
            <w:shd w:val="clear" w:color="auto" w:fill="CFF0FC"/>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w w:val="90"/>
              </w:rPr>
              <w:t>23,025,122</w:t>
            </w: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AXS-07</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2,415,945</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3,612,943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12,237,561</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w w:val="90"/>
              </w:rPr>
              <w:t>12,543,714</w:t>
            </w:r>
          </w:p>
        </w:tc>
      </w:tr>
      <w:tr>
        <w:trPr>
          <w:trHeight w:val="263"/>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AXS-12</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1,420,240</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653,456</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2,973,667</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6,364,419</w:t>
            </w: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AXS-14</w:t>
            </w:r>
          </w:p>
        </w:tc>
        <w:tc>
          <w:tcPr>
            <w:tcW w:w="28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98,263</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102,302</w:t>
            </w: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5,078,184</w:t>
            </w:r>
          </w:p>
        </w:tc>
      </w:tr>
      <w:tr>
        <w:trPr>
          <w:trHeight w:val="263"/>
        </w:trPr>
        <w:tc>
          <w:tcPr>
            <w:tcW w:w="56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research and development</w:t>
            </w:r>
          </w:p>
        </w:tc>
        <w:tc>
          <w:tcPr>
            <w:tcW w:w="280" w:type="dxa"/>
            <w:vAlign w:val="bottom"/>
            <w:shd w:val="clear" w:color="auto" w:fill="CFF0FC"/>
          </w:tcPr>
          <w:p>
            <w:pPr>
              <w:spacing w:after="0"/>
              <w:rPr>
                <w:sz w:val="22"/>
                <w:szCs w:val="22"/>
                <w:color w:val="auto"/>
              </w:rPr>
            </w:pPr>
          </w:p>
        </w:tc>
        <w:tc>
          <w:tcPr>
            <w:tcW w:w="110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1,244,066</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1,218,012</w:t>
            </w:r>
          </w:p>
        </w:tc>
        <w:tc>
          <w:tcPr>
            <w:tcW w:w="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60" w:type="dxa"/>
            <w:vAlign w:val="bottom"/>
            <w:shd w:val="clear" w:color="auto" w:fill="CFF0FC"/>
          </w:tcPr>
          <w:p>
            <w:pPr>
              <w:jc w:val="right"/>
              <w:ind w:right="15"/>
              <w:spacing w:after="0"/>
              <w:rPr>
                <w:sz w:val="20"/>
                <w:szCs w:val="20"/>
                <w:color w:val="auto"/>
              </w:rPr>
            </w:pPr>
            <w:r>
              <w:rPr>
                <w:rFonts w:ascii="Arial" w:cs="Arial" w:eastAsia="Arial" w:hAnsi="Arial"/>
                <w:sz w:val="18"/>
                <w:szCs w:val="18"/>
                <w:color w:val="auto"/>
              </w:rPr>
              <w:t>4,898,177</w:t>
            </w:r>
          </w:p>
        </w:tc>
        <w:tc>
          <w:tcPr>
            <w:tcW w:w="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12"/>
              <w:spacing w:after="0"/>
              <w:rPr>
                <w:sz w:val="20"/>
                <w:szCs w:val="20"/>
                <w:color w:val="auto"/>
              </w:rPr>
            </w:pPr>
            <w:r>
              <w:rPr>
                <w:rFonts w:ascii="Arial" w:cs="Arial" w:eastAsia="Arial" w:hAnsi="Arial"/>
                <w:sz w:val="18"/>
                <w:szCs w:val="18"/>
                <w:color w:val="auto"/>
              </w:rPr>
              <w:t>3,315,762</w:t>
            </w:r>
          </w:p>
        </w:tc>
      </w:tr>
      <w:tr>
        <w:trPr>
          <w:trHeight w:val="250"/>
        </w:trPr>
        <w:tc>
          <w:tcPr>
            <w:tcW w:w="5600" w:type="dxa"/>
            <w:vAlign w:val="bottom"/>
          </w:tcPr>
          <w:p>
            <w:pPr>
              <w:ind w:left="200"/>
              <w:spacing w:after="0"/>
              <w:rPr>
                <w:sz w:val="20"/>
                <w:szCs w:val="20"/>
                <w:color w:val="auto"/>
              </w:rPr>
            </w:pPr>
            <w:r>
              <w:rPr>
                <w:rFonts w:ascii="Arial" w:cs="Arial" w:eastAsia="Arial" w:hAnsi="Arial"/>
                <w:sz w:val="18"/>
                <w:szCs w:val="18"/>
                <w:color w:val="auto"/>
              </w:rPr>
              <w:t>Stock-based compensation</w:t>
            </w:r>
          </w:p>
        </w:tc>
        <w:tc>
          <w:tcPr>
            <w:tcW w:w="28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1,979,765</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860,744</w:t>
            </w:r>
          </w:p>
        </w:tc>
        <w:tc>
          <w:tcPr>
            <w:tcW w:w="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5,816,664</w:t>
            </w: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2,532,649</w:t>
            </w:r>
          </w:p>
        </w:tc>
      </w:tr>
      <w:tr>
        <w:trPr>
          <w:trHeight w:val="290"/>
        </w:trPr>
        <w:tc>
          <w:tcPr>
            <w:tcW w:w="5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research and development expenses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13,180,258</w:t>
            </w:r>
          </w:p>
        </w:tc>
        <w:tc>
          <w:tcPr>
            <w:tcW w:w="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14,795,493</w:t>
            </w:r>
          </w:p>
        </w:tc>
        <w:tc>
          <w:tcPr>
            <w:tcW w:w="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ind w:right="15"/>
              <w:spacing w:after="0"/>
              <w:rPr>
                <w:sz w:val="20"/>
                <w:szCs w:val="20"/>
                <w:color w:val="auto"/>
              </w:rPr>
            </w:pPr>
            <w:r>
              <w:rPr>
                <w:rFonts w:ascii="Arial" w:cs="Arial" w:eastAsia="Arial" w:hAnsi="Arial"/>
                <w:sz w:val="18"/>
                <w:szCs w:val="18"/>
                <w:color w:val="auto"/>
              </w:rPr>
              <w:t>44,279,272</w:t>
            </w:r>
          </w:p>
        </w:tc>
        <w:tc>
          <w:tcPr>
            <w:tcW w:w="8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ind w:right="12"/>
              <w:spacing w:after="0"/>
              <w:rPr>
                <w:sz w:val="20"/>
                <w:szCs w:val="20"/>
                <w:color w:val="auto"/>
              </w:rPr>
            </w:pPr>
            <w:r>
              <w:rPr>
                <w:rFonts w:ascii="Arial" w:cs="Arial" w:eastAsia="Arial" w:hAnsi="Arial"/>
                <w:sz w:val="18"/>
                <w:szCs w:val="18"/>
                <w:color w:val="auto"/>
                <w:w w:val="90"/>
              </w:rPr>
              <w:t>52,859,850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4428490</wp:posOffset>
            </wp:positionH>
            <wp:positionV relativeFrom="paragraph">
              <wp:posOffset>-24765</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03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-24765</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-7620</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-24765</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-7620</wp:posOffset>
            </wp:positionV>
            <wp:extent cx="514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40" w:lineRule="exact"/>
        <w:rPr>
          <w:sz w:val="20"/>
          <w:szCs w:val="20"/>
          <w:color w:val="auto"/>
        </w:rPr>
      </w:pPr>
    </w:p>
    <w:p>
      <w:pPr>
        <w:ind w:left="760"/>
        <w:spacing w:after="0"/>
        <w:rPr>
          <w:sz w:val="20"/>
          <w:szCs w:val="20"/>
          <w:color w:val="auto"/>
        </w:rPr>
      </w:pPr>
      <w:r>
        <w:rPr>
          <w:rFonts w:ascii="Arial" w:cs="Arial" w:eastAsia="Arial" w:hAnsi="Arial"/>
          <w:sz w:val="16"/>
          <w:szCs w:val="16"/>
          <w:color w:val="auto"/>
        </w:rPr>
        <w:t>Other research and development expenses primarily consist of employee salaries and benefits, facilities, and overhead costs.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35"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General and administrative expenses primarily consist of salaries and related costs for personnel in executive, commercial, finance, and operational functions, including stock-based compensation and travel expenses. Also included in general and administrative expenses are pre-commercialization costs, facility-related costs, insurance expense, professional fees for legal and accounting services, and patent filing and prosecution costs. General and administrative expenses are expensed when incurred.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and amortization of debt discount (expense) income</w:t>
      </w:r>
    </w:p>
    <w:p>
      <w:pPr>
        <w:spacing w:after="0" w:line="235"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Interest and amortization of debt discount (expense) income primarily consists of cash interest and non-cash costs related to our term loans (see “Liquidity and Capital Resources” below for a further discussion). We amortize these costs over the term of our debt agreements as interest expense in our consolidated statement of operations. Interest and amortization of debt discount (expense) income also includes interest income earned on cash.</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239"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94" w:lineRule="exact"/>
        <w:rPr>
          <w:sz w:val="20"/>
          <w:szCs w:val="20"/>
          <w:color w:val="auto"/>
        </w:rPr>
      </w:pPr>
    </w:p>
    <w:p>
      <w:pPr>
        <w:ind w:firstLine="749"/>
        <w:spacing w:after="0" w:line="305" w:lineRule="auto"/>
        <w:rPr>
          <w:sz w:val="20"/>
          <w:szCs w:val="20"/>
          <w:color w:val="auto"/>
        </w:rPr>
      </w:pPr>
      <w:r>
        <w:rPr>
          <w:rFonts w:ascii="Arial" w:cs="Arial" w:eastAsia="Arial" w:hAnsi="Arial"/>
          <w:sz w:val="15"/>
          <w:szCs w:val="15"/>
          <w:color w:val="auto"/>
        </w:rPr>
        <w:t>There have been no material changes to our critical accounting policies since the beginning of our fiscal year. Our critical accounting policies are described in “Management’s Discussion and Analysis of Financial Condition and Results of Operations” included in our Annual Report on Form 10-K for the year ended December 31, 2020 and in the notes to the condensed consolidated financial statements appearing elsewhere in this Quarterly Report on Form 10-Q.</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30" w:right="459" w:bottom="1440" w:gutter="0" w:footer="0" w:header="0"/>
        </w:sectPr>
      </w:pPr>
    </w:p>
    <w:bookmarkStart w:id="25" w:name="page26"/>
    <w:bookmarkEnd w:id="2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212"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our results of operations for the periods indicated: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20" w:type="dxa"/>
            <w:vAlign w:val="bottom"/>
            <w:gridSpan w:val="4"/>
          </w:tcPr>
          <w:p>
            <w:pPr>
              <w:jc w:val="right"/>
              <w:ind w:right="721"/>
              <w:spacing w:after="0"/>
              <w:rPr>
                <w:sz w:val="20"/>
                <w:szCs w:val="20"/>
                <w:color w:val="auto"/>
              </w:rPr>
            </w:pPr>
            <w:r>
              <w:rPr>
                <w:rFonts w:ascii="Arial" w:cs="Arial" w:eastAsia="Arial" w:hAnsi="Arial"/>
                <w:sz w:val="13"/>
                <w:szCs w:val="13"/>
                <w:b w:val="1"/>
                <w:bCs w:val="1"/>
                <w:color w:val="auto"/>
              </w:rPr>
              <w:t>Three Months Ended</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20" w:type="dxa"/>
            <w:vAlign w:val="bottom"/>
            <w:gridSpan w:val="4"/>
          </w:tcPr>
          <w:p>
            <w:pPr>
              <w:jc w:val="right"/>
              <w:ind w:right="761"/>
              <w:spacing w:after="0"/>
              <w:rPr>
                <w:sz w:val="20"/>
                <w:szCs w:val="20"/>
                <w:color w:val="auto"/>
              </w:rPr>
            </w:pPr>
            <w:r>
              <w:rPr>
                <w:rFonts w:ascii="Arial" w:cs="Arial" w:eastAsia="Arial" w:hAnsi="Arial"/>
                <w:sz w:val="13"/>
                <w:szCs w:val="13"/>
                <w:b w:val="1"/>
                <w:bCs w:val="1"/>
                <w:color w:val="auto"/>
              </w:rPr>
              <w:t>Nine Months Ended</w:t>
            </w:r>
          </w:p>
        </w:tc>
      </w:tr>
      <w:tr>
        <w:trPr>
          <w:trHeight w:val="198"/>
        </w:trPr>
        <w:tc>
          <w:tcPr>
            <w:tcW w:w="58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3"/>
                <w:szCs w:val="13"/>
                <w:b w:val="1"/>
                <w:bCs w:val="1"/>
                <w:color w:val="auto"/>
              </w:rPr>
              <w:t>September 30,</w:t>
            </w:r>
          </w:p>
        </w:tc>
        <w:tc>
          <w:tcPr>
            <w:tcW w:w="940" w:type="dxa"/>
            <w:vAlign w:val="bottom"/>
            <w:tcBorders>
              <w:bottom w:val="single" w:sz="8" w:color="auto"/>
            </w:tcBorders>
          </w:tcPr>
          <w:p>
            <w:pPr>
              <w:spacing w:after="0"/>
              <w:rPr>
                <w:sz w:val="17"/>
                <w:szCs w:val="17"/>
                <w:color w:val="auto"/>
              </w:rPr>
            </w:pPr>
          </w:p>
        </w:tc>
      </w:tr>
      <w:tr>
        <w:trPr>
          <w:trHeight w:val="182"/>
        </w:trPr>
        <w:tc>
          <w:tcPr>
            <w:tcW w:w="58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c>
          <w:tcPr>
            <w:tcW w:w="1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64"/>
              <w:spacing w:after="0"/>
              <w:rPr>
                <w:sz w:val="20"/>
                <w:szCs w:val="20"/>
                <w:color w:val="auto"/>
              </w:rPr>
            </w:pPr>
            <w:r>
              <w:rPr>
                <w:rFonts w:ascii="Arial" w:cs="Arial" w:eastAsia="Arial" w:hAnsi="Arial"/>
                <w:sz w:val="13"/>
                <w:szCs w:val="13"/>
                <w:b w:val="1"/>
                <w:bCs w:val="1"/>
                <w:color w:val="auto"/>
              </w:rPr>
              <w:t>2021</w:t>
            </w:r>
          </w:p>
        </w:tc>
        <w:tc>
          <w:tcPr>
            <w:tcW w:w="1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61"/>
              <w:spacing w:after="0"/>
              <w:rPr>
                <w:sz w:val="20"/>
                <w:szCs w:val="20"/>
                <w:color w:val="auto"/>
              </w:rPr>
            </w:pPr>
            <w:r>
              <w:rPr>
                <w:rFonts w:ascii="Arial" w:cs="Arial" w:eastAsia="Arial" w:hAnsi="Arial"/>
                <w:sz w:val="13"/>
                <w:szCs w:val="13"/>
                <w:b w:val="1"/>
                <w:bCs w:val="1"/>
                <w:color w:val="auto"/>
              </w:rPr>
              <w:t>2020</w:t>
            </w:r>
          </w:p>
        </w:tc>
      </w:tr>
      <w:tr>
        <w:trPr>
          <w:trHeight w:val="230"/>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expenses: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r>
      <w:tr>
        <w:trPr>
          <w:trHeight w:val="220"/>
        </w:trPr>
        <w:tc>
          <w:tcPr>
            <w:tcW w:w="5800" w:type="dxa"/>
            <w:vAlign w:val="bottom"/>
          </w:tcPr>
          <w:p>
            <w:pPr>
              <w:ind w:left="200"/>
              <w:spacing w:after="0"/>
              <w:rPr>
                <w:sz w:val="20"/>
                <w:szCs w:val="20"/>
                <w:color w:val="auto"/>
              </w:rPr>
            </w:pPr>
            <w:r>
              <w:rPr>
                <w:rFonts w:ascii="Arial" w:cs="Arial" w:eastAsia="Arial" w:hAnsi="Arial"/>
                <w:sz w:val="16"/>
                <w:szCs w:val="16"/>
                <w:color w:val="auto"/>
              </w:rPr>
              <w:t>Research and development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13,180,258</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14,795,493</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ind w:right="24"/>
              <w:spacing w:after="0"/>
              <w:rPr>
                <w:sz w:val="20"/>
                <w:szCs w:val="20"/>
                <w:color w:val="auto"/>
              </w:rPr>
            </w:pPr>
            <w:r>
              <w:rPr>
                <w:rFonts w:ascii="Arial" w:cs="Arial" w:eastAsia="Arial" w:hAnsi="Arial"/>
                <w:sz w:val="16"/>
                <w:szCs w:val="16"/>
                <w:color w:val="auto"/>
              </w:rPr>
              <w:t>44,279,272</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21"/>
              <w:spacing w:after="0"/>
              <w:rPr>
                <w:sz w:val="20"/>
                <w:szCs w:val="20"/>
                <w:color w:val="auto"/>
              </w:rPr>
            </w:pPr>
            <w:r>
              <w:rPr>
                <w:rFonts w:ascii="Arial" w:cs="Arial" w:eastAsia="Arial" w:hAnsi="Arial"/>
                <w:sz w:val="16"/>
                <w:szCs w:val="16"/>
                <w:color w:val="auto"/>
              </w:rPr>
              <w:t>52,859,850</w:t>
            </w:r>
          </w:p>
        </w:tc>
      </w:tr>
      <w:tr>
        <w:trPr>
          <w:trHeight w:val="233"/>
        </w:trPr>
        <w:tc>
          <w:tcPr>
            <w:tcW w:w="5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20,226,884</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6,331,308</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47,819,618</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ind w:right="21"/>
              <w:spacing w:after="0"/>
              <w:rPr>
                <w:sz w:val="20"/>
                <w:szCs w:val="20"/>
                <w:color w:val="auto"/>
              </w:rPr>
            </w:pPr>
            <w:r>
              <w:rPr>
                <w:rFonts w:ascii="Arial" w:cs="Arial" w:eastAsia="Arial" w:hAnsi="Arial"/>
                <w:sz w:val="16"/>
                <w:szCs w:val="16"/>
                <w:color w:val="auto"/>
              </w:rPr>
              <w:t>18,537,242</w:t>
            </w:r>
          </w:p>
        </w:tc>
      </w:tr>
      <w:tr>
        <w:trPr>
          <w:trHeight w:val="223"/>
        </w:trPr>
        <w:tc>
          <w:tcPr>
            <w:tcW w:w="580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33,407,142</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21,126,801</w:t>
            </w:r>
          </w:p>
        </w:tc>
        <w:tc>
          <w:tcPr>
            <w:tcW w:w="1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4"/>
              <w:spacing w:after="0"/>
              <w:rPr>
                <w:sz w:val="20"/>
                <w:szCs w:val="20"/>
                <w:color w:val="auto"/>
              </w:rPr>
            </w:pPr>
            <w:r>
              <w:rPr>
                <w:rFonts w:ascii="Arial" w:cs="Arial" w:eastAsia="Arial" w:hAnsi="Arial"/>
                <w:sz w:val="16"/>
                <w:szCs w:val="16"/>
                <w:color w:val="auto"/>
              </w:rPr>
              <w:t>92,098,890</w:t>
            </w:r>
          </w:p>
        </w:tc>
        <w:tc>
          <w:tcPr>
            <w:tcW w:w="1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71,397,092</w:t>
            </w:r>
          </w:p>
        </w:tc>
      </w:tr>
      <w:tr>
        <w:trPr>
          <w:trHeight w:val="230"/>
        </w:trPr>
        <w:tc>
          <w:tcPr>
            <w:tcW w:w="5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from operations</w:t>
            </w:r>
          </w:p>
        </w:tc>
        <w:tc>
          <w:tcPr>
            <w:tcW w:w="24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(33,407,142 )</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(21,126,801 )</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(92,098,890 )</w:t>
            </w:r>
          </w:p>
        </w:tc>
        <w:tc>
          <w:tcPr>
            <w:tcW w:w="1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4"/>
              </w:rPr>
              <w:t>(71,397,092 )</w:t>
            </w:r>
          </w:p>
        </w:tc>
      </w:tr>
      <w:tr>
        <w:trPr>
          <w:trHeight w:val="220"/>
        </w:trPr>
        <w:tc>
          <w:tcPr>
            <w:tcW w:w="5800" w:type="dxa"/>
            <w:vAlign w:val="bottom"/>
          </w:tcPr>
          <w:p>
            <w:pPr>
              <w:ind w:left="20"/>
              <w:spacing w:after="0"/>
              <w:rPr>
                <w:sz w:val="20"/>
                <w:szCs w:val="20"/>
                <w:color w:val="auto"/>
              </w:rPr>
            </w:pPr>
            <w:r>
              <w:rPr>
                <w:rFonts w:ascii="Arial" w:cs="Arial" w:eastAsia="Arial" w:hAnsi="Arial"/>
                <w:sz w:val="16"/>
                <w:szCs w:val="16"/>
                <w:color w:val="auto"/>
              </w:rPr>
              <w:t>Interest and amortization of debt discount (expense) income</w:t>
            </w:r>
          </w:p>
        </w:tc>
        <w:tc>
          <w:tcPr>
            <w:tcW w:w="2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(1,475,535 )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(551,002 )</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(4,327,966 )</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(1,091,849 )</w:t>
            </w:r>
          </w:p>
        </w:tc>
      </w:tr>
      <w:tr>
        <w:trPr>
          <w:trHeight w:val="233"/>
        </w:trPr>
        <w:tc>
          <w:tcPr>
            <w:tcW w:w="58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Loss on extinguishment of debt</w:t>
            </w:r>
          </w:p>
        </w:tc>
        <w:tc>
          <w:tcPr>
            <w:tcW w:w="24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(1,247,012 )</w:t>
            </w: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shd w:val="clear" w:color="auto" w:fill="CFF0FC"/>
          </w:tcPr>
          <w:p>
            <w:pPr>
              <w:jc w:val="right"/>
              <w:ind w:right="24"/>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(1,247,012 )</w:t>
            </w:r>
          </w:p>
        </w:tc>
      </w:tr>
      <w:tr>
        <w:trPr>
          <w:trHeight w:val="223"/>
        </w:trPr>
        <w:tc>
          <w:tcPr>
            <w:tcW w:w="5800" w:type="dxa"/>
            <w:vAlign w:val="bottom"/>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(34,882,677 )</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94"/>
              </w:rPr>
              <w:t>(22,924,815 )</w:t>
            </w:r>
          </w:p>
        </w:tc>
        <w:tc>
          <w:tcPr>
            <w:tcW w:w="3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(96,426,856 )</w:t>
            </w: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w w:val="94"/>
              </w:rPr>
              <w:t>(73,735,953 )</w:t>
            </w:r>
          </w:p>
        </w:tc>
      </w:tr>
      <w:tr>
        <w:trPr>
          <w:trHeight w:val="20"/>
        </w:trPr>
        <w:tc>
          <w:tcPr>
            <w:tcW w:w="5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4488180</wp:posOffset>
            </wp:positionH>
            <wp:positionV relativeFrom="paragraph">
              <wp:posOffset>-776605</wp:posOffset>
            </wp:positionV>
            <wp:extent cx="85725"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-776605</wp:posOffset>
            </wp:positionV>
            <wp:extent cx="85725"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-776605</wp:posOffset>
            </wp:positionV>
            <wp:extent cx="85725"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-176530</wp:posOffset>
            </wp:positionV>
            <wp:extent cx="8572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-176530</wp:posOffset>
            </wp:positionV>
            <wp:extent cx="8572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6254115</wp:posOffset>
            </wp:positionH>
            <wp:positionV relativeFrom="paragraph">
              <wp:posOffset>-176530</wp:posOffset>
            </wp:positionV>
            <wp:extent cx="857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months ended September 30, 2021 and 2020</w:t>
      </w:r>
    </w:p>
    <w:p>
      <w:pPr>
        <w:spacing w:after="0" w:line="235" w:lineRule="exact"/>
        <w:rPr>
          <w:sz w:val="20"/>
          <w:szCs w:val="20"/>
          <w:color w:val="auto"/>
        </w:rPr>
      </w:pPr>
    </w:p>
    <w:p>
      <w:pPr>
        <w:jc w:val="both"/>
        <w:ind w:right="100" w:firstLine="749"/>
        <w:spacing w:after="0" w:line="26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three months ended September 30, 2021 were $13.2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$14.8 million for the three months ended September 30, 2020, a decrease of $1.6 million. The decrease was driven by the completion of clinical trials that were ongoing in the prior comparable period.</w:t>
      </w:r>
    </w:p>
    <w:p>
      <w:pPr>
        <w:spacing w:after="0" w:line="183" w:lineRule="exact"/>
        <w:rPr>
          <w:sz w:val="20"/>
          <w:szCs w:val="20"/>
          <w:color w:val="auto"/>
        </w:rPr>
      </w:pPr>
    </w:p>
    <w:p>
      <w:pPr>
        <w:ind w:right="40" w:firstLine="749"/>
        <w:spacing w:after="0" w:line="26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three months ended September 30, 2021 were $20.2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$6.3 million for the three months ended September 30, 2020, an increase of $13.9 million. The increase was primarily related to pre-commercial activities and personnel expense, along with an increase in non-cash stock compensation expense.</w:t>
      </w:r>
    </w:p>
    <w:p>
      <w:pPr>
        <w:spacing w:after="0" w:line="75" w:lineRule="exact"/>
        <w:rPr>
          <w:sz w:val="20"/>
          <w:szCs w:val="20"/>
          <w:color w:val="auto"/>
        </w:rPr>
      </w:pPr>
    </w:p>
    <w:p>
      <w:pPr>
        <w:ind w:right="140" w:firstLine="749"/>
        <w:spacing w:after="0" w:line="261" w:lineRule="auto"/>
        <w:rPr>
          <w:sz w:val="20"/>
          <w:szCs w:val="20"/>
          <w:color w:val="auto"/>
        </w:rPr>
      </w:pPr>
      <w:r>
        <w:rPr>
          <w:rFonts w:ascii="Arial" w:cs="Arial" w:eastAsia="Arial" w:hAnsi="Arial"/>
          <w:sz w:val="16"/>
          <w:szCs w:val="16"/>
          <w:i w:val="1"/>
          <w:iCs w:val="1"/>
          <w:color w:val="auto"/>
        </w:rPr>
        <w:t xml:space="preserve">Interest and amortization of debt discount (expense) income. </w:t>
      </w:r>
      <w:r>
        <w:rPr>
          <w:rFonts w:ascii="Arial" w:cs="Arial" w:eastAsia="Arial" w:hAnsi="Arial"/>
          <w:sz w:val="16"/>
          <w:szCs w:val="16"/>
          <w:color w:val="auto"/>
        </w:rPr>
        <w:t>Interest and amortization of debt discount expense for the three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was $1.5 million, compared to $0.6 million for the three months ended September 30, 2020, an increase of $0.9 million. The change is mainly due to a higher outstanding principal amount on our debt in 2021 as compared to the comparable period in 2020.</w:t>
      </w:r>
    </w:p>
    <w:p>
      <w:pPr>
        <w:spacing w:after="0" w:line="75" w:lineRule="exact"/>
        <w:rPr>
          <w:sz w:val="20"/>
          <w:szCs w:val="20"/>
          <w:color w:val="auto"/>
        </w:rPr>
      </w:pPr>
    </w:p>
    <w:p>
      <w:pPr>
        <w:ind w:right="40" w:firstLine="749"/>
        <w:spacing w:after="0" w:line="253" w:lineRule="auto"/>
        <w:rPr>
          <w:sz w:val="20"/>
          <w:szCs w:val="20"/>
          <w:color w:val="auto"/>
        </w:rPr>
      </w:pPr>
      <w:r>
        <w:rPr>
          <w:rFonts w:ascii="Arial" w:cs="Arial" w:eastAsia="Arial" w:hAnsi="Arial"/>
          <w:sz w:val="16"/>
          <w:szCs w:val="16"/>
          <w:i w:val="1"/>
          <w:iCs w:val="1"/>
          <w:color w:val="auto"/>
        </w:rPr>
        <w:t xml:space="preserve">Loss on extinguishment of debt. </w:t>
      </w:r>
      <w:r>
        <w:rPr>
          <w:rFonts w:ascii="Arial" w:cs="Arial" w:eastAsia="Arial" w:hAnsi="Arial"/>
          <w:sz w:val="16"/>
          <w:szCs w:val="16"/>
          <w:color w:val="auto"/>
        </w:rPr>
        <w:t>In September 2020, we entered into a Loan and Security Agreement, or the Loan Agreement, with Hercules for a term loan of up</w:t>
      </w:r>
      <w:r>
        <w:rPr>
          <w:rFonts w:ascii="Arial" w:cs="Arial" w:eastAsia="Arial" w:hAnsi="Arial"/>
          <w:sz w:val="16"/>
          <w:szCs w:val="16"/>
          <w:i w:val="1"/>
          <w:iCs w:val="1"/>
          <w:color w:val="auto"/>
        </w:rPr>
        <w:t xml:space="preserve"> </w:t>
      </w:r>
      <w:r>
        <w:rPr>
          <w:rFonts w:ascii="Arial" w:cs="Arial" w:eastAsia="Arial" w:hAnsi="Arial"/>
          <w:sz w:val="16"/>
          <w:szCs w:val="16"/>
          <w:color w:val="auto"/>
        </w:rPr>
        <w:t>to $225.0 million, which we refer to as the 2020 Term Loan. A portion of the first tranche which was funded upon execution of the 2020 Term Loan was used to repay our 2019 Term Loan with SVB. As a result of the repayment of the 2019 Term Loan, we recorded a loss on the extinguishment of debt of approximately $1.2 million representing the difference between the amount paid to SVB and the carrying amount of the 2019 Term Loan. Included in the loss on extinguishment of debt is the prepayment premium, the unamortized discount and the write-off of deferred financing costs.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nine months ended September 30, 2021 and 2020</w:t>
      </w:r>
    </w:p>
    <w:p>
      <w:pPr>
        <w:spacing w:after="0" w:line="235" w:lineRule="exact"/>
        <w:rPr>
          <w:sz w:val="20"/>
          <w:szCs w:val="20"/>
          <w:color w:val="auto"/>
        </w:rPr>
      </w:pPr>
    </w:p>
    <w:p>
      <w:pPr>
        <w:ind w:right="140" w:firstLine="749"/>
        <w:spacing w:after="0" w:line="256"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nine months ended September 30, 2021 were $44.3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$52.9 million for the nine months ended September 30, 2020, a decrease of $8.6 million. The decrease was driven by a one-time charge of $10.2 million for the Pfizer license agreement in the comparable period in 2020, offset by costs to support the two NDA filings and an increase in headcount along with an increase in stock compensation expense.</w:t>
      </w:r>
    </w:p>
    <w:p>
      <w:pPr>
        <w:spacing w:after="0" w:line="187" w:lineRule="exact"/>
        <w:rPr>
          <w:sz w:val="20"/>
          <w:szCs w:val="20"/>
          <w:color w:val="auto"/>
        </w:rPr>
      </w:pPr>
    </w:p>
    <w:p>
      <w:pPr>
        <w:ind w:right="80" w:firstLine="749"/>
        <w:spacing w:after="0" w:line="26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nine months ended September 30, 2021 were $47.8 million,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$18.5 million for the nine months ended September 30, 2020, an increase of $29.3 million. The increase was primarily related to pre-commercial activities and personnel expense, along with an increase in non-cash stock compensation expense.</w:t>
      </w:r>
    </w:p>
    <w:p>
      <w:pPr>
        <w:spacing w:after="0" w:line="183" w:lineRule="exact"/>
        <w:rPr>
          <w:sz w:val="20"/>
          <w:szCs w:val="20"/>
          <w:color w:val="auto"/>
        </w:rPr>
      </w:pPr>
    </w:p>
    <w:p>
      <w:pPr>
        <w:ind w:right="180" w:firstLine="749"/>
        <w:spacing w:after="0" w:line="261" w:lineRule="auto"/>
        <w:rPr>
          <w:sz w:val="20"/>
          <w:szCs w:val="20"/>
          <w:color w:val="auto"/>
        </w:rPr>
      </w:pPr>
      <w:r>
        <w:rPr>
          <w:rFonts w:ascii="Arial" w:cs="Arial" w:eastAsia="Arial" w:hAnsi="Arial"/>
          <w:sz w:val="16"/>
          <w:szCs w:val="16"/>
          <w:i w:val="1"/>
          <w:iCs w:val="1"/>
          <w:color w:val="auto"/>
        </w:rPr>
        <w:t xml:space="preserve">Interest and amortization of debt discount (expense) income. </w:t>
      </w:r>
      <w:r>
        <w:rPr>
          <w:rFonts w:ascii="Arial" w:cs="Arial" w:eastAsia="Arial" w:hAnsi="Arial"/>
          <w:sz w:val="16"/>
          <w:szCs w:val="16"/>
          <w:color w:val="auto"/>
        </w:rPr>
        <w:t>Interest and amortization of debt discount expense for the nine months ended September 30, 2021</w:t>
      </w:r>
      <w:r>
        <w:rPr>
          <w:rFonts w:ascii="Arial" w:cs="Arial" w:eastAsia="Arial" w:hAnsi="Arial"/>
          <w:sz w:val="16"/>
          <w:szCs w:val="16"/>
          <w:i w:val="1"/>
          <w:iCs w:val="1"/>
          <w:color w:val="auto"/>
        </w:rPr>
        <w:t xml:space="preserve"> </w:t>
      </w:r>
      <w:r>
        <w:rPr>
          <w:rFonts w:ascii="Arial" w:cs="Arial" w:eastAsia="Arial" w:hAnsi="Arial"/>
          <w:sz w:val="16"/>
          <w:szCs w:val="16"/>
          <w:color w:val="auto"/>
        </w:rPr>
        <w:t>was $4.3 million, compared to $1.1 million for the nine months ended September 30, 2020, an increase of $3.2 million. The change is mainly due to a higher outstanding principal amount on our debt in 2021 as compared to the comparable period in 2020.</w:t>
      </w:r>
    </w:p>
    <w:p>
      <w:pPr>
        <w:spacing w:after="0" w:line="75" w:lineRule="exact"/>
        <w:rPr>
          <w:sz w:val="20"/>
          <w:szCs w:val="20"/>
          <w:color w:val="auto"/>
        </w:rPr>
      </w:pPr>
    </w:p>
    <w:p>
      <w:pPr>
        <w:ind w:right="40" w:firstLine="749"/>
        <w:spacing w:after="0" w:line="253" w:lineRule="auto"/>
        <w:rPr>
          <w:sz w:val="20"/>
          <w:szCs w:val="20"/>
          <w:color w:val="auto"/>
        </w:rPr>
      </w:pPr>
      <w:r>
        <w:rPr>
          <w:rFonts w:ascii="Arial" w:cs="Arial" w:eastAsia="Arial" w:hAnsi="Arial"/>
          <w:sz w:val="16"/>
          <w:szCs w:val="16"/>
          <w:i w:val="1"/>
          <w:iCs w:val="1"/>
          <w:color w:val="auto"/>
        </w:rPr>
        <w:t xml:space="preserve">Loss on extinguishment of debt. </w:t>
      </w:r>
      <w:r>
        <w:rPr>
          <w:rFonts w:ascii="Arial" w:cs="Arial" w:eastAsia="Arial" w:hAnsi="Arial"/>
          <w:sz w:val="16"/>
          <w:szCs w:val="16"/>
          <w:color w:val="auto"/>
        </w:rPr>
        <w:t>In September 2020, we entered into a Loan and Security Agreement, or the Loan Agreement, with Hercules for a term loan of up</w:t>
      </w:r>
      <w:r>
        <w:rPr>
          <w:rFonts w:ascii="Arial" w:cs="Arial" w:eastAsia="Arial" w:hAnsi="Arial"/>
          <w:sz w:val="16"/>
          <w:szCs w:val="16"/>
          <w:i w:val="1"/>
          <w:iCs w:val="1"/>
          <w:color w:val="auto"/>
        </w:rPr>
        <w:t xml:space="preserve"> </w:t>
      </w:r>
      <w:r>
        <w:rPr>
          <w:rFonts w:ascii="Arial" w:cs="Arial" w:eastAsia="Arial" w:hAnsi="Arial"/>
          <w:sz w:val="16"/>
          <w:szCs w:val="16"/>
          <w:color w:val="auto"/>
        </w:rPr>
        <w:t>to $225.0 million, which we refer to as the 2020 Term Loan. A portion of the first tranche which was funded upon execution of the 2020 Term Loan was used to repay our 2019 Term Loan with SVB. As a result of the repayment of the 2019 Term Loan, we recorded a loss on the extinguishment of debt of approximately $1.2 million representing the difference between the amount paid to SVB and the carrying amount of the 2019 Term Loan. Included in the loss on extinguishment of debt is the prepayment premium, the unamortized discount and the write-off of deferred financing costs.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5" w:lineRule="exact"/>
        <w:rPr>
          <w:sz w:val="20"/>
          <w:szCs w:val="20"/>
          <w:color w:val="auto"/>
        </w:rPr>
      </w:pPr>
    </w:p>
    <w:p>
      <w:pPr>
        <w:ind w:right="240" w:firstLine="749"/>
        <w:spacing w:after="0" w:line="275" w:lineRule="auto"/>
        <w:rPr>
          <w:sz w:val="20"/>
          <w:szCs w:val="20"/>
          <w:color w:val="auto"/>
        </w:rPr>
      </w:pPr>
      <w:r>
        <w:rPr>
          <w:rFonts w:ascii="Arial" w:cs="Arial" w:eastAsia="Arial" w:hAnsi="Arial"/>
          <w:sz w:val="16"/>
          <w:szCs w:val="16"/>
          <w:color w:val="auto"/>
        </w:rPr>
        <w:t>Since our inception through September 30, 2021, we have financed our operations primarily through proceeds from equity offerings and debt borrowings. See discussion below.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61" w:lineRule="auto"/>
        <w:rPr>
          <w:sz w:val="20"/>
          <w:szCs w:val="20"/>
          <w:color w:val="auto"/>
        </w:rPr>
      </w:pPr>
      <w:r>
        <w:rPr>
          <w:rFonts w:ascii="Arial" w:cs="Arial" w:eastAsia="Arial" w:hAnsi="Arial"/>
          <w:sz w:val="16"/>
          <w:szCs w:val="16"/>
          <w:color w:val="auto"/>
        </w:rPr>
        <w:t>In November 2015, we completed our IPO, in which we sold 5,666,667 shares of common stock at an offering price to the public of $9.00 per share. We received gross proceeds of approximately $51.0 million and net proceeds of approximately $45.5 million, after deducting underwriting discounts and commissions and offering-related transaction costs.</w:t>
      </w:r>
    </w:p>
    <w:p>
      <w:pPr>
        <w:spacing w:after="0" w:line="183" w:lineRule="exact"/>
        <w:rPr>
          <w:sz w:val="20"/>
          <w:szCs w:val="20"/>
          <w:color w:val="auto"/>
        </w:rPr>
      </w:pPr>
    </w:p>
    <w:p>
      <w:pPr>
        <w:ind w:right="40" w:firstLine="749"/>
        <w:spacing w:after="0" w:line="289" w:lineRule="auto"/>
        <w:rPr>
          <w:sz w:val="20"/>
          <w:szCs w:val="20"/>
          <w:color w:val="auto"/>
        </w:rPr>
      </w:pPr>
      <w:r>
        <w:rPr>
          <w:rFonts w:ascii="Arial" w:cs="Arial" w:eastAsia="Arial" w:hAnsi="Arial"/>
          <w:sz w:val="15"/>
          <w:szCs w:val="15"/>
          <w:color w:val="auto"/>
        </w:rPr>
        <w:t>In November 2016, we entered into a loan and security agreement with SVB for a term loan of up to $20.0 million, which we refer to as the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loan and security agreement with SVB to provide an additional $4 million growth capital loan, related to our narcolepsy clinical program with AXS-12. We refer to this amendment as the First Amendment to the Original Term Loan. The additional capital was available to be drawn, at our option, subject to the achievement of a specified clinical milestone. Our obligations under the loan and security agreement, as amended, along with our ability to draw down on the additional $4.0 million tranche, were subsequently extinguished in connection with the establishment of a new term loan facility with SVB during March 2019 (see below).</w:t>
      </w:r>
    </w:p>
    <w:p>
      <w:pPr>
        <w:spacing w:after="0" w:line="180"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completed a registered direct offering priced at the market in December 2017 and September 2018, entered into a sales agreement in May 2019 pursuant to which we sold shares of our common stock from time to time in an at-the-market offering each utilizing the 2016 Shelf Registration Statement. The 2016 Shelf Registration expired in December 2019.</w:t>
      </w:r>
    </w:p>
    <w:p>
      <w:pPr>
        <w:spacing w:after="0" w:line="190" w:lineRule="exact"/>
        <w:rPr>
          <w:sz w:val="20"/>
          <w:szCs w:val="20"/>
          <w:color w:val="auto"/>
        </w:rPr>
      </w:pPr>
    </w:p>
    <w:p>
      <w:pPr>
        <w:jc w:val="both"/>
        <w:ind w:right="260" w:firstLine="749"/>
        <w:spacing w:after="0" w:line="369" w:lineRule="auto"/>
        <w:rPr>
          <w:sz w:val="20"/>
          <w:szCs w:val="20"/>
          <w:color w:val="auto"/>
        </w:rPr>
      </w:pPr>
      <w:r>
        <w:rPr>
          <w:rFonts w:ascii="Arial" w:cs="Arial" w:eastAsia="Arial" w:hAnsi="Arial"/>
          <w:sz w:val="14"/>
          <w:szCs w:val="14"/>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6"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In October 2017, we entered into an “at-the-market” sales agreement, or the Sales Agreement, with Leerink Partners LLC, or now known as SVB Leerink, pursuant to which we could sell up to $30 million in shares of our common stock from time to time through SVB Leerink, acting as our sales agent, in one or more at-the-market offerings. In January 2019, we raised approximately $25.8 million in gross proceeds through the sale of 3,164,015 shares under the Sales Agreement. Upon completion of this final sale, the Sales Agreement was automatically terminated. SVB Leerink received a commission of 3.0% of the gross proceeds for all shares sold under the Sales Agreement.</w:t>
      </w:r>
    </w:p>
    <w:p>
      <w:pPr>
        <w:spacing w:after="0" w:line="190" w:lineRule="exact"/>
        <w:rPr>
          <w:sz w:val="20"/>
          <w:szCs w:val="20"/>
          <w:color w:val="auto"/>
        </w:rPr>
      </w:pPr>
    </w:p>
    <w:p>
      <w:pPr>
        <w:ind w:right="180" w:firstLine="749"/>
        <w:spacing w:after="0" w:line="289" w:lineRule="auto"/>
        <w:rPr>
          <w:sz w:val="20"/>
          <w:szCs w:val="20"/>
          <w:color w:val="auto"/>
        </w:rPr>
      </w:pPr>
      <w:r>
        <w:rPr>
          <w:rFonts w:ascii="Arial" w:cs="Arial" w:eastAsia="Arial" w:hAnsi="Arial"/>
          <w:sz w:val="15"/>
          <w:szCs w:val="15"/>
          <w:color w:val="auto"/>
        </w:rPr>
        <w:t>In December 2017, we completed a registered direct offering priced at the market,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had the same terms as the Common Warrants, except for the difference in exercise price noted above. Both the Common Warrants and the Placement Agent Warrants expired on December 11, 2018.</w:t>
      </w:r>
    </w:p>
    <w:p>
      <w:pPr>
        <w:spacing w:after="0" w:line="180" w:lineRule="exact"/>
        <w:rPr>
          <w:sz w:val="20"/>
          <w:szCs w:val="20"/>
          <w:color w:val="auto"/>
        </w:rPr>
      </w:pPr>
    </w:p>
    <w:p>
      <w:pPr>
        <w:ind w:right="40" w:firstLine="749"/>
        <w:spacing w:after="0" w:line="293" w:lineRule="auto"/>
        <w:rPr>
          <w:sz w:val="20"/>
          <w:szCs w:val="20"/>
          <w:color w:val="auto"/>
        </w:rPr>
      </w:pPr>
      <w:r>
        <w:rPr>
          <w:rFonts w:ascii="Arial" w:cs="Arial" w:eastAsia="Arial" w:hAnsi="Arial"/>
          <w:sz w:val="15"/>
          <w:szCs w:val="15"/>
          <w:color w:val="auto"/>
        </w:rPr>
        <w:t>In September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76"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In March 2019, we entered into a loan and security agreement, the 2019 Term Loan with SVB and WestRiver, for a term loan up to $24.0 million. The initial tranche of $20.0 million was funded shortly after executing the loan agreement. The second tranche of $4.0 million was available to be drawn, at our option, subject to the achievement of positive data, on or prior to August 15, 2019, with respect to our then ongoing Phase 2 clinical trial for AXS-12 in narcolepsy, sufficient to submit a Phase 3 protocol to FDA, provided that we had not received any objections from the FDA within thirty days after submission of such Phase 3 protocol A portion of the initial tranche was used to satisfy our existing obligations under our November 2016 term loan facility with SVB, as amended in November 2018, and such obligations are considered fully repaid and extinguished. In September 2020, we terminated and repaid all amounts outstanding under 2019 Term Loan in connection with our entry into the Loan Agreement (see below).</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7" w:name="page28"/>
    <w:bookmarkEnd w:id="2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In May 2019, we entered into the May 2019 Sales Agreement with SVB Leerink, pursuant to which we may sell up to $50 million in shares of our common stock from time to time through SVB Leerink, acting as our sales agent, in one or more at-the-market offerings utilizing the 2016 Shelf Registration Statement. SVB Leerink is entitled to receive a commission of 3.0% of the gross proceeds for any shares sold under the May 2019 Sales Agreement. Due to expiration of the 2016 Shelf Registration Statement, the shares that were unsold under the May 2019 Sales Agreement, were rolled over to the December 2019 Sales Agreement (see below).</w:t>
      </w:r>
    </w:p>
    <w:p>
      <w:pPr>
        <w:spacing w:after="0" w:line="172" w:lineRule="exact"/>
        <w:rPr>
          <w:sz w:val="20"/>
          <w:szCs w:val="20"/>
          <w:color w:val="auto"/>
        </w:rPr>
      </w:pPr>
    </w:p>
    <w:p>
      <w:pPr>
        <w:ind w:right="60" w:firstLine="749"/>
        <w:spacing w:after="0" w:line="269" w:lineRule="auto"/>
        <w:rPr>
          <w:sz w:val="20"/>
          <w:szCs w:val="20"/>
          <w:color w:val="auto"/>
        </w:rPr>
      </w:pPr>
      <w:r>
        <w:rPr>
          <w:rFonts w:ascii="Arial" w:cs="Arial" w:eastAsia="Arial" w:hAnsi="Arial"/>
          <w:sz w:val="16"/>
          <w:szCs w:val="16"/>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could have been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94" w:lineRule="exact"/>
        <w:rPr>
          <w:sz w:val="20"/>
          <w:szCs w:val="20"/>
          <w:color w:val="auto"/>
        </w:rPr>
      </w:pPr>
    </w:p>
    <w:p>
      <w:pPr>
        <w:ind w:right="60" w:firstLine="749"/>
        <w:spacing w:after="0" w:line="289" w:lineRule="auto"/>
        <w:rPr>
          <w:sz w:val="20"/>
          <w:szCs w:val="20"/>
          <w:color w:val="auto"/>
        </w:rPr>
      </w:pPr>
      <w:r>
        <w:rPr>
          <w:rFonts w:ascii="Arial" w:cs="Arial" w:eastAsia="Arial" w:hAnsi="Arial"/>
          <w:sz w:val="15"/>
          <w:szCs w:val="15"/>
          <w:color w:val="auto"/>
        </w:rPr>
        <w:t>On December 5, 2019, we filed an automatic shelf registration statement with the SEC for the issuance of common stock, preferred stock, warrants, rights, debt securities and units up to an unlimited amount, which we refer to as the 2019 Shelf Registration Statement. It was declared effective by the SEC upon filing. As discussed in greater detail below, we entered into a sales agreement in December 2019 pursuant to which we sold shares of our common stock from time to time in an at-the-market offering and completed an offering of common stock in December 2019, each utilizing the 2019 Shelf Registration Statement. In the future, we may conduct additional offerings of one or more of these securities utilizing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80" w:lineRule="exact"/>
        <w:rPr>
          <w:sz w:val="20"/>
          <w:szCs w:val="20"/>
          <w:color w:val="auto"/>
        </w:rPr>
      </w:pPr>
    </w:p>
    <w:p>
      <w:pPr>
        <w:ind w:right="20" w:firstLine="749"/>
        <w:spacing w:after="0" w:line="291" w:lineRule="auto"/>
        <w:rPr>
          <w:sz w:val="20"/>
          <w:szCs w:val="20"/>
          <w:color w:val="auto"/>
        </w:rPr>
      </w:pPr>
      <w:r>
        <w:rPr>
          <w:rFonts w:ascii="Arial" w:cs="Arial" w:eastAsia="Arial" w:hAnsi="Arial"/>
          <w:sz w:val="15"/>
          <w:szCs w:val="15"/>
          <w:color w:val="auto"/>
        </w:rPr>
        <w:t>In December 2019, we entered into the December 2019 Sales Agreement with SVB Leerink, pursuant to which we may sell up to $80 million in shares of our common stock from time to time through SVB Leerink, acting as our sales agent, in one or more at-the-market offerings utilizing the 2019 Shelf Registration Statement. SVB Leerink is entitled to receive a commission of 3.0% of the gross proceeds for any shares sold under the December 2019 Sales Agreement. For the nine months ended September 30, 2021, we received approximately $7.4 million in gross proceeds through the sale of 110,296 shares, of which net proceeds were approximately $7.2 million. There was no sale of shares during the three months ended September 30, 2021. For the nine months ended September 30, 2020, we received approximately $14.6 million in gross proceeds through the sale of 167,243 shares, of which net proceeds were approximately $14.1 million.</w:t>
      </w:r>
    </w:p>
    <w:p>
      <w:pPr>
        <w:spacing w:after="0" w:line="176" w:lineRule="exact"/>
        <w:rPr>
          <w:sz w:val="20"/>
          <w:szCs w:val="20"/>
          <w:color w:val="auto"/>
        </w:rPr>
      </w:pPr>
    </w:p>
    <w:p>
      <w:pPr>
        <w:ind w:right="40" w:firstLine="749"/>
        <w:spacing w:after="0" w:line="287" w:lineRule="auto"/>
        <w:rPr>
          <w:sz w:val="20"/>
          <w:szCs w:val="20"/>
          <w:color w:val="auto"/>
        </w:rPr>
      </w:pPr>
      <w:r>
        <w:rPr>
          <w:rFonts w:ascii="Arial" w:cs="Arial" w:eastAsia="Arial" w:hAnsi="Arial"/>
          <w:sz w:val="15"/>
          <w:szCs w:val="15"/>
          <w:color w:val="auto"/>
        </w:rPr>
        <w:t>In September 2020, we entered into the Loan Agreement with Hercules for the 2020 Term Loan, which consists of several tranches in an aggregate amount of up to $225.0 million. The first tranche consists of term loans in the amount of $60.0 million, of which $50.0 million was funded shortly after executing the Loan Agreement and the remaining $10.0 million was available at our option at any time through September 15, 2021. A portion of the initial tranche was used to repay the 2019 Term Loan along with associated final payment fees. The remaining $115 million may be drawn at our option, in three separate tranches, as described below under “Contractual Obligations and Commitments - September 2020 Loan and Security Agreement – Hercules.” An additional $50 million is available, subject to the approval of Hercules, to support future strategic initiatives, including further pipeline advancement or expansion. The 2020 Term Loan bears interest at a calculated prime-based variable rate currently at 9.15%. It matures in October 2025 and has an initial interest-only payment period of 30 months, which may be extended to up to 48 months upon the drawing of future tranches. The remaining $10 million on the first tranche was not utilized and such tranche and future tranches were amended upon the execution of the First Amendment to the Loan and Security Agreement (see below).</w:t>
      </w:r>
    </w:p>
    <w:p>
      <w:pPr>
        <w:spacing w:after="0" w:line="182" w:lineRule="exact"/>
        <w:rPr>
          <w:sz w:val="20"/>
          <w:szCs w:val="20"/>
          <w:color w:val="auto"/>
        </w:rPr>
      </w:pPr>
    </w:p>
    <w:p>
      <w:pPr>
        <w:jc w:val="both"/>
        <w:ind w:right="280" w:firstLine="749"/>
        <w:spacing w:after="0" w:line="278" w:lineRule="auto"/>
        <w:rPr>
          <w:sz w:val="20"/>
          <w:szCs w:val="20"/>
          <w:color w:val="auto"/>
        </w:rPr>
      </w:pPr>
      <w:r>
        <w:rPr>
          <w:rFonts w:ascii="Arial" w:cs="Arial" w:eastAsia="Arial" w:hAnsi="Arial"/>
          <w:sz w:val="16"/>
          <w:szCs w:val="16"/>
          <w:color w:val="auto"/>
        </w:rPr>
        <w:t>In October 2021, we amended the Loan Agreement with Hercules. which expanded the facility amount of up to $300 million and now has a maturity date of October 2026. See 'Contractual Obligations and Commitments - October 2021 First Amendment to the Loan and Security Agreement – Hercules' section below for more information.</w:t>
      </w:r>
    </w:p>
    <w:p>
      <w:pPr>
        <w:spacing w:after="0" w:line="184" w:lineRule="exact"/>
        <w:rPr>
          <w:sz w:val="20"/>
          <w:szCs w:val="20"/>
          <w:color w:val="auto"/>
        </w:rPr>
      </w:pPr>
    </w:p>
    <w:p>
      <w:pPr>
        <w:ind w:right="60" w:firstLine="749"/>
        <w:spacing w:after="0" w:line="305" w:lineRule="auto"/>
        <w:rPr>
          <w:sz w:val="20"/>
          <w:szCs w:val="20"/>
          <w:color w:val="auto"/>
        </w:rPr>
      </w:pPr>
      <w:r>
        <w:rPr>
          <w:rFonts w:ascii="Arial" w:cs="Arial" w:eastAsia="Arial" w:hAnsi="Arial"/>
          <w:sz w:val="15"/>
          <w:szCs w:val="15"/>
          <w:color w:val="auto"/>
        </w:rPr>
        <w:t>In the future, we may conduct additional offerings of one or more of the securities covered by the 2019 Shelf Registration Statement in such amounts, prices and terms to be announced when and if the securities are offered. At the time any of our securities covered by the 2019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right="160" w:firstLine="749"/>
        <w:spacing w:after="0" w:line="324" w:lineRule="auto"/>
        <w:rPr>
          <w:sz w:val="20"/>
          <w:szCs w:val="20"/>
          <w:color w:val="auto"/>
        </w:rPr>
      </w:pPr>
      <w:r>
        <w:rPr>
          <w:rFonts w:ascii="Arial" w:cs="Arial" w:eastAsia="Arial" w:hAnsi="Arial"/>
          <w:sz w:val="14"/>
          <w:szCs w:val="14"/>
          <w:color w:val="auto"/>
        </w:rPr>
        <w:t>We believe that our current available cash, along with the remaining committed capital from the $300 million term loan facility, is sufficient to fund anticipated operations, based on the current operating plan, which includes costs for the potential commercial launch of AXS-05 in MDD and AXS-07 in migraine, into at least 2024. Because the process of commercializing products and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8" w:name="page29"/>
    <w:bookmarkEnd w:id="2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Cash Flows</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following table summarizes our primary sources and uses of cash for the periods indicated: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764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696"/>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56"/>
        </w:trPr>
        <w:tc>
          <w:tcPr>
            <w:tcW w:w="7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cash (used in) provided by:</w:t>
            </w:r>
          </w:p>
        </w:tc>
        <w:tc>
          <w:tcPr>
            <w:tcW w:w="40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shd w:val="clear" w:color="auto" w:fill="CFF0FC"/>
          </w:tcPr>
          <w:p>
            <w:pPr>
              <w:spacing w:after="0"/>
              <w:rPr>
                <w:sz w:val="22"/>
                <w:szCs w:val="22"/>
                <w:color w:val="auto"/>
              </w:rPr>
            </w:pP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Operating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(79,385,245 )</w:t>
            </w:r>
          </w:p>
        </w:tc>
        <w:tc>
          <w:tcPr>
            <w:tcW w:w="5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(57,903,052 )</w:t>
            </w:r>
          </w:p>
        </w:tc>
      </w:tr>
      <w:tr>
        <w:trPr>
          <w:trHeight w:val="263"/>
        </w:trPr>
        <w:tc>
          <w:tcPr>
            <w:tcW w:w="76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Investing activities</w:t>
            </w:r>
          </w:p>
        </w:tc>
        <w:tc>
          <w:tcPr>
            <w:tcW w:w="400" w:type="dxa"/>
            <w:vAlign w:val="bottom"/>
            <w:shd w:val="clear" w:color="auto" w:fill="CFF0FC"/>
          </w:tcPr>
          <w:p>
            <w:pPr>
              <w:spacing w:after="0"/>
              <w:rPr>
                <w:sz w:val="22"/>
                <w:szCs w:val="22"/>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(307,549 )</w:t>
            </w:r>
          </w:p>
        </w:tc>
        <w:tc>
          <w:tcPr>
            <w:tcW w:w="18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(25,604 )</w:t>
            </w:r>
          </w:p>
        </w:tc>
      </w:tr>
      <w:tr>
        <w:trPr>
          <w:trHeight w:val="250"/>
        </w:trPr>
        <w:tc>
          <w:tcPr>
            <w:tcW w:w="7640" w:type="dxa"/>
            <w:vAlign w:val="bottom"/>
          </w:tcPr>
          <w:p>
            <w:pPr>
              <w:ind w:left="20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10,439,234</w:t>
            </w: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40,322,781</w:t>
            </w:r>
          </w:p>
        </w:tc>
      </w:tr>
      <w:tr>
        <w:trPr>
          <w:trHeight w:val="290"/>
        </w:trPr>
        <w:tc>
          <w:tcPr>
            <w:tcW w:w="76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increase (decrease) in cash</w:t>
            </w:r>
          </w:p>
        </w:tc>
        <w:tc>
          <w:tcPr>
            <w:tcW w:w="40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(69,253,560 )</w:t>
            </w:r>
          </w:p>
        </w:tc>
        <w:tc>
          <w:tcPr>
            <w:tcW w:w="18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(17,605,875 )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-24765</wp:posOffset>
            </wp:positionV>
            <wp:extent cx="11112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-7620</wp:posOffset>
            </wp:positionV>
            <wp:extent cx="11112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40" w:lineRule="exact"/>
        <w:rPr>
          <w:sz w:val="20"/>
          <w:szCs w:val="20"/>
          <w:color w:val="auto"/>
        </w:rPr>
      </w:pPr>
    </w:p>
    <w:p>
      <w:pPr>
        <w:ind w:right="300" w:firstLine="749"/>
        <w:spacing w:after="0" w:line="278"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for the nine months ended September 30, 2021 was $79.4 million as compared to $57.9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nine months ended September 30, 2020. The increase of $21.5 million in net cash used was mainly due to the build-out of the commercial function and related pre-commercialization costs.</w:t>
      </w:r>
    </w:p>
    <w:p>
      <w:pPr>
        <w:spacing w:after="0" w:line="157" w:lineRule="exact"/>
        <w:rPr>
          <w:sz w:val="20"/>
          <w:szCs w:val="20"/>
          <w:color w:val="auto"/>
        </w:rPr>
      </w:pPr>
    </w:p>
    <w:p>
      <w:pPr>
        <w:ind w:right="40" w:firstLine="749"/>
        <w:spacing w:after="0" w:line="328"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Cash used in investing activities for the purchase of property and equipment for the nine months ended September 30, 2021 was $0.3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and was less than $0.1 million for the nine months ended September 30, 2020. The increase of $0.3 million was due to the build-out of the commercial function.</w:t>
      </w:r>
    </w:p>
    <w:p>
      <w:pPr>
        <w:spacing w:after="0" w:line="150"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Cash provided by financing activities was $10.4 million for the nine months ended September 30, 2021, which included net proceeds from</w:t>
      </w:r>
      <w:r>
        <w:rPr>
          <w:rFonts w:ascii="Arial" w:cs="Arial" w:eastAsia="Arial" w:hAnsi="Arial"/>
          <w:sz w:val="16"/>
          <w:szCs w:val="16"/>
          <w:i w:val="1"/>
          <w:iCs w:val="1"/>
          <w:color w:val="auto"/>
        </w:rPr>
        <w:t xml:space="preserve"> </w:t>
      </w:r>
      <w:r>
        <w:rPr>
          <w:rFonts w:ascii="Arial" w:cs="Arial" w:eastAsia="Arial" w:hAnsi="Arial"/>
          <w:sz w:val="16"/>
          <w:szCs w:val="16"/>
          <w:color w:val="auto"/>
        </w:rPr>
        <w:t>the sale of common stock through our Sales Agreement with SVB Leerink of $7.2 million and proceeds from the issuance of common stock upon exercise of employee stock options of $3.2 million. Cash provided by financing activities was $40.3 million for the nine months ended September 30, 2020, which included proceeds from the 2020 Term Loan of $50.0 million, net proceeds from the sale of common stock through our Sales Agreement with SVB Leerink of $12.1 million and proceeds from the issuance of common stock upon exercise of employee stock options of $1.0 million. These proceeds were offset by the repayment of the 2019 Term Loan with SVB of $21.7 million and payment of financing costs related to Hercules loan of $1.1 million.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Funding requirements</w:t>
      </w:r>
    </w:p>
    <w:p>
      <w:pPr>
        <w:spacing w:after="0" w:line="239" w:lineRule="exact"/>
        <w:rPr>
          <w:sz w:val="20"/>
          <w:szCs w:val="20"/>
          <w:color w:val="auto"/>
        </w:rPr>
      </w:pPr>
    </w:p>
    <w:p>
      <w:pPr>
        <w:ind w:right="140" w:firstLine="749"/>
        <w:spacing w:after="0" w:line="273" w:lineRule="auto"/>
        <w:rPr>
          <w:sz w:val="20"/>
          <w:szCs w:val="20"/>
          <w:color w:val="auto"/>
        </w:rPr>
      </w:pPr>
      <w:r>
        <w:rPr>
          <w:rFonts w:ascii="Arial" w:cs="Arial" w:eastAsia="Arial" w:hAnsi="Arial"/>
          <w:sz w:val="16"/>
          <w:szCs w:val="16"/>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89"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We may need to raise additional financing in the future to fund our operations. In the event that we need additional financing, we may incur additional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9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scope, rate of progress, results, and cost of our clinical studies and other related activities;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ability to enter into collaborative agreements for the development and commercialization of our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number and development requirements of any other product candidates that we pursue;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costs, timing, and outcome of regulatory reviews of our product candidates;</w:t>
      </w:r>
    </w:p>
    <w:p>
      <w:pPr>
        <w:spacing w:after="0" w:line="235"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color w:val="auto"/>
        </w:rPr>
        <w:t>the costs and timing of future commercialization activities, including product manufacturing, marketing, sales, and distribution, for any of our product candidates for which we receive marketing approval;</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product liability or other lawsuits related to our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expenses needed to attract and retain skilled personnel;</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general and administrative expenses related to being a public company;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9" w:name="page30"/>
    <w:bookmarkEnd w:id="2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revenue, if any, received from commercial sales of our product candidates for which we receive marketing approval; and</w:t>
      </w:r>
    </w:p>
    <w:p>
      <w:pPr>
        <w:spacing w:after="0" w:line="235" w:lineRule="exact"/>
        <w:rPr>
          <w:sz w:val="20"/>
          <w:szCs w:val="20"/>
          <w:color w:val="auto"/>
        </w:rPr>
      </w:pPr>
    </w:p>
    <w:p>
      <w:pPr>
        <w:ind w:left="700" w:right="660"/>
        <w:spacing w:after="0" w:line="204" w:lineRule="exact"/>
        <w:rPr>
          <w:sz w:val="20"/>
          <w:szCs w:val="20"/>
          <w:color w:val="auto"/>
        </w:rPr>
      </w:pPr>
      <w:r>
        <w:rPr>
          <w:rFonts w:ascii="Arial" w:cs="Arial" w:eastAsia="Arial" w:hAnsi="Arial"/>
          <w:sz w:val="16"/>
          <w:szCs w:val="16"/>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6"/>
          <w:szCs w:val="16"/>
          <w:color w:val="auto"/>
        </w:rPr>
        <w:t>‑</w:t>
      </w:r>
      <w:r>
        <w:rPr>
          <w:rFonts w:ascii="Arial" w:cs="Arial" w:eastAsia="Arial" w:hAnsi="Arial"/>
          <w:sz w:val="16"/>
          <w:szCs w:val="16"/>
          <w:color w:val="auto"/>
        </w:rPr>
        <w:t>related claims.</w:t>
      </w:r>
    </w:p>
    <w:p>
      <w:pPr>
        <w:spacing w:after="0" w:line="21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Please see “Risk Factors” for additional risks associated with our substantial capital requirements.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 with Pfizer</w:t>
      </w:r>
    </w:p>
    <w:p>
      <w:pPr>
        <w:spacing w:after="0" w:line="235" w:lineRule="exact"/>
        <w:rPr>
          <w:sz w:val="20"/>
          <w:szCs w:val="20"/>
          <w:color w:val="auto"/>
        </w:rPr>
      </w:pPr>
    </w:p>
    <w:p>
      <w:pPr>
        <w:ind w:firstLine="749"/>
        <w:spacing w:after="0" w:line="324" w:lineRule="auto"/>
        <w:rPr>
          <w:sz w:val="20"/>
          <w:szCs w:val="20"/>
          <w:color w:val="auto"/>
        </w:rPr>
      </w:pPr>
      <w:r>
        <w:rPr>
          <w:rFonts w:ascii="Arial" w:cs="Arial" w:eastAsia="Arial" w:hAnsi="Arial"/>
          <w:sz w:val="14"/>
          <w:szCs w:val="14"/>
          <w:color w:val="auto"/>
        </w:rPr>
        <w:t>In January 2020, we entered into a license agreement with Pfizer. Under the terms of our exclusive license agreement with Pfizer, Pfizer received 82,019 shares of our common stock having a stated value of $8.0 million, based on the average closing price of our common stock for the ten prior trading days of $97.54, in consideration for the license and rights. Pfizer also received an upfront cash payment of $3.0 million. We determined that the fair value of each share of common stock granted to Pfizer on the closing date of January 9, 2020 was $87.24, based on the closing price of our common stock on that date. As a result, the fair value of the stock issued was $7.2 million.</w:t>
      </w:r>
    </w:p>
    <w:p>
      <w:pPr>
        <w:spacing w:after="0" w:line="157"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Pfizer can also receive up to $323 million upon the achievement of certain regulatory and sales milestones, and tiered mid-single to low double-digit royalties on future sales. Pfizer will also have a right of first negotiation on any potential future strategic transactions involving AXS-12 and AXS-14.</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License agreements with Antecip Bioventures</w:t>
      </w:r>
    </w:p>
    <w:p>
      <w:pPr>
        <w:spacing w:after="0" w:line="235" w:lineRule="exact"/>
        <w:rPr>
          <w:sz w:val="20"/>
          <w:szCs w:val="20"/>
          <w:color w:val="auto"/>
        </w:rPr>
      </w:pPr>
    </w:p>
    <w:p>
      <w:pPr>
        <w:jc w:val="both"/>
        <w:ind w:right="240" w:firstLine="749"/>
        <w:spacing w:after="0" w:line="305" w:lineRule="auto"/>
        <w:rPr>
          <w:sz w:val="20"/>
          <w:szCs w:val="20"/>
          <w:color w:val="auto"/>
        </w:rPr>
      </w:pPr>
      <w:r>
        <w:rPr>
          <w:rFonts w:ascii="Arial" w:cs="Arial" w:eastAsia="Arial" w:hAnsi="Arial"/>
          <w:sz w:val="15"/>
          <w:szCs w:val="15"/>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66" w:lineRule="exact"/>
        <w:rPr>
          <w:sz w:val="20"/>
          <w:szCs w:val="20"/>
          <w:color w:val="auto"/>
        </w:rPr>
      </w:pPr>
    </w:p>
    <w:p>
      <w:pPr>
        <w:ind w:right="380" w:firstLine="749"/>
        <w:spacing w:after="0" w:line="293" w:lineRule="auto"/>
        <w:rPr>
          <w:sz w:val="20"/>
          <w:szCs w:val="20"/>
          <w:color w:val="auto"/>
        </w:rPr>
      </w:pPr>
      <w:r>
        <w:rPr>
          <w:rFonts w:ascii="Arial" w:cs="Arial" w:eastAsia="Arial" w:hAnsi="Arial"/>
          <w:sz w:val="16"/>
          <w:szCs w:val="16"/>
          <w:color w:val="auto"/>
        </w:rPr>
        <w:t>In connection with the 2020 Term Loan, Antecip consented to the collateral assignment of one of the license agreements, among other things, under a direct agreement with us and Hercules.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0" w:name="page31"/>
    <w:bookmarkEnd w:id="3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September 2020 Loan and Security Agreement – Hercules</w:t>
      </w:r>
    </w:p>
    <w:p>
      <w:pPr>
        <w:spacing w:after="0" w:line="235" w:lineRule="exact"/>
        <w:rPr>
          <w:sz w:val="20"/>
          <w:szCs w:val="20"/>
          <w:color w:val="auto"/>
        </w:rPr>
      </w:pPr>
    </w:p>
    <w:p>
      <w:pPr>
        <w:ind w:right="60" w:firstLine="749"/>
        <w:spacing w:after="0" w:line="284" w:lineRule="auto"/>
        <w:rPr>
          <w:sz w:val="20"/>
          <w:szCs w:val="20"/>
          <w:color w:val="auto"/>
        </w:rPr>
      </w:pPr>
      <w:r>
        <w:rPr>
          <w:rFonts w:ascii="Arial" w:cs="Arial" w:eastAsia="Arial" w:hAnsi="Arial"/>
          <w:sz w:val="15"/>
          <w:szCs w:val="15"/>
          <w:color w:val="auto"/>
        </w:rPr>
        <w:t>In September 2020, we entered into the Loan Agreement with Hercules, in its capacity as administrative agent and collateral agent and as a lender, and the other financial institutions that may from time to time become parties to the Loan Agreement as lenders, which we collectively refer to as the Lenders. The Loan Agreement provides for term loans in an aggregate principal amount of up to $225.0 million under multiple tranches. The tranches consist of (i) a first tranche consisting of term loans in an aggregate principal amount of $60.0 million, of which $50.0 million, or the First Advance, was funded at closing, and of which the remaining $10.0 million was available at our option at any time through September 15, 2021; (ii) subject to the FDA approval of our AXS-05 product candidate for the treatment of major depressive disorder, or the First Milestone, a second tranche consisting of additional term loans in an aggregate principal amount of up to $35.0 million, available at our option beginning on the date that the First Milestone is achieved through the earlier of (A) 181 days following such date and (B) June 30, 2022; (iii) subject to the approval of our AXS-07 product candidate for the treatment of migraine, or the Second Milestone, a third tranche consisting of additional term loans in an aggregate principal amount of up to $20.0 million, available at our option beginning on the date that the Second Milestone is achieved through the earlier of (A) 181 days following such date and (B) June 30, 2022; (iv) subject to the achievement of either the First Milestone or the Second Milestone and so long as we are in compliance with a required ratio of Lender indebtedness to net product revenue, a fourth tranche consisting of additional term loans in an aggregate principal amount of up to $60.0 million, available at our option beginning on January 1, 2022 and continuing through March 31, 2023; and (v) subject to approval by the Lenders in their discretion, a fifth tranche of additional term loans in an aggregate principal amount of up to $50.0 million, available through December 31, 2023. The remaining $10 million on the first tranche was not utilized and such tranche and future tranches were amended upon the execution of the First Amendment to the Loan and Security Agreement. See "October 2021 First Amendment to the Loan and Security Agreement – Hercules" below for further information. We intend to use the proceeds of the Term Loan Advances for working capital and general corporate purposes. In addition, approximately $21.7 million of the proceeds from the First Advance was used to satisfy in full and retire our indebtedness under the 2019 Term Loan, as amended.</w:t>
      </w:r>
    </w:p>
    <w:p>
      <w:pPr>
        <w:spacing w:after="0" w:line="189"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The outstanding principal balance of the term loans bears interest at an annual rate equal to the greater of either (i) the prime rate as reported in The Wall Street Journal plus 5.90% or (ii) 9.15%, subject to an ability by us, during certain periods, each such period a PIK Deferral Period, to request a reduction of the then-effective cash-pay interest rate by up to 1.00% per annum, which we refer to as the Cash Interest Reduction Amount. Accrued interest is payable monthly following the funding of each term loan. During each PIK Deferral Period, the term loans will bear cash-pay interest, at the reduced amount, and will accrue paid-in-kind interest at a rate equal to the Cash Interest Reduction Amount multiplied by 1.15, which amount will be capitalized and added to the outstanding principal balance of the term loans on each monthly interest payment date during the PIK Deferral Period. We are required to repay the term loans in equal installments of principal and interest commencing on May 1, 2023 through October 1, 2025, which is the Maturity Date. However, if either the First Milestone or the Second Milestone are achieved prior to May 1, 2023, and no default exists, the amortization commencement date will be automatically extended to November 1, 2023; if both the First Milestone and the Second Milestone are achieved prior to November 1, 2023, and no default exists, the amortization commencement date will be further automatically extended to May 1, 2024 and if any term loans are funded under the fourth tranche noted above prior to May 1, 2024, and no default exists, the amortization commencement date will be further automatically extended to November 1, 2024. On the Maturity Date, all unpaid term loans will be due and payable.</w:t>
      </w:r>
    </w:p>
    <w:p>
      <w:pPr>
        <w:spacing w:after="0" w:line="183" w:lineRule="exact"/>
        <w:rPr>
          <w:sz w:val="20"/>
          <w:szCs w:val="20"/>
          <w:color w:val="auto"/>
        </w:rPr>
      </w:pPr>
    </w:p>
    <w:p>
      <w:pPr>
        <w:jc w:val="both"/>
        <w:ind w:right="380" w:firstLine="749"/>
        <w:spacing w:after="0" w:line="278" w:lineRule="auto"/>
        <w:rPr>
          <w:sz w:val="20"/>
          <w:szCs w:val="20"/>
          <w:color w:val="auto"/>
        </w:rPr>
      </w:pPr>
      <w:r>
        <w:rPr>
          <w:rFonts w:ascii="Arial" w:cs="Arial" w:eastAsia="Arial" w:hAnsi="Arial"/>
          <w:sz w:val="16"/>
          <w:szCs w:val="16"/>
          <w:color w:val="auto"/>
        </w:rPr>
        <w:t>As collateral for the obligations, we have granted to Hercules a senior security interest in all our right, title, and interest in, to and under all of our property, inclusive of intellectual property, which includes one of our existing license agreements with Antecip, subject to limited exceptions. Antecip consented to the collateral assignment of the License Agreement, among other things, under a Direct Agreement with us and Hercules.</w:t>
      </w:r>
    </w:p>
    <w:p>
      <w:pPr>
        <w:spacing w:after="0" w:line="184"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The Loan Agreement contains customary representations, warranties and covenants, including covenants by us limiting additional indebtedness, liens (including a negative pledge on intellectual property and other assets), guaranties, mergers and consolidations, substantial asset sales, investments and loans, certain corporate changes, transactions with affiliates and fundamental changes. At the initial closing, there were no applicable financial covenants contained in the Loan Agreement. Only after additional amounts are drawn down by us in the future, if we decide to do so, under the terms set forth in the Loan Agreement, there will be certain limited financial covenants that will apply, including:</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1" w:name="page32"/>
    <w:bookmarkEnd w:id="3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jc w:val="both"/>
        <w:ind w:left="700" w:right="60"/>
        <w:spacing w:after="0" w:line="273" w:lineRule="auto"/>
        <w:rPr>
          <w:sz w:val="20"/>
          <w:szCs w:val="20"/>
          <w:color w:val="auto"/>
        </w:rPr>
      </w:pPr>
      <w:r>
        <w:rPr>
          <w:rFonts w:ascii="Arial" w:cs="Arial" w:eastAsia="Arial" w:hAnsi="Arial"/>
          <w:sz w:val="16"/>
          <w:szCs w:val="16"/>
          <w:color w:val="auto"/>
        </w:rPr>
        <w:t>Effective upon the date the outstanding principal amount of the advances under the Loan Agreement equals or exceeds $55.0 million, which has not yet occurred, we at all times thereafter must maintain cash in an account or accounts in which Hercules has a first priority security interest, in an aggregate amount greater than or equal to $15.0 million, plus the amount of our accounts payable under U.S. GAAP not paid after the 180th day following the invoice for such account payable which amount we refer to as the Qualified Cash A/P Amount.</w:t>
      </w:r>
    </w:p>
    <w:p>
      <w:pPr>
        <w:spacing w:after="0" w:line="189" w:lineRule="exact"/>
        <w:rPr>
          <w:sz w:val="20"/>
          <w:szCs w:val="20"/>
          <w:color w:val="auto"/>
        </w:rPr>
      </w:pPr>
    </w:p>
    <w:p>
      <w:pPr>
        <w:ind w:left="700" w:right="40"/>
        <w:spacing w:after="0" w:line="287" w:lineRule="auto"/>
        <w:rPr>
          <w:sz w:val="20"/>
          <w:szCs w:val="20"/>
          <w:color w:val="auto"/>
        </w:rPr>
      </w:pPr>
      <w:r>
        <w:rPr>
          <w:rFonts w:ascii="Arial" w:cs="Arial" w:eastAsia="Arial" w:hAnsi="Arial"/>
          <w:sz w:val="15"/>
          <w:szCs w:val="15"/>
          <w:color w:val="auto"/>
        </w:rPr>
        <w:t>Effective upon the later of (i) the last calendar month of the calendar quarter that is twelve months following the earlier of (x) the date that the First Milestone is achieved and (y) the date that the Second Milestone is achieved, or (ii) the date on which the outstanding principal amount of the term loan advances under the Loan Agreement is equal to or greater than $65.0 million, neither of which have occurred yet, we are required to (A) ensure that at all times its market capitalization exceeds $2.0 billion, and that it maintains cash in an account which Hercules has a first priority security interest in an amount not less than 65% of the sum of the outstanding principal amount of the term loan advances plus the Qualified Cash A/P Amount, (B) ensure that at all times that it maintains cash in an account which Hercules has a first priority security interest in an amount not less than 100% of the sum of the outstanding principal amount of the term loan advances plus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determined on a quarterly basis.</w:t>
      </w:r>
    </w:p>
    <w:p>
      <w:pPr>
        <w:spacing w:after="0" w:line="178" w:lineRule="exact"/>
        <w:rPr>
          <w:sz w:val="20"/>
          <w:szCs w:val="20"/>
          <w:color w:val="auto"/>
        </w:rPr>
      </w:pPr>
    </w:p>
    <w:p>
      <w:pPr>
        <w:ind w:left="700" w:right="700"/>
        <w:spacing w:after="0" w:line="293" w:lineRule="auto"/>
        <w:rPr>
          <w:sz w:val="20"/>
          <w:szCs w:val="20"/>
          <w:color w:val="auto"/>
        </w:rPr>
      </w:pPr>
      <w:r>
        <w:rPr>
          <w:rFonts w:ascii="Arial" w:cs="Arial" w:eastAsia="Arial" w:hAnsi="Arial"/>
          <w:sz w:val="16"/>
          <w:szCs w:val="16"/>
          <w:color w:val="auto"/>
        </w:rPr>
        <w:t>Restrictions on our ability to incur additional indebtedness, pay dividends, encumber its intellectual property, or engage in certain fundamental business transactions, such as mergers or acquisitions of other businesses, with certain exceptions.</w:t>
      </w:r>
    </w:p>
    <w:p>
      <w:pPr>
        <w:spacing w:after="0" w:line="172" w:lineRule="exact"/>
        <w:rPr>
          <w:sz w:val="20"/>
          <w:szCs w:val="20"/>
          <w:color w:val="auto"/>
        </w:rPr>
      </w:pPr>
    </w:p>
    <w:p>
      <w:pPr>
        <w:ind w:right="120" w:firstLine="749"/>
        <w:spacing w:after="0" w:line="275" w:lineRule="auto"/>
        <w:rPr>
          <w:sz w:val="20"/>
          <w:szCs w:val="20"/>
          <w:color w:val="auto"/>
        </w:rPr>
      </w:pPr>
      <w:r>
        <w:rPr>
          <w:rFonts w:ascii="Arial" w:cs="Arial" w:eastAsia="Arial" w:hAnsi="Arial"/>
          <w:sz w:val="16"/>
          <w:szCs w:val="16"/>
          <w:color w:val="auto"/>
        </w:rPr>
        <w:t>Our obligations under the Loan Agreement are subject to acceleration upon the occurrence of specified events of default, including payment default, insolvency and a material adverse change in our business, operations or financial or other condition.</w:t>
      </w:r>
    </w:p>
    <w:p>
      <w:pPr>
        <w:spacing w:after="0" w:line="172" w:lineRule="exact"/>
        <w:rPr>
          <w:sz w:val="20"/>
          <w:szCs w:val="20"/>
          <w:color w:val="auto"/>
        </w:rPr>
      </w:pPr>
    </w:p>
    <w:p>
      <w:pPr>
        <w:ind w:right="400" w:firstLine="749"/>
        <w:spacing w:after="0" w:line="310" w:lineRule="auto"/>
        <w:rPr>
          <w:sz w:val="20"/>
          <w:szCs w:val="20"/>
          <w:color w:val="auto"/>
        </w:rPr>
      </w:pPr>
      <w:r>
        <w:rPr>
          <w:rFonts w:ascii="Arial" w:cs="Arial" w:eastAsia="Arial" w:hAnsi="Arial"/>
          <w:sz w:val="15"/>
          <w:szCs w:val="15"/>
          <w:color w:val="auto"/>
        </w:rPr>
        <w:t>In addition, we are required to pay a final payment fee equal to the greater of (A) $2,910,000 and (B) 4.85% of the aggregate amount of all future term loan advances. The final payment fee is being accreted and amortized into interest expense using the effective interest rate method over the term of the loan.</w:t>
      </w:r>
    </w:p>
    <w:p>
      <w:pPr>
        <w:spacing w:after="0" w:line="148" w:lineRule="exact"/>
        <w:rPr>
          <w:sz w:val="20"/>
          <w:szCs w:val="20"/>
          <w:color w:val="auto"/>
        </w:rPr>
      </w:pPr>
    </w:p>
    <w:p>
      <w:pPr>
        <w:ind w:firstLine="749"/>
        <w:spacing w:after="0" w:line="256" w:lineRule="auto"/>
        <w:rPr>
          <w:sz w:val="20"/>
          <w:szCs w:val="20"/>
          <w:color w:val="auto"/>
        </w:rPr>
      </w:pPr>
      <w:r>
        <w:rPr>
          <w:rFonts w:ascii="Arial" w:cs="Arial" w:eastAsia="Arial" w:hAnsi="Arial"/>
          <w:sz w:val="16"/>
          <w:szCs w:val="16"/>
          <w:color w:val="auto"/>
        </w:rPr>
        <w:t>We may, at our option prepay the term loans in full or in part, subject to a prepayment penalty equal to (i) 2.0% of the principal amount prepaid if the prepayment occurs prior to the first anniversary of the initial closing, (ii) 1.5% of the principal amount prepaid if the prepayment occurs on or after the first anniversary and prior to the second anniversary of the initial closing, and (iii) 1.0% of the principal amount prepaid if the prepayment occurs on or after the second anniversary and prior to the third anniversary of the initial closing.</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October 2021 First Amendment to the Loan and Security Agreement – Hercules</w:t>
      </w:r>
    </w:p>
    <w:p>
      <w:pPr>
        <w:spacing w:after="0" w:line="235" w:lineRule="exact"/>
        <w:rPr>
          <w:sz w:val="20"/>
          <w:szCs w:val="20"/>
          <w:color w:val="auto"/>
        </w:rPr>
      </w:pPr>
    </w:p>
    <w:p>
      <w:pPr>
        <w:ind w:right="520" w:firstLine="749"/>
        <w:spacing w:after="0" w:line="293" w:lineRule="auto"/>
        <w:rPr>
          <w:sz w:val="20"/>
          <w:szCs w:val="20"/>
          <w:color w:val="auto"/>
        </w:rPr>
      </w:pPr>
      <w:r>
        <w:rPr>
          <w:rFonts w:ascii="Arial" w:cs="Arial" w:eastAsia="Arial" w:hAnsi="Arial"/>
          <w:sz w:val="16"/>
          <w:szCs w:val="16"/>
          <w:color w:val="auto"/>
        </w:rPr>
        <w:t>On October 14, 2021 ("First Amendment Closing Date"), we entered into the first amendment to the Loan Agreement (the “First Amendment to the Loan Agreement”).</w:t>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5"/>
          <w:szCs w:val="15"/>
          <w:color w:val="auto"/>
        </w:rPr>
        <w:t>Under the First Amendment to the Loan Agreement, the First Amendment amended the terms of that certain Loan and Security Agreement, dated as of</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September 25, 2020, by and among the Company, Hercules and the Lenders (the “Loan Agreement”) to, among other things, (i) increase the aggregate principal amount of</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the loan, available at the Company’s option, from $225,000,000 to $300,000,000, (ii) change the draw amounts and dates available in Tranche 2 through Tranche 5 including</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increasing the amount available under Tranche 2 subject to FDA approval of the Company’s AXS-05 product candidate for the treatment of major depressive disorder from</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$35,000,000 to $100,000,000, maintaining the amount available under Tranche 3 subject to FDA approval of the Company’s AXS-07 product candidate for the acute</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treatment of migraine of $20,000,000, reducing the amount under Tranche 4 available upon achievement of certain combined sales and outstanding debt criteria from</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$60,000,000 to $55,000,000, and increasing the amount available under Tranche 5 to support future strategic initiatives, including further pipeline advancement or expansion</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from $50,000,000 to $75,000,000 subject to the approval from Hercules, (iii) extend the maturity date of the facility from the original October 2025 to October 2026, and</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optionally to October 2027, subject to certain conditions, (iv) reset and extend the interest only period from the initial 30 months from the original loan closing to 48 months</w:t>
      </w:r>
    </w:p>
    <w:p>
      <w:pPr>
        <w:spacing w:after="0" w:line="42" w:lineRule="exact"/>
        <w:rPr>
          <w:sz w:val="20"/>
          <w:szCs w:val="20"/>
          <w:color w:val="auto"/>
        </w:rPr>
      </w:pPr>
    </w:p>
    <w:p>
      <w:pPr>
        <w:spacing w:after="0"/>
        <w:rPr>
          <w:sz w:val="20"/>
          <w:szCs w:val="20"/>
          <w:color w:val="auto"/>
        </w:rPr>
      </w:pPr>
      <w:r>
        <w:rPr>
          <w:rFonts w:ascii="Arial" w:cs="Arial" w:eastAsia="Arial" w:hAnsi="Arial"/>
          <w:sz w:val="15"/>
          <w:szCs w:val="15"/>
          <w:color w:val="auto"/>
        </w:rPr>
        <w:t>from the First Amendment and extendable up to 60 months subject to FDA approval of the Company’s AXS-05 product candidate for the treatment of major depressive</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disorder and subject to FDA approval of AXS-07 in the acute treatment of migraine, and (v) decrease the interest rate from 9.15% (floating rate based on the greater of (a)</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9.15% or (b) US WSJ Prime + 5.90%) to 8.95% (floating rate based on the greater of (a) 8.95% or (b) US WSJ Prime + 5.70%).</w:t>
      </w:r>
    </w:p>
    <w:p>
      <w:pPr>
        <w:spacing w:after="0" w:line="231" w:lineRule="exact"/>
        <w:rPr>
          <w:sz w:val="20"/>
          <w:szCs w:val="20"/>
          <w:color w:val="auto"/>
        </w:rPr>
      </w:pPr>
    </w:p>
    <w:p>
      <w:pPr>
        <w:ind w:right="40" w:firstLine="749"/>
        <w:spacing w:after="0" w:line="293" w:lineRule="auto"/>
        <w:rPr>
          <w:sz w:val="20"/>
          <w:szCs w:val="20"/>
          <w:color w:val="auto"/>
        </w:rPr>
      </w:pPr>
      <w:r>
        <w:rPr>
          <w:rFonts w:ascii="Arial" w:cs="Arial" w:eastAsia="Arial" w:hAnsi="Arial"/>
          <w:sz w:val="16"/>
          <w:szCs w:val="16"/>
          <w:color w:val="auto"/>
        </w:rPr>
        <w:t>In addition, we are required to pay a final payment fee equal to (A) $2,910,000 plus (B) 4.5% of the aggregate amount of all future term loan advances. The final payment fee is being accreted and amortized into interest expense using the effective interest rate method over the term of the loan.</w:t>
      </w:r>
    </w:p>
    <w:p>
      <w:pPr>
        <w:spacing w:after="0" w:line="172" w:lineRule="exact"/>
        <w:rPr>
          <w:sz w:val="20"/>
          <w:szCs w:val="20"/>
          <w:color w:val="auto"/>
        </w:rPr>
      </w:pPr>
    </w:p>
    <w:p>
      <w:pPr>
        <w:ind w:firstLine="749"/>
        <w:spacing w:after="0" w:line="297" w:lineRule="auto"/>
        <w:rPr>
          <w:sz w:val="20"/>
          <w:szCs w:val="20"/>
          <w:color w:val="auto"/>
        </w:rPr>
      </w:pPr>
      <w:r>
        <w:rPr>
          <w:rFonts w:ascii="Arial" w:cs="Arial" w:eastAsia="Arial" w:hAnsi="Arial"/>
          <w:sz w:val="15"/>
          <w:szCs w:val="15"/>
          <w:color w:val="auto"/>
        </w:rPr>
        <w:t>We may, at our option prepay the term loans in full or in part, subject to a prepayment penalty equal to (i) 2.0% of the principal amount prepaid if the prepayment occurs prior to the first anniversary of the First Amendment Closing Date, (ii) 1.5% of the principal amount prepaid if the prepayment occurs on or after the first anniversary and prior to the second anniversary of the First Amendment Closing Date, and (iii) 1.0% of the principal amount prepaid if the prepayment occurs on or after the second anniversary and prior to the third anniversary of the First Amendment Closing Date. These percentages are unchanged from the Loan Agreement.</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 and Human Capital Management</w:t>
      </w:r>
    </w:p>
    <w:p>
      <w:pPr>
        <w:spacing w:after="0" w:line="239" w:lineRule="exact"/>
        <w:rPr>
          <w:sz w:val="20"/>
          <w:szCs w:val="20"/>
          <w:color w:val="auto"/>
        </w:rPr>
      </w:pPr>
    </w:p>
    <w:p>
      <w:pPr>
        <w:ind w:right="60" w:firstLine="749"/>
        <w:spacing w:after="0" w:line="203" w:lineRule="exact"/>
        <w:rPr>
          <w:sz w:val="20"/>
          <w:szCs w:val="20"/>
          <w:color w:val="auto"/>
        </w:rPr>
      </w:pPr>
      <w:r>
        <w:rPr>
          <w:rFonts w:ascii="Arial" w:cs="Arial" w:eastAsia="Arial" w:hAnsi="Arial"/>
          <w:sz w:val="15"/>
          <w:szCs w:val="15"/>
          <w:color w:val="auto"/>
        </w:rPr>
        <w:t>As of November 1. 2021, we had 106 full</w:t>
      </w:r>
      <w:r>
        <w:rPr>
          <w:rFonts w:ascii="MS PGothic" w:cs="MS PGothic" w:eastAsia="MS PGothic" w:hAnsi="MS PGothic"/>
          <w:sz w:val="15"/>
          <w:szCs w:val="15"/>
          <w:color w:val="auto"/>
        </w:rPr>
        <w:t>‑</w:t>
      </w:r>
      <w:r>
        <w:rPr>
          <w:rFonts w:ascii="Arial" w:cs="Arial" w:eastAsia="Arial" w:hAnsi="Arial"/>
          <w:sz w:val="15"/>
          <w:szCs w:val="15"/>
          <w:color w:val="auto"/>
        </w:rPr>
        <w:t>time employees. None of our employees are represented by a collective bargaining agreement and we have never experienced any work stoppage. We believe that we maintain good relations with our employees. Our employees are highly skilled, and many hold advanced degrees. Most of our employees have experience with drug development. Our future performance depends significantly upon the continued service of our key scientific, technical and senior management personnel and our continued ability to attract and retain highly skilled employees. We provide our employees with competitive salaries and bonuses, opportunities for equity ownership, a 401(k) plan, development programs that enable continued learning and growth and a robust employment package that promotes well-being across all aspects of their lives. In addition to salaries, these programs include potential annual discretionary bonuses, stock awards, healthcare and insurance benefits, health savings and flexible spending accounts, paid time off, family leave, and flexible work schedules, among other benefits. We have taken proactive steps throughout the COVID-19 pandemic to protect the health and safety of our employees. We expect to continue to implement these measures until we determine that the COVID-19 pandemic is adequately contained for purposes of our business. We may take further actions, in compliance with all appropriate government regulations, that we determine to be in the best interest of our employees.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CARES Act</w:t>
      </w:r>
    </w:p>
    <w:p>
      <w:pPr>
        <w:spacing w:after="0" w:line="239" w:lineRule="exact"/>
        <w:rPr>
          <w:sz w:val="20"/>
          <w:szCs w:val="20"/>
          <w:color w:val="auto"/>
        </w:rPr>
      </w:pPr>
    </w:p>
    <w:p>
      <w:pPr>
        <w:ind w:right="20" w:firstLine="749"/>
        <w:spacing w:after="0" w:line="289" w:lineRule="auto"/>
        <w:rPr>
          <w:sz w:val="20"/>
          <w:szCs w:val="20"/>
          <w:color w:val="auto"/>
        </w:rPr>
      </w:pPr>
      <w:r>
        <w:rPr>
          <w:rFonts w:ascii="Arial" w:cs="Arial" w:eastAsia="Arial" w:hAnsi="Arial"/>
          <w:sz w:val="15"/>
          <w:szCs w:val="15"/>
          <w:color w:val="auto"/>
        </w:rPr>
        <w:t>On March 27, 2020, the Coronavirus Aid, Relief, and Economic Security Act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net operating losses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COVID-19 on our Business</w:t>
      </w:r>
    </w:p>
    <w:p>
      <w:pPr>
        <w:spacing w:after="0" w:line="225" w:lineRule="exact"/>
        <w:rPr>
          <w:sz w:val="20"/>
          <w:szCs w:val="20"/>
          <w:color w:val="auto"/>
        </w:rPr>
      </w:pPr>
    </w:p>
    <w:p>
      <w:pPr>
        <w:ind w:right="120" w:firstLine="749"/>
        <w:spacing w:after="0" w:line="304" w:lineRule="auto"/>
        <w:rPr>
          <w:sz w:val="20"/>
          <w:szCs w:val="20"/>
          <w:color w:val="auto"/>
        </w:rPr>
      </w:pPr>
      <w:r>
        <w:rPr>
          <w:rFonts w:ascii="Arial" w:cs="Arial" w:eastAsia="Arial" w:hAnsi="Arial"/>
          <w:sz w:val="14"/>
          <w:szCs w:val="14"/>
          <w:color w:val="auto"/>
        </w:rPr>
        <w:t>In December 2019, a novel coronavirus known as SARS-CoV-2 was first detected in Wuhan, Hubei Province, People’s Republic of China, causing outbreaks of the coronavirus disease, known as COVID-19, that has now spread globally. On January 30, 2020, the World Health Organization (WHO) declared COVID-19 a public health emergency. The Secretary of Health and Human Services declared a public health emergency in the United States on January 31, 2020, under section 319 of the Public Health Service Act (42 U.S.C. 247d), in response to the COVID-19 outbreak. On March 11, 2020, the WHO declared COVID-19 a pandemic.</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Operations and Liquidity</w:t>
      </w:r>
    </w:p>
    <w:p>
      <w:pPr>
        <w:spacing w:after="0" w:line="235" w:lineRule="exact"/>
        <w:rPr>
          <w:sz w:val="20"/>
          <w:szCs w:val="20"/>
          <w:color w:val="auto"/>
        </w:rPr>
      </w:pPr>
    </w:p>
    <w:p>
      <w:pPr>
        <w:ind w:firstLine="749"/>
        <w:spacing w:after="0" w:line="293" w:lineRule="auto"/>
        <w:rPr>
          <w:sz w:val="20"/>
          <w:szCs w:val="20"/>
          <w:color w:val="auto"/>
        </w:rPr>
      </w:pPr>
      <w:r>
        <w:rPr>
          <w:rFonts w:ascii="Arial" w:cs="Arial" w:eastAsia="Arial" w:hAnsi="Arial"/>
          <w:sz w:val="14"/>
          <w:szCs w:val="14"/>
          <w:color w:val="auto"/>
        </w:rPr>
        <w:t>The full impact of the COVID-19 pandemic is unknown and rapidly evolving. While the potential economic impact brought by and over the duration of the COVID-19 pandemic may be difficult to assess or predict, the COVID-19 pandemic has resulted in significant disruption of global financial markets, which could in the future negatively affect our liquidity. In addition, a recession or market volatility resulting from the COVID-19 pandemic could affect our business. We have taken proactive, aggressive action throughout the COVID-19 pandemic to protect the health and safety of our employees, and expect to continue to implement these measures until we determine that the COVID-19 pandemic is adequately contained for purposes of our business. We may take further actions as government authorities require or recommend or as we determine to be in the best interests of our employees. To date, the COVID-19 pandemic has not had significant effects on the progression of our clinical trials. Given the nature and type of our short-term investments, we do not believe that the COVID-19 pandemic will have a material impact on our current investment liquidity.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i w:val="1"/>
          <w:iCs w:val="1"/>
          <w:color w:val="212529"/>
        </w:rPr>
        <w:t>Outlook</w:t>
      </w:r>
    </w:p>
    <w:p>
      <w:pPr>
        <w:spacing w:after="0" w:line="235" w:lineRule="exact"/>
        <w:rPr>
          <w:sz w:val="20"/>
          <w:szCs w:val="20"/>
          <w:color w:val="auto"/>
        </w:rPr>
      </w:pPr>
    </w:p>
    <w:p>
      <w:pPr>
        <w:ind w:right="160" w:firstLine="749"/>
        <w:spacing w:after="0" w:line="256" w:lineRule="auto"/>
        <w:rPr>
          <w:sz w:val="20"/>
          <w:szCs w:val="20"/>
          <w:color w:val="auto"/>
        </w:rPr>
      </w:pPr>
      <w:r>
        <w:rPr>
          <w:rFonts w:ascii="Arial" w:cs="Arial" w:eastAsia="Arial" w:hAnsi="Arial"/>
          <w:sz w:val="16"/>
          <w:szCs w:val="16"/>
          <w:color w:val="auto"/>
        </w:rPr>
        <w:t>Although there is uncertainty related to the anticipated impact of the COVID-19 pandemic on our future results, we believe our current cash reserves, coupled with our access to additional capital through the December 2019 Sales Agreement and the Hercules Loan Agreement, leave us well-positioned to manage our business through this crisis as it continues to unfold. However, the impacts of the COVID-19 pandemic are broad-reaching and continuing and the financial impacts associated with the COVID-19 pandemic are still uncertain.</w:t>
      </w:r>
    </w:p>
    <w:p>
      <w:pPr>
        <w:spacing w:after="0" w:line="187" w:lineRule="exact"/>
        <w:rPr>
          <w:sz w:val="20"/>
          <w:szCs w:val="20"/>
          <w:color w:val="auto"/>
        </w:rPr>
      </w:pPr>
    </w:p>
    <w:p>
      <w:pPr>
        <w:ind w:right="20" w:firstLine="749"/>
        <w:spacing w:after="0" w:line="261" w:lineRule="auto"/>
        <w:rPr>
          <w:sz w:val="20"/>
          <w:szCs w:val="20"/>
          <w:color w:val="auto"/>
        </w:rPr>
      </w:pPr>
      <w:r>
        <w:rPr>
          <w:rFonts w:ascii="Arial" w:cs="Arial" w:eastAsia="Arial" w:hAnsi="Arial"/>
          <w:sz w:val="16"/>
          <w:szCs w:val="16"/>
          <w:color w:val="auto"/>
        </w:rPr>
        <w:t>As a result of the ongoing COVID-19 pandemic and its dynamic nature, including uncertainties relating to the ultimate geographic spread of the virus, the severity of the disease, the duration of the pandemic, and actions that have been or may be taken by governmental authorities to contain the pandemic or to treat its impact, it is difficult to forecast the effects of the COVID-19 pandemic on our results for the fiscal year ending December 31, 2021.</w:t>
      </w:r>
    </w:p>
    <w:p>
      <w:pPr>
        <w:spacing w:after="0" w:line="183" w:lineRule="exact"/>
        <w:rPr>
          <w:sz w:val="20"/>
          <w:szCs w:val="20"/>
          <w:color w:val="auto"/>
        </w:rPr>
      </w:pPr>
    </w:p>
    <w:p>
      <w:pPr>
        <w:ind w:firstLine="749"/>
        <w:spacing w:after="0" w:line="253" w:lineRule="auto"/>
        <w:rPr>
          <w:sz w:val="20"/>
          <w:szCs w:val="20"/>
          <w:color w:val="auto"/>
        </w:rPr>
      </w:pPr>
      <w:r>
        <w:rPr>
          <w:rFonts w:ascii="Arial" w:cs="Arial" w:eastAsia="Arial" w:hAnsi="Arial"/>
          <w:sz w:val="16"/>
          <w:szCs w:val="16"/>
          <w:color w:val="auto"/>
        </w:rPr>
        <w:t>Despite the economic uncertainty resulting from the COVID-19 pandemic, we intend to continue to focus on the development of our product candidates. We continue to monitor the rapidly evolving situation and guidance from international and domestic authorities, including federal, state and local public health authorities and we may take additional actions based on their recommendations. In these circumstances, there may be developments outside of our control requiring us to adjust our operating plan. As such, given the dynamic nature of this situation, we cannot reasonably estimate the impacts of the COVID-19 pandemic on our financial condition, results of operations or cash flows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22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did not have during the periods presented, and we do not currently have, any off-balance sheet arrangements, as defined by applicable SEC regulations.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5" w:lineRule="exact"/>
        <w:rPr>
          <w:sz w:val="20"/>
          <w:szCs w:val="20"/>
          <w:color w:val="auto"/>
        </w:rPr>
      </w:pPr>
    </w:p>
    <w:p>
      <w:pPr>
        <w:ind w:right="600" w:firstLine="749"/>
        <w:spacing w:after="0" w:line="275" w:lineRule="auto"/>
        <w:rPr>
          <w:sz w:val="20"/>
          <w:szCs w:val="20"/>
          <w:color w:val="auto"/>
        </w:rPr>
      </w:pPr>
      <w:r>
        <w:rPr>
          <w:rFonts w:ascii="Arial" w:cs="Arial" w:eastAsia="Arial" w:hAnsi="Arial"/>
          <w:sz w:val="16"/>
          <w:szCs w:val="16"/>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4" w:name="page35"/>
    <w:bookmarkEnd w:id="3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 ABOUT MARKET RISK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Interest Rate Risk</w:t>
      </w:r>
    </w:p>
    <w:p>
      <w:pPr>
        <w:spacing w:after="0" w:line="235"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We are exposed to market risks in the ordinary course of our business and from changes in the interest rate on our debt borrowings. These market risks are principally limited to interest rate fluctuations. We had cash of $114.6 million and $183.9 million as of September 30, 2021 and December 31, 2020, respectively. The primary objective of our investment activities is to preserve principal and liquidity while maximizing income without significantly increasing risk. We do not enter into investments for trading or speculative purposes. Due to the short-term nature of our investment portfolio and debt agreement, we do not believe an immediate 100 basis point increase in interest rates would have a material effect on the fair market value of our portfolio, and, accordingly, we do not expect our operating results or cash flows to be materially affected by a sudden change in market interest rates.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Currency Exchange Risk</w:t>
      </w:r>
    </w:p>
    <w:p>
      <w:pPr>
        <w:spacing w:after="0" w:line="235" w:lineRule="exact"/>
        <w:rPr>
          <w:sz w:val="20"/>
          <w:szCs w:val="20"/>
          <w:color w:val="auto"/>
        </w:rPr>
      </w:pPr>
    </w:p>
    <w:p>
      <w:pPr>
        <w:ind w:right="60" w:firstLine="749"/>
        <w:spacing w:after="0" w:line="335" w:lineRule="auto"/>
        <w:rPr>
          <w:sz w:val="20"/>
          <w:szCs w:val="20"/>
          <w:color w:val="auto"/>
        </w:rPr>
      </w:pPr>
      <w:r>
        <w:rPr>
          <w:rFonts w:ascii="Arial" w:cs="Arial" w:eastAsia="Arial" w:hAnsi="Arial"/>
          <w:sz w:val="14"/>
          <w:szCs w:val="14"/>
          <w:color w:val="auto"/>
        </w:rPr>
        <w:t>We contract with vendors and third-party manufactures located in Europe and certain invoices are denominated in foreign currencies.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49"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do not believe a 10% change in these currencies on September 30, 2021 would have had a material effect on our results of operations or financial condition.</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Inflation Risk</w:t>
      </w:r>
    </w:p>
    <w:p>
      <w:pPr>
        <w:spacing w:after="0" w:line="235" w:lineRule="exact"/>
        <w:rPr>
          <w:sz w:val="20"/>
          <w:szCs w:val="20"/>
          <w:color w:val="auto"/>
        </w:rPr>
      </w:pPr>
    </w:p>
    <w:p>
      <w:pPr>
        <w:ind w:right="200" w:firstLine="749"/>
        <w:spacing w:after="0" w:line="293" w:lineRule="auto"/>
        <w:rPr>
          <w:sz w:val="20"/>
          <w:szCs w:val="20"/>
          <w:color w:val="auto"/>
        </w:rPr>
      </w:pPr>
      <w:r>
        <w:rPr>
          <w:rFonts w:ascii="Arial" w:cs="Arial" w:eastAsia="Arial" w:hAnsi="Arial"/>
          <w:sz w:val="16"/>
          <w:szCs w:val="16"/>
          <w:color w:val="auto"/>
        </w:rPr>
        <w:t>Inflation generally affects us by increasing our cost of labor and pricing of contracts. We do not believe that inflation has had a material effect on our business, financial condition, or results of operations during the three months ended September 30, 2021.</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39"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i w:val="1"/>
          <w:iCs w:val="1"/>
          <w:color w:val="auto"/>
        </w:rPr>
        <w:t xml:space="preserve">Disclosure Controls and Procedures. </w:t>
      </w:r>
      <w:r>
        <w:rPr>
          <w:rFonts w:ascii="Arial" w:cs="Arial" w:eastAsia="Arial" w:hAnsi="Arial"/>
          <w:sz w:val="15"/>
          <w:szCs w:val="15"/>
          <w:color w:val="auto"/>
        </w:rPr>
        <w:t>Our management, with the participation of our principal executive officer and our principal financial officer, evaluated, as</w:t>
      </w:r>
      <w:r>
        <w:rPr>
          <w:rFonts w:ascii="Arial" w:cs="Arial" w:eastAsia="Arial" w:hAnsi="Arial"/>
          <w:sz w:val="15"/>
          <w:szCs w:val="15"/>
          <w:i w:val="1"/>
          <w:iCs w:val="1"/>
          <w:color w:val="auto"/>
        </w:rPr>
        <w:t xml:space="preserve"> </w:t>
      </w:r>
      <w:r>
        <w:rPr>
          <w:rFonts w:ascii="Arial" w:cs="Arial" w:eastAsia="Arial" w:hAnsi="Arial"/>
          <w:sz w:val="15"/>
          <w:szCs w:val="15"/>
          <w:color w:val="auto"/>
        </w:rPr>
        <w:t>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80" w:lineRule="exact"/>
        <w:rPr>
          <w:sz w:val="20"/>
          <w:szCs w:val="20"/>
          <w:color w:val="auto"/>
        </w:rPr>
      </w:pPr>
    </w:p>
    <w:p>
      <w:pPr>
        <w:ind w:right="180" w:firstLine="749"/>
        <w:spacing w:after="0" w:line="269"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During the third quarter of 2021, we implemented a new Enterprise Resource Planning system, or ERP</w:t>
      </w:r>
      <w:r>
        <w:rPr>
          <w:rFonts w:ascii="Arial" w:cs="Arial" w:eastAsia="Arial" w:hAnsi="Arial"/>
          <w:sz w:val="16"/>
          <w:szCs w:val="16"/>
          <w:i w:val="1"/>
          <w:iCs w:val="1"/>
          <w:color w:val="auto"/>
        </w:rPr>
        <w:t xml:space="preserve"> </w:t>
      </w:r>
      <w:r>
        <w:rPr>
          <w:rFonts w:ascii="Arial" w:cs="Arial" w:eastAsia="Arial" w:hAnsi="Arial"/>
          <w:sz w:val="16"/>
          <w:szCs w:val="16"/>
          <w:color w:val="auto"/>
        </w:rPr>
        <w:t>system, which replaced our existing core financial systems. The ERP system is designed to accurately maintain our financial records, enhance the flow of financial information, improve data management and user access security, and provide timely information to our management team. Changes to our general ledger and consolidated financial reporting have taken place during the third quarter of 2021. As the phased implementation of the new ERP system progresses, we may change our processes and procedures which, in turn, could result in changes to our internal control over financial reporting. As such changes occur, we will evaluate quarterly whether such changes materially affect our internal control over financial reporting.</w:t>
      </w:r>
    </w:p>
    <w:p>
      <w:pPr>
        <w:spacing w:after="0" w:line="194" w:lineRule="exact"/>
        <w:rPr>
          <w:sz w:val="20"/>
          <w:szCs w:val="20"/>
          <w:color w:val="auto"/>
        </w:rPr>
      </w:pPr>
    </w:p>
    <w:p>
      <w:pPr>
        <w:ind w:right="160" w:firstLine="749"/>
        <w:spacing w:after="0" w:line="293" w:lineRule="auto"/>
        <w:rPr>
          <w:sz w:val="20"/>
          <w:szCs w:val="20"/>
          <w:color w:val="auto"/>
        </w:rPr>
      </w:pPr>
      <w:r>
        <w:rPr>
          <w:rFonts w:ascii="Arial" w:cs="Arial" w:eastAsia="Arial" w:hAnsi="Arial"/>
          <w:sz w:val="16"/>
          <w:szCs w:val="16"/>
          <w:color w:val="auto"/>
        </w:rPr>
        <w:t>Except as described in the previous paragraph, there has been no change in internal controls over financial reporting that occurred during the period covered by this report that has materially affected, or is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 OTHER INFORMATION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39" w:lineRule="exact"/>
        <w:rPr>
          <w:sz w:val="20"/>
          <w:szCs w:val="20"/>
          <w:color w:val="auto"/>
        </w:rPr>
      </w:pPr>
    </w:p>
    <w:p>
      <w:pPr>
        <w:ind w:right="120" w:firstLine="749"/>
        <w:spacing w:after="0" w:line="293" w:lineRule="auto"/>
        <w:rPr>
          <w:sz w:val="20"/>
          <w:szCs w:val="20"/>
          <w:color w:val="auto"/>
        </w:rPr>
      </w:pPr>
      <w:r>
        <w:rPr>
          <w:rFonts w:ascii="Arial" w:cs="Arial" w:eastAsia="Arial" w:hAnsi="Arial"/>
          <w:sz w:val="16"/>
          <w:szCs w:val="16"/>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39" w:lineRule="exact"/>
        <w:rPr>
          <w:sz w:val="20"/>
          <w:szCs w:val="20"/>
          <w:color w:val="auto"/>
        </w:rPr>
      </w:pPr>
    </w:p>
    <w:p>
      <w:pPr>
        <w:ind w:right="80" w:firstLine="674"/>
        <w:spacing w:after="0" w:line="27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 Summary</w:t>
      </w:r>
    </w:p>
    <w:p>
      <w:pPr>
        <w:spacing w:after="0" w:line="252" w:lineRule="exact"/>
        <w:rPr>
          <w:sz w:val="20"/>
          <w:szCs w:val="20"/>
          <w:color w:val="auto"/>
        </w:rPr>
      </w:pPr>
    </w:p>
    <w:p>
      <w:pPr>
        <w:ind w:left="760"/>
        <w:spacing w:after="0"/>
        <w:rPr>
          <w:sz w:val="20"/>
          <w:szCs w:val="20"/>
          <w:color w:val="auto"/>
        </w:rPr>
      </w:pPr>
      <w:r>
        <w:rPr>
          <w:rFonts w:ascii="Arial" w:cs="Arial" w:eastAsia="Arial" w:hAnsi="Arial"/>
          <w:sz w:val="14"/>
          <w:szCs w:val="14"/>
          <w:color w:val="auto"/>
        </w:rPr>
        <w:t>Our business is subject to a number of risks and uncertainties, including those risks discussed at length below. These risks include, among others, the following:</w:t>
      </w:r>
    </w:p>
    <w:p>
      <w:pPr>
        <w:spacing w:after="0" w:line="258" w:lineRule="exact"/>
        <w:rPr>
          <w:sz w:val="20"/>
          <w:szCs w:val="20"/>
          <w:color w:val="auto"/>
        </w:rPr>
      </w:pPr>
    </w:p>
    <w:p>
      <w:pPr>
        <w:ind w:left="700" w:right="180"/>
        <w:spacing w:after="0" w:line="293" w:lineRule="auto"/>
        <w:rPr>
          <w:sz w:val="20"/>
          <w:szCs w:val="20"/>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2" w:lineRule="exact"/>
        <w:rPr>
          <w:sz w:val="20"/>
          <w:szCs w:val="20"/>
          <w:color w:val="auto"/>
        </w:rPr>
      </w:pPr>
    </w:p>
    <w:p>
      <w:pPr>
        <w:ind w:left="700"/>
        <w:spacing w:after="0" w:line="369" w:lineRule="auto"/>
        <w:rPr>
          <w:sz w:val="20"/>
          <w:szCs w:val="20"/>
          <w:color w:val="auto"/>
        </w:rPr>
      </w:pPr>
      <w:r>
        <w:rPr>
          <w:rFonts w:ascii="Arial" w:cs="Arial" w:eastAsia="Arial" w:hAnsi="Arial"/>
          <w:sz w:val="14"/>
          <w:szCs w:val="14"/>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26" w:lineRule="exact"/>
        <w:rPr>
          <w:sz w:val="20"/>
          <w:szCs w:val="20"/>
          <w:color w:val="auto"/>
        </w:rPr>
      </w:pPr>
    </w:p>
    <w:p>
      <w:pPr>
        <w:ind w:left="700" w:right="100"/>
        <w:spacing w:after="0" w:line="416" w:lineRule="auto"/>
        <w:rPr>
          <w:sz w:val="20"/>
          <w:szCs w:val="20"/>
          <w:color w:val="auto"/>
        </w:rPr>
      </w:pPr>
      <w:r>
        <w:rPr>
          <w:rFonts w:ascii="Arial" w:cs="Arial" w:eastAsia="Arial" w:hAnsi="Arial"/>
          <w:sz w:val="13"/>
          <w:szCs w:val="13"/>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03" w:lineRule="exact"/>
        <w:rPr>
          <w:sz w:val="20"/>
          <w:szCs w:val="20"/>
          <w:color w:val="auto"/>
        </w:rPr>
      </w:pPr>
    </w:p>
    <w:p>
      <w:pPr>
        <w:ind w:left="700"/>
        <w:spacing w:after="0"/>
        <w:rPr>
          <w:sz w:val="20"/>
          <w:szCs w:val="20"/>
          <w:color w:val="auto"/>
        </w:rPr>
      </w:pPr>
      <w:r>
        <w:rPr>
          <w:rFonts w:ascii="Arial" w:cs="Arial" w:eastAsia="Arial" w:hAnsi="Arial"/>
          <w:sz w:val="14"/>
          <w:szCs w:val="14"/>
          <w:b w:val="1"/>
          <w:bCs w:val="1"/>
          <w:i w:val="1"/>
          <w:iCs w:val="1"/>
          <w:color w:val="auto"/>
        </w:rPr>
        <w:t>We have a limited operating history and no history of commercializing products, which may make it difficult to evaluate our business and prospects.</w:t>
      </w:r>
    </w:p>
    <w:p>
      <w:pPr>
        <w:spacing w:after="0" w:line="258"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72" w:lineRule="exact"/>
        <w:rPr>
          <w:sz w:val="20"/>
          <w:szCs w:val="20"/>
          <w:color w:val="auto"/>
        </w:rPr>
      </w:pPr>
    </w:p>
    <w:p>
      <w:pPr>
        <w:ind w:left="700" w:right="160"/>
        <w:spacing w:after="0" w:line="335" w:lineRule="auto"/>
        <w:rPr>
          <w:sz w:val="20"/>
          <w:szCs w:val="20"/>
          <w:color w:val="auto"/>
        </w:rPr>
      </w:pPr>
      <w:r>
        <w:rPr>
          <w:rFonts w:ascii="Arial" w:cs="Arial" w:eastAsia="Arial" w:hAnsi="Arial"/>
          <w:sz w:val="14"/>
          <w:szCs w:val="14"/>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49" w:lineRule="exact"/>
        <w:rPr>
          <w:sz w:val="20"/>
          <w:szCs w:val="20"/>
          <w:color w:val="auto"/>
        </w:rPr>
      </w:pPr>
    </w:p>
    <w:p>
      <w:pPr>
        <w:ind w:left="700" w:right="120"/>
        <w:spacing w:after="0" w:line="273" w:lineRule="auto"/>
        <w:rPr>
          <w:sz w:val="20"/>
          <w:szCs w:val="20"/>
          <w:color w:val="auto"/>
        </w:rPr>
      </w:pPr>
      <w:r>
        <w:rPr>
          <w:rFonts w:ascii="Arial" w:cs="Arial" w:eastAsia="Arial" w:hAnsi="Arial"/>
          <w:sz w:val="16"/>
          <w:szCs w:val="16"/>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MDD and for the treatment of AD agitation.</w:t>
      </w:r>
    </w:p>
    <w:p>
      <w:pPr>
        <w:spacing w:after="0" w:line="189" w:lineRule="exact"/>
        <w:rPr>
          <w:sz w:val="20"/>
          <w:szCs w:val="20"/>
          <w:color w:val="auto"/>
        </w:rPr>
      </w:pPr>
    </w:p>
    <w:p>
      <w:pPr>
        <w:ind w:left="700" w:right="220"/>
        <w:spacing w:after="0" w:line="293" w:lineRule="auto"/>
        <w:rPr>
          <w:sz w:val="20"/>
          <w:szCs w:val="20"/>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2" w:lineRule="exact"/>
        <w:rPr>
          <w:sz w:val="20"/>
          <w:szCs w:val="20"/>
          <w:color w:val="auto"/>
        </w:rPr>
      </w:pPr>
    </w:p>
    <w:p>
      <w:pPr>
        <w:ind w:left="700"/>
        <w:spacing w:after="0" w:line="278" w:lineRule="auto"/>
        <w:rPr>
          <w:sz w:val="20"/>
          <w:szCs w:val="20"/>
          <w:color w:val="auto"/>
        </w:rPr>
      </w:pPr>
      <w:r>
        <w:rPr>
          <w:rFonts w:ascii="Arial" w:cs="Arial" w:eastAsia="Arial" w:hAnsi="Arial"/>
          <w:sz w:val="16"/>
          <w:szCs w:val="16"/>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84" w:lineRule="exact"/>
        <w:rPr>
          <w:sz w:val="20"/>
          <w:szCs w:val="20"/>
          <w:color w:val="auto"/>
        </w:rPr>
      </w:pPr>
    </w:p>
    <w:p>
      <w:pPr>
        <w:jc w:val="center"/>
        <w:ind w:left="360"/>
        <w:spacing w:after="0"/>
        <w:rPr>
          <w:sz w:val="20"/>
          <w:szCs w:val="20"/>
          <w:color w:val="auto"/>
        </w:rPr>
      </w:pPr>
      <w:r>
        <w:rPr>
          <w:rFonts w:ascii="Arial" w:cs="Arial" w:eastAsia="Arial" w:hAnsi="Arial"/>
          <w:sz w:val="14"/>
          <w:szCs w:val="14"/>
          <w:b w:val="1"/>
          <w:bCs w:val="1"/>
          <w:i w:val="1"/>
          <w:iCs w:val="1"/>
          <w:color w:val="auto"/>
        </w:rPr>
        <w:t>If any of our current or future product candidates do not achieve broad market acceptance, the revenues that we generate from their sales will be limited.</w:t>
      </w: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6" w:name="page37"/>
    <w:bookmarkEnd w:id="3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right="240"/>
        <w:spacing w:after="0" w:line="416" w:lineRule="auto"/>
        <w:rPr>
          <w:sz w:val="20"/>
          <w:szCs w:val="20"/>
          <w:color w:val="auto"/>
        </w:rPr>
      </w:pPr>
      <w:r>
        <w:rPr>
          <w:rFonts w:ascii="Arial" w:cs="Arial" w:eastAsia="Arial" w:hAnsi="Arial"/>
          <w:sz w:val="13"/>
          <w:szCs w:val="13"/>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03" w:lineRule="exact"/>
        <w:rPr>
          <w:sz w:val="20"/>
          <w:szCs w:val="20"/>
          <w:color w:val="auto"/>
        </w:rPr>
      </w:pPr>
    </w:p>
    <w:p>
      <w:pPr>
        <w:ind w:left="700"/>
        <w:spacing w:after="0" w:line="278" w:lineRule="auto"/>
        <w:rPr>
          <w:sz w:val="20"/>
          <w:szCs w:val="20"/>
          <w:color w:val="auto"/>
        </w:rPr>
      </w:pPr>
      <w:r>
        <w:rPr>
          <w:rFonts w:ascii="Arial" w:cs="Arial" w:eastAsia="Arial" w:hAnsi="Arial"/>
          <w:sz w:val="16"/>
          <w:szCs w:val="16"/>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sz w:val="20"/>
          <w:szCs w:val="20"/>
          <w:color w:val="auto"/>
        </w:rPr>
      </w:pPr>
    </w:p>
    <w:p>
      <w:pPr>
        <w:ind w:left="700" w:right="80"/>
        <w:spacing w:after="0" w:line="293" w:lineRule="auto"/>
        <w:rPr>
          <w:sz w:val="20"/>
          <w:szCs w:val="20"/>
          <w:color w:val="auto"/>
        </w:rPr>
      </w:pPr>
      <w:r>
        <w:rPr>
          <w:rFonts w:ascii="Arial" w:cs="Arial" w:eastAsia="Arial" w:hAnsi="Arial"/>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72" w:lineRule="exact"/>
        <w:rPr>
          <w:sz w:val="20"/>
          <w:szCs w:val="20"/>
          <w:color w:val="auto"/>
        </w:rPr>
      </w:pPr>
    </w:p>
    <w:p>
      <w:pPr>
        <w:ind w:left="700" w:right="100"/>
        <w:spacing w:after="0" w:line="271" w:lineRule="auto"/>
        <w:rPr>
          <w:sz w:val="20"/>
          <w:szCs w:val="20"/>
          <w:color w:val="auto"/>
        </w:rPr>
      </w:pPr>
      <w:r>
        <w:rPr>
          <w:rFonts w:ascii="Arial" w:cs="Arial" w:eastAsia="Arial" w:hAnsi="Arial"/>
          <w:sz w:val="16"/>
          <w:szCs w:val="16"/>
          <w:b w:val="1"/>
          <w:bCs w:val="1"/>
          <w:i w:val="1"/>
          <w:iCs w:val="1"/>
          <w:color w:val="auto"/>
        </w:rPr>
        <w:t>As an NDA applicant and as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90" w:lineRule="exact"/>
        <w:rPr>
          <w:sz w:val="20"/>
          <w:szCs w:val="20"/>
          <w:color w:val="auto"/>
        </w:rPr>
      </w:pPr>
    </w:p>
    <w:p>
      <w:pPr>
        <w:ind w:left="700" w:right="480"/>
        <w:spacing w:after="0" w:line="293" w:lineRule="auto"/>
        <w:rPr>
          <w:sz w:val="20"/>
          <w:szCs w:val="20"/>
          <w:color w:val="auto"/>
        </w:rPr>
      </w:pPr>
      <w:r>
        <w:rPr>
          <w:rFonts w:ascii="Arial" w:cs="Arial" w:eastAsia="Arial" w:hAnsi="Arial"/>
          <w:sz w:val="16"/>
          <w:szCs w:val="16"/>
          <w:b w:val="1"/>
          <w:bCs w:val="1"/>
          <w:i w:val="1"/>
          <w:iCs w:val="1"/>
          <w:color w:val="auto"/>
        </w:rPr>
        <w:t>We are dependent on third parties to decide to utilize our product candidates effectively, including by making them readily available at the point of care throughout their networks of pharmacies.</w:t>
      </w:r>
    </w:p>
    <w:p>
      <w:pPr>
        <w:spacing w:after="0" w:line="172" w:lineRule="exact"/>
        <w:rPr>
          <w:sz w:val="20"/>
          <w:szCs w:val="20"/>
          <w:color w:val="auto"/>
        </w:rPr>
      </w:pPr>
    </w:p>
    <w:p>
      <w:pPr>
        <w:ind w:left="700" w:right="260"/>
        <w:spacing w:after="0" w:line="293" w:lineRule="auto"/>
        <w:rPr>
          <w:sz w:val="20"/>
          <w:szCs w:val="20"/>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2" w:lineRule="exact"/>
        <w:rPr>
          <w:sz w:val="20"/>
          <w:szCs w:val="20"/>
          <w:color w:val="auto"/>
        </w:rPr>
      </w:pPr>
    </w:p>
    <w:p>
      <w:pPr>
        <w:ind w:left="700" w:right="420"/>
        <w:spacing w:after="0" w:line="369" w:lineRule="auto"/>
        <w:rPr>
          <w:sz w:val="20"/>
          <w:szCs w:val="20"/>
          <w:color w:val="auto"/>
        </w:rPr>
      </w:pPr>
      <w:r>
        <w:rPr>
          <w:rFonts w:ascii="Arial" w:cs="Arial" w:eastAsia="Arial" w:hAnsi="Arial"/>
          <w:sz w:val="14"/>
          <w:szCs w:val="14"/>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26" w:lineRule="exact"/>
        <w:rPr>
          <w:sz w:val="20"/>
          <w:szCs w:val="20"/>
          <w:color w:val="auto"/>
        </w:rPr>
      </w:pPr>
    </w:p>
    <w:p>
      <w:pPr>
        <w:ind w:left="700" w:right="160"/>
        <w:spacing w:after="0" w:line="416" w:lineRule="auto"/>
        <w:rPr>
          <w:sz w:val="20"/>
          <w:szCs w:val="20"/>
          <w:color w:val="auto"/>
        </w:rPr>
      </w:pPr>
      <w:r>
        <w:rPr>
          <w:rFonts w:ascii="Arial" w:cs="Arial" w:eastAsia="Arial" w:hAnsi="Arial"/>
          <w:sz w:val="13"/>
          <w:szCs w:val="13"/>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03" w:lineRule="exact"/>
        <w:rPr>
          <w:sz w:val="20"/>
          <w:szCs w:val="20"/>
          <w:color w:val="auto"/>
        </w:rPr>
      </w:pPr>
    </w:p>
    <w:p>
      <w:pPr>
        <w:jc w:val="both"/>
        <w:ind w:left="700" w:right="60"/>
        <w:spacing w:after="0" w:line="278" w:lineRule="auto"/>
        <w:rPr>
          <w:sz w:val="20"/>
          <w:szCs w:val="20"/>
          <w:color w:val="auto"/>
        </w:rPr>
      </w:pPr>
      <w:r>
        <w:rPr>
          <w:rFonts w:ascii="Arial" w:cs="Arial" w:eastAsia="Arial" w:hAnsi="Arial"/>
          <w:sz w:val="16"/>
          <w:szCs w:val="16"/>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84" w:lineRule="exact"/>
        <w:rPr>
          <w:sz w:val="20"/>
          <w:szCs w:val="20"/>
          <w:color w:val="auto"/>
        </w:rPr>
      </w:pPr>
    </w:p>
    <w:p>
      <w:pPr>
        <w:ind w:left="700" w:right="320"/>
        <w:spacing w:after="0" w:line="328" w:lineRule="auto"/>
        <w:rPr>
          <w:sz w:val="20"/>
          <w:szCs w:val="20"/>
          <w:color w:val="auto"/>
        </w:rPr>
      </w:pPr>
      <w:r>
        <w:rPr>
          <w:rFonts w:ascii="Arial" w:cs="Arial" w:eastAsia="Arial" w:hAnsi="Arial"/>
          <w:sz w:val="15"/>
          <w:szCs w:val="15"/>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50" w:lineRule="exact"/>
        <w:rPr>
          <w:sz w:val="20"/>
          <w:szCs w:val="20"/>
          <w:color w:val="auto"/>
        </w:rPr>
      </w:pPr>
    </w:p>
    <w:p>
      <w:pPr>
        <w:ind w:left="700" w:right="120"/>
        <w:spacing w:after="0" w:line="293" w:lineRule="auto"/>
        <w:rPr>
          <w:sz w:val="20"/>
          <w:szCs w:val="20"/>
          <w:color w:val="auto"/>
        </w:rPr>
      </w:pPr>
      <w:r>
        <w:rPr>
          <w:rFonts w:ascii="Arial" w:cs="Arial" w:eastAsia="Arial" w:hAnsi="Arial"/>
          <w:sz w:val="16"/>
          <w:szCs w:val="16"/>
          <w:b w:val="1"/>
          <w:bCs w:val="1"/>
          <w:i w:val="1"/>
          <w:iCs w:val="1"/>
          <w:color w:val="auto"/>
        </w:rPr>
        <w:t>Our failure to comply with state, national and/or foreign data protection laws and regulations could lead to government enforcement actions and significant penalties against us, and adversely impact our operating results.</w:t>
      </w:r>
    </w:p>
    <w:p>
      <w:pPr>
        <w:spacing w:after="0" w:line="172" w:lineRule="exact"/>
        <w:rPr>
          <w:sz w:val="20"/>
          <w:szCs w:val="20"/>
          <w:color w:val="auto"/>
        </w:rPr>
      </w:pPr>
    </w:p>
    <w:p>
      <w:pPr>
        <w:ind w:left="700" w:right="120"/>
        <w:spacing w:after="0" w:line="369"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26" w:lineRule="exact"/>
        <w:rPr>
          <w:sz w:val="20"/>
          <w:szCs w:val="20"/>
          <w:color w:val="auto"/>
        </w:rPr>
      </w:pPr>
    </w:p>
    <w:p>
      <w:pPr>
        <w:ind w:left="700" w:right="280"/>
        <w:spacing w:after="0" w:line="293"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FINANCIAL CONDITION AND CAPITAL REQUIREMENTS</w:t>
      </w:r>
    </w:p>
    <w:p>
      <w:pPr>
        <w:spacing w:after="0" w:line="239"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We have incurred significant losses since our inception, anticipate that we will incur substantial losses for the foreseeable future, and may never achieve or maintain profitability.</w:t>
      </w:r>
    </w:p>
    <w:p>
      <w:pPr>
        <w:spacing w:after="0" w:line="172" w:lineRule="exact"/>
        <w:rPr>
          <w:sz w:val="20"/>
          <w:szCs w:val="20"/>
          <w:color w:val="auto"/>
        </w:rPr>
      </w:pPr>
    </w:p>
    <w:p>
      <w:pPr>
        <w:ind w:right="40" w:firstLine="749"/>
        <w:spacing w:after="0" w:line="322" w:lineRule="auto"/>
        <w:rPr>
          <w:sz w:val="20"/>
          <w:szCs w:val="20"/>
          <w:color w:val="auto"/>
        </w:rPr>
      </w:pPr>
      <w:r>
        <w:rPr>
          <w:rFonts w:ascii="Arial" w:cs="Arial" w:eastAsia="Arial" w:hAnsi="Arial"/>
          <w:sz w:val="14"/>
          <w:szCs w:val="14"/>
          <w:color w:val="auto"/>
        </w:rPr>
        <w:t>We are a biopharmaceutical company with a limited operating history. For the last several years, we have focused our efforts primarily on developing CNS product candidates, AXS-05, AXS-07, AXS-09, AXS-12, and AXS-14, which we refer to herein as our product candidates, with the goal of achieving regulatory approval and commercialization. Since inception, we have incurred significant operating losses. Our net losses were $96.4 million for the nine months ended September 30, 2021 and</w:t>
      </w:r>
    </w:p>
    <w:p>
      <w:pPr>
        <w:spacing w:after="0" w:line="273" w:lineRule="auto"/>
        <w:rPr>
          <w:sz w:val="20"/>
          <w:szCs w:val="20"/>
          <w:color w:val="auto"/>
        </w:rPr>
      </w:pPr>
      <w:r>
        <w:rPr>
          <w:rFonts w:ascii="Arial" w:cs="Arial" w:eastAsia="Arial" w:hAnsi="Arial"/>
          <w:sz w:val="16"/>
          <w:szCs w:val="16"/>
          <w:color w:val="auto"/>
        </w:rPr>
        <w:t>$102.9 million for the year ended December 31, 2020. As of September 30, 2021, we had an accumulated deficit of $375.2 million. To date, we have not received regulatory approvals for any of our product candidates or generated any revenue from the sale of products, and we do not expect to generate any revenue in the foreseeable future. We expect to continue to incur substantial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89"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seek regulatory approval for any product candidates that successfully complete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hire additional commercial, clinical, medical, quality, regulatory, and scientific personnel;</w:t>
      </w:r>
    </w:p>
    <w:p>
      <w:pPr>
        <w:spacing w:after="0" w:line="235" w:lineRule="exact"/>
        <w:rPr>
          <w:sz w:val="20"/>
          <w:szCs w:val="20"/>
          <w:color w:val="auto"/>
        </w:rPr>
      </w:pPr>
    </w:p>
    <w:p>
      <w:pPr>
        <w:ind w:left="700" w:right="160"/>
        <w:spacing w:after="0" w:line="293" w:lineRule="auto"/>
        <w:rPr>
          <w:sz w:val="20"/>
          <w:szCs w:val="20"/>
          <w:color w:val="auto"/>
        </w:rPr>
      </w:pPr>
      <w:r>
        <w:rPr>
          <w:rFonts w:ascii="Arial" w:cs="Arial" w:eastAsia="Arial" w:hAnsi="Arial"/>
          <w:sz w:val="16"/>
          <w:szCs w:val="16"/>
          <w:color w:val="auto"/>
        </w:rPr>
        <w:t>add operational, financial, and management information systems and personnel, including personnel to support our product candidate development and planned future commercialization efforts;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further establish a sales, marketing, and distribution infrastructure;</w:t>
      </w:r>
    </w:p>
    <w:p>
      <w:pPr>
        <w:spacing w:after="0" w:line="235"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expand external manufacturing capabilities and production to commercialize any products for which we may obtain regulatory approval and that we choose not to license to a third-party;</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undertake additional manufacturing activities of our product candidates to satisfy FDA requirements for marketing application submissions;</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conduct our Phase 3 clinical trial with AXS</w:t>
      </w:r>
      <w:r>
        <w:rPr>
          <w:rFonts w:ascii="MS PGothic" w:cs="MS PGothic" w:eastAsia="MS PGothic" w:hAnsi="MS PGothic"/>
          <w:sz w:val="16"/>
          <w:szCs w:val="16"/>
          <w:color w:val="auto"/>
        </w:rPr>
        <w:t>‑</w:t>
      </w:r>
      <w:r>
        <w:rPr>
          <w:rFonts w:ascii="Arial" w:cs="Arial" w:eastAsia="Arial" w:hAnsi="Arial"/>
          <w:sz w:val="16"/>
          <w:szCs w:val="16"/>
          <w:color w:val="auto"/>
        </w:rPr>
        <w:t>05 in AD agitation;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conduct our Phase 3 clinical trial with AXS-12 in narcolepsy;</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continue to evaluate, plan for, and conduct, clinical trials for AXS-05 as an aid to smoking cessation treatment and AXS-09 for the treatment of CNS disorders;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continue to evaluate, plan for, and submit an NDA for AXS-14 in fibromyalgia;</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develop, in</w:t>
      </w:r>
      <w:r>
        <w:rPr>
          <w:rFonts w:ascii="MS PGothic" w:cs="MS PGothic" w:eastAsia="MS PGothic" w:hAnsi="MS PGothic"/>
          <w:sz w:val="16"/>
          <w:szCs w:val="16"/>
          <w:color w:val="auto"/>
        </w:rPr>
        <w:t>‑</w:t>
      </w:r>
      <w:r>
        <w:rPr>
          <w:rFonts w:ascii="Arial" w:cs="Arial" w:eastAsia="Arial" w:hAnsi="Arial"/>
          <w:sz w:val="16"/>
          <w:szCs w:val="16"/>
          <w:color w:val="auto"/>
        </w:rPr>
        <w:t>license, or acquire additional product candidates;</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conduct additional non</w:t>
      </w:r>
      <w:r>
        <w:rPr>
          <w:rFonts w:ascii="MS PGothic" w:cs="MS PGothic" w:eastAsia="MS PGothic" w:hAnsi="MS PGothic"/>
          <w:sz w:val="16"/>
          <w:szCs w:val="16"/>
          <w:color w:val="auto"/>
        </w:rPr>
        <w:t>‑</w:t>
      </w:r>
      <w:r>
        <w:rPr>
          <w:rFonts w:ascii="Arial" w:cs="Arial" w:eastAsia="Arial" w:hAnsi="Arial"/>
          <w:sz w:val="16"/>
          <w:szCs w:val="16"/>
          <w:color w:val="auto"/>
        </w:rPr>
        <w:t>clinical studies with any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conduct clinical studies with any additional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require larger quantities of product;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maintain, expand, and protect our intellectual property portfolio.</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8" w:name="page39"/>
    <w:bookmarkEnd w:id="3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80" w:lineRule="exact"/>
        <w:rPr>
          <w:sz w:val="20"/>
          <w:szCs w:val="20"/>
          <w:color w:val="auto"/>
        </w:rPr>
      </w:pPr>
    </w:p>
    <w:p>
      <w:pPr>
        <w:ind w:right="120" w:firstLine="749"/>
        <w:spacing w:after="0" w:line="273" w:lineRule="auto"/>
        <w:rPr>
          <w:sz w:val="20"/>
          <w:szCs w:val="20"/>
          <w:color w:val="auto"/>
        </w:rPr>
      </w:pPr>
      <w:r>
        <w:rPr>
          <w:rFonts w:ascii="Arial" w:cs="Arial" w:eastAsia="Arial" w:hAnsi="Arial"/>
          <w:sz w:val="16"/>
          <w:szCs w:val="16"/>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89" w:lineRule="exact"/>
        <w:rPr>
          <w:sz w:val="20"/>
          <w:szCs w:val="20"/>
          <w:color w:val="auto"/>
        </w:rPr>
      </w:pPr>
    </w:p>
    <w:p>
      <w:pPr>
        <w:ind w:right="440" w:firstLine="749"/>
        <w:spacing w:after="0" w:line="335" w:lineRule="auto"/>
        <w:rPr>
          <w:sz w:val="20"/>
          <w:szCs w:val="20"/>
          <w:color w:val="auto"/>
        </w:rPr>
      </w:pPr>
      <w:r>
        <w:rPr>
          <w:rFonts w:ascii="Arial" w:cs="Arial" w:eastAsia="Arial" w:hAnsi="Arial"/>
          <w:sz w:val="14"/>
          <w:szCs w:val="14"/>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149"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b w:val="1"/>
          <w:bCs w:val="1"/>
          <w:i w:val="1"/>
          <w:iCs w:val="1"/>
          <w:color w:val="auto"/>
        </w:rPr>
        <w:t>We may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50" w:lineRule="exact"/>
        <w:rPr>
          <w:sz w:val="20"/>
          <w:szCs w:val="20"/>
          <w:color w:val="auto"/>
        </w:rPr>
      </w:pPr>
    </w:p>
    <w:p>
      <w:pPr>
        <w:ind w:right="580" w:firstLine="749"/>
        <w:spacing w:after="0" w:line="204" w:lineRule="exact"/>
        <w:rPr>
          <w:sz w:val="20"/>
          <w:szCs w:val="20"/>
          <w:color w:val="auto"/>
        </w:rPr>
      </w:pPr>
      <w:r>
        <w:rPr>
          <w:rFonts w:ascii="Arial" w:cs="Arial" w:eastAsia="Arial" w:hAnsi="Arial"/>
          <w:sz w:val="16"/>
          <w:szCs w:val="16"/>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6"/>
          <w:szCs w:val="16"/>
          <w:color w:val="auto"/>
        </w:rPr>
        <w:t>‑</w:t>
      </w:r>
      <w:r>
        <w:rPr>
          <w:rFonts w:ascii="Arial" w:cs="Arial" w:eastAsia="Arial" w:hAnsi="Arial"/>
          <w:sz w:val="16"/>
          <w:szCs w:val="16"/>
          <w:color w:val="auto"/>
        </w:rPr>
        <w:t>consuming, expensive, and uncertain process that takes years to complete. We will need to raise additional capital to:</w:t>
      </w:r>
    </w:p>
    <w:p>
      <w:pPr>
        <w:spacing w:after="0" w:line="214" w:lineRule="exact"/>
        <w:rPr>
          <w:sz w:val="20"/>
          <w:szCs w:val="20"/>
          <w:color w:val="auto"/>
        </w:rPr>
      </w:pPr>
    </w:p>
    <w:p>
      <w:pPr>
        <w:ind w:left="700" w:right="380"/>
        <w:spacing w:after="0" w:line="293" w:lineRule="auto"/>
        <w:rPr>
          <w:sz w:val="20"/>
          <w:szCs w:val="20"/>
          <w:color w:val="auto"/>
        </w:rPr>
      </w:pPr>
      <w:r>
        <w:rPr>
          <w:rFonts w:ascii="Arial" w:cs="Arial" w:eastAsia="Arial" w:hAnsi="Arial"/>
          <w:sz w:val="16"/>
          <w:szCs w:val="16"/>
          <w:color w:val="auto"/>
        </w:rPr>
        <w:t>fund our future clinical trials for our current product candidates, especially if we encounter any unforeseen delays or difficulties in our planned development activities;</w:t>
      </w:r>
    </w:p>
    <w:p>
      <w:pPr>
        <w:spacing w:after="0" w:line="172"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72"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qualify and outsource the commercial</w:t>
      </w:r>
      <w:r>
        <w:rPr>
          <w:rFonts w:ascii="MS PGothic" w:cs="MS PGothic" w:eastAsia="MS PGothic" w:hAnsi="MS PGothic"/>
          <w:sz w:val="16"/>
          <w:szCs w:val="16"/>
          <w:color w:val="auto"/>
        </w:rPr>
        <w:t>‑</w:t>
      </w:r>
      <w:r>
        <w:rPr>
          <w:rFonts w:ascii="Arial" w:cs="Arial" w:eastAsia="Arial" w:hAnsi="Arial"/>
          <w:sz w:val="16"/>
          <w:szCs w:val="16"/>
          <w:color w:val="auto"/>
        </w:rPr>
        <w:t>scale manufacturing of our products under current good manufacturing practices, or cGMP;</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develop additional product candidates; and</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license other product candidates.</w:t>
      </w:r>
    </w:p>
    <w:p>
      <w:pPr>
        <w:spacing w:after="0" w:line="235"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We believe our current cash available cash, along with the remaining committed capital from the $300 million term loan facility, is sufficient to fund anticipated operations, based on the current operating plan, which includes costs for the potential commercial launch of AXS-05 in MDD and AXS-07 in migraine, into at least 2024.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rate of progress and costs related to the development of our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costs associated with conducting additional clinical and non-clinical studies with any of our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potential for delays in our efforts to seek regulatory approval for our product candidates, and any costs associated with such delays;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costs of establishing a commercial organization to sell, market, and distribute our product candidates;</w:t>
      </w: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9" w:name="page40"/>
    <w:bookmarkEnd w:id="3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right="40"/>
        <w:spacing w:after="0" w:line="204" w:lineRule="exact"/>
        <w:rPr>
          <w:sz w:val="20"/>
          <w:szCs w:val="20"/>
          <w:color w:val="auto"/>
        </w:rPr>
      </w:pPr>
      <w:r>
        <w:rPr>
          <w:rFonts w:ascii="Arial" w:cs="Arial" w:eastAsia="Arial" w:hAnsi="Arial"/>
          <w:sz w:val="14"/>
          <w:szCs w:val="14"/>
          <w:color w:val="auto"/>
        </w:rPr>
        <w:t>the rate of progress and costs of our efforts to prepare for the submission of a new drug application, or NDA, for any product candidates that we may in</w:t>
      </w:r>
      <w:r>
        <w:rPr>
          <w:rFonts w:ascii="MS PGothic" w:cs="MS PGothic" w:eastAsia="MS PGothic" w:hAnsi="MS PGothic"/>
          <w:sz w:val="14"/>
          <w:szCs w:val="14"/>
          <w:color w:val="auto"/>
        </w:rPr>
        <w:t>‑</w:t>
      </w:r>
      <w:r>
        <w:rPr>
          <w:rFonts w:ascii="Arial" w:cs="Arial" w:eastAsia="Arial" w:hAnsi="Arial"/>
          <w:sz w:val="14"/>
          <w:szCs w:val="14"/>
          <w:color w:val="auto"/>
        </w:rPr>
        <w:t>license or acquire in the future, and the potential that we may need to conduct additional clinical or preclinical trials to support applications for regulatory approval;</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costs of filing, prosecuting, defending, and enforcing any patent claims and other intellectual property rights associated with our product candidates;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cost and timing of manufacturing, or having third parties manufacture, sufficient supplies of our product candidates in preparation for commercialization;</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effect of competing technological and market developments;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revenue, if any, received from commercial sales of our product candidates, subject to the receipt of regulatory approval;</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success of the commercialization of any of our current or future product candidates.</w:t>
      </w:r>
    </w:p>
    <w:p>
      <w:pPr>
        <w:spacing w:after="0" w:line="235"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90" w:lineRule="exact"/>
        <w:rPr>
          <w:sz w:val="20"/>
          <w:szCs w:val="20"/>
          <w:color w:val="auto"/>
        </w:rPr>
      </w:pPr>
    </w:p>
    <w:p>
      <w:pPr>
        <w:ind w:right="100"/>
        <w:spacing w:after="0" w:line="369" w:lineRule="auto"/>
        <w:rPr>
          <w:sz w:val="20"/>
          <w:szCs w:val="20"/>
          <w:color w:val="auto"/>
        </w:rPr>
      </w:pPr>
      <w:r>
        <w:rPr>
          <w:rFonts w:ascii="Arial" w:cs="Arial" w:eastAsia="Arial" w:hAnsi="Arial"/>
          <w:sz w:val="14"/>
          <w:szCs w:val="14"/>
          <w:b w:val="1"/>
          <w:bCs w:val="1"/>
          <w:i w:val="1"/>
          <w:iCs w:val="1"/>
          <w:color w:val="auto"/>
        </w:rPr>
        <w:t>Our operating activities may be restricted as a result of covenants related to the outstanding indebtedness under our loan and security agreement with Hercules and we may be required to repay the outstanding indebtedness in an event of default, which could have a materially adverse effect on our business.</w:t>
      </w:r>
    </w:p>
    <w:p>
      <w:pPr>
        <w:spacing w:after="0" w:line="126"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In September 2020, we entered into a Loan and Security Agreement, or the Loan Agreement, for a term loan of up to $225.0 million, which we refer to as the 2020 Term Loan, with Hercules Capital, Inc., or Hercules, in its capacity as administrative agent and collateral agent and as a lender, and the other financial institutions that from time to time become parties to the Loan Agreement, collectively referred to as the Lenders, secured by a lien on substantially all of our assets, including intellectual property. The Loan and Agreement contains various covenants that limit our ability to engage in specified types of transactions. These covenants limit our ability to, among other things, sell, transfer, lease or dispose of certain assets; incur indebtedness; encumber or permit liens on certain assets; make certain investments; make certain restricted payments, including paying dividends on, or repurchasing or making distributions with respect to, our common stock; and enter into certain transactions with affiliates. Our business may be adversely affected by these restrictions on our ability to operate our business.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0" w:name="page41"/>
    <w:bookmarkEnd w:id="4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85" w:lineRule="auto"/>
        <w:rPr>
          <w:sz w:val="20"/>
          <w:szCs w:val="20"/>
          <w:color w:val="auto"/>
        </w:rPr>
      </w:pPr>
      <w:r>
        <w:rPr>
          <w:rFonts w:ascii="Arial" w:cs="Arial" w:eastAsia="Arial" w:hAnsi="Arial"/>
          <w:sz w:val="15"/>
          <w:szCs w:val="15"/>
          <w:color w:val="auto"/>
        </w:rPr>
        <w:t>The covenants also include, to the extent the principal amount of the advances under the Loan Agreement equals or exceeds $55.0 million, maintaining cash in an account or accounts in which the Lenders have a first priority security interest, in an aggregate amount greater than or equal to $15.0 million, plus the amount of our accounts payable under U.S generally accepted accounting principles not paid after the 180th day following the invoice for such account payable, which we refer to as the Qualified Cash A/P Account. Further, effective upon the later of (i) the last calendar month of the calendar quarter that is twelve months following the earlier of (x) the date of approval of our NDA for our AXS-05 product candidate for the treatment of major depressive disorder reasonably satisfactory to the Lenders, and (y) the date of approval of our NDA for our AXS-07 product candidate for the treatment of migraine, or (ii) the date on which the outstanding principal amount of the term loan advances under the Loan Agreement is equal to or greater than $65.0 million, we are obligated to (A) ensure that at all times our market capitalization exceeds $2.0 billion, and that we maintain cash in an account in which the Lenders have a first priority security interest in an amount not less than 65% of the sum of the outstanding principal amount of the term loan advances plus the Qualified Cash A/P Amount, (B) ensure that at all times that we maintain cash in an account in which the Lenders have a first priority security interest in an amount not less than 100% of the sum of the outstanding principal amount of the term loan advances plus the Qualified Cash A/P Amount, or (C) achieve at least 60% of the net product revenue per the board of directors approved forecast solely from the sale of AXS-05 and AXS-07 (which may include royalty, profit sharing, or sales-based milestone revenue recognized in accordance with GAAP, but will not include any upfront or non-sales-based milestone payments under business development or licensing transactions), measured on a trailing six-month basis as of the date of our most recent quarterly financial statement, included in the projections we delivered to Hercules on September 9, 2020, as updated from time to time, determined on a quarterly basis.</w:t>
      </w:r>
    </w:p>
    <w:p>
      <w:pPr>
        <w:spacing w:after="0" w:line="183" w:lineRule="exact"/>
        <w:rPr>
          <w:sz w:val="20"/>
          <w:szCs w:val="20"/>
          <w:color w:val="auto"/>
        </w:rPr>
      </w:pPr>
    </w:p>
    <w:p>
      <w:pPr>
        <w:ind w:right="180" w:firstLine="749"/>
        <w:spacing w:after="0" w:line="335" w:lineRule="auto"/>
        <w:rPr>
          <w:sz w:val="20"/>
          <w:szCs w:val="20"/>
          <w:color w:val="auto"/>
        </w:rPr>
      </w:pPr>
      <w:r>
        <w:rPr>
          <w:rFonts w:ascii="Arial" w:cs="Arial" w:eastAsia="Arial" w:hAnsi="Arial"/>
          <w:sz w:val="14"/>
          <w:szCs w:val="14"/>
          <w:color w:val="auto"/>
        </w:rPr>
        <w:t>A breach of any of the covenants under the Loan Agreement could result in a default under the 2020 Term Loan. Upon the occurrence of an event of default under the 2020 Term Loan, the Lenders could elect to declare all amounts outstanding, if any, to be immediately due and payable and terminate all commitments to extend further credit. If there are any amounts outstanding that we are unable to repay, the Lenders could proceed against the collateral granted to it to secure such indebtedness.</w:t>
      </w:r>
    </w:p>
    <w:p>
      <w:pPr>
        <w:spacing w:after="0" w:line="14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a limited operating history and no history of commercializing products, which may make it difficult to evaluate our business and prospects.</w:t>
      </w:r>
    </w:p>
    <w:p>
      <w:pPr>
        <w:spacing w:after="0" w:line="233" w:lineRule="exact"/>
        <w:rPr>
          <w:sz w:val="20"/>
          <w:szCs w:val="20"/>
          <w:color w:val="auto"/>
        </w:rPr>
      </w:pPr>
    </w:p>
    <w:p>
      <w:pPr>
        <w:ind w:right="100" w:firstLine="749"/>
        <w:spacing w:after="0" w:line="272" w:lineRule="auto"/>
        <w:rPr>
          <w:sz w:val="20"/>
          <w:szCs w:val="20"/>
          <w:color w:val="auto"/>
        </w:rPr>
      </w:pPr>
      <w:r>
        <w:rPr>
          <w:rFonts w:ascii="Arial" w:cs="Arial" w:eastAsia="Arial" w:hAnsi="Arial"/>
          <w:sz w:val="15"/>
          <w:szCs w:val="15"/>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AND THE DEVELOPMENT OF OUR PRODUCT CANDIDATES</w:t>
      </w:r>
    </w:p>
    <w:p>
      <w:pPr>
        <w:spacing w:after="0" w:line="225" w:lineRule="exact"/>
        <w:rPr>
          <w:sz w:val="20"/>
          <w:szCs w:val="20"/>
          <w:color w:val="auto"/>
        </w:rPr>
      </w:pPr>
    </w:p>
    <w:p>
      <w:pPr>
        <w:ind w:right="520"/>
        <w:spacing w:after="0" w:line="275" w:lineRule="auto"/>
        <w:rPr>
          <w:sz w:val="20"/>
          <w:szCs w:val="20"/>
          <w:color w:val="auto"/>
        </w:rPr>
      </w:pPr>
      <w:r>
        <w:rPr>
          <w:rFonts w:ascii="Arial" w:cs="Arial" w:eastAsia="Arial" w:hAnsi="Arial"/>
          <w:sz w:val="16"/>
          <w:szCs w:val="16"/>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72" w:lineRule="exact"/>
        <w:rPr>
          <w:sz w:val="20"/>
          <w:szCs w:val="20"/>
          <w:color w:val="auto"/>
        </w:rPr>
      </w:pPr>
    </w:p>
    <w:p>
      <w:pPr>
        <w:ind w:right="120" w:firstLine="749"/>
        <w:spacing w:after="0" w:line="268" w:lineRule="auto"/>
        <w:rPr>
          <w:sz w:val="20"/>
          <w:szCs w:val="20"/>
          <w:color w:val="auto"/>
        </w:rPr>
      </w:pPr>
      <w:r>
        <w:rPr>
          <w:rFonts w:ascii="Arial" w:cs="Arial" w:eastAsia="Arial" w:hAnsi="Arial"/>
          <w:sz w:val="15"/>
          <w:szCs w:val="15"/>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84" w:lineRule="exact"/>
        <w:rPr>
          <w:sz w:val="20"/>
          <w:szCs w:val="20"/>
          <w:color w:val="auto"/>
        </w:rPr>
      </w:pPr>
    </w:p>
    <w:p>
      <w:pPr>
        <w:ind w:firstLine="749"/>
        <w:spacing w:after="0" w:line="256"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A Phase 3 trial with AXS-05 in AD agitation is ongoing and a Phase 3 trial with AXS-12 in narcolepsy was initiated in the third quarter of 2021. As a result of one or more risks discussed in this section, we cannot assure you that we will meet projected timelines related to these trials.</w:t>
      </w:r>
    </w:p>
    <w:p>
      <w:pPr>
        <w:spacing w:after="0" w:line="187" w:lineRule="exact"/>
        <w:rPr>
          <w:sz w:val="20"/>
          <w:szCs w:val="20"/>
          <w:color w:val="auto"/>
        </w:rPr>
      </w:pPr>
    </w:p>
    <w:p>
      <w:pPr>
        <w:ind w:right="40" w:firstLine="749"/>
        <w:spacing w:after="0" w:line="269" w:lineRule="auto"/>
        <w:rPr>
          <w:sz w:val="20"/>
          <w:szCs w:val="20"/>
          <w:color w:val="auto"/>
        </w:rPr>
      </w:pPr>
      <w:r>
        <w:rPr>
          <w:rFonts w:ascii="Arial" w:cs="Arial" w:eastAsia="Arial" w:hAnsi="Arial"/>
          <w:sz w:val="15"/>
          <w:szCs w:val="15"/>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1" w:name="page42"/>
    <w:bookmarkEnd w:id="4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20" w:firstLine="749"/>
        <w:spacing w:after="0" w:line="261" w:lineRule="auto"/>
        <w:rPr>
          <w:sz w:val="20"/>
          <w:szCs w:val="20"/>
          <w:color w:val="auto"/>
        </w:rPr>
      </w:pPr>
      <w:r>
        <w:rPr>
          <w:rFonts w:ascii="Arial" w:cs="Arial" w:eastAsia="Arial" w:hAnsi="Arial"/>
          <w:sz w:val="16"/>
          <w:szCs w:val="16"/>
          <w:color w:val="auto"/>
        </w:rPr>
        <w:t>Although we submitted an NDA to the FDA for AXS-05 for the treatment of MDD and for AXS-07 for the acute treatment of migraine, 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w:t>
      </w:r>
    </w:p>
    <w:p>
      <w:pPr>
        <w:spacing w:after="0" w:line="183" w:lineRule="exact"/>
        <w:rPr>
          <w:sz w:val="20"/>
          <w:szCs w:val="20"/>
          <w:color w:val="auto"/>
        </w:rPr>
      </w:pPr>
    </w:p>
    <w:p>
      <w:pPr>
        <w:ind w:right="20" w:firstLine="749"/>
        <w:spacing w:after="0" w:line="252"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We conducted one interim analysis for the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9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approved for marketing by applicable regulatory authorities, our ability to generate revenues from our product candidates depend on our ability to:</w:t>
      </w:r>
    </w:p>
    <w:p>
      <w:pPr>
        <w:spacing w:after="0" w:line="235"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create market demand for our product candidates through our own marketing and sales activities, and any other arrangements to promote these product candidates that we may otherwise establish;</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receive regulatory approval for claims that are necessary or desirable for successful marketing;</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hire, train, and deploy a sales force to commercialize our product candidates;</w:t>
      </w:r>
    </w:p>
    <w:p>
      <w:pPr>
        <w:spacing w:after="0" w:line="235" w:lineRule="exact"/>
        <w:rPr>
          <w:sz w:val="20"/>
          <w:szCs w:val="20"/>
          <w:color w:val="auto"/>
        </w:rPr>
      </w:pPr>
    </w:p>
    <w:p>
      <w:pPr>
        <w:ind w:left="700" w:right="420"/>
        <w:spacing w:after="0" w:line="293" w:lineRule="auto"/>
        <w:rPr>
          <w:sz w:val="20"/>
          <w:szCs w:val="20"/>
          <w:color w:val="auto"/>
        </w:rPr>
      </w:pPr>
      <w:r>
        <w:rPr>
          <w:rFonts w:ascii="Arial" w:cs="Arial" w:eastAsia="Arial" w:hAnsi="Arial"/>
          <w:sz w:val="16"/>
          <w:szCs w:val="16"/>
          <w:color w:val="auto"/>
        </w:rPr>
        <w:t>manufacture (or have manufactured by third parties) our product candidates in sufficient quantities and at acceptable quality and manufacturing cost to meet commercial demand at launch and thereafter;</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establish and maintain agreements with wholesalers, distributors, and group purchasing organizations on commercially reasonable terms;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create partnerships with, or offer licenses to, third parties to promote and sell our product candidates in foreign markets where we receive marketing approval:</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maintain patent and trade secret protection and regulatory exclusivity for our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launch commercial sales of our product candidates, whether alone or in collaboration with others;</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achieve market acceptance of our product candidates by patients, the medical community, and government and private third</w:t>
      </w:r>
      <w:r>
        <w:rPr>
          <w:rFonts w:ascii="MS PGothic" w:cs="MS PGothic" w:eastAsia="MS PGothic" w:hAnsi="MS PGothic"/>
          <w:sz w:val="16"/>
          <w:szCs w:val="16"/>
          <w:color w:val="auto"/>
        </w:rPr>
        <w:t>‑</w:t>
      </w:r>
      <w:r>
        <w:rPr>
          <w:rFonts w:ascii="Arial" w:cs="Arial" w:eastAsia="Arial" w:hAnsi="Arial"/>
          <w:sz w:val="16"/>
          <w:szCs w:val="16"/>
          <w:color w:val="auto"/>
        </w:rPr>
        <w:t>party payors;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achieve appropriate reimbursement for our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effectively compete with other therapies;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maintain a continued acceptable safety profile of our product candidates following launch.</w:t>
      </w:r>
    </w:p>
    <w:p>
      <w:pPr>
        <w:spacing w:after="0" w:line="235"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72" w:lineRule="exact"/>
        <w:rPr>
          <w:sz w:val="20"/>
          <w:szCs w:val="20"/>
          <w:color w:val="auto"/>
        </w:rPr>
      </w:pPr>
    </w:p>
    <w:p>
      <w:pPr>
        <w:ind w:firstLine="749"/>
        <w:spacing w:after="0" w:line="308" w:lineRule="auto"/>
        <w:rPr>
          <w:sz w:val="20"/>
          <w:szCs w:val="20"/>
          <w:color w:val="auto"/>
        </w:rPr>
      </w:pPr>
      <w:r>
        <w:rPr>
          <w:rFonts w:ascii="Arial" w:cs="Arial" w:eastAsia="Arial" w:hAnsi="Arial"/>
          <w:sz w:val="14"/>
          <w:szCs w:val="14"/>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2" w:name="page43"/>
    <w:bookmarkEnd w:id="4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2"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AXS-05 for the treatment of depression, agitation associated with AD, and smoking cessation, AXS-07 for the acute treatment of migraine, AXS-12 for the treatment of narcolepsy and AXS-14 for the treatment of fibromyalgia.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AXS-05, as well as two product candidates that are not currently in active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79" w:lineRule="exact"/>
        <w:rPr>
          <w:sz w:val="20"/>
          <w:szCs w:val="20"/>
          <w:color w:val="auto"/>
        </w:rPr>
      </w:pPr>
    </w:p>
    <w:p>
      <w:pPr>
        <w:ind w:right="540"/>
        <w:spacing w:after="0" w:line="293" w:lineRule="auto"/>
        <w:rPr>
          <w:sz w:val="20"/>
          <w:szCs w:val="20"/>
          <w:color w:val="auto"/>
        </w:rPr>
      </w:pPr>
      <w:r>
        <w:rPr>
          <w:rFonts w:ascii="Arial" w:cs="Arial" w:eastAsia="Arial" w:hAnsi="Arial"/>
          <w:sz w:val="16"/>
          <w:szCs w:val="16"/>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72" w:lineRule="exact"/>
        <w:rPr>
          <w:sz w:val="20"/>
          <w:szCs w:val="20"/>
          <w:color w:val="auto"/>
        </w:rPr>
      </w:pPr>
    </w:p>
    <w:p>
      <w:pPr>
        <w:ind w:right="260" w:firstLine="749"/>
        <w:spacing w:after="0" w:line="328" w:lineRule="auto"/>
        <w:rPr>
          <w:sz w:val="20"/>
          <w:szCs w:val="20"/>
          <w:color w:val="auto"/>
        </w:rPr>
      </w:pPr>
      <w:r>
        <w:rPr>
          <w:rFonts w:ascii="Arial" w:cs="Arial" w:eastAsia="Arial" w:hAnsi="Arial"/>
          <w:sz w:val="15"/>
          <w:szCs w:val="15"/>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difficulty or inability to secure financing to fund business activities for such development;</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disruption of our business and diversion of our management’s time and attention;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higher than expected development costs;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exposure to unknown liabilities;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difficulty in managing multiple product development programs;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inability to successfully develop new products or clinical failure.</w:t>
      </w:r>
    </w:p>
    <w:p>
      <w:pPr>
        <w:spacing w:after="0" w:line="235"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89" w:lineRule="exact"/>
        <w:rPr>
          <w:sz w:val="20"/>
          <w:szCs w:val="20"/>
          <w:color w:val="auto"/>
        </w:rPr>
      </w:pPr>
    </w:p>
    <w:p>
      <w:pPr>
        <w:ind w:right="140"/>
        <w:spacing w:after="0" w:line="305" w:lineRule="auto"/>
        <w:rPr>
          <w:sz w:val="20"/>
          <w:szCs w:val="20"/>
          <w:color w:val="auto"/>
        </w:rPr>
      </w:pPr>
      <w:r>
        <w:rPr>
          <w:rFonts w:ascii="Arial" w:cs="Arial" w:eastAsia="Arial" w:hAnsi="Arial"/>
          <w:sz w:val="15"/>
          <w:szCs w:val="15"/>
          <w:b w:val="1"/>
          <w:bCs w:val="1"/>
          <w:i w:val="1"/>
          <w:iCs w:val="1"/>
          <w:color w:val="auto"/>
        </w:rPr>
        <w:t>If safety and efficacy data for our product candidates, a reference drug, or published literature does not satisfactorily demonstrate safety and efficacy to the FDA, or if the FDA and other regulators do not permit us to rely on the data of a reference drug or published literature, we may incur additional costs or experience delays in completing, or ultimately be unable to complete, the development and commercialization of our product candidates.</w:t>
      </w:r>
    </w:p>
    <w:p>
      <w:pPr>
        <w:spacing w:after="0" w:line="166"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are not permitted to commercialize, market, promote, or sell any product candidate in the United States without obtaining marketing approval from the FDA.</w:t>
      </w:r>
    </w:p>
    <w:p>
      <w:pPr>
        <w:spacing w:after="0" w:line="45" w:lineRule="exact"/>
        <w:rPr>
          <w:sz w:val="20"/>
          <w:szCs w:val="20"/>
          <w:color w:val="auto"/>
        </w:rPr>
      </w:pPr>
    </w:p>
    <w:p>
      <w:pPr>
        <w:spacing w:after="0"/>
        <w:rPr>
          <w:sz w:val="20"/>
          <w:szCs w:val="20"/>
          <w:color w:val="auto"/>
        </w:rPr>
      </w:pPr>
      <w:r>
        <w:rPr>
          <w:rFonts w:ascii="Arial" w:cs="Arial" w:eastAsia="Arial" w:hAnsi="Arial"/>
          <w:sz w:val="16"/>
          <w:szCs w:val="16"/>
          <w:color w:val="auto"/>
        </w:rPr>
        <w:t>Comparable foreign regulatory authorities, such as the European Medicines Agency, or EMA, impose similar restrictions.</w:t>
      </w:r>
    </w:p>
    <w:p>
      <w:pPr>
        <w:spacing w:after="0" w:line="231" w:lineRule="exact"/>
        <w:rPr>
          <w:sz w:val="20"/>
          <w:szCs w:val="20"/>
          <w:color w:val="auto"/>
        </w:rPr>
      </w:pPr>
    </w:p>
    <w:p>
      <w:pPr>
        <w:ind w:right="120" w:firstLine="749"/>
        <w:spacing w:after="0" w:line="271" w:lineRule="auto"/>
        <w:rPr>
          <w:sz w:val="20"/>
          <w:szCs w:val="20"/>
          <w:color w:val="auto"/>
        </w:rPr>
      </w:pPr>
      <w:r>
        <w:rPr>
          <w:rFonts w:ascii="Arial" w:cs="Arial" w:eastAsia="Arial" w:hAnsi="Arial"/>
          <w:sz w:val="16"/>
          <w:szCs w:val="16"/>
          <w:color w:val="auto"/>
        </w:rPr>
        <w:t>In the United States, we currently plan to, at least initially, seek approval of most of our product candidates using the 505(b)(2) pathway, with the exception of AXS-12 and AXS-14.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3" w:name="page44"/>
    <w:bookmarkEnd w:id="4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60" w:firstLine="749"/>
        <w:spacing w:after="0" w:line="204" w:lineRule="exact"/>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505(b)(2) 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6"/>
          <w:szCs w:val="16"/>
          <w:color w:val="auto"/>
        </w:rPr>
        <w:t>‑</w:t>
      </w:r>
      <w:r>
        <w:rPr>
          <w:rFonts w:ascii="Arial" w:cs="Arial" w:eastAsia="Arial" w:hAnsi="Arial"/>
          <w:sz w:val="16"/>
          <w:szCs w:val="16"/>
          <w:color w:val="auto"/>
        </w:rPr>
        <w:t>wide warnings. For instance, antidepressants, including bupropion, include a class</w:t>
      </w:r>
      <w:r>
        <w:rPr>
          <w:rFonts w:ascii="MS PGothic" w:cs="MS PGothic" w:eastAsia="MS PGothic" w:hAnsi="MS PGothic"/>
          <w:sz w:val="16"/>
          <w:szCs w:val="16"/>
          <w:color w:val="auto"/>
        </w:rPr>
        <w:t>‑</w:t>
      </w:r>
      <w:r>
        <w:rPr>
          <w:rFonts w:ascii="Arial" w:cs="Arial" w:eastAsia="Arial" w:hAnsi="Arial"/>
          <w:sz w:val="16"/>
          <w:szCs w:val="16"/>
          <w:color w:val="auto"/>
        </w:rPr>
        <w:t>wide black box warning regarding the increased risk of suicidal thoughts and behavior.</w:t>
      </w:r>
    </w:p>
    <w:p>
      <w:pPr>
        <w:spacing w:after="0" w:line="213" w:lineRule="exact"/>
        <w:rPr>
          <w:sz w:val="20"/>
          <w:szCs w:val="20"/>
          <w:color w:val="auto"/>
        </w:rPr>
      </w:pPr>
    </w:p>
    <w:p>
      <w:pPr>
        <w:ind w:right="100" w:firstLine="749"/>
        <w:spacing w:after="0" w:line="203"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QT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 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Aplenzin, Forfivo, Zyban, Contrave, and Nuedexta.</w:t>
      </w:r>
    </w:p>
    <w:p>
      <w:pPr>
        <w:spacing w:after="0" w:line="217"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Based on the side effects disclosed in FDA product labeling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w:t>
      </w:r>
      <w:r>
        <w:rPr>
          <w:rFonts w:ascii="MS PGothic" w:cs="MS PGothic" w:eastAsia="MS PGothic" w:hAnsi="MS PGothic"/>
          <w:sz w:val="16"/>
          <w:szCs w:val="16"/>
          <w:color w:val="auto"/>
        </w:rPr>
        <w:t>‑</w:t>
      </w:r>
      <w:r>
        <w:rPr>
          <w:rFonts w:ascii="Arial" w:cs="Arial" w:eastAsia="Arial" w:hAnsi="Arial"/>
          <w:sz w:val="16"/>
          <w:szCs w:val="16"/>
          <w:color w:val="auto"/>
        </w:rPr>
        <w:t>containing or rizatriptan-containing products including Anjeso, Vivlodex, Mobic, and Maxalt.</w:t>
      </w:r>
    </w:p>
    <w:p>
      <w:pPr>
        <w:spacing w:after="0" w:line="217" w:lineRule="exact"/>
        <w:rPr>
          <w:sz w:val="20"/>
          <w:szCs w:val="20"/>
          <w:color w:val="auto"/>
        </w:rPr>
      </w:pPr>
    </w:p>
    <w:p>
      <w:pPr>
        <w:ind w:right="40" w:firstLine="749"/>
        <w:spacing w:after="0" w:line="271" w:lineRule="auto"/>
        <w:rPr>
          <w:sz w:val="20"/>
          <w:szCs w:val="20"/>
          <w:color w:val="auto"/>
        </w:rPr>
      </w:pPr>
      <w:r>
        <w:rPr>
          <w:rFonts w:ascii="Arial" w:cs="Arial" w:eastAsia="Arial" w:hAnsi="Arial"/>
          <w:sz w:val="16"/>
          <w:szCs w:val="16"/>
          <w:color w:val="auto"/>
        </w:rPr>
        <w:t>Based on the side effects disclosed in EMA required product label for marketed drugs that contain the same active molecule as our product candidate, AXS-12 and AXS-14 may result in decreased appetite, insomnia, agitation, anxiety, dizziness, headache, paresthesia,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90"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In addition, because we plan to file certain product candidates under an NDA submitted pursuant to 505(b)(2), we will rely, at least in part, upon a reference drug and published literature. For example, we intend to rely on data collected in certain investigator initiated Phase 2 clinical trials and other third-party studies in the published literature as well as FDA findings of safety and efficacy for approved drug products containing the same active molecules in AXS-05 and AXS-07. If the FDA disagrees with our conclusions regarding the appropriateness of our reliance on a reference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 consuming 505(b)(1) approval process, which consists of full reports of investigations of safety and effectiveness conducted by or for the applicant. In addition, because we have submitted an NDA for AXS-05 and plan to submit NDAs for AXS-07 pursuant to the 505(b)(2) process, we have not conducted certain additional clinical trials for these product candidates and, as such, we will have less experience with actual testing of the product candidate.</w:t>
      </w:r>
    </w:p>
    <w:p>
      <w:pPr>
        <w:spacing w:after="0" w:line="182"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90" w:lineRule="exact"/>
        <w:rPr>
          <w:sz w:val="20"/>
          <w:szCs w:val="20"/>
          <w:color w:val="auto"/>
        </w:rPr>
      </w:pPr>
    </w:p>
    <w:p>
      <w:pPr>
        <w:ind w:right="120" w:firstLine="749"/>
        <w:spacing w:after="0" w:line="271" w:lineRule="auto"/>
        <w:rPr>
          <w:sz w:val="20"/>
          <w:szCs w:val="20"/>
          <w:color w:val="auto"/>
        </w:rPr>
      </w:pPr>
      <w:r>
        <w:rPr>
          <w:rFonts w:ascii="Arial" w:cs="Arial" w:eastAsia="Arial" w:hAnsi="Arial"/>
          <w:sz w:val="16"/>
          <w:szCs w:val="16"/>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4" w:name="page45"/>
    <w:bookmarkEnd w:id="4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217"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72"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Under the Hatch Waxman Act, the holder of patents listed in the Orange Book for NDAs that a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 time, automatic, 30 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82" w:lineRule="exact"/>
        <w:rPr>
          <w:sz w:val="20"/>
          <w:szCs w:val="20"/>
          <w:color w:val="auto"/>
        </w:rPr>
      </w:pPr>
    </w:p>
    <w:p>
      <w:pPr>
        <w:ind w:right="20" w:firstLine="749"/>
        <w:spacing w:after="0" w:line="287" w:lineRule="auto"/>
        <w:rPr>
          <w:sz w:val="20"/>
          <w:szCs w:val="20"/>
          <w:color w:val="auto"/>
        </w:rPr>
      </w:pPr>
      <w:r>
        <w:rPr>
          <w:rFonts w:ascii="Arial" w:cs="Arial" w:eastAsia="Arial" w:hAnsi="Arial"/>
          <w:sz w:val="15"/>
          <w:szCs w:val="15"/>
          <w:color w:val="auto"/>
        </w:rPr>
        <w:t>In practice, companies that produce branded reference listed drugs often bring patent litigation against applicants that seek regulatory approval to market generic or reformulated versions of their products. Litigation to enforce or defend intellectual property rights is often complex and often involves significant expense and can delay or prevent introduction or sale of our product candidates. If a court finds patents valid and infringed by our product candidates, we may be required to cease selling, relinquish or destroy existing stock, or pay monetary damages unless we can obtain a license from the patent holder. There may also be situations where we use our business judgment and decide to market and sell our approved products, notwithstanding the fact that allegations of patent infringement have not been finally resolved by the courts, an approach known as an “at 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78" w:lineRule="exact"/>
        <w:rPr>
          <w:sz w:val="20"/>
          <w:szCs w:val="20"/>
          <w:color w:val="auto"/>
        </w:rPr>
      </w:pPr>
    </w:p>
    <w:p>
      <w:pPr>
        <w:jc w:val="both"/>
        <w:ind w:right="320"/>
        <w:spacing w:after="0" w:line="278" w:lineRule="auto"/>
        <w:rPr>
          <w:sz w:val="20"/>
          <w:szCs w:val="20"/>
          <w:color w:val="auto"/>
        </w:rPr>
      </w:pPr>
      <w:r>
        <w:rPr>
          <w:rFonts w:ascii="Arial" w:cs="Arial" w:eastAsia="Arial" w:hAnsi="Arial"/>
          <w:sz w:val="16"/>
          <w:szCs w:val="16"/>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84" w:lineRule="exact"/>
        <w:rPr>
          <w:sz w:val="20"/>
          <w:szCs w:val="20"/>
          <w:color w:val="auto"/>
        </w:rPr>
      </w:pPr>
    </w:p>
    <w:p>
      <w:pPr>
        <w:ind w:right="60" w:firstLine="749"/>
        <w:spacing w:after="0" w:line="267" w:lineRule="auto"/>
        <w:rPr>
          <w:sz w:val="20"/>
          <w:szCs w:val="20"/>
          <w:color w:val="auto"/>
        </w:rPr>
      </w:pPr>
      <w:r>
        <w:rPr>
          <w:rFonts w:ascii="Arial" w:cs="Arial" w:eastAsia="Arial" w:hAnsi="Arial"/>
          <w:sz w:val="16"/>
          <w:szCs w:val="16"/>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and the availability and prioritization of regulatory agency resources.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Even though we have submitted two NDAs to the FDA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5" w:name="page46"/>
    <w:bookmarkEnd w:id="4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40" w:firstLine="749"/>
        <w:spacing w:after="0" w:line="203" w:lineRule="exact"/>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217" w:lineRule="exact"/>
        <w:rPr>
          <w:sz w:val="20"/>
          <w:szCs w:val="20"/>
          <w:color w:val="auto"/>
        </w:rPr>
      </w:pPr>
    </w:p>
    <w:p>
      <w:pPr>
        <w:ind w:right="100" w:firstLine="749"/>
        <w:spacing w:after="0" w:line="203" w:lineRule="exact"/>
        <w:rPr>
          <w:sz w:val="20"/>
          <w:szCs w:val="20"/>
          <w:color w:val="auto"/>
        </w:rPr>
      </w:pPr>
      <w:r>
        <w:rPr>
          <w:rFonts w:ascii="Arial" w:cs="Arial" w:eastAsia="Arial" w:hAnsi="Arial"/>
          <w:sz w:val="14"/>
          <w:szCs w:val="14"/>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4"/>
          <w:szCs w:val="14"/>
          <w:color w:val="auto"/>
        </w:rPr>
        <w:t>‑</w:t>
      </w:r>
      <w:r>
        <w:rPr>
          <w:rFonts w:ascii="Arial" w:cs="Arial" w:eastAsia="Arial" w:hAnsi="Arial"/>
          <w:sz w:val="14"/>
          <w:szCs w:val="14"/>
          <w:color w:val="auto"/>
        </w:rPr>
        <w:t>stage clinical trials. 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215" w:lineRule="exact"/>
        <w:rPr>
          <w:sz w:val="20"/>
          <w:szCs w:val="20"/>
          <w:color w:val="auto"/>
        </w:rPr>
      </w:pPr>
    </w:p>
    <w:p>
      <w:pPr>
        <w:ind w:firstLine="749"/>
        <w:spacing w:after="0" w:line="293" w:lineRule="auto"/>
        <w:rPr>
          <w:sz w:val="20"/>
          <w:szCs w:val="20"/>
          <w:color w:val="auto"/>
        </w:rPr>
      </w:pPr>
      <w:r>
        <w:rPr>
          <w:rFonts w:ascii="Arial" w:cs="Arial" w:eastAsia="Arial" w:hAnsi="Arial"/>
          <w:sz w:val="16"/>
          <w:szCs w:val="16"/>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72" w:lineRule="exact"/>
        <w:rPr>
          <w:sz w:val="20"/>
          <w:szCs w:val="20"/>
          <w:color w:val="auto"/>
        </w:rPr>
      </w:pPr>
    </w:p>
    <w:p>
      <w:pPr>
        <w:ind w:left="700" w:right="520"/>
        <w:spacing w:after="0" w:line="293" w:lineRule="auto"/>
        <w:rPr>
          <w:sz w:val="20"/>
          <w:szCs w:val="20"/>
          <w:color w:val="auto"/>
        </w:rPr>
      </w:pPr>
      <w:r>
        <w:rPr>
          <w:rFonts w:ascii="Arial" w:cs="Arial" w:eastAsia="Arial" w:hAnsi="Arial"/>
          <w:sz w:val="16"/>
          <w:szCs w:val="16"/>
          <w:color w:val="auto"/>
        </w:rPr>
        <w:t>regulators or IRBs may not authorize us or our investigators to commence a clinical trial or conduct a clinical trial at a prospective trial site or amend trial protocols;</w:t>
      </w:r>
    </w:p>
    <w:p>
      <w:pPr>
        <w:spacing w:after="0" w:line="172" w:lineRule="exact"/>
        <w:rPr>
          <w:sz w:val="20"/>
          <w:szCs w:val="20"/>
          <w:color w:val="auto"/>
        </w:rPr>
      </w:pPr>
    </w:p>
    <w:p>
      <w:pPr>
        <w:ind w:left="700" w:right="200"/>
        <w:spacing w:after="0" w:line="293" w:lineRule="auto"/>
        <w:rPr>
          <w:sz w:val="20"/>
          <w:szCs w:val="20"/>
          <w:color w:val="auto"/>
        </w:rPr>
      </w:pPr>
      <w:r>
        <w:rPr>
          <w:rFonts w:ascii="Arial" w:cs="Arial" w:eastAsia="Arial" w:hAnsi="Arial"/>
          <w:sz w:val="16"/>
          <w:szCs w:val="16"/>
          <w:color w:val="auto"/>
        </w:rPr>
        <w:t>we may experience delays in reaching, or fail to reach, agreement on acceptable clinical trial contracts or clinical trial protocols with prospective trial sites and our CROs;</w:t>
      </w:r>
    </w:p>
    <w:p>
      <w:pPr>
        <w:spacing w:after="0" w:line="172" w:lineRule="exact"/>
        <w:rPr>
          <w:sz w:val="20"/>
          <w:szCs w:val="20"/>
          <w:color w:val="auto"/>
        </w:rPr>
      </w:pPr>
    </w:p>
    <w:p>
      <w:pPr>
        <w:ind w:left="700" w:right="100"/>
        <w:spacing w:after="0" w:line="328" w:lineRule="auto"/>
        <w:rPr>
          <w:sz w:val="20"/>
          <w:szCs w:val="20"/>
          <w:color w:val="auto"/>
        </w:rPr>
      </w:pPr>
      <w:r>
        <w:rPr>
          <w:rFonts w:ascii="Arial" w:cs="Arial" w:eastAsia="Arial" w:hAnsi="Arial"/>
          <w:sz w:val="15"/>
          <w:szCs w:val="15"/>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50" w:lineRule="exact"/>
        <w:rPr>
          <w:sz w:val="20"/>
          <w:szCs w:val="20"/>
          <w:color w:val="auto"/>
        </w:rPr>
      </w:pPr>
    </w:p>
    <w:p>
      <w:pPr>
        <w:ind w:left="700" w:right="180"/>
        <w:spacing w:after="0" w:line="293" w:lineRule="auto"/>
        <w:rPr>
          <w:sz w:val="20"/>
          <w:szCs w:val="20"/>
          <w:color w:val="auto"/>
        </w:rPr>
      </w:pPr>
      <w:r>
        <w:rPr>
          <w:rFonts w:ascii="Arial" w:cs="Arial" w:eastAsia="Arial" w:hAnsi="Arial"/>
          <w:sz w:val="16"/>
          <w:szCs w:val="16"/>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72" w:lineRule="exact"/>
        <w:rPr>
          <w:sz w:val="20"/>
          <w:szCs w:val="20"/>
          <w:color w:val="auto"/>
        </w:rPr>
      </w:pPr>
    </w:p>
    <w:p>
      <w:pPr>
        <w:ind w:left="700"/>
        <w:spacing w:after="0" w:line="275" w:lineRule="auto"/>
        <w:rPr>
          <w:sz w:val="20"/>
          <w:szCs w:val="20"/>
          <w:color w:val="auto"/>
        </w:rPr>
      </w:pPr>
      <w:r>
        <w:rPr>
          <w:rFonts w:ascii="Arial" w:cs="Arial" w:eastAsia="Arial" w:hAnsi="Arial"/>
          <w:sz w:val="16"/>
          <w:szCs w:val="16"/>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2" w:lineRule="exact"/>
        <w:rPr>
          <w:sz w:val="20"/>
          <w:szCs w:val="20"/>
          <w:color w:val="auto"/>
        </w:rPr>
      </w:pPr>
    </w:p>
    <w:p>
      <w:pPr>
        <w:ind w:left="700" w:right="260"/>
        <w:spacing w:after="0" w:line="198" w:lineRule="exact"/>
        <w:rPr>
          <w:sz w:val="20"/>
          <w:szCs w:val="20"/>
          <w:color w:val="auto"/>
        </w:rPr>
      </w:pPr>
      <w:r>
        <w:rPr>
          <w:rFonts w:ascii="Arial" w:cs="Arial" w:eastAsia="Arial" w:hAnsi="Arial"/>
          <w:sz w:val="16"/>
          <w:szCs w:val="16"/>
          <w:color w:val="auto"/>
        </w:rPr>
        <w:t>our third</w:t>
      </w:r>
      <w:r>
        <w:rPr>
          <w:rFonts w:ascii="MS PGothic" w:cs="MS PGothic" w:eastAsia="MS PGothic" w:hAnsi="MS PGothic"/>
          <w:sz w:val="16"/>
          <w:szCs w:val="16"/>
          <w:color w:val="auto"/>
        </w:rPr>
        <w:t>‑</w:t>
      </w:r>
      <w:r>
        <w:rPr>
          <w:rFonts w:ascii="Arial" w:cs="Arial" w:eastAsia="Arial" w:hAnsi="Arial"/>
          <w:sz w:val="16"/>
          <w:szCs w:val="16"/>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200" w:lineRule="exact"/>
        <w:rPr>
          <w:sz w:val="20"/>
          <w:szCs w:val="20"/>
          <w:color w:val="auto"/>
        </w:rPr>
      </w:pPr>
    </w:p>
    <w:p>
      <w:pPr>
        <w:ind w:left="700" w:right="220"/>
        <w:spacing w:after="0" w:line="256" w:lineRule="auto"/>
        <w:rPr>
          <w:sz w:val="20"/>
          <w:szCs w:val="20"/>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in marketing approval policies during the development period rendering our data insufficient to obtain marketing approval;</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in or the enactment of additional statutes or regulations;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in regulatory review for each submitted product application;</w:t>
      </w:r>
    </w:p>
    <w:p>
      <w:pPr>
        <w:spacing w:after="0" w:line="221" w:lineRule="exact"/>
        <w:rPr>
          <w:sz w:val="20"/>
          <w:szCs w:val="20"/>
          <w:color w:val="auto"/>
        </w:rPr>
      </w:pPr>
    </w:p>
    <w:p>
      <w:pPr>
        <w:ind w:left="700" w:right="20"/>
        <w:spacing w:after="0" w:line="275" w:lineRule="auto"/>
        <w:rPr>
          <w:sz w:val="20"/>
          <w:szCs w:val="20"/>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4"/>
          <w:szCs w:val="14"/>
          <w:color w:val="auto"/>
        </w:rPr>
        <w:t>the supply or quality of our product candidates or other materials necessary to conduct clinical trials of our product candidates may be insufficient or inadequate;</w:t>
      </w: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46" w:name="page47"/>
    <w:bookmarkEnd w:id="4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right="20"/>
        <w:spacing w:after="0" w:line="250" w:lineRule="auto"/>
        <w:rPr>
          <w:sz w:val="20"/>
          <w:szCs w:val="20"/>
          <w:color w:val="auto"/>
        </w:rPr>
      </w:pPr>
      <w:r>
        <w:rPr>
          <w:rFonts w:ascii="Arial" w:cs="Arial" w:eastAsia="Arial" w:hAnsi="Arial"/>
          <w:sz w:val="16"/>
          <w:szCs w:val="16"/>
          <w:color w:val="auto"/>
        </w:rPr>
        <w:t>we may decide, or regulators may require us, to conduct additional clinical trials, analyses, reports, data, or preclinical/nonclinical studies than we currently plan, or we may abandon product development programs. For instance, although we believe that we are able to rely on the completed Phase 2 ASCEND trial and Phase 3 GEMINI trial in MDD to support an NDA for AXS-05 for the treatment of MDD; the Phase 3 MOMENTUM trial, conducted pursuant to a Special Protocol Assessment, or SPA, and the Phase 3 INTERCEPT trial to support an NDA for AXS-07 for the acute treatment of migraine; the Phase 3 ADVANCE trial and the ongoing ACCORD trial to support an NDA for AXS-05 for the treatment of AD agitation; and the completed Phase 2 trial and Phase 3 trial to support an NDA for AXS-14 for the management of fibromyalgia, the FDA could still require additional studies to support the approval of an NDA for these product candidates. Finally, for AXS-12, we are conducting a Phase 3 clinical trial in order to file an NDA for this product candidate. The outcome of our studies may further necessitate additional clinical or preclinical work;</w:t>
      </w:r>
    </w:p>
    <w:p>
      <w:pPr>
        <w:spacing w:after="0" w:line="19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may fail to reach an agreement with regulators regarding the scope or design of our clinical trials;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may have delays in adding new investigators or clinical trial sites, or we may experience a withdrawal of clinical trial sites;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may experience delays in our clinical trials due to the ongoing COVID-19 pandemic;</w:t>
      </w:r>
    </w:p>
    <w:p>
      <w:pPr>
        <w:spacing w:after="0" w:line="235" w:lineRule="exact"/>
        <w:rPr>
          <w:sz w:val="20"/>
          <w:szCs w:val="20"/>
          <w:color w:val="auto"/>
        </w:rPr>
      </w:pPr>
    </w:p>
    <w:p>
      <w:pPr>
        <w:ind w:left="700" w:right="160"/>
        <w:spacing w:after="0" w:line="328" w:lineRule="auto"/>
        <w:rPr>
          <w:sz w:val="20"/>
          <w:szCs w:val="20"/>
          <w:color w:val="auto"/>
        </w:rPr>
      </w:pPr>
      <w:r>
        <w:rPr>
          <w:rFonts w:ascii="Arial" w:cs="Arial" w:eastAsia="Arial" w:hAnsi="Arial"/>
          <w:sz w:val="15"/>
          <w:szCs w:val="15"/>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there may be regulatory questions regarding interpretations of data and results, or new information may emerge regarding our product candidates;</w:t>
      </w:r>
    </w:p>
    <w:p>
      <w:pPr>
        <w:spacing w:after="0" w:line="235" w:lineRule="exact"/>
        <w:rPr>
          <w:sz w:val="20"/>
          <w:szCs w:val="20"/>
          <w:color w:val="auto"/>
        </w:rPr>
      </w:pPr>
    </w:p>
    <w:p>
      <w:pPr>
        <w:ind w:left="700" w:right="60"/>
        <w:spacing w:after="0" w:line="271" w:lineRule="auto"/>
        <w:rPr>
          <w:sz w:val="20"/>
          <w:szCs w:val="20"/>
          <w:color w:val="auto"/>
        </w:rPr>
      </w:pPr>
      <w:r>
        <w:rPr>
          <w:rFonts w:ascii="Arial" w:cs="Arial" w:eastAsia="Arial" w:hAnsi="Arial"/>
          <w:sz w:val="16"/>
          <w:szCs w:val="16"/>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species and doses used in our preclinical studies, and the results of our preclinical studies;</w:t>
      </w:r>
    </w:p>
    <w:p>
      <w:pPr>
        <w:spacing w:after="0" w:line="190" w:lineRule="exact"/>
        <w:rPr>
          <w:sz w:val="20"/>
          <w:szCs w:val="20"/>
          <w:color w:val="auto"/>
        </w:rPr>
      </w:pPr>
    </w:p>
    <w:p>
      <w:pPr>
        <w:ind w:left="700"/>
        <w:spacing w:after="0" w:line="273" w:lineRule="auto"/>
        <w:rPr>
          <w:sz w:val="20"/>
          <w:szCs w:val="20"/>
          <w:color w:val="auto"/>
        </w:rPr>
      </w:pPr>
      <w:r>
        <w:rPr>
          <w:rFonts w:ascii="Arial" w:cs="Arial" w:eastAsia="Arial" w:hAnsi="Arial"/>
          <w:sz w:val="16"/>
          <w:szCs w:val="16"/>
          <w:color w:val="auto"/>
        </w:rPr>
        <w:t>the FDA or comparable foreign regulatory authorities may disagree with our belief that certain product attributes are advantageous or may require further study of product attributes that are different than our reference listed drugs.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FDA or comparable foreign regulatory authorities may not accept data from studies with clinical trial sites in foreign countries;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FDA or comparable foreign regulatory authorities may disagree with our intended indications;</w:t>
      </w:r>
    </w:p>
    <w:p>
      <w:pPr>
        <w:spacing w:after="0" w:line="235" w:lineRule="exact"/>
        <w:rPr>
          <w:sz w:val="20"/>
          <w:szCs w:val="20"/>
          <w:color w:val="auto"/>
        </w:rPr>
      </w:pPr>
    </w:p>
    <w:p>
      <w:pPr>
        <w:ind w:left="700" w:right="400"/>
        <w:spacing w:after="0" w:line="293" w:lineRule="auto"/>
        <w:rPr>
          <w:sz w:val="20"/>
          <w:szCs w:val="20"/>
          <w:color w:val="auto"/>
        </w:rPr>
      </w:pPr>
      <w:r>
        <w:rPr>
          <w:rFonts w:ascii="Arial" w:cs="Arial" w:eastAsia="Arial" w:hAnsi="Arial"/>
          <w:sz w:val="16"/>
          <w:szCs w:val="16"/>
          <w:color w:val="auto"/>
        </w:rPr>
        <w:t>the FDA or comparable foreign regulatory authorities may fail to approve or subsequently find fault with the manufacturing processes or our manufacturing facilities for clinical and future commercial supplies;</w:t>
      </w:r>
    </w:p>
    <w:p>
      <w:pPr>
        <w:spacing w:after="0" w:line="172" w:lineRule="exact"/>
        <w:rPr>
          <w:sz w:val="20"/>
          <w:szCs w:val="20"/>
          <w:color w:val="auto"/>
        </w:rPr>
      </w:pPr>
    </w:p>
    <w:p>
      <w:pPr>
        <w:ind w:left="700" w:right="180"/>
        <w:spacing w:after="0" w:line="293" w:lineRule="auto"/>
        <w:rPr>
          <w:sz w:val="20"/>
          <w:szCs w:val="20"/>
          <w:color w:val="auto"/>
        </w:rPr>
      </w:pPr>
      <w:r>
        <w:rPr>
          <w:rFonts w:ascii="Arial" w:cs="Arial" w:eastAsia="Arial" w:hAnsi="Arial"/>
          <w:sz w:val="16"/>
          <w:szCs w:val="16"/>
          <w:color w:val="auto"/>
        </w:rPr>
        <w:t>in connection with the chemistry, manufacturing, and controls (CMC) data necessary for our NDA filing and approval, we will need to conduct stability studies and provide stability data to establish appropriate retest or expiration dating period;</w:t>
      </w:r>
    </w:p>
    <w:p>
      <w:pPr>
        <w:spacing w:after="0" w:line="172" w:lineRule="exact"/>
        <w:rPr>
          <w:sz w:val="20"/>
          <w:szCs w:val="20"/>
          <w:color w:val="auto"/>
        </w:rPr>
      </w:pPr>
    </w:p>
    <w:p>
      <w:pPr>
        <w:ind w:left="700" w:right="120"/>
        <w:spacing w:after="0" w:line="273" w:lineRule="auto"/>
        <w:rPr>
          <w:sz w:val="20"/>
          <w:szCs w:val="20"/>
          <w:color w:val="auto"/>
        </w:rPr>
      </w:pPr>
      <w:r>
        <w:rPr>
          <w:rFonts w:ascii="Arial" w:cs="Arial" w:eastAsia="Arial" w:hAnsi="Arial"/>
          <w:sz w:val="16"/>
          <w:szCs w:val="16"/>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89" w:lineRule="exact"/>
        <w:rPr>
          <w:sz w:val="20"/>
          <w:szCs w:val="20"/>
          <w:color w:val="auto"/>
        </w:rPr>
      </w:pPr>
    </w:p>
    <w:p>
      <w:pPr>
        <w:ind w:left="700" w:right="100"/>
        <w:spacing w:after="0" w:line="310" w:lineRule="auto"/>
        <w:rPr>
          <w:sz w:val="20"/>
          <w:szCs w:val="20"/>
          <w:color w:val="auto"/>
        </w:rPr>
      </w:pPr>
      <w:r>
        <w:rPr>
          <w:rFonts w:ascii="Arial" w:cs="Arial" w:eastAsia="Arial" w:hAnsi="Arial"/>
          <w:sz w:val="15"/>
          <w:szCs w:val="15"/>
          <w:color w:val="auto"/>
        </w:rPr>
        <w:t>there may be delays in the FDA’s ability to conduct necessary Pre-Approval Inspections, or PAIs, due to the COVID-19 pandemic or for other reasons, and more generally the FDA or comparable foreign regulatory authorities may take longer than we anticipate to make a decision on our product candidates; and</w:t>
      </w:r>
    </w:p>
    <w:p>
      <w:pPr>
        <w:spacing w:after="0" w:line="148" w:lineRule="exact"/>
        <w:rPr>
          <w:sz w:val="20"/>
          <w:szCs w:val="20"/>
          <w:color w:val="auto"/>
        </w:rPr>
      </w:pPr>
    </w:p>
    <w:p>
      <w:pPr>
        <w:ind w:left="700" w:right="340"/>
        <w:spacing w:after="0" w:line="275" w:lineRule="auto"/>
        <w:rPr>
          <w:sz w:val="20"/>
          <w:szCs w:val="20"/>
          <w:color w:val="auto"/>
        </w:rPr>
      </w:pPr>
      <w:r>
        <w:rPr>
          <w:rFonts w:ascii="Arial" w:cs="Arial" w:eastAsia="Arial" w:hAnsi="Arial"/>
          <w:sz w:val="16"/>
          <w:szCs w:val="16"/>
          <w:color w:val="auto"/>
        </w:rPr>
        <w:t>we may not be able to demonstrate that a product candidate provides an advantage over current standards of care or current or future competitive therapies in development.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7" w:name="page48"/>
    <w:bookmarkEnd w:id="4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jc w:val="both"/>
        <w:ind w:right="80" w:firstLine="749"/>
        <w:spacing w:after="0" w:line="261" w:lineRule="auto"/>
        <w:rPr>
          <w:sz w:val="20"/>
          <w:szCs w:val="20"/>
          <w:color w:val="auto"/>
        </w:rPr>
      </w:pPr>
      <w:r>
        <w:rPr>
          <w:rFonts w:ascii="Arial" w:cs="Arial" w:eastAsia="Arial" w:hAnsi="Arial"/>
          <w:sz w:val="16"/>
          <w:szCs w:val="16"/>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8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be delayed in obtaining marketing approval for our product candidates;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 obtain marketing approval at all;</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obtain approval for indications or patient populations that are not as broad as intended or desired or are not covered by our intellectual property;</w:t>
      </w:r>
    </w:p>
    <w:p>
      <w:pPr>
        <w:spacing w:after="0" w:line="221" w:lineRule="exact"/>
        <w:rPr>
          <w:sz w:val="20"/>
          <w:szCs w:val="20"/>
          <w:color w:val="auto"/>
        </w:rPr>
      </w:pPr>
    </w:p>
    <w:p>
      <w:pPr>
        <w:ind w:left="700" w:right="40"/>
        <w:spacing w:after="0" w:line="349" w:lineRule="auto"/>
        <w:rPr>
          <w:sz w:val="20"/>
          <w:szCs w:val="20"/>
          <w:color w:val="auto"/>
        </w:rPr>
      </w:pPr>
      <w:r>
        <w:rPr>
          <w:rFonts w:ascii="Arial" w:cs="Arial" w:eastAsia="Arial" w:hAnsi="Arial"/>
          <w:sz w:val="14"/>
          <w:szCs w:val="14"/>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26"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be subject to additional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requirements, including REMS; or</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have the product removed from the market after obtaining marketing approval.</w:t>
      </w:r>
    </w:p>
    <w:p>
      <w:pPr>
        <w:spacing w:after="0" w:line="221" w:lineRule="exact"/>
        <w:rPr>
          <w:sz w:val="20"/>
          <w:szCs w:val="20"/>
          <w:color w:val="auto"/>
        </w:rPr>
      </w:pPr>
    </w:p>
    <w:p>
      <w:pPr>
        <w:ind w:right="60" w:firstLine="749"/>
        <w:spacing w:after="0" w:line="269" w:lineRule="auto"/>
        <w:rPr>
          <w:sz w:val="20"/>
          <w:szCs w:val="20"/>
          <w:color w:val="auto"/>
        </w:rPr>
      </w:pPr>
      <w:r>
        <w:rPr>
          <w:rFonts w:ascii="Arial" w:cs="Arial" w:eastAsia="Arial" w:hAnsi="Arial"/>
          <w:sz w:val="15"/>
          <w:szCs w:val="15"/>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81" w:lineRule="exact"/>
        <w:rPr>
          <w:sz w:val="20"/>
          <w:szCs w:val="20"/>
          <w:color w:val="auto"/>
        </w:rPr>
      </w:pPr>
    </w:p>
    <w:p>
      <w:pPr>
        <w:ind w:firstLine="749"/>
        <w:spacing w:after="0" w:line="272" w:lineRule="auto"/>
        <w:rPr>
          <w:sz w:val="20"/>
          <w:szCs w:val="20"/>
          <w:color w:val="auto"/>
        </w:rPr>
      </w:pPr>
      <w:r>
        <w:rPr>
          <w:rFonts w:ascii="Arial" w:cs="Arial" w:eastAsia="Arial" w:hAnsi="Arial"/>
          <w:sz w:val="15"/>
          <w:szCs w:val="15"/>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smoking cessation. As a result, we may experience delays in regulatory approval due to uncertainties in the approval process.</w:t>
      </w:r>
    </w:p>
    <w:p>
      <w:pPr>
        <w:spacing w:after="0" w:line="177" w:lineRule="exact"/>
        <w:rPr>
          <w:sz w:val="20"/>
          <w:szCs w:val="20"/>
          <w:color w:val="auto"/>
        </w:rPr>
      </w:pPr>
    </w:p>
    <w:p>
      <w:pPr>
        <w:ind w:right="20" w:firstLine="749"/>
        <w:spacing w:after="0" w:line="193" w:lineRule="exact"/>
        <w:rPr>
          <w:sz w:val="20"/>
          <w:szCs w:val="20"/>
          <w:color w:val="auto"/>
        </w:rPr>
      </w:pPr>
      <w:r>
        <w:rPr>
          <w:rFonts w:ascii="Arial" w:cs="Arial" w:eastAsia="Arial" w:hAnsi="Arial"/>
          <w:sz w:val="16"/>
          <w:szCs w:val="16"/>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6"/>
          <w:szCs w:val="16"/>
          <w:color w:val="auto"/>
        </w:rPr>
        <w:t>‑</w:t>
      </w:r>
      <w:r>
        <w:rPr>
          <w:rFonts w:ascii="Arial" w:cs="Arial" w:eastAsia="Arial" w:hAnsi="Arial"/>
          <w:sz w:val="16"/>
          <w:szCs w:val="16"/>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8" w:name="page49"/>
    <w:bookmarkEnd w:id="4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60" w:firstLine="749"/>
        <w:spacing w:after="0" w:line="278" w:lineRule="auto"/>
        <w:rPr>
          <w:sz w:val="20"/>
          <w:szCs w:val="20"/>
          <w:color w:val="auto"/>
        </w:rPr>
      </w:pPr>
      <w:r>
        <w:rPr>
          <w:rFonts w:ascii="Arial" w:cs="Arial" w:eastAsia="Arial" w:hAnsi="Arial"/>
          <w:sz w:val="16"/>
          <w:szCs w:val="16"/>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84"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72"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94" w:lineRule="exact"/>
        <w:rPr>
          <w:sz w:val="20"/>
          <w:szCs w:val="20"/>
          <w:color w:val="auto"/>
        </w:rPr>
      </w:pPr>
    </w:p>
    <w:p>
      <w:pPr>
        <w:ind w:left="700" w:right="320"/>
        <w:spacing w:after="0" w:line="293" w:lineRule="auto"/>
        <w:rPr>
          <w:sz w:val="20"/>
          <w:szCs w:val="20"/>
          <w:color w:val="auto"/>
        </w:rPr>
      </w:pPr>
      <w:r>
        <w:rPr>
          <w:rFonts w:ascii="Arial" w:cs="Arial" w:eastAsia="Arial" w:hAnsi="Arial"/>
          <w:sz w:val="16"/>
          <w:szCs w:val="16"/>
          <w:color w:val="auto"/>
        </w:rPr>
        <w:t>our preclinical or nonclinical testing may produce inconclusive or negative safety results, which may require us to conduct additional nonclinical testing or to abandon product candidates;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product candidates may have unfavorable pharmacology or toxicity characteristics or suggest possible drug-drug interaction;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product candidates may cause undesirable side effects;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FDA or other regulatory authorities may determine that additional safety testing is required.</w:t>
      </w:r>
    </w:p>
    <w:p>
      <w:pPr>
        <w:spacing w:after="0" w:line="235" w:lineRule="exact"/>
        <w:rPr>
          <w:sz w:val="20"/>
          <w:szCs w:val="20"/>
          <w:color w:val="auto"/>
        </w:rPr>
      </w:pPr>
    </w:p>
    <w:p>
      <w:pPr>
        <w:ind w:right="340" w:firstLine="749"/>
        <w:spacing w:after="0" w:line="293" w:lineRule="auto"/>
        <w:rPr>
          <w:sz w:val="20"/>
          <w:szCs w:val="20"/>
          <w:color w:val="auto"/>
        </w:rPr>
      </w:pPr>
      <w:r>
        <w:rPr>
          <w:rFonts w:ascii="Arial" w:cs="Arial" w:eastAsia="Arial" w:hAnsi="Arial"/>
          <w:sz w:val="16"/>
          <w:szCs w:val="16"/>
          <w:color w:val="auto"/>
        </w:rPr>
        <w:t>Any such events would increase our costs and could delay or prevent our ability to commercialize our product candidates, which could adversely impact our business, financial condition and results of operation.</w:t>
      </w:r>
    </w:p>
    <w:p>
      <w:pPr>
        <w:spacing w:after="0" w:line="172" w:lineRule="exact"/>
        <w:rPr>
          <w:sz w:val="20"/>
          <w:szCs w:val="20"/>
          <w:color w:val="auto"/>
        </w:rPr>
      </w:pPr>
    </w:p>
    <w:p>
      <w:pPr>
        <w:ind w:right="380"/>
        <w:spacing w:after="0" w:line="293" w:lineRule="auto"/>
        <w:rPr>
          <w:sz w:val="20"/>
          <w:szCs w:val="20"/>
          <w:color w:val="auto"/>
        </w:rPr>
      </w:pPr>
      <w:r>
        <w:rPr>
          <w:rFonts w:ascii="Arial" w:cs="Arial" w:eastAsia="Arial" w:hAnsi="Arial"/>
          <w:sz w:val="16"/>
          <w:szCs w:val="16"/>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72" w:lineRule="exact"/>
        <w:rPr>
          <w:sz w:val="20"/>
          <w:szCs w:val="20"/>
          <w:color w:val="auto"/>
        </w:rPr>
      </w:pPr>
    </w:p>
    <w:p>
      <w:pPr>
        <w:ind w:right="160" w:firstLine="749"/>
        <w:spacing w:after="0" w:line="253" w:lineRule="auto"/>
        <w:rPr>
          <w:sz w:val="20"/>
          <w:szCs w:val="20"/>
          <w:color w:val="auto"/>
        </w:rPr>
      </w:pPr>
      <w:r>
        <w:rPr>
          <w:rFonts w:ascii="Arial" w:cs="Arial" w:eastAsia="Arial" w:hAnsi="Arial"/>
          <w:sz w:val="16"/>
          <w:szCs w:val="16"/>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91" w:lineRule="exact"/>
        <w:rPr>
          <w:sz w:val="20"/>
          <w:szCs w:val="20"/>
          <w:color w:val="auto"/>
        </w:rPr>
      </w:pPr>
    </w:p>
    <w:p>
      <w:pPr>
        <w:ind w:firstLine="749"/>
        <w:spacing w:after="0" w:line="19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203" w:lineRule="exact"/>
        <w:rPr>
          <w:sz w:val="20"/>
          <w:szCs w:val="20"/>
          <w:color w:val="auto"/>
        </w:rPr>
      </w:pPr>
    </w:p>
    <w:p>
      <w:pPr>
        <w:ind w:right="120" w:firstLine="749"/>
        <w:spacing w:after="0" w:line="304" w:lineRule="auto"/>
        <w:rPr>
          <w:sz w:val="20"/>
          <w:szCs w:val="20"/>
          <w:color w:val="auto"/>
        </w:rPr>
      </w:pPr>
      <w:r>
        <w:rPr>
          <w:rFonts w:ascii="Arial" w:cs="Arial" w:eastAsia="Arial" w:hAnsi="Arial"/>
          <w:sz w:val="14"/>
          <w:szCs w:val="14"/>
          <w:color w:val="auto"/>
        </w:rPr>
        <w:t>To date, the most commonly reported adverse events (incidence of ≥5% of subjects) observed in the completed clinical trials of AXS-05 include dizziness, nausea, headache, dry mouth, and decreased appetite. Some reported adverse events resulted in discontinuations from our trials of AXS-05. The most frequent adverse events (incidence of ≥1% of subjects) resulting in discontinuation included dizziness, nausea, and headache. AXS-05 consists of dextromethorphan and bupropion, and this combination may exacerbate any known adverse events for each individual component or may result in new toxicities as compared to those of the individual components.</w:t>
      </w:r>
    </w:p>
    <w:p>
      <w:pPr>
        <w:spacing w:after="0" w:line="156"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To date, the most commonly reported adverse events observed in the completed clinical trials of AXS-07 include nausea, dizziness, somnolence, and paresthesia. AXS-07 consists of meloxicam and rizatriptan, and this combination may exacerbate any known adverse events for each individual component or may result in new toxicities as compared to those of the individual components.</w:t>
      </w:r>
    </w:p>
    <w:p>
      <w:pPr>
        <w:spacing w:after="0" w:line="184"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To date, the most commonly reported adverse events observed in the completed clinical trial of AXS-12 include anxiety, constipation, and insomnia.</w:t>
      </w: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To date, the most commonly reported adverse events observed in the completed clinical trials of AXS-14 include anxiety, constipation, and insomnia.</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9" w:name="page50"/>
    <w:bookmarkEnd w:id="4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40" w:firstLine="749"/>
        <w:spacing w:after="0" w:line="193" w:lineRule="exact"/>
        <w:rPr>
          <w:sz w:val="20"/>
          <w:szCs w:val="20"/>
          <w:color w:val="auto"/>
        </w:rPr>
      </w:pPr>
      <w:r>
        <w:rPr>
          <w:rFonts w:ascii="Arial" w:cs="Arial" w:eastAsia="Arial" w:hAnsi="Arial"/>
          <w:sz w:val="16"/>
          <w:szCs w:val="16"/>
          <w:color w:val="auto"/>
        </w:rPr>
        <w:t>If any of our other product candidates are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6"/>
          <w:szCs w:val="16"/>
          <w:color w:val="auto"/>
        </w:rPr>
        <w:t>‑</w:t>
      </w:r>
      <w:r>
        <w:rPr>
          <w:rFonts w:ascii="Arial" w:cs="Arial" w:eastAsia="Arial" w:hAnsi="Arial"/>
          <w:sz w:val="16"/>
          <w:szCs w:val="16"/>
          <w:color w:val="auto"/>
        </w:rPr>
        <w:t>benefit perspective. The drug</w:t>
      </w:r>
      <w:r>
        <w:rPr>
          <w:rFonts w:ascii="MS PGothic" w:cs="MS PGothic" w:eastAsia="MS PGothic" w:hAnsi="MS PGothic"/>
          <w:sz w:val="16"/>
          <w:szCs w:val="16"/>
          <w:color w:val="auto"/>
        </w:rPr>
        <w:t>‑</w:t>
      </w:r>
      <w:r>
        <w:rPr>
          <w:rFonts w:ascii="Arial" w:cs="Arial" w:eastAsia="Arial" w:hAnsi="Arial"/>
          <w:sz w:val="16"/>
          <w:szCs w:val="16"/>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19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experience delays or difficulties in the enrollment of patients in clinical trials, our receipt of necessary regulatory approvals could be delayed or prevented.</w:t>
      </w:r>
    </w:p>
    <w:p>
      <w:pPr>
        <w:spacing w:after="0" w:line="244" w:lineRule="exact"/>
        <w:rPr>
          <w:sz w:val="20"/>
          <w:szCs w:val="20"/>
          <w:color w:val="auto"/>
        </w:rPr>
      </w:pPr>
    </w:p>
    <w:p>
      <w:pPr>
        <w:ind w:firstLine="749"/>
        <w:spacing w:after="0" w:line="273" w:lineRule="auto"/>
        <w:rPr>
          <w:sz w:val="20"/>
          <w:szCs w:val="20"/>
          <w:color w:val="auto"/>
        </w:rPr>
      </w:pPr>
      <w:r>
        <w:rPr>
          <w:rFonts w:ascii="Arial" w:cs="Arial" w:eastAsia="Arial" w:hAnsi="Arial"/>
          <w:sz w:val="16"/>
          <w:szCs w:val="16"/>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size and nature of the patient population;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severity of the disease under investigation;</w:t>
      </w:r>
    </w:p>
    <w:p>
      <w:pPr>
        <w:spacing w:after="0" w:line="235" w:lineRule="exact"/>
        <w:rPr>
          <w:sz w:val="20"/>
          <w:szCs w:val="20"/>
          <w:color w:val="auto"/>
        </w:rPr>
      </w:pPr>
    </w:p>
    <w:p>
      <w:pPr>
        <w:ind w:left="700"/>
        <w:spacing w:after="0" w:line="275" w:lineRule="auto"/>
        <w:rPr>
          <w:sz w:val="20"/>
          <w:szCs w:val="20"/>
          <w:color w:val="auto"/>
        </w:rPr>
      </w:pPr>
      <w:r>
        <w:rPr>
          <w:rFonts w:ascii="Arial" w:cs="Arial" w:eastAsia="Arial" w:hAnsi="Arial"/>
          <w:sz w:val="16"/>
          <w:szCs w:val="16"/>
          <w:color w:val="auto"/>
        </w:rPr>
        <w:t>the eligibility criteria for, and design of, the clinical trial in question, including factors such as frequency of required assessments, length of the study, and ongoing monitoring requirements;</w:t>
      </w:r>
    </w:p>
    <w:p>
      <w:pPr>
        <w:spacing w:after="0" w:line="172" w:lineRule="exact"/>
        <w:rPr>
          <w:sz w:val="20"/>
          <w:szCs w:val="20"/>
          <w:color w:val="auto"/>
        </w:rPr>
      </w:pPr>
    </w:p>
    <w:p>
      <w:pPr>
        <w:ind w:left="700" w:right="120"/>
        <w:spacing w:after="0" w:line="275" w:lineRule="auto"/>
        <w:rPr>
          <w:sz w:val="20"/>
          <w:szCs w:val="20"/>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competition in recruiting and enrolling patients in clinical trials;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efforts to facilitate timely enrollment in clinical trials;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patient referral practices of physicians;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effectiveness of publicity created by clinical trial sites regarding the trial;</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patients’ ability to comply with the specific instructions related to the trial protocol, proper documentation, and use of the drug product;</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inability to obtain or maintain patient informed consents;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risk that enrolled patients will drop out before completion;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ability to identify patients for enrollment and maintain a sufficient level of patient participants in our clinical studies due to the ongoing COVID-19 pandemic;</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ability to monitor patients adequately during and after treatment;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proximity and availability of clinical trial sites for prospective patients.</w:t>
      </w:r>
    </w:p>
    <w:p>
      <w:pPr>
        <w:spacing w:after="0" w:line="235" w:lineRule="exact"/>
        <w:rPr>
          <w:sz w:val="20"/>
          <w:szCs w:val="20"/>
          <w:color w:val="auto"/>
        </w:rPr>
      </w:pPr>
    </w:p>
    <w:p>
      <w:pPr>
        <w:ind w:right="60" w:firstLine="749"/>
        <w:spacing w:after="0" w:line="291" w:lineRule="auto"/>
        <w:rPr>
          <w:sz w:val="20"/>
          <w:szCs w:val="20"/>
          <w:color w:val="auto"/>
        </w:rPr>
      </w:pPr>
      <w:r>
        <w:rPr>
          <w:rFonts w:ascii="Arial" w:cs="Arial" w:eastAsia="Arial" w:hAnsi="Arial"/>
          <w:sz w:val="15"/>
          <w:szCs w:val="15"/>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We may be required by the FDA to modify the entry criteria for our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76" w:lineRule="exact"/>
        <w:rPr>
          <w:sz w:val="20"/>
          <w:szCs w:val="20"/>
          <w:color w:val="auto"/>
        </w:rPr>
      </w:pPr>
    </w:p>
    <w:p>
      <w:pPr>
        <w:ind w:right="160" w:firstLine="749"/>
        <w:spacing w:after="0" w:line="278" w:lineRule="auto"/>
        <w:rPr>
          <w:sz w:val="20"/>
          <w:szCs w:val="20"/>
          <w:color w:val="auto"/>
        </w:rPr>
      </w:pPr>
      <w:r>
        <w:rPr>
          <w:rFonts w:ascii="Arial" w:cs="Arial" w:eastAsia="Arial" w:hAnsi="Arial"/>
          <w:sz w:val="16"/>
          <w:szCs w:val="16"/>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50" w:name="page51"/>
    <w:bookmarkEnd w:id="5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b w:val="1"/>
          <w:bCs w:val="1"/>
          <w:i w:val="1"/>
          <w:iCs w:val="1"/>
          <w:color w:val="auto"/>
        </w:rPr>
        <w:t>Currently approved products containing bupropion and meloxicam are subject to restrictive marketing and distribution regulations, which if applied to our product candidates could restrict their use and potentially reduce our ability to generate profits.</w:t>
      </w:r>
    </w:p>
    <w:p>
      <w:pPr>
        <w:spacing w:after="0" w:line="172" w:lineRule="exact"/>
        <w:rPr>
          <w:sz w:val="20"/>
          <w:szCs w:val="20"/>
          <w:color w:val="auto"/>
        </w:rPr>
      </w:pPr>
    </w:p>
    <w:p>
      <w:pPr>
        <w:ind w:right="80" w:firstLine="749"/>
        <w:spacing w:after="0" w:line="268" w:lineRule="auto"/>
        <w:rPr>
          <w:sz w:val="20"/>
          <w:szCs w:val="20"/>
          <w:color w:val="auto"/>
        </w:rPr>
      </w:pPr>
      <w:r>
        <w:rPr>
          <w:rFonts w:ascii="Arial" w:cs="Arial" w:eastAsia="Arial" w:hAnsi="Arial"/>
          <w:sz w:val="15"/>
          <w:szCs w:val="15"/>
          <w:color w:val="auto"/>
        </w:rPr>
        <w:t>Currently approved products containing bupropion and meloxicam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in addition to a medication guide. We cannot predict whether what will be required as part of the FDA’s approval of our product candidates.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Development of combination product candidates may present more or different challenges than development of single agent product candidates.</w:t>
      </w:r>
    </w:p>
    <w:p>
      <w:pPr>
        <w:spacing w:after="0" w:line="221" w:lineRule="exact"/>
        <w:rPr>
          <w:sz w:val="20"/>
          <w:szCs w:val="20"/>
          <w:color w:val="auto"/>
        </w:rPr>
      </w:pPr>
    </w:p>
    <w:p>
      <w:pPr>
        <w:ind w:right="40" w:firstLine="749"/>
        <w:spacing w:after="0" w:line="272" w:lineRule="auto"/>
        <w:rPr>
          <w:sz w:val="20"/>
          <w:szCs w:val="20"/>
          <w:color w:val="auto"/>
        </w:rPr>
      </w:pPr>
      <w:r>
        <w:rPr>
          <w:rFonts w:ascii="Arial" w:cs="Arial" w:eastAsia="Arial" w:hAnsi="Arial"/>
          <w:sz w:val="15"/>
          <w:szCs w:val="15"/>
          <w:color w:val="auto"/>
        </w:rPr>
        <w:t>Certain of our product candidates, including AXS-05,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product candidate manufacturing or formulation may result in additional costs or delay.</w:t>
      </w:r>
    </w:p>
    <w:p>
      <w:pPr>
        <w:spacing w:after="0" w:line="221" w:lineRule="exact"/>
        <w:rPr>
          <w:sz w:val="20"/>
          <w:szCs w:val="20"/>
          <w:color w:val="auto"/>
        </w:rPr>
      </w:pPr>
    </w:p>
    <w:p>
      <w:pPr>
        <w:ind w:right="60" w:firstLine="749"/>
        <w:spacing w:after="0" w:line="270" w:lineRule="auto"/>
        <w:rPr>
          <w:sz w:val="20"/>
          <w:szCs w:val="20"/>
          <w:color w:val="auto"/>
        </w:rPr>
      </w:pPr>
      <w:r>
        <w:rPr>
          <w:rFonts w:ascii="Arial" w:cs="Arial" w:eastAsia="Arial" w:hAnsi="Arial"/>
          <w:sz w:val="15"/>
          <w:szCs w:val="15"/>
          <w:color w:val="auto"/>
        </w:rPr>
        <w:t>As product candidates are developed through preclinical studies to late stage clinical trials towards approval and commercialization, it is common that various aspects of the development program, such as manufacturing methods and formulation, are altered along the way in an effort to optimize processes and results. For instance, as we begin scale-up efforts for commercial-size manufacturing batches, formulation changes may be necessary to improve tablet robustness.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Failure to obtain marketing approval in international jurisdictions would prevent our product candidates from being marketed abroad.</w:t>
      </w:r>
    </w:p>
    <w:p>
      <w:pPr>
        <w:spacing w:after="0" w:line="23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In order to market and sell our products in the European Union, or EU, and many other jurisdictions, we or our third</w:t>
      </w:r>
      <w:r>
        <w:rPr>
          <w:rFonts w:ascii="MS PGothic" w:cs="MS PGothic" w:eastAsia="MS PGothic" w:hAnsi="MS PGothic"/>
          <w:sz w:val="15"/>
          <w:szCs w:val="15"/>
          <w:color w:val="auto"/>
        </w:rPr>
        <w:t>‑</w:t>
      </w:r>
      <w:r>
        <w:rPr>
          <w:rFonts w:ascii="Arial" w:cs="Arial" w:eastAsia="Arial" w:hAnsi="Arial"/>
          <w:sz w:val="15"/>
          <w:szCs w:val="15"/>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214"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72"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We have received a Fast Track product designation for AXS-05 for both the treatment of TRD as well as for the treatment of AD agitation, and we may seek Fast Track designation for other of our current or future product candidates. Receipt of a designation to facilitate expedited review for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1" w:name="page52"/>
    <w:bookmarkEnd w:id="5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60"/>
        <w:spacing w:after="0" w:line="305" w:lineRule="auto"/>
        <w:rPr>
          <w:sz w:val="20"/>
          <w:szCs w:val="20"/>
          <w:color w:val="auto"/>
        </w:rPr>
      </w:pPr>
      <w:r>
        <w:rPr>
          <w:rFonts w:ascii="Arial" w:cs="Arial" w:eastAsia="Arial" w:hAnsi="Arial"/>
          <w:sz w:val="15"/>
          <w:szCs w:val="15"/>
          <w:b w:val="1"/>
          <w:bCs w:val="1"/>
          <w:i w:val="1"/>
          <w:iCs w:val="1"/>
          <w:color w:val="auto"/>
        </w:rPr>
        <w:t>Although Breakthrough Therapy, Fast Track, and other designations are designed to expedite the development and review of drugs, they may not ultimately lead to a faster approval process or faster development of regulatory review and they will not increase the likelihood that our product candidates will receive marketing approval, for example, Breakthrough Therapy designation by the FDA for AXS-05 for the treatment of MDD and for the treatment of AD agitation.</w:t>
      </w:r>
    </w:p>
    <w:p>
      <w:pPr>
        <w:spacing w:after="0" w:line="166" w:lineRule="exact"/>
        <w:rPr>
          <w:sz w:val="20"/>
          <w:szCs w:val="20"/>
          <w:color w:val="auto"/>
        </w:rPr>
      </w:pPr>
    </w:p>
    <w:p>
      <w:pPr>
        <w:ind w:firstLine="749"/>
        <w:spacing w:after="0" w:line="311" w:lineRule="auto"/>
        <w:rPr>
          <w:sz w:val="20"/>
          <w:szCs w:val="20"/>
          <w:color w:val="auto"/>
        </w:rPr>
      </w:pPr>
      <w:r>
        <w:rPr>
          <w:rFonts w:ascii="Arial" w:cs="Arial" w:eastAsia="Arial" w:hAnsi="Arial"/>
          <w:sz w:val="14"/>
          <w:szCs w:val="14"/>
          <w:color w:val="auto"/>
        </w:rPr>
        <w:t>We received Breakthrough Therapy designation for AXS-05 for both the treatment of MDD and the treatment of AD agitation.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Breakthrough Therapy designation also allows the sponsor to request a Priority Review or file sections of the NDA on an ongoing basis for rolling review where the FDA may consider beginning review portions of a marketing application before the full submission is complete. Product candidates designated as breakthrough therapies by the FDA are also eligible for priority review if supported by clinical data at the time of the submission of the NDA.</w:t>
      </w:r>
    </w:p>
    <w:p>
      <w:pPr>
        <w:spacing w:after="0" w:line="167" w:lineRule="exact"/>
        <w:rPr>
          <w:sz w:val="20"/>
          <w:szCs w:val="20"/>
          <w:color w:val="auto"/>
        </w:rPr>
      </w:pPr>
    </w:p>
    <w:p>
      <w:pPr>
        <w:ind w:right="120" w:firstLine="749"/>
        <w:spacing w:after="0" w:line="269" w:lineRule="auto"/>
        <w:rPr>
          <w:sz w:val="20"/>
          <w:szCs w:val="20"/>
          <w:color w:val="auto"/>
        </w:rPr>
      </w:pPr>
      <w:r>
        <w:rPr>
          <w:rFonts w:ascii="Arial" w:cs="Arial" w:eastAsia="Arial" w:hAnsi="Arial"/>
          <w:sz w:val="16"/>
          <w:szCs w:val="16"/>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for one or more of our applicable product candidates if such product candidates no longer meet the conditions for qualification of this program. For example, we were initially granted Breakthrough Therapy designation for AXS-12 for the treatment of cataplexy in patients with narcolepsy in August 2020. In July 2021, the FDA rescinded our Breakthrough Therapy designation due to the FDA approving an additional drug product for the treatment of cataplexy in narcolepsy.</w:t>
      </w:r>
    </w:p>
    <w:p>
      <w:pPr>
        <w:spacing w:after="0" w:line="194" w:lineRule="exact"/>
        <w:rPr>
          <w:sz w:val="20"/>
          <w:szCs w:val="20"/>
          <w:color w:val="auto"/>
        </w:rPr>
      </w:pPr>
    </w:p>
    <w:p>
      <w:pPr>
        <w:ind w:right="240"/>
        <w:spacing w:after="0" w:line="204" w:lineRule="exact"/>
        <w:rPr>
          <w:sz w:val="20"/>
          <w:szCs w:val="20"/>
          <w:color w:val="auto"/>
        </w:rPr>
      </w:pPr>
      <w:r>
        <w:rPr>
          <w:rFonts w:ascii="Arial" w:cs="Arial" w:eastAsia="Arial" w:hAnsi="Arial"/>
          <w:sz w:val="16"/>
          <w:szCs w:val="16"/>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label” uses, resulting in damage to our reputation and business.</w:t>
      </w:r>
    </w:p>
    <w:p>
      <w:pPr>
        <w:spacing w:after="0" w:line="214" w:lineRule="exact"/>
        <w:rPr>
          <w:sz w:val="20"/>
          <w:szCs w:val="20"/>
          <w:color w:val="auto"/>
        </w:rPr>
      </w:pPr>
    </w:p>
    <w:p>
      <w:pPr>
        <w:jc w:val="both"/>
        <w:ind w:right="60" w:firstLine="749"/>
        <w:spacing w:after="0" w:line="303" w:lineRule="auto"/>
        <w:rPr>
          <w:sz w:val="20"/>
          <w:szCs w:val="20"/>
          <w:color w:val="auto"/>
        </w:rPr>
      </w:pPr>
      <w:r>
        <w:rPr>
          <w:rFonts w:ascii="Arial" w:cs="Arial" w:eastAsia="Arial" w:hAnsi="Arial"/>
          <w:sz w:val="14"/>
          <w:szCs w:val="14"/>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w:t>
      </w:r>
    </w:p>
    <w:p>
      <w:pPr>
        <w:spacing w:after="0" w:line="2" w:lineRule="exact"/>
        <w:rPr>
          <w:sz w:val="20"/>
          <w:szCs w:val="20"/>
          <w:color w:val="auto"/>
        </w:rPr>
      </w:pPr>
    </w:p>
    <w:p>
      <w:pPr>
        <w:ind w:right="160"/>
        <w:spacing w:after="0" w:line="202" w:lineRule="exact"/>
        <w:rPr>
          <w:sz w:val="20"/>
          <w:szCs w:val="20"/>
          <w:color w:val="auto"/>
        </w:rPr>
      </w:pPr>
      <w:r>
        <w:rPr>
          <w:rFonts w:ascii="Arial" w:cs="Arial" w:eastAsia="Arial" w:hAnsi="Arial"/>
          <w:sz w:val="15"/>
          <w:szCs w:val="15"/>
          <w:color w:val="auto"/>
        </w:rPr>
        <w:t>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5"/>
          <w:szCs w:val="15"/>
          <w:color w:val="auto"/>
        </w:rPr>
        <w:t>‑</w:t>
      </w:r>
      <w:r>
        <w:rPr>
          <w:rFonts w:ascii="Arial" w:cs="Arial" w:eastAsia="Arial" w:hAnsi="Arial"/>
          <w:sz w:val="15"/>
          <w:szCs w:val="15"/>
          <w:color w:val="auto"/>
        </w:rPr>
        <w:t>label uses, and our business may be adversely affected. We further must be able to sufficiently substantiate any claims that we make for our products including claims comparing our products to other companies’ products.</w:t>
      </w:r>
    </w:p>
    <w:p>
      <w:pPr>
        <w:spacing w:after="0" w:line="214" w:lineRule="exact"/>
        <w:rPr>
          <w:sz w:val="20"/>
          <w:szCs w:val="20"/>
          <w:color w:val="auto"/>
        </w:rPr>
      </w:pPr>
    </w:p>
    <w:p>
      <w:pPr>
        <w:ind w:right="60" w:firstLine="749"/>
        <w:spacing w:after="0" w:line="203" w:lineRule="exact"/>
        <w:rPr>
          <w:sz w:val="20"/>
          <w:szCs w:val="20"/>
          <w:color w:val="auto"/>
        </w:rPr>
      </w:pPr>
      <w:r>
        <w:rPr>
          <w:rFonts w:ascii="Arial" w:cs="Arial" w:eastAsia="Arial" w:hAnsi="Arial"/>
          <w:sz w:val="16"/>
          <w:szCs w:val="16"/>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6"/>
          <w:szCs w:val="16"/>
          <w:color w:val="auto"/>
        </w:rPr>
        <w:t>‑</w:t>
      </w:r>
      <w:r>
        <w:rPr>
          <w:rFonts w:ascii="Arial" w:cs="Arial" w:eastAsia="Arial" w:hAnsi="Arial"/>
          <w:sz w:val="16"/>
          <w:szCs w:val="16"/>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6"/>
          <w:szCs w:val="16"/>
          <w:color w:val="auto"/>
        </w:rPr>
        <w:t>‑</w:t>
      </w:r>
      <w:r>
        <w:rPr>
          <w:rFonts w:ascii="Arial" w:cs="Arial" w:eastAsia="Arial" w:hAnsi="Arial"/>
          <w:sz w:val="16"/>
          <w:szCs w:val="16"/>
          <w:color w:val="auto"/>
        </w:rPr>
        <w:t>label use.</w:t>
      </w:r>
    </w:p>
    <w:p>
      <w:pPr>
        <w:spacing w:after="0" w:line="217" w:lineRule="exact"/>
        <w:rPr>
          <w:sz w:val="20"/>
          <w:szCs w:val="20"/>
          <w:color w:val="auto"/>
        </w:rPr>
      </w:pPr>
    </w:p>
    <w:p>
      <w:pPr>
        <w:ind w:right="60" w:firstLine="749"/>
        <w:spacing w:after="0" w:line="19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2" w:name="page53"/>
    <w:bookmarkEnd w:id="5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firstLine="749"/>
        <w:spacing w:after="0" w:line="190" w:lineRule="exact"/>
        <w:rPr>
          <w:sz w:val="20"/>
          <w:szCs w:val="20"/>
          <w:color w:val="auto"/>
        </w:rPr>
      </w:pPr>
      <w:r>
        <w:rPr>
          <w:rFonts w:ascii="Arial" w:cs="Arial" w:eastAsia="Arial" w:hAnsi="Arial"/>
          <w:sz w:val="14"/>
          <w:szCs w:val="14"/>
          <w:color w:val="auto"/>
        </w:rPr>
        <w:t>In the United States, engaging in the impermissible promotion of our products, following approval, for off</w:t>
      </w:r>
      <w:r>
        <w:rPr>
          <w:rFonts w:ascii="MS PGothic" w:cs="MS PGothic" w:eastAsia="MS PGothic" w:hAnsi="MS PGothic"/>
          <w:sz w:val="14"/>
          <w:szCs w:val="14"/>
          <w:color w:val="auto"/>
        </w:rPr>
        <w:t>‑</w:t>
      </w:r>
      <w:r>
        <w:rPr>
          <w:rFonts w:ascii="Arial" w:cs="Arial" w:eastAsia="Arial" w:hAnsi="Arial"/>
          <w:sz w:val="14"/>
          <w:szCs w:val="14"/>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4"/>
          <w:szCs w:val="14"/>
          <w:color w:val="auto"/>
        </w:rPr>
        <w:t>‑</w:t>
      </w:r>
      <w:r>
        <w:rPr>
          <w:rFonts w:ascii="Arial" w:cs="Arial" w:eastAsia="Arial" w:hAnsi="Arial"/>
          <w:sz w:val="14"/>
          <w:szCs w:val="14"/>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03" w:lineRule="exact"/>
        <w:rPr>
          <w:sz w:val="20"/>
          <w:szCs w:val="20"/>
          <w:color w:val="auto"/>
        </w:rPr>
      </w:pPr>
    </w:p>
    <w:p>
      <w:pPr>
        <w:ind w:right="20" w:firstLine="749"/>
        <w:spacing w:after="0" w:line="293" w:lineRule="auto"/>
        <w:rPr>
          <w:sz w:val="20"/>
          <w:szCs w:val="20"/>
          <w:color w:val="auto"/>
        </w:rPr>
      </w:pPr>
      <w:r>
        <w:rPr>
          <w:rFonts w:ascii="Arial" w:cs="Arial" w:eastAsia="Arial" w:hAnsi="Arial"/>
          <w:sz w:val="15"/>
          <w:szCs w:val="15"/>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176" w:lineRule="exact"/>
        <w:rPr>
          <w:sz w:val="20"/>
          <w:szCs w:val="20"/>
          <w:color w:val="auto"/>
        </w:rPr>
      </w:pPr>
    </w:p>
    <w:p>
      <w:pPr>
        <w:ind w:right="40"/>
        <w:spacing w:after="0" w:line="335" w:lineRule="auto"/>
        <w:rPr>
          <w:sz w:val="20"/>
          <w:szCs w:val="20"/>
          <w:color w:val="auto"/>
        </w:rPr>
      </w:pPr>
      <w:r>
        <w:rPr>
          <w:rFonts w:ascii="Arial" w:cs="Arial" w:eastAsia="Arial" w:hAnsi="Arial"/>
          <w:sz w:val="14"/>
          <w:szCs w:val="14"/>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49"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Any product candidate for which we obtain marketing approval will be subject to extensive and ongoing requirements of and review by the FDA and other regulatory authorities, including requirements related to the manufacturing processes, post approval clinical data, labeling, packaging, distribution, adverse event reporting, storage, recordkeeping, export, import, advertising, marketing, and promotional activities for such product. These requirements further include submissions of safety and other post-marketing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 or GCP, for any clinical trials that we conduct post 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post-market requirements or restrictions. Any such restrictions could limit sales of the product.</w:t>
      </w:r>
    </w:p>
    <w:p>
      <w:pPr>
        <w:spacing w:after="0" w:line="178" w:lineRule="exact"/>
        <w:rPr>
          <w:sz w:val="20"/>
          <w:szCs w:val="20"/>
          <w:color w:val="auto"/>
        </w:rPr>
      </w:pPr>
    </w:p>
    <w:p>
      <w:pPr>
        <w:ind w:right="120" w:firstLine="749"/>
        <w:spacing w:after="0" w:line="278" w:lineRule="auto"/>
        <w:rPr>
          <w:sz w:val="20"/>
          <w:szCs w:val="20"/>
          <w:color w:val="auto"/>
        </w:rPr>
      </w:pPr>
      <w:r>
        <w:rPr>
          <w:rFonts w:ascii="Arial" w:cs="Arial" w:eastAsia="Arial" w:hAnsi="Arial"/>
          <w:sz w:val="16"/>
          <w:szCs w:val="16"/>
          <w:color w:val="auto"/>
        </w:rPr>
        <w:t>We and any of our collaborators, including our contract manufacturers, could be subject to periodic unannounced inspections by the FDA to monitor and ensure compliance with cGMP and GCP. Application holders must further notify the FDA, and depending on the nature of the change, obtain FDA pre-approval for product and manufacturing changes. Application fees may apply to certain changes.</w:t>
      </w:r>
    </w:p>
    <w:p>
      <w:pPr>
        <w:spacing w:after="0" w:line="184" w:lineRule="exact"/>
        <w:rPr>
          <w:sz w:val="20"/>
          <w:szCs w:val="20"/>
          <w:color w:val="auto"/>
        </w:rPr>
      </w:pPr>
    </w:p>
    <w:p>
      <w:pPr>
        <w:ind w:right="140" w:firstLine="749"/>
        <w:spacing w:after="0" w:line="369" w:lineRule="auto"/>
        <w:rPr>
          <w:sz w:val="20"/>
          <w:szCs w:val="20"/>
          <w:color w:val="auto"/>
        </w:rPr>
      </w:pPr>
      <w:r>
        <w:rPr>
          <w:rFonts w:ascii="Arial" w:cs="Arial" w:eastAsia="Arial" w:hAnsi="Arial"/>
          <w:sz w:val="14"/>
          <w:szCs w:val="14"/>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2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restrictions on manufacturing or distribution, or marketing of such products;</w:t>
      </w:r>
    </w:p>
    <w:p>
      <w:pPr>
        <w:spacing w:after="0" w:line="235" w:lineRule="exact"/>
        <w:rPr>
          <w:sz w:val="20"/>
          <w:szCs w:val="20"/>
          <w:color w:val="auto"/>
        </w:rPr>
      </w:pPr>
    </w:p>
    <w:p>
      <w:pPr>
        <w:ind w:left="700" w:right="160"/>
        <w:spacing w:after="0" w:line="293" w:lineRule="auto"/>
        <w:rPr>
          <w:sz w:val="20"/>
          <w:szCs w:val="20"/>
          <w:color w:val="auto"/>
        </w:rPr>
      </w:pPr>
      <w:r>
        <w:rPr>
          <w:rFonts w:ascii="Arial" w:cs="Arial" w:eastAsia="Arial" w:hAnsi="Arial"/>
          <w:sz w:val="16"/>
          <w:szCs w:val="16"/>
          <w:color w:val="auto"/>
        </w:rPr>
        <w:t>restrictions on the labeling, including required additional warnings, such as black box warnings, contraindications, precautions, and restrictions on the approved indication or use;</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modifications to promotional pieces;</w:t>
      </w:r>
    </w:p>
    <w:p>
      <w:pPr>
        <w:spacing w:after="0" w:line="235"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requirements to 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or clinical trials; clinical holds or termination of clinical trials;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3" w:name="page54"/>
    <w:bookmarkEnd w:id="5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spacing w:after="0" w:line="278" w:lineRule="auto"/>
        <w:rPr>
          <w:sz w:val="20"/>
          <w:szCs w:val="20"/>
          <w:color w:val="auto"/>
        </w:rPr>
      </w:pPr>
      <w:r>
        <w:rPr>
          <w:rFonts w:ascii="Arial" w:cs="Arial" w:eastAsia="Arial" w:hAnsi="Arial"/>
          <w:sz w:val="16"/>
          <w:szCs w:val="16"/>
          <w:color w:val="auto"/>
        </w:rPr>
        <w:t>requirements to establish or modify a REMS or a comparable foreign authority may require that we establish or modify a similar strategy, that may, for instance, require us to create or modify a medication guide outlining the risks of the previously unidentified side effects for distribution to patients, or restrict distribution of the product, if and when approved, and impose burdensome implementation requirements on us: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to the way the drug is administered;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liability for harm caused to patients or subjects;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reputational harm;</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drug becoming less competitive;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warning; or untitled letters;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suspension of marketing or withdrawal of the products from the market;</w:t>
      </w:r>
    </w:p>
    <w:p>
      <w:pPr>
        <w:spacing w:after="0" w:line="235" w:lineRule="exact"/>
        <w:rPr>
          <w:sz w:val="20"/>
          <w:szCs w:val="20"/>
          <w:color w:val="auto"/>
        </w:rPr>
      </w:pPr>
    </w:p>
    <w:p>
      <w:pPr>
        <w:ind w:left="700" w:right="480"/>
        <w:spacing w:after="0" w:line="293" w:lineRule="auto"/>
        <w:rPr>
          <w:sz w:val="20"/>
          <w:szCs w:val="20"/>
          <w:color w:val="auto"/>
        </w:rPr>
      </w:pPr>
      <w:r>
        <w:rPr>
          <w:rFonts w:ascii="Arial" w:cs="Arial" w:eastAsia="Arial" w:hAnsi="Arial"/>
          <w:sz w:val="16"/>
          <w:szCs w:val="16"/>
          <w:color w:val="auto"/>
        </w:rPr>
        <w:t>regulatory authority issuance of safety alerts, Dear Healthcare Provider letters, press releases, or other communications containing warnings or other safety information about the drug;</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refusal to approve pending applications or supplements to approved applications that we submit;</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recall of products;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fines, damages, restitution, or disgorgement of profits or revenues;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suspension or withdrawal of marketing approvals;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refusal to permit the import or export of our products;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product seizure or detention;</w:t>
      </w:r>
    </w:p>
    <w:p>
      <w:pPr>
        <w:spacing w:after="0" w:line="235"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injunctions or the imposition of civil or criminal penalties, including imprisonment.</w:t>
      </w:r>
    </w:p>
    <w:p>
      <w:pPr>
        <w:spacing w:after="0" w:line="235" w:lineRule="exact"/>
        <w:rPr>
          <w:sz w:val="20"/>
          <w:szCs w:val="20"/>
          <w:color w:val="auto"/>
        </w:rPr>
      </w:pPr>
    </w:p>
    <w:p>
      <w:pPr>
        <w:ind w:right="220" w:firstLine="749"/>
        <w:spacing w:after="0" w:line="273" w:lineRule="auto"/>
        <w:rPr>
          <w:sz w:val="20"/>
          <w:szCs w:val="20"/>
          <w:color w:val="auto"/>
        </w:rPr>
      </w:pPr>
      <w:r>
        <w:rPr>
          <w:rFonts w:ascii="Arial" w:cs="Arial" w:eastAsia="Arial" w:hAnsi="Arial"/>
          <w:sz w:val="16"/>
          <w:szCs w:val="16"/>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89" w:lineRule="exact"/>
        <w:rPr>
          <w:sz w:val="20"/>
          <w:szCs w:val="20"/>
          <w:color w:val="auto"/>
        </w:rPr>
      </w:pPr>
    </w:p>
    <w:p>
      <w:pPr>
        <w:ind w:right="320" w:firstLine="749"/>
        <w:spacing w:after="0" w:line="273"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89" w:lineRule="exact"/>
        <w:rPr>
          <w:sz w:val="20"/>
          <w:szCs w:val="20"/>
          <w:color w:val="auto"/>
        </w:rPr>
      </w:pPr>
    </w:p>
    <w:p>
      <w:pPr>
        <w:ind w:right="580" w:firstLine="749"/>
        <w:spacing w:after="0" w:line="204" w:lineRule="exact"/>
        <w:rPr>
          <w:sz w:val="20"/>
          <w:szCs w:val="20"/>
          <w:color w:val="auto"/>
        </w:rPr>
      </w:pPr>
      <w:r>
        <w:rPr>
          <w:rFonts w:ascii="Arial" w:cs="Arial" w:eastAsia="Arial" w:hAnsi="Arial"/>
          <w:sz w:val="16"/>
          <w:szCs w:val="16"/>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6"/>
          <w:szCs w:val="16"/>
          <w:color w:val="auto"/>
        </w:rPr>
        <w:t>‑</w:t>
      </w:r>
      <w:r>
        <w:rPr>
          <w:rFonts w:ascii="Arial" w:cs="Arial" w:eastAsia="Arial" w:hAnsi="Arial"/>
          <w:sz w:val="16"/>
          <w:szCs w:val="16"/>
          <w:color w:val="auto"/>
        </w:rPr>
        <w:t>approval regulations may have a negative effect on our operating results and financial condition.</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4" w:name="page55"/>
    <w:bookmarkEnd w:id="5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72" w:lineRule="exact"/>
        <w:rPr>
          <w:sz w:val="20"/>
          <w:szCs w:val="20"/>
          <w:color w:val="auto"/>
        </w:rPr>
      </w:pPr>
    </w:p>
    <w:p>
      <w:pPr>
        <w:ind w:right="60" w:firstLine="749"/>
        <w:spacing w:after="0" w:line="328" w:lineRule="auto"/>
        <w:rPr>
          <w:sz w:val="20"/>
          <w:szCs w:val="20"/>
          <w:color w:val="auto"/>
        </w:rPr>
      </w:pPr>
      <w:r>
        <w:rPr>
          <w:rFonts w:ascii="Arial" w:cs="Arial" w:eastAsia="Arial" w:hAnsi="Arial"/>
          <w:sz w:val="15"/>
          <w:szCs w:val="15"/>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5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different regulatory requirements for approval of drugs in foreign countries;</w:t>
      </w:r>
    </w:p>
    <w:p>
      <w:pPr>
        <w:spacing w:after="0" w:line="235" w:lineRule="exact"/>
        <w:rPr>
          <w:sz w:val="20"/>
          <w:szCs w:val="20"/>
          <w:color w:val="auto"/>
        </w:rPr>
      </w:pPr>
    </w:p>
    <w:p>
      <w:pPr>
        <w:ind w:left="700" w:right="20"/>
        <w:spacing w:after="0" w:line="204" w:lineRule="exact"/>
        <w:rPr>
          <w:sz w:val="20"/>
          <w:szCs w:val="20"/>
          <w:color w:val="auto"/>
        </w:rPr>
      </w:pPr>
      <w:r>
        <w:rPr>
          <w:rFonts w:ascii="Arial" w:cs="Arial" w:eastAsia="Arial" w:hAnsi="Arial"/>
          <w:sz w:val="16"/>
          <w:szCs w:val="16"/>
          <w:color w:val="auto"/>
        </w:rPr>
        <w:t>the potential for so</w:t>
      </w:r>
      <w:r>
        <w:rPr>
          <w:rFonts w:ascii="MS PGothic" w:cs="MS PGothic" w:eastAsia="MS PGothic" w:hAnsi="MS PGothic"/>
          <w:sz w:val="16"/>
          <w:szCs w:val="16"/>
          <w:color w:val="auto"/>
        </w:rPr>
        <w:t>‑</w:t>
      </w:r>
      <w:r>
        <w:rPr>
          <w:rFonts w:ascii="Arial" w:cs="Arial" w:eastAsia="Arial" w:hAnsi="Arial"/>
          <w:sz w:val="16"/>
          <w:szCs w:val="16"/>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14" w:lineRule="exact"/>
        <w:rPr>
          <w:sz w:val="20"/>
          <w:szCs w:val="20"/>
          <w:color w:val="auto"/>
        </w:rPr>
      </w:pPr>
    </w:p>
    <w:p>
      <w:pPr>
        <w:ind w:left="700"/>
        <w:spacing w:after="0" w:line="293" w:lineRule="auto"/>
        <w:rPr>
          <w:sz w:val="20"/>
          <w:szCs w:val="20"/>
          <w:color w:val="auto"/>
        </w:rPr>
      </w:pPr>
      <w:r>
        <w:rPr>
          <w:rFonts w:ascii="Arial" w:cs="Arial" w:eastAsia="Arial" w:hAnsi="Arial"/>
          <w:sz w:val="16"/>
          <w:szCs w:val="16"/>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72" w:lineRule="exact"/>
        <w:rPr>
          <w:sz w:val="20"/>
          <w:szCs w:val="20"/>
          <w:color w:val="auto"/>
        </w:rPr>
      </w:pPr>
    </w:p>
    <w:p>
      <w:pPr>
        <w:ind w:left="700" w:right="340"/>
        <w:spacing w:after="0" w:line="293" w:lineRule="auto"/>
        <w:rPr>
          <w:sz w:val="20"/>
          <w:szCs w:val="20"/>
          <w:color w:val="auto"/>
        </w:rPr>
      </w:pPr>
      <w:r>
        <w:rPr>
          <w:rFonts w:ascii="Arial" w:cs="Arial" w:eastAsia="Arial" w:hAnsi="Arial"/>
          <w:sz w:val="16"/>
          <w:szCs w:val="16"/>
          <w:color w:val="auto"/>
        </w:rPr>
        <w:t>challenges enforcing our contractual and intellectual property rights, especially in those foreign countries that do not respect and protect intellectual property rights to the same extent as the United States;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unexpected changes in tariffs, trade barriers, and regulatory requirements and in the health care policies of foreign jurisdictions;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economic weakness, including inflation, or political instability in particular foreign economies and markets;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compliance with tax, employment, immigration, and labor laws for employees living or traveling abroad;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foreign taxes, including withholding of payroll taxes;</w:t>
      </w:r>
    </w:p>
    <w:p>
      <w:pPr>
        <w:spacing w:after="0" w:line="235" w:lineRule="exact"/>
        <w:rPr>
          <w:sz w:val="20"/>
          <w:szCs w:val="20"/>
          <w:color w:val="auto"/>
        </w:rPr>
      </w:pPr>
    </w:p>
    <w:p>
      <w:pPr>
        <w:ind w:left="700" w:right="460"/>
        <w:spacing w:after="0" w:line="293" w:lineRule="auto"/>
        <w:rPr>
          <w:sz w:val="20"/>
          <w:szCs w:val="20"/>
          <w:color w:val="auto"/>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difficulties staffing and managing foreign operations;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workforce uncertainty in countries where labor unrest is more common than in the United States and worker rights tend to be stronger;</w:t>
      </w:r>
    </w:p>
    <w:p>
      <w:pPr>
        <w:spacing w:after="0" w:line="235"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costs of compliance with U.S. laws and regulations for foreign operations, including the Foreign Corrupt Practices Act or comparable foreign regulations, and the risks and costs of noncompliance;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5" w:name="page56"/>
    <w:bookmarkEnd w:id="5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production shortages resulting from any events affecting raw material supply or manufacturing capabilities abroad;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business interruptions resulting from geopolitical actions, including war and terrorism, or natural disasters including earthquakes, typhoons, floods, and fires.</w:t>
      </w:r>
    </w:p>
    <w:p>
      <w:pPr>
        <w:spacing w:after="0" w:line="246" w:lineRule="exact"/>
        <w:rPr>
          <w:sz w:val="20"/>
          <w:szCs w:val="20"/>
          <w:color w:val="auto"/>
        </w:rPr>
      </w:pPr>
    </w:p>
    <w:p>
      <w:pPr>
        <w:ind w:left="760"/>
        <w:spacing w:after="0"/>
        <w:rPr>
          <w:sz w:val="20"/>
          <w:szCs w:val="20"/>
          <w:color w:val="auto"/>
        </w:rPr>
      </w:pPr>
      <w:r>
        <w:rPr>
          <w:rFonts w:ascii="Arial" w:cs="Arial" w:eastAsia="Arial" w:hAnsi="Arial"/>
          <w:sz w:val="15"/>
          <w:szCs w:val="15"/>
          <w:color w:val="auto"/>
        </w:rPr>
        <w:t>These and other risks associated with our international operations may materially adversely affect our ability to attain or maintain profitable operations.</w:t>
      </w:r>
    </w:p>
    <w:p>
      <w:pPr>
        <w:spacing w:after="0" w:line="24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72"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COMMERCIALIZATION OF OUR PRODUCT CANDIDATES</w:t>
      </w:r>
    </w:p>
    <w:p>
      <w:pPr>
        <w:spacing w:after="0" w:line="239" w:lineRule="exact"/>
        <w:rPr>
          <w:sz w:val="20"/>
          <w:szCs w:val="20"/>
          <w:color w:val="auto"/>
        </w:rPr>
      </w:pPr>
    </w:p>
    <w:p>
      <w:pPr>
        <w:ind w:right="940"/>
        <w:spacing w:after="0" w:line="293" w:lineRule="auto"/>
        <w:rPr>
          <w:sz w:val="20"/>
          <w:szCs w:val="20"/>
          <w:color w:val="auto"/>
        </w:rPr>
      </w:pPr>
      <w:r>
        <w:rPr>
          <w:rFonts w:ascii="Arial" w:cs="Arial" w:eastAsia="Arial" w:hAnsi="Arial"/>
          <w:sz w:val="16"/>
          <w:szCs w:val="16"/>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72"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4" w:lineRule="exact"/>
        <w:rPr>
          <w:sz w:val="20"/>
          <w:szCs w:val="20"/>
          <w:color w:val="auto"/>
        </w:rPr>
      </w:pPr>
    </w:p>
    <w:p>
      <w:pPr>
        <w:ind w:right="80" w:firstLine="749"/>
        <w:spacing w:after="0" w:line="271" w:lineRule="auto"/>
        <w:rPr>
          <w:sz w:val="20"/>
          <w:szCs w:val="20"/>
          <w:color w:val="auto"/>
        </w:rPr>
      </w:pPr>
      <w:r>
        <w:rPr>
          <w:rFonts w:ascii="Arial" w:cs="Arial" w:eastAsia="Arial" w:hAnsi="Arial"/>
          <w:sz w:val="16"/>
          <w:szCs w:val="16"/>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AbbVie Inc.; Amgen Inc.; Avadel Pharmaceuticals plc; Biogen Inc.; Biohaven Pharmaceutical Holding Company Ltd.; Eli Lilly and Company; H. Lundbeck A/S; Harmony Biosciences; Intra-Cellular Therapies, Inc.; Janssen; Jazz Pharmaceuticals plc; Otsuka Pharmaceutical Co. Ltd.; Relmada Therapeutics Inc.; Sage Therapeutics, Inc.; and Takeda Pharmaceutical Company Limited.</w:t>
      </w:r>
    </w:p>
    <w:p>
      <w:pPr>
        <w:spacing w:after="0" w:line="190" w:lineRule="exact"/>
        <w:rPr>
          <w:sz w:val="20"/>
          <w:szCs w:val="20"/>
          <w:color w:val="auto"/>
        </w:rPr>
      </w:pPr>
    </w:p>
    <w:p>
      <w:pPr>
        <w:ind w:right="60" w:firstLine="749"/>
        <w:spacing w:after="0" w:line="203" w:lineRule="exact"/>
        <w:rPr>
          <w:sz w:val="20"/>
          <w:szCs w:val="20"/>
          <w:color w:val="auto"/>
        </w:rPr>
      </w:pPr>
      <w:r>
        <w:rPr>
          <w:rFonts w:ascii="Arial" w:cs="Arial" w:eastAsia="Arial" w:hAnsi="Arial"/>
          <w:sz w:val="15"/>
          <w:szCs w:val="15"/>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5"/>
          <w:szCs w:val="15"/>
          <w:color w:val="auto"/>
        </w:rPr>
        <w:t>‑</w:t>
      </w:r>
      <w:r>
        <w:rPr>
          <w:rFonts w:ascii="Arial" w:cs="Arial" w:eastAsia="Arial" w:hAnsi="Arial"/>
          <w:sz w:val="15"/>
          <w:szCs w:val="15"/>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215" w:lineRule="exact"/>
        <w:rPr>
          <w:sz w:val="20"/>
          <w:szCs w:val="20"/>
          <w:color w:val="auto"/>
        </w:rPr>
      </w:pPr>
    </w:p>
    <w:p>
      <w:pPr>
        <w:ind w:right="200" w:firstLine="749"/>
        <w:spacing w:after="0" w:line="271" w:lineRule="auto"/>
        <w:rPr>
          <w:sz w:val="20"/>
          <w:szCs w:val="20"/>
          <w:color w:val="auto"/>
        </w:rPr>
      </w:pPr>
      <w:r>
        <w:rPr>
          <w:rFonts w:ascii="Arial" w:cs="Arial" w:eastAsia="Arial" w:hAnsi="Arial"/>
          <w:sz w:val="16"/>
          <w:szCs w:val="16"/>
          <w:color w:val="auto"/>
        </w:rPr>
        <w:t>Generic forms of the active ingredients of our product candidates, including zoledronic acid, dextromethorphan, bupropion, meloxicam, rizatripan, reboxetine, and esomeprazole, are available in the United States and abroad and could be used off-label. Any such off-label use could adversely affect our profitability and have a negative effect on our operating results and financial condition. For example, even though meloxicam is not currently approved for the treatment of acute migraine, we would not be able to prevent a physician from prescribing it for such treatment. Nor could we prevent a payor from offering favorable coverage for such product and disadvantaging our product candidates, even if the generics would be used off-label.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6" w:name="page57"/>
    <w:bookmarkEnd w:id="5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40" w:firstLine="749"/>
        <w:spacing w:after="0" w:line="291"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6"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84"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5"/>
          <w:szCs w:val="15"/>
          <w:color w:val="auto"/>
        </w:rPr>
        <w:t>‑</w:t>
      </w:r>
      <w:r>
        <w:rPr>
          <w:rFonts w:ascii="Arial" w:cs="Arial" w:eastAsia="Arial" w:hAnsi="Arial"/>
          <w:sz w:val="15"/>
          <w:szCs w:val="15"/>
          <w:color w:val="auto"/>
        </w:rPr>
        <w:t>party payors. Thus, following the introduction of a generic drug, a significant percentage of the sales of any branded product or reference listed drug is typically lost to the generic product.</w:t>
      </w:r>
    </w:p>
    <w:p>
      <w:pPr>
        <w:spacing w:after="0" w:line="215" w:lineRule="exact"/>
        <w:rPr>
          <w:sz w:val="20"/>
          <w:szCs w:val="20"/>
          <w:color w:val="auto"/>
        </w:rPr>
      </w:pPr>
    </w:p>
    <w:p>
      <w:pPr>
        <w:jc w:val="both"/>
        <w:ind w:right="140" w:firstLine="749"/>
        <w:spacing w:after="0" w:line="305" w:lineRule="auto"/>
        <w:rPr>
          <w:sz w:val="20"/>
          <w:szCs w:val="20"/>
          <w:color w:val="auto"/>
        </w:rPr>
      </w:pPr>
      <w:r>
        <w:rPr>
          <w:rFonts w:ascii="Arial" w:cs="Arial" w:eastAsia="Arial" w:hAnsi="Arial"/>
          <w:sz w:val="15"/>
          <w:szCs w:val="15"/>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66" w:lineRule="exact"/>
        <w:rPr>
          <w:sz w:val="20"/>
          <w:szCs w:val="20"/>
          <w:color w:val="auto"/>
        </w:rPr>
      </w:pPr>
    </w:p>
    <w:p>
      <w:pPr>
        <w:ind w:right="20" w:firstLine="749"/>
        <w:spacing w:after="0" w:line="203" w:lineRule="exact"/>
        <w:rPr>
          <w:sz w:val="20"/>
          <w:szCs w:val="20"/>
          <w:color w:val="auto"/>
        </w:rPr>
      </w:pPr>
      <w:r>
        <w:rPr>
          <w:rFonts w:ascii="Arial" w:cs="Arial" w:eastAsia="Arial" w:hAnsi="Arial"/>
          <w:sz w:val="15"/>
          <w:szCs w:val="15"/>
          <w:color w:val="auto"/>
        </w:rPr>
        <w:t>Further, if we do not file a patent infringement lawsuit against a generic manufacturer within 45 days of receiving notice of its paragraph IV certification, the ANDA or 505(b)(2) applicant may not be subject to a 30</w:t>
      </w:r>
      <w:r>
        <w:rPr>
          <w:rFonts w:ascii="MS PGothic" w:cs="MS PGothic" w:eastAsia="MS PGothic" w:hAnsi="MS PGothic"/>
          <w:sz w:val="15"/>
          <w:szCs w:val="15"/>
          <w:color w:val="auto"/>
        </w:rPr>
        <w:t>‑</w:t>
      </w:r>
      <w:r>
        <w:rPr>
          <w:rFonts w:ascii="Arial" w:cs="Arial" w:eastAsia="Arial" w:hAnsi="Arial"/>
          <w:sz w:val="15"/>
          <w:szCs w:val="15"/>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215"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We currently anticipate that we may be eligible for three years of non-patent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third-party payors from reimbursing for them, since providers are not prohibited from prescribing medications for indications other than the approved indications listed on the label. Moreover, a 505(b)(2) applicant could rely on a reference listed drug that is not one of our product candidates, or published literature, in which case any periods of patent or non-patent protection may not prevent FDA making an approval effective.</w:t>
      </w:r>
    </w:p>
    <w:p>
      <w:pPr>
        <w:spacing w:after="0" w:line="194" w:lineRule="exact"/>
        <w:rPr>
          <w:sz w:val="20"/>
          <w:szCs w:val="20"/>
          <w:color w:val="auto"/>
        </w:rPr>
      </w:pPr>
    </w:p>
    <w:p>
      <w:pPr>
        <w:ind w:right="80" w:firstLine="749"/>
        <w:spacing w:after="0" w:line="293" w:lineRule="auto"/>
        <w:rPr>
          <w:sz w:val="20"/>
          <w:szCs w:val="20"/>
          <w:color w:val="auto"/>
        </w:rPr>
      </w:pPr>
      <w:r>
        <w:rPr>
          <w:rFonts w:ascii="Arial" w:cs="Arial" w:eastAsia="Arial" w:hAnsi="Arial"/>
          <w:sz w:val="16"/>
          <w:szCs w:val="16"/>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72" w:lineRule="exact"/>
        <w:rPr>
          <w:sz w:val="20"/>
          <w:szCs w:val="20"/>
          <w:color w:val="auto"/>
        </w:rPr>
      </w:pPr>
    </w:p>
    <w:p>
      <w:pPr>
        <w:ind w:right="40"/>
        <w:spacing w:after="0" w:line="278" w:lineRule="auto"/>
        <w:rPr>
          <w:sz w:val="20"/>
          <w:szCs w:val="20"/>
          <w:color w:val="auto"/>
        </w:rPr>
      </w:pPr>
      <w:r>
        <w:rPr>
          <w:rFonts w:ascii="Arial" w:cs="Arial" w:eastAsia="Arial" w:hAnsi="Arial"/>
          <w:sz w:val="16"/>
          <w:szCs w:val="16"/>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84" w:lineRule="exact"/>
        <w:rPr>
          <w:sz w:val="20"/>
          <w:szCs w:val="20"/>
          <w:color w:val="auto"/>
        </w:rPr>
      </w:pPr>
    </w:p>
    <w:p>
      <w:pPr>
        <w:ind w:right="480" w:firstLine="749"/>
        <w:spacing w:after="0" w:line="293" w:lineRule="auto"/>
        <w:rPr>
          <w:sz w:val="20"/>
          <w:szCs w:val="20"/>
          <w:color w:val="auto"/>
        </w:rPr>
      </w:pPr>
      <w:r>
        <w:rPr>
          <w:rFonts w:ascii="Arial" w:cs="Arial" w:eastAsia="Arial" w:hAnsi="Arial"/>
          <w:sz w:val="16"/>
          <w:szCs w:val="16"/>
          <w:color w:val="auto"/>
        </w:rPr>
        <w:t>AXS-12 received Orphan Drug Designation from FDA for the treatment of narcolepsy. We may also seek Orphan Drug Designation for our other product candidates, as appropriate.</w:t>
      </w:r>
    </w:p>
    <w:p>
      <w:pPr>
        <w:spacing w:after="0" w:line="172" w:lineRule="exact"/>
        <w:rPr>
          <w:sz w:val="20"/>
          <w:szCs w:val="20"/>
          <w:color w:val="auto"/>
        </w:rPr>
      </w:pPr>
    </w:p>
    <w:p>
      <w:pPr>
        <w:ind w:right="20" w:firstLine="749"/>
        <w:spacing w:after="0" w:line="269" w:lineRule="auto"/>
        <w:rPr>
          <w:sz w:val="20"/>
          <w:szCs w:val="20"/>
          <w:color w:val="auto"/>
        </w:rPr>
      </w:pPr>
      <w:r>
        <w:rPr>
          <w:rFonts w:ascii="Arial" w:cs="Arial" w:eastAsia="Arial" w:hAnsi="Arial"/>
          <w:sz w:val="16"/>
          <w:szCs w:val="16"/>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57" w:name="page58"/>
    <w:bookmarkEnd w:id="5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80" w:firstLine="749"/>
        <w:spacing w:after="0" w:line="203" w:lineRule="exact"/>
        <w:rPr>
          <w:sz w:val="20"/>
          <w:szCs w:val="20"/>
          <w:color w:val="auto"/>
        </w:rPr>
      </w:pPr>
      <w:r>
        <w:rPr>
          <w:rFonts w:ascii="Arial" w:cs="Arial" w:eastAsia="Arial" w:hAnsi="Arial"/>
          <w:sz w:val="15"/>
          <w:szCs w:val="15"/>
          <w:color w:val="auto"/>
        </w:rPr>
        <w:t>The FDA or the EMA may grant orphan exclusivity to two different sponsors for the same compound or active molecule and for the same indication. For example, if another sponsor had received FDA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FDA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United States for this indication for a period of at least 7 years. If another sponsor had received EMA approval for a reboxetine</w:t>
      </w:r>
      <w:r>
        <w:rPr>
          <w:rFonts w:ascii="MS PGothic" w:cs="MS PGothic" w:eastAsia="MS PGothic" w:hAnsi="MS PGothic"/>
          <w:sz w:val="15"/>
          <w:szCs w:val="15"/>
          <w:color w:val="auto"/>
        </w:rPr>
        <w:t>‑</w:t>
      </w:r>
      <w:r>
        <w:rPr>
          <w:rFonts w:ascii="Arial" w:cs="Arial" w:eastAsia="Arial" w:hAnsi="Arial"/>
          <w:sz w:val="15"/>
          <w:szCs w:val="15"/>
          <w:color w:val="auto"/>
        </w:rPr>
        <w:t>containing product for the treatment of narcolepsy before we had obtained EMA approval for AXS</w:t>
      </w:r>
      <w:r>
        <w:rPr>
          <w:rFonts w:ascii="MS PGothic" w:cs="MS PGothic" w:eastAsia="MS PGothic" w:hAnsi="MS PGothic"/>
          <w:sz w:val="15"/>
          <w:szCs w:val="15"/>
          <w:color w:val="auto"/>
        </w:rPr>
        <w:t>‑</w:t>
      </w:r>
      <w:r>
        <w:rPr>
          <w:rFonts w:ascii="Arial" w:cs="Arial" w:eastAsia="Arial" w:hAnsi="Arial"/>
          <w:sz w:val="15"/>
          <w:szCs w:val="15"/>
          <w:color w:val="auto"/>
        </w:rPr>
        <w:t>12 for the treatment of narcolepsy, we would have been prevented from launching our product in the EU for this indication for a period of at least 10 to 12 years.</w:t>
      </w:r>
    </w:p>
    <w:p>
      <w:pPr>
        <w:spacing w:after="0" w:line="215" w:lineRule="exact"/>
        <w:rPr>
          <w:sz w:val="20"/>
          <w:szCs w:val="20"/>
          <w:color w:val="auto"/>
        </w:rPr>
      </w:pPr>
    </w:p>
    <w:p>
      <w:pPr>
        <w:ind w:right="180" w:firstLine="749"/>
        <w:spacing w:after="0" w:line="273" w:lineRule="auto"/>
        <w:rPr>
          <w:sz w:val="20"/>
          <w:szCs w:val="20"/>
          <w:color w:val="auto"/>
        </w:rPr>
      </w:pPr>
      <w:r>
        <w:rPr>
          <w:rFonts w:ascii="Arial" w:cs="Arial" w:eastAsia="Arial" w:hAnsi="Arial"/>
          <w:sz w:val="16"/>
          <w:szCs w:val="16"/>
          <w:color w:val="auto"/>
        </w:rPr>
        <w:t>The FDA may undertake a reevaluation of aspects of its orphan drug regulations and policies at any time and may possibly do so in response to a recent court decision regarding the plain meaning of the exclusivity provision of the Orphan Drug Act.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89" w:lineRule="exact"/>
        <w:rPr>
          <w:sz w:val="20"/>
          <w:szCs w:val="20"/>
          <w:color w:val="auto"/>
        </w:rPr>
      </w:pPr>
    </w:p>
    <w:p>
      <w:pPr>
        <w:ind w:right="40"/>
        <w:spacing w:after="0" w:line="369" w:lineRule="auto"/>
        <w:rPr>
          <w:sz w:val="20"/>
          <w:szCs w:val="20"/>
          <w:color w:val="auto"/>
        </w:rPr>
      </w:pPr>
      <w:r>
        <w:rPr>
          <w:rFonts w:ascii="Arial" w:cs="Arial" w:eastAsia="Arial" w:hAnsi="Arial"/>
          <w:sz w:val="14"/>
          <w:szCs w:val="14"/>
          <w:b w:val="1"/>
          <w:bCs w:val="1"/>
          <w:i w:val="1"/>
          <w:iCs w:val="1"/>
          <w:color w:val="auto"/>
        </w:rPr>
        <w:t>Even if we obtain FDA approval of an NDA for our product candidates, if we are unable to establish effective marketing, sales and distribution capabilities or enter into agreements with third parties to market, sell and distribute our product candidates, if they are approved, we may be unable to generate product revenues.</w:t>
      </w:r>
    </w:p>
    <w:p>
      <w:pPr>
        <w:spacing w:after="0" w:line="126" w:lineRule="exact"/>
        <w:rPr>
          <w:sz w:val="20"/>
          <w:szCs w:val="20"/>
          <w:color w:val="auto"/>
        </w:rPr>
      </w:pPr>
    </w:p>
    <w:p>
      <w:pPr>
        <w:ind w:right="20" w:firstLine="749"/>
        <w:spacing w:after="0" w:line="273" w:lineRule="auto"/>
        <w:rPr>
          <w:sz w:val="20"/>
          <w:szCs w:val="20"/>
          <w:color w:val="auto"/>
        </w:rPr>
      </w:pPr>
      <w:r>
        <w:rPr>
          <w:rFonts w:ascii="Arial" w:cs="Arial" w:eastAsia="Arial" w:hAnsi="Arial"/>
          <w:sz w:val="16"/>
          <w:szCs w:val="16"/>
          <w:color w:val="auto"/>
        </w:rPr>
        <w:t>We are currently building a commercial infrastructure for the marketing, sale, and distribution of pharmaceutical products. We plan to build a commercial infrastructure, including the creation of a sales force to launch that product candidate throughout the United States, which will require consideration of a range of federal and state laws. If we commercialize our product candidates outside the United States, we intend to partner with marketing and sales collaborators, rather than with our own sales force.</w:t>
      </w:r>
    </w:p>
    <w:p>
      <w:pPr>
        <w:spacing w:after="0" w:line="189" w:lineRule="exact"/>
        <w:rPr>
          <w:sz w:val="20"/>
          <w:szCs w:val="20"/>
          <w:color w:val="auto"/>
        </w:rPr>
      </w:pPr>
    </w:p>
    <w:p>
      <w:pPr>
        <w:ind w:firstLine="749"/>
        <w:spacing w:after="0" w:line="289" w:lineRule="auto"/>
        <w:rPr>
          <w:sz w:val="20"/>
          <w:szCs w:val="20"/>
          <w:color w:val="auto"/>
        </w:rPr>
      </w:pPr>
      <w:r>
        <w:rPr>
          <w:rFonts w:ascii="Arial" w:cs="Arial" w:eastAsia="Arial" w:hAnsi="Arial"/>
          <w:sz w:val="15"/>
          <w:szCs w:val="15"/>
          <w:color w:val="auto"/>
        </w:rPr>
        <w:t>We have no prior experience in the marketing, sale, and distribution of pharmaceutical products, and there are significant risks involved in the building and managing of a commercial infrastructure. Our role as an NDA holder (if we obtain approval) and a virtual manufacturer, and the establishment and development of our commercial infrastructure and our own sales force, and related compliance plans to market any products we may develop, will be expensive and time consuming and could delay any product launch, and we may not be able to successfully develop these capabilities. We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inability to recruit, train, manage, and retain adequate numbers of effective sales and marketing personnel;</w:t>
      </w:r>
    </w:p>
    <w:p>
      <w:pPr>
        <w:spacing w:after="0" w:line="235" w:lineRule="exact"/>
        <w:rPr>
          <w:sz w:val="20"/>
          <w:szCs w:val="20"/>
          <w:color w:val="auto"/>
        </w:rPr>
      </w:pPr>
    </w:p>
    <w:p>
      <w:pPr>
        <w:ind w:left="700" w:right="540"/>
        <w:spacing w:after="0" w:line="293" w:lineRule="auto"/>
        <w:rPr>
          <w:sz w:val="20"/>
          <w:szCs w:val="20"/>
          <w:color w:val="auto"/>
        </w:rPr>
      </w:pPr>
      <w:r>
        <w:rPr>
          <w:rFonts w:ascii="Arial" w:cs="Arial" w:eastAsia="Arial" w:hAnsi="Arial"/>
          <w:sz w:val="16"/>
          <w:szCs w:val="16"/>
          <w:color w:val="auto"/>
        </w:rPr>
        <w:t>the inability of sales personnel to obtain access to physicians or persuade adequate numbers of physicians to prescribe any of our current or future product candidates;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inability of sales personnel to travel and/or arrange in-person meetings with physicians due to the ongoing COVID-19 pandemic;</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inability to effectively oversee a geographically dispersed sales and marketing team;</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application of federal and state drug distribution and supply chain requirements to our business;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costs associated with training sales and marketing personnel on legal and regulatory compliance matters and monitoring their actions;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 inability to secure adequate coverage and reimbursement by government and private health plans;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clinical indications and labeled claims for which the product is approved;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limitations or warnings, including distribution or use restrictions, contained in the product’s approved labeling;</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distribution and use restrictions imposed by the FDA or to which we agree as part of a mandatory REMS or voluntary risk management plan;</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21" w:lineRule="exact"/>
        <w:rPr>
          <w:sz w:val="20"/>
          <w:szCs w:val="20"/>
          <w:color w:val="auto"/>
        </w:rPr>
      </w:pPr>
    </w:p>
    <w:p>
      <w:pPr>
        <w:ind w:left="700" w:right="140"/>
        <w:spacing w:after="0" w:line="275" w:lineRule="auto"/>
        <w:rPr>
          <w:sz w:val="20"/>
          <w:szCs w:val="20"/>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8" w:name="page59"/>
    <w:bookmarkEnd w:id="5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unforeseen costs and expenses associated with creating an independent sales and marketing organization or engaging a contract sales organization.</w:t>
      </w:r>
    </w:p>
    <w:p>
      <w:pPr>
        <w:spacing w:after="0" w:line="233" w:lineRule="exact"/>
        <w:rPr>
          <w:sz w:val="20"/>
          <w:szCs w:val="20"/>
          <w:color w:val="auto"/>
        </w:rPr>
      </w:pPr>
    </w:p>
    <w:p>
      <w:pPr>
        <w:ind w:firstLine="749"/>
        <w:spacing w:after="0" w:line="304" w:lineRule="auto"/>
        <w:rPr>
          <w:sz w:val="20"/>
          <w:szCs w:val="20"/>
          <w:color w:val="auto"/>
        </w:rPr>
      </w:pPr>
      <w:r>
        <w:rPr>
          <w:rFonts w:ascii="Arial" w:cs="Arial" w:eastAsia="Arial" w:hAnsi="Arial"/>
          <w:sz w:val="14"/>
          <w:szCs w:val="14"/>
          <w:color w:val="auto"/>
        </w:rPr>
        <w:t>As we build our commercial infrastructure prior to approval of a product candidate being approved by the FDA, we will incur expenses prior to product launch in recruiting this sales force and developing a compliant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5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any of our current or future product candidates do not achieve broad market acceptance, the revenues that we generate from their sales will be limited.</w:t>
      </w:r>
    </w:p>
    <w:p>
      <w:pPr>
        <w:spacing w:after="0" w:line="246"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third-party payors may not consider them cost effective without a significant price concession, which could negatively impact our revenue. Third-party payors may also implement onerous access controls, which could further impede our efforts to effectively transition eligible patients to our therapies.</w:t>
      </w:r>
    </w:p>
    <w:p>
      <w:pPr>
        <w:spacing w:after="0" w:line="182" w:lineRule="exact"/>
        <w:rPr>
          <w:sz w:val="20"/>
          <w:szCs w:val="20"/>
          <w:color w:val="auto"/>
        </w:rPr>
      </w:pPr>
    </w:p>
    <w:p>
      <w:pPr>
        <w:ind w:right="80" w:firstLine="749"/>
        <w:spacing w:after="0" w:line="286" w:lineRule="auto"/>
        <w:rPr>
          <w:sz w:val="20"/>
          <w:szCs w:val="20"/>
          <w:color w:val="auto"/>
        </w:rPr>
      </w:pPr>
      <w:r>
        <w:rPr>
          <w:rFonts w:ascii="Arial" w:cs="Arial" w:eastAsia="Arial" w:hAnsi="Arial"/>
          <w:sz w:val="15"/>
          <w:szCs w:val="15"/>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efficacy of our product candidates;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prevalence and severity of adverse events associated with such product candidate;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clinical indications for which the product is approved and the approved claims that we may make for the product;</w:t>
      </w:r>
    </w:p>
    <w:p>
      <w:pPr>
        <w:spacing w:after="0" w:line="221" w:lineRule="exact"/>
        <w:rPr>
          <w:sz w:val="20"/>
          <w:szCs w:val="20"/>
          <w:color w:val="auto"/>
        </w:rPr>
      </w:pPr>
    </w:p>
    <w:p>
      <w:pPr>
        <w:ind w:left="700" w:right="280"/>
        <w:spacing w:after="0" w:line="198" w:lineRule="exact"/>
        <w:rPr>
          <w:sz w:val="20"/>
          <w:szCs w:val="20"/>
          <w:color w:val="auto"/>
        </w:rPr>
      </w:pPr>
      <w:r>
        <w:rPr>
          <w:rFonts w:ascii="Arial" w:cs="Arial" w:eastAsia="Arial" w:hAnsi="Arial"/>
          <w:sz w:val="16"/>
          <w:szCs w:val="16"/>
          <w:color w:val="auto"/>
        </w:rPr>
        <w:t>limitations or warnings contained in the product’s FDA</w:t>
      </w:r>
      <w:r>
        <w:rPr>
          <w:rFonts w:ascii="MS PGothic" w:cs="MS PGothic" w:eastAsia="MS PGothic" w:hAnsi="MS PGothic"/>
          <w:sz w:val="16"/>
          <w:szCs w:val="16"/>
          <w:color w:val="auto"/>
        </w:rPr>
        <w:t>‑</w:t>
      </w:r>
      <w:r>
        <w:rPr>
          <w:rFonts w:ascii="Arial" w:cs="Arial" w:eastAsia="Arial" w:hAnsi="Arial"/>
          <w:sz w:val="16"/>
          <w:szCs w:val="16"/>
          <w:color w:val="auto"/>
        </w:rPr>
        <w:t>approved labeling, including potential limitations or warnings for such product candidate, that may be more restrictive than other competitive products;</w:t>
      </w:r>
    </w:p>
    <w:p>
      <w:pPr>
        <w:spacing w:after="0" w:line="200" w:lineRule="exact"/>
        <w:rPr>
          <w:sz w:val="20"/>
          <w:szCs w:val="20"/>
          <w:color w:val="auto"/>
        </w:rPr>
      </w:pPr>
    </w:p>
    <w:p>
      <w:pPr>
        <w:ind w:left="700"/>
        <w:spacing w:after="0" w:line="275" w:lineRule="auto"/>
        <w:rPr>
          <w:sz w:val="20"/>
          <w:szCs w:val="20"/>
          <w:color w:val="auto"/>
        </w:rPr>
      </w:pPr>
      <w:r>
        <w:rPr>
          <w:rFonts w:ascii="Arial" w:cs="Arial" w:eastAsia="Arial" w:hAnsi="Arial"/>
          <w:sz w:val="16"/>
          <w:szCs w:val="16"/>
          <w:color w:val="auto"/>
        </w:rPr>
        <w:t>changes in the standard of care for the targeted indications for such product candidate, which could reduce the marketing impact of any claims that we could make following FDA approval, if obtained;</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relative convenience and ease of administration of such product candidate;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cost of treatment versus economic and clinical benefit in relation to alternative treatments or therapies;</w:t>
      </w:r>
    </w:p>
    <w:p>
      <w:pPr>
        <w:spacing w:after="0" w:line="221" w:lineRule="exact"/>
        <w:rPr>
          <w:sz w:val="20"/>
          <w:szCs w:val="20"/>
          <w:color w:val="auto"/>
        </w:rPr>
      </w:pPr>
    </w:p>
    <w:p>
      <w:pPr>
        <w:ind w:left="700" w:right="120"/>
        <w:spacing w:after="0" w:line="275" w:lineRule="auto"/>
        <w:rPr>
          <w:sz w:val="20"/>
          <w:szCs w:val="20"/>
          <w:color w:val="auto"/>
        </w:rPr>
      </w:pPr>
      <w:r>
        <w:rPr>
          <w:rFonts w:ascii="Arial" w:cs="Arial" w:eastAsia="Arial" w:hAnsi="Arial"/>
          <w:sz w:val="16"/>
          <w:szCs w:val="16"/>
          <w:color w:val="auto"/>
        </w:rPr>
        <w:t>the availability of adequate coverage or reimbursement by third parties, such as insurance companies and other healthcare payors, and by government healthcare programs, including Medicare and Medicaid;</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willingness of third-party payors to prefer similar but less expensive products even if not approved for our product’s indication;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extent and strength of our marketing and distribution of such product candidate;</w:t>
      </w:r>
    </w:p>
    <w:p>
      <w:pPr>
        <w:spacing w:after="0" w:line="221" w:lineRule="exact"/>
        <w:rPr>
          <w:sz w:val="20"/>
          <w:szCs w:val="20"/>
          <w:color w:val="auto"/>
        </w:rPr>
      </w:pPr>
    </w:p>
    <w:p>
      <w:pPr>
        <w:ind w:left="700" w:right="480"/>
        <w:spacing w:after="0" w:line="275" w:lineRule="auto"/>
        <w:rPr>
          <w:sz w:val="20"/>
          <w:szCs w:val="20"/>
          <w:color w:val="auto"/>
        </w:rPr>
      </w:pPr>
      <w:r>
        <w:rPr>
          <w:rFonts w:ascii="Arial" w:cs="Arial" w:eastAsia="Arial" w:hAnsi="Arial"/>
          <w:sz w:val="16"/>
          <w:szCs w:val="16"/>
          <w:color w:val="auto"/>
        </w:rPr>
        <w:t>the safety, efficacy, and other potential advantages over, and availability of, alternative treatments already used or that may later be approved for any of our intended indications;</w:t>
      </w:r>
    </w:p>
    <w:p>
      <w:pPr>
        <w:spacing w:after="0" w:line="172" w:lineRule="exact"/>
        <w:rPr>
          <w:sz w:val="20"/>
          <w:szCs w:val="20"/>
          <w:color w:val="auto"/>
        </w:rPr>
      </w:pPr>
    </w:p>
    <w:p>
      <w:pPr>
        <w:ind w:left="700" w:right="420"/>
        <w:spacing w:after="0" w:line="275" w:lineRule="auto"/>
        <w:rPr>
          <w:sz w:val="20"/>
          <w:szCs w:val="20"/>
          <w:color w:val="auto"/>
        </w:rPr>
      </w:pPr>
      <w:r>
        <w:rPr>
          <w:rFonts w:ascii="Arial" w:cs="Arial" w:eastAsia="Arial" w:hAnsi="Arial"/>
          <w:sz w:val="16"/>
          <w:szCs w:val="16"/>
          <w:color w:val="auto"/>
        </w:rPr>
        <w:t>distribution and use restrictions imposed by the FDA with respect to such product candidate or to which we agree as part of a mandatory risk evaluation and mitigation strategy or voluntary risk management plan;</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timing of market introduction of such product candidate, as well as competitive products;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ability to offer such product candidate for sale at competitive prices, including prices that are competitive with generic products;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9" w:name="page60"/>
    <w:bookmarkEnd w:id="5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21" w:lineRule="exact"/>
        <w:rPr>
          <w:sz w:val="20"/>
          <w:szCs w:val="20"/>
          <w:color w:val="auto"/>
        </w:rPr>
      </w:pPr>
    </w:p>
    <w:p>
      <w:pPr>
        <w:ind w:left="700"/>
        <w:spacing w:after="0" w:line="184" w:lineRule="exact"/>
        <w:rPr>
          <w:sz w:val="20"/>
          <w:szCs w:val="20"/>
          <w:color w:val="auto"/>
        </w:rPr>
      </w:pPr>
      <w:r>
        <w:rPr>
          <w:rFonts w:ascii="Arial" w:cs="Arial" w:eastAsia="Arial" w:hAnsi="Arial"/>
          <w:sz w:val="16"/>
          <w:szCs w:val="16"/>
          <w:color w:val="auto"/>
        </w:rPr>
        <w:t>the extent and strength of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 and supplier support;</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approval of other new products for the same indications;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adverse publicity about the product or favorable publicity about competitive products; and</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potential product liability claims.</w:t>
      </w:r>
    </w:p>
    <w:p>
      <w:pPr>
        <w:spacing w:after="0" w:line="221" w:lineRule="exact"/>
        <w:rPr>
          <w:sz w:val="20"/>
          <w:szCs w:val="20"/>
          <w:color w:val="auto"/>
        </w:rPr>
      </w:pPr>
    </w:p>
    <w:p>
      <w:pPr>
        <w:ind w:right="20" w:firstLine="749"/>
        <w:spacing w:after="0" w:line="19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201" w:lineRule="exact"/>
        <w:rPr>
          <w:sz w:val="20"/>
          <w:szCs w:val="20"/>
          <w:color w:val="auto"/>
        </w:rPr>
      </w:pPr>
    </w:p>
    <w:p>
      <w:pPr>
        <w:ind w:right="100" w:firstLine="749"/>
        <w:spacing w:after="0" w:line="204" w:lineRule="exact"/>
        <w:rPr>
          <w:sz w:val="20"/>
          <w:szCs w:val="20"/>
          <w:color w:val="auto"/>
        </w:rPr>
      </w:pPr>
      <w:r>
        <w:rPr>
          <w:rFonts w:ascii="Arial" w:cs="Arial" w:eastAsia="Arial" w:hAnsi="Arial"/>
          <w:sz w:val="16"/>
          <w:szCs w:val="16"/>
          <w:color w:val="auto"/>
        </w:rPr>
        <w:t>The ability of patients to purchase certain of the active ingredients of our product candidates in generic form could put us at a competitive disadvantage. For example, in some foreign jurisdictions, generic oral forms of dextromethorphan and bupropion are currently available individually for consumer purchase. In addition, physicians may prescribe generic zoledronic acid for the treatment of pain off</w:t>
      </w:r>
      <w:r>
        <w:rPr>
          <w:rFonts w:ascii="MS PGothic" w:cs="MS PGothic" w:eastAsia="MS PGothic" w:hAnsi="MS PGothic"/>
          <w:sz w:val="16"/>
          <w:szCs w:val="16"/>
          <w:color w:val="auto"/>
        </w:rPr>
        <w:t>‑</w:t>
      </w:r>
      <w:r>
        <w:rPr>
          <w:rFonts w:ascii="Arial" w:cs="Arial" w:eastAsia="Arial" w:hAnsi="Arial"/>
          <w:sz w:val="16"/>
          <w:szCs w:val="16"/>
          <w:color w:val="auto"/>
        </w:rPr>
        <w:t>label. Any use of these generic forms of the active molecules of our product candidates could adversely affect our business and our results of operations.</w:t>
      </w:r>
    </w:p>
    <w:p>
      <w:pPr>
        <w:spacing w:after="0" w:line="213" w:lineRule="exact"/>
        <w:rPr>
          <w:sz w:val="20"/>
          <w:szCs w:val="20"/>
          <w:color w:val="auto"/>
        </w:rPr>
      </w:pPr>
    </w:p>
    <w:p>
      <w:pPr>
        <w:ind w:right="200" w:firstLine="749"/>
        <w:spacing w:after="0" w:line="204" w:lineRule="exact"/>
        <w:rPr>
          <w:sz w:val="20"/>
          <w:szCs w:val="20"/>
          <w:color w:val="auto"/>
        </w:rPr>
      </w:pPr>
      <w:r>
        <w:rPr>
          <w:rFonts w:ascii="Arial" w:cs="Arial" w:eastAsia="Arial" w:hAnsi="Arial"/>
          <w:sz w:val="16"/>
          <w:szCs w:val="16"/>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6"/>
          <w:szCs w:val="16"/>
          <w:color w:val="auto"/>
        </w:rPr>
        <w:t>‑</w:t>
      </w:r>
      <w:r>
        <w:rPr>
          <w:rFonts w:ascii="Arial" w:cs="Arial" w:eastAsia="Arial" w:hAnsi="Arial"/>
          <w:sz w:val="16"/>
          <w:szCs w:val="16"/>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213"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72" w:lineRule="exact"/>
        <w:rPr>
          <w:sz w:val="20"/>
          <w:szCs w:val="20"/>
          <w:color w:val="auto"/>
        </w:rPr>
      </w:pPr>
    </w:p>
    <w:p>
      <w:pPr>
        <w:ind w:firstLine="749"/>
        <w:spacing w:after="0" w:line="268" w:lineRule="auto"/>
        <w:rPr>
          <w:sz w:val="20"/>
          <w:szCs w:val="20"/>
          <w:color w:val="auto"/>
        </w:rPr>
      </w:pPr>
      <w:r>
        <w:rPr>
          <w:rFonts w:ascii="Arial" w:cs="Arial" w:eastAsia="Arial" w:hAnsi="Arial"/>
          <w:sz w:val="15"/>
          <w:szCs w:val="15"/>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 loss of revenue from including from:</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decreased demand for our products and/or product candidates;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impairment of our business reputation or financial stability;</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costs of related litigation;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substantial monetary awards to patients or other claimants;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diversion of management attention;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loss of revenues;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withdrawal of clinical trial participants and potential termination of clinical trial sites or entire clinical programs;</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inability to commercialize our product candidates;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0" w:name="page61"/>
    <w:bookmarkEnd w:id="6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significant negative media attention;</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decrease in our stock price;</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initiation of investigations and enforcement actions by regulators; and</w:t>
      </w:r>
    </w:p>
    <w:p>
      <w:pPr>
        <w:spacing w:after="0" w:line="2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product recalls, withdrawals, or labeling, marketing, or promotional restrictions.</w:t>
      </w:r>
    </w:p>
    <w:p>
      <w:pPr>
        <w:spacing w:after="0" w:line="221" w:lineRule="exact"/>
        <w:rPr>
          <w:sz w:val="20"/>
          <w:szCs w:val="20"/>
          <w:color w:val="auto"/>
        </w:rPr>
      </w:pPr>
    </w:p>
    <w:p>
      <w:pPr>
        <w:ind w:firstLine="749"/>
        <w:spacing w:after="0" w:line="269" w:lineRule="auto"/>
        <w:rPr>
          <w:sz w:val="20"/>
          <w:szCs w:val="20"/>
          <w:color w:val="auto"/>
        </w:rPr>
      </w:pPr>
      <w:r>
        <w:rPr>
          <w:rFonts w:ascii="Arial" w:cs="Arial" w:eastAsia="Arial" w:hAnsi="Arial"/>
          <w:sz w:val="15"/>
          <w:szCs w:val="15"/>
          <w:color w:val="auto"/>
        </w:rPr>
        <w:t>We have obtained limited product liability insurance coverage for our products and our clinical trials with a $8.0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225" w:lineRule="exact"/>
        <w:rPr>
          <w:sz w:val="20"/>
          <w:szCs w:val="20"/>
          <w:color w:val="auto"/>
        </w:rPr>
      </w:pPr>
    </w:p>
    <w:p>
      <w:pPr>
        <w:ind w:right="340"/>
        <w:spacing w:after="0" w:line="349" w:lineRule="auto"/>
        <w:rPr>
          <w:sz w:val="20"/>
          <w:szCs w:val="20"/>
          <w:color w:val="auto"/>
        </w:rPr>
      </w:pPr>
      <w:r>
        <w:rPr>
          <w:rFonts w:ascii="Arial" w:cs="Arial" w:eastAsia="Arial" w:hAnsi="Arial"/>
          <w:sz w:val="14"/>
          <w:szCs w:val="14"/>
          <w:b w:val="1"/>
          <w:bCs w:val="1"/>
          <w:i w:val="1"/>
          <w:iCs w:val="1"/>
          <w:color w:val="auto"/>
        </w:rPr>
        <w:t>We rely, and expect to continue to rely, on third parties to conduct, supervise, and monitor our preclinical studies and clinical trials, and those third parties may not perform satisfactorily, including by failing to meet deadlines for the completion of such trials or failing to comply with regulatory requirements.</w:t>
      </w:r>
    </w:p>
    <w:p>
      <w:pPr>
        <w:spacing w:after="0" w:line="126" w:lineRule="exact"/>
        <w:rPr>
          <w:sz w:val="20"/>
          <w:szCs w:val="20"/>
          <w:color w:val="auto"/>
        </w:rPr>
      </w:pPr>
    </w:p>
    <w:p>
      <w:pPr>
        <w:ind w:firstLine="749"/>
        <w:spacing w:after="0" w:line="192" w:lineRule="exact"/>
        <w:rPr>
          <w:sz w:val="20"/>
          <w:szCs w:val="20"/>
          <w:color w:val="auto"/>
        </w:rPr>
      </w:pPr>
      <w:r>
        <w:rPr>
          <w:rFonts w:ascii="Arial" w:cs="Arial" w:eastAsia="Arial" w:hAnsi="Arial"/>
          <w:sz w:val="14"/>
          <w:szCs w:val="14"/>
          <w:color w:val="auto"/>
        </w:rPr>
        <w:t>We rely on third</w:t>
      </w:r>
      <w:r>
        <w:rPr>
          <w:rFonts w:ascii="MS PGothic" w:cs="MS PGothic" w:eastAsia="MS PGothic" w:hAnsi="MS PGothic"/>
          <w:sz w:val="14"/>
          <w:szCs w:val="14"/>
          <w:color w:val="auto"/>
        </w:rPr>
        <w:t>‑</w:t>
      </w:r>
      <w:r>
        <w:rPr>
          <w:rFonts w:ascii="Arial" w:cs="Arial" w:eastAsia="Arial" w:hAnsi="Arial"/>
          <w:sz w:val="14"/>
          <w:szCs w:val="14"/>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could delay our product development activities and adversely affect our business.</w:t>
      </w:r>
    </w:p>
    <w:p>
      <w:pPr>
        <w:spacing w:after="0" w:line="201" w:lineRule="exact"/>
        <w:rPr>
          <w:sz w:val="20"/>
          <w:szCs w:val="20"/>
          <w:color w:val="auto"/>
        </w:rPr>
      </w:pPr>
    </w:p>
    <w:p>
      <w:pPr>
        <w:ind w:firstLine="749"/>
        <w:spacing w:after="0" w:line="287" w:lineRule="auto"/>
        <w:rPr>
          <w:sz w:val="20"/>
          <w:szCs w:val="20"/>
          <w:color w:val="auto"/>
        </w:rPr>
      </w:pPr>
      <w:r>
        <w:rPr>
          <w:rFonts w:ascii="Arial" w:cs="Arial" w:eastAsia="Arial" w:hAnsi="Arial"/>
          <w:sz w:val="15"/>
          <w:szCs w:val="15"/>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 or GCP, for conducting, monitoring,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78"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In addition, when we submit an NDA for review, we are required to report certain financial interests of our third</w:t>
      </w:r>
      <w:r>
        <w:rPr>
          <w:rFonts w:ascii="MS PGothic" w:cs="MS PGothic" w:eastAsia="MS PGothic" w:hAnsi="MS PGothic"/>
          <w:sz w:val="16"/>
          <w:szCs w:val="16"/>
          <w:color w:val="auto"/>
        </w:rPr>
        <w:t>‑</w:t>
      </w:r>
      <w:r>
        <w:rPr>
          <w:rFonts w:ascii="Arial" w:cs="Arial" w:eastAsia="Arial" w:hAnsi="Arial"/>
          <w:sz w:val="16"/>
          <w:szCs w:val="16"/>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213" w:lineRule="exact"/>
        <w:rPr>
          <w:sz w:val="20"/>
          <w:szCs w:val="20"/>
          <w:color w:val="auto"/>
        </w:rPr>
      </w:pPr>
    </w:p>
    <w:p>
      <w:pPr>
        <w:ind w:right="140" w:firstLine="749"/>
        <w:spacing w:after="0" w:line="203" w:lineRule="exact"/>
        <w:rPr>
          <w:sz w:val="20"/>
          <w:szCs w:val="20"/>
          <w:color w:val="auto"/>
        </w:rPr>
      </w:pPr>
      <w:r>
        <w:rPr>
          <w:rFonts w:ascii="Arial" w:cs="Arial" w:eastAsia="Arial" w:hAnsi="Arial"/>
          <w:sz w:val="15"/>
          <w:szCs w:val="15"/>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5"/>
          <w:szCs w:val="15"/>
          <w:color w:val="auto"/>
        </w:rPr>
        <w:t>‑</w:t>
      </w:r>
      <w:r>
        <w:rPr>
          <w:rFonts w:ascii="Arial" w:cs="Arial" w:eastAsia="Arial" w:hAnsi="Arial"/>
          <w:sz w:val="15"/>
          <w:szCs w:val="15"/>
          <w:color w:val="auto"/>
        </w:rPr>
        <w:t>sponsored database, ClinicalTrials.gov, within specified timeframes. Failure to do so or to meet the related submission requirements can result in enforcement action, including civil monetary penalties and adverse publicity.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1" w:name="page62"/>
    <w:bookmarkEnd w:id="6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firstLine="749"/>
        <w:spacing w:after="0" w:line="203" w:lineRule="exact"/>
        <w:rPr>
          <w:sz w:val="20"/>
          <w:szCs w:val="20"/>
          <w:color w:val="auto"/>
        </w:rPr>
      </w:pPr>
      <w:r>
        <w:rPr>
          <w:rFonts w:ascii="Arial" w:cs="Arial" w:eastAsia="Arial" w:hAnsi="Arial"/>
          <w:sz w:val="15"/>
          <w:szCs w:val="15"/>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5"/>
          <w:szCs w:val="15"/>
          <w:color w:val="auto"/>
        </w:rPr>
        <w:t>‑</w:t>
      </w:r>
      <w:r>
        <w:rPr>
          <w:rFonts w:ascii="Arial" w:cs="Arial" w:eastAsia="Arial" w:hAnsi="Arial"/>
          <w:sz w:val="15"/>
          <w:szCs w:val="15"/>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in the future, our business may be materially and adversely affected.</w:t>
      </w:r>
    </w:p>
    <w:p>
      <w:pPr>
        <w:spacing w:after="0" w:line="214" w:lineRule="exact"/>
        <w:rPr>
          <w:sz w:val="20"/>
          <w:szCs w:val="20"/>
          <w:color w:val="auto"/>
        </w:rPr>
      </w:pPr>
    </w:p>
    <w:p>
      <w:pPr>
        <w:ind w:right="220" w:firstLine="749"/>
        <w:spacing w:after="0" w:line="203" w:lineRule="exact"/>
        <w:rPr>
          <w:sz w:val="20"/>
          <w:szCs w:val="20"/>
          <w:color w:val="auto"/>
        </w:rPr>
      </w:pPr>
      <w:r>
        <w:rPr>
          <w:rFonts w:ascii="Arial" w:cs="Arial" w:eastAsia="Arial" w:hAnsi="Arial"/>
          <w:sz w:val="15"/>
          <w:szCs w:val="15"/>
          <w:color w:val="auto"/>
        </w:rPr>
        <w:t>If any of our relationships with these third</w:t>
      </w:r>
      <w:r>
        <w:rPr>
          <w:rFonts w:ascii="MS PGothic" w:cs="MS PGothic" w:eastAsia="MS PGothic" w:hAnsi="MS PGothic"/>
          <w:sz w:val="15"/>
          <w:szCs w:val="15"/>
          <w:color w:val="auto"/>
        </w:rPr>
        <w:t>‑</w:t>
      </w:r>
      <w:r>
        <w:rPr>
          <w:rFonts w:ascii="Arial" w:cs="Arial" w:eastAsia="Arial" w:hAnsi="Arial"/>
          <w:sz w:val="15"/>
          <w:szCs w:val="15"/>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215"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84" w:lineRule="exact"/>
        <w:rPr>
          <w:sz w:val="20"/>
          <w:szCs w:val="20"/>
          <w:color w:val="auto"/>
        </w:rPr>
      </w:pPr>
    </w:p>
    <w:p>
      <w:pPr>
        <w:ind w:right="80" w:firstLine="749"/>
        <w:spacing w:after="0" w:line="318" w:lineRule="auto"/>
        <w:rPr>
          <w:sz w:val="20"/>
          <w:szCs w:val="20"/>
          <w:color w:val="auto"/>
        </w:rPr>
      </w:pPr>
      <w:r>
        <w:rPr>
          <w:rFonts w:ascii="Arial" w:cs="Arial" w:eastAsia="Arial" w:hAnsi="Arial"/>
          <w:sz w:val="14"/>
          <w:szCs w:val="14"/>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2" w:lineRule="exact"/>
        <w:rPr>
          <w:sz w:val="20"/>
          <w:szCs w:val="20"/>
          <w:color w:val="auto"/>
        </w:rPr>
      </w:pPr>
    </w:p>
    <w:p>
      <w:pPr>
        <w:ind w:firstLine="749"/>
        <w:spacing w:after="0" w:line="203" w:lineRule="exact"/>
        <w:rPr>
          <w:sz w:val="20"/>
          <w:szCs w:val="20"/>
          <w:color w:val="auto"/>
        </w:rPr>
      </w:pPr>
      <w:r>
        <w:rPr>
          <w:rFonts w:ascii="Arial" w:cs="Arial" w:eastAsia="Arial" w:hAnsi="Arial"/>
          <w:sz w:val="16"/>
          <w:szCs w:val="16"/>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6"/>
          <w:szCs w:val="16"/>
          <w:color w:val="auto"/>
        </w:rPr>
        <w:t>‑</w:t>
      </w:r>
      <w:r>
        <w:rPr>
          <w:rFonts w:ascii="Arial" w:cs="Arial" w:eastAsia="Arial" w:hAnsi="Arial"/>
          <w:sz w:val="16"/>
          <w:szCs w:val="16"/>
          <w:color w:val="auto"/>
        </w:rPr>
        <w:t>party manufacturers may breach, terminate, or not renew these agreements.</w:t>
      </w:r>
    </w:p>
    <w:p>
      <w:pPr>
        <w:spacing w:after="0" w:line="217" w:lineRule="exact"/>
        <w:rPr>
          <w:sz w:val="20"/>
          <w:szCs w:val="20"/>
          <w:color w:val="auto"/>
        </w:rPr>
      </w:pPr>
    </w:p>
    <w:p>
      <w:pPr>
        <w:ind w:right="80" w:firstLine="749"/>
        <w:spacing w:after="0" w:line="203" w:lineRule="exact"/>
        <w:rPr>
          <w:sz w:val="20"/>
          <w:szCs w:val="20"/>
          <w:color w:val="auto"/>
        </w:rPr>
      </w:pPr>
      <w:r>
        <w:rPr>
          <w:rFonts w:ascii="Arial" w:cs="Arial" w:eastAsia="Arial" w:hAnsi="Arial"/>
          <w:sz w:val="15"/>
          <w:szCs w:val="15"/>
          <w:color w:val="auto"/>
        </w:rPr>
        <w:t>Any problems or delays we experience in preparing for commercial</w:t>
      </w:r>
      <w:r>
        <w:rPr>
          <w:rFonts w:ascii="MS PGothic" w:cs="MS PGothic" w:eastAsia="MS PGothic" w:hAnsi="MS PGothic"/>
          <w:sz w:val="15"/>
          <w:szCs w:val="15"/>
          <w:color w:val="auto"/>
        </w:rPr>
        <w:t>‑</w:t>
      </w:r>
      <w:r>
        <w:rPr>
          <w:rFonts w:ascii="Arial" w:cs="Arial" w:eastAsia="Arial" w:hAnsi="Arial"/>
          <w:sz w:val="15"/>
          <w:szCs w:val="15"/>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215"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5"/>
          <w:szCs w:val="15"/>
          <w:color w:val="auto"/>
        </w:rPr>
        <w:t>‑</w:t>
      </w:r>
      <w:r>
        <w:rPr>
          <w:rFonts w:ascii="Arial" w:cs="Arial" w:eastAsia="Arial" w:hAnsi="Arial"/>
          <w:sz w:val="15"/>
          <w:szCs w:val="15"/>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2" w:name="page63"/>
    <w:bookmarkEnd w:id="6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20" w:firstLine="749"/>
        <w:spacing w:after="0" w:line="284" w:lineRule="auto"/>
        <w:rPr>
          <w:sz w:val="20"/>
          <w:szCs w:val="20"/>
          <w:color w:val="auto"/>
        </w:rPr>
      </w:pPr>
      <w:r>
        <w:rPr>
          <w:rFonts w:ascii="Arial" w:cs="Arial" w:eastAsia="Arial" w:hAnsi="Arial"/>
          <w:sz w:val="15"/>
          <w:szCs w:val="15"/>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The FDA must verify our contract manufacturers’ compliance with cGMP requirements and comparable foreign regulatory authorities will similarly inspect our contract manufacturers’ facilities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189" w:lineRule="exact"/>
        <w:rPr>
          <w:sz w:val="20"/>
          <w:szCs w:val="20"/>
          <w:color w:val="auto"/>
        </w:rPr>
      </w:pPr>
    </w:p>
    <w:p>
      <w:pPr>
        <w:ind w:right="120" w:firstLine="749"/>
        <w:spacing w:after="0" w:line="305" w:lineRule="auto"/>
        <w:rPr>
          <w:sz w:val="20"/>
          <w:szCs w:val="20"/>
          <w:color w:val="auto"/>
        </w:rPr>
      </w:pPr>
      <w:r>
        <w:rPr>
          <w:rFonts w:ascii="Arial" w:cs="Arial" w:eastAsia="Arial" w:hAnsi="Arial"/>
          <w:sz w:val="15"/>
          <w:szCs w:val="15"/>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166"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Our business operations, financial condition, results of operations and cash flows may be adversely affected by the effects of health epidemics, pandemics, or outbreaks of infectious diseases, including the recent COVID-19 pandemic.</w:t>
      </w:r>
    </w:p>
    <w:p>
      <w:pPr>
        <w:spacing w:after="0" w:line="172" w:lineRule="exact"/>
        <w:rPr>
          <w:sz w:val="20"/>
          <w:szCs w:val="20"/>
          <w:color w:val="auto"/>
        </w:rPr>
      </w:pPr>
    </w:p>
    <w:p>
      <w:pPr>
        <w:ind w:right="340" w:firstLine="749"/>
        <w:spacing w:after="0" w:line="293" w:lineRule="auto"/>
        <w:rPr>
          <w:sz w:val="20"/>
          <w:szCs w:val="20"/>
          <w:color w:val="auto"/>
        </w:rPr>
      </w:pPr>
      <w:r>
        <w:rPr>
          <w:rFonts w:ascii="Arial" w:cs="Arial" w:eastAsia="Arial" w:hAnsi="Arial"/>
          <w:sz w:val="16"/>
          <w:szCs w:val="16"/>
          <w:color w:val="auto"/>
        </w:rPr>
        <w:t>Our business could be adversely affected by health epidemics in regions where we have concentrations of clinical trial sites or other business operations and could cause significant disruption in the operations of third-party manufacturers and CROs upon whom we rely.</w:t>
      </w:r>
    </w:p>
    <w:p>
      <w:pPr>
        <w:spacing w:after="0" w:line="172" w:lineRule="exact"/>
        <w:rPr>
          <w:sz w:val="20"/>
          <w:szCs w:val="20"/>
          <w:color w:val="auto"/>
        </w:rPr>
      </w:pPr>
    </w:p>
    <w:p>
      <w:pPr>
        <w:ind w:firstLine="749"/>
        <w:spacing w:after="0" w:line="268" w:lineRule="auto"/>
        <w:rPr>
          <w:sz w:val="20"/>
          <w:szCs w:val="20"/>
          <w:color w:val="auto"/>
        </w:rPr>
      </w:pPr>
      <w:r>
        <w:rPr>
          <w:rFonts w:ascii="Arial" w:cs="Arial" w:eastAsia="Arial" w:hAnsi="Arial"/>
          <w:sz w:val="15"/>
          <w:szCs w:val="15"/>
          <w:color w:val="auto"/>
        </w:rPr>
        <w:t>For example, in December 2019, a novel strain of coronavirus, COVID-19, was identified in Wuhan, China. This virus continues to spread globally and in March 2020, the World Health Organization declared COVID-19 a pandemic. The COVID-19 pandemic has negatively impacted the global economy, disrupted global supply chains and created significant volatility and disruption of financial markets. Currently, the COVID-19 pandemic is having a significant adverse impact on the conduct of oncology clinical trials in the US. The evolving COVID-19 pandemic has impacted the pace of enrollment in clinical trials and we may be affected by similar delays as patients may avoid or may not be able to travel to healthcare facilities and physicians’ offices unless due to a health emergency and clinical trial staff can no longer get to the clinic. Such facilities and offices have been and may continue to be required to focus limited resources on non-clinical trial matters, including treatment of COVID-19 patients, thereby decreasing availability, in whole or in part, for clinical trial services. In addition, employee disruptions and remote working environments related to the COVID-19 pandemic and the federal, state and local responses to such virus, has impacted and could continue to impact the efficiency and pace with which we work and develop our product candidates and our manufacturing capabilities. In addition, the COVID-19 pandemic has affected and may continue to affect the operations of the FDA and other health authorities, which could result in delays of reviews and approvals.</w:t>
      </w:r>
    </w:p>
    <w:p>
      <w:pPr>
        <w:spacing w:after="0" w:line="180" w:lineRule="exact"/>
        <w:rPr>
          <w:sz w:val="20"/>
          <w:szCs w:val="20"/>
          <w:color w:val="auto"/>
        </w:rPr>
      </w:pPr>
    </w:p>
    <w:p>
      <w:pPr>
        <w:ind w:right="220" w:firstLine="749"/>
        <w:spacing w:after="0" w:line="268" w:lineRule="auto"/>
        <w:rPr>
          <w:sz w:val="20"/>
          <w:szCs w:val="20"/>
          <w:color w:val="auto"/>
        </w:rPr>
      </w:pPr>
      <w:r>
        <w:rPr>
          <w:rFonts w:ascii="Arial" w:cs="Arial" w:eastAsia="Arial" w:hAnsi="Arial"/>
          <w:sz w:val="15"/>
          <w:szCs w:val="15"/>
          <w:color w:val="auto"/>
        </w:rPr>
        <w:t>We may utilize contract manufacturers to manufacture our investigational products and plan to utilize contract manufacturers if and when we obtain FDA approval. The FDA announced it would resume domestic facility inspections, after a previous temporary delay, and more recently the agency stated that it is transitioning back to standard operations for conducting domestic facility inspections. The agency continues its general suspension of foreign facility inspections (other than “mission-critical” inspections). Because of the global pandemic, decision-making around facility inspections by the FDA (including Pre-Approval and for cause inspections) continues to evolve, especially given the March 2021 report from the Government Accountability Office noting that the FDA had a significant backlog of domestic and foreign inspections resulting from the COVID-19 pandemic. Depending on the length of the COVID-19 pandemic and FDA’s related internal policies, this could impact future applications and product candidates. The FDA has indicated that under certain circumstances it will utilize remote interactive evaluations which include inspection activities “in advance of or in lieu of” on-site drug inspections. Nevertheless, we cannot predict at this time whether this or other developments will cause delays or cause other situations that may impact our business.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3" w:name="page64"/>
    <w:bookmarkEnd w:id="6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firstLine="749"/>
        <w:spacing w:after="0" w:line="268" w:lineRule="auto"/>
        <w:rPr>
          <w:sz w:val="20"/>
          <w:szCs w:val="20"/>
          <w:color w:val="auto"/>
        </w:rPr>
      </w:pPr>
      <w:r>
        <w:rPr>
          <w:rFonts w:ascii="Arial" w:cs="Arial" w:eastAsia="Arial" w:hAnsi="Arial"/>
          <w:sz w:val="16"/>
          <w:szCs w:val="16"/>
          <w:color w:val="auto"/>
        </w:rPr>
        <w:t>The FDA continues to update its guidance, Conduct of Clinical Trials of Medical Products During the COVID-19 Public Health Emergency, which was implemented to assist sponsors in assuring the safety of trial participants, maintaining compliance with GCP, and minimizing risks to trial integrity during the COVID-19 Pandemic, or the COVID-19 Guidelines. The policy is intended to remain in effect only for the duration of the public health emergency related to COVID-19 declared by the Department of Health and Human Services on January 31, 2020. We have implemented several procedures in accordance with the COVID-19 Guidelines to address patient safety and clinical trial conduct during the COVID-19 pandemic, including remote monitoring of patients through telemedical visits, remote monitoring of sites by our clinical trial monitors, remote data entry, and follow-up visits at sites other than the site where the patient was initially treated. Our implementation of the COVID-19 Guidelines and potential disruptions to patient follow up, site monitoring or the timely completion of our trials may have a negative effect on our ability to complete trials and associated regulatory filings.</w:t>
      </w:r>
    </w:p>
    <w:p>
      <w:pPr>
        <w:spacing w:after="0" w:line="192" w:lineRule="exact"/>
        <w:rPr>
          <w:sz w:val="20"/>
          <w:szCs w:val="20"/>
          <w:color w:val="auto"/>
        </w:rPr>
      </w:pPr>
    </w:p>
    <w:p>
      <w:pPr>
        <w:ind w:right="20" w:firstLine="749"/>
        <w:spacing w:after="0" w:line="297" w:lineRule="auto"/>
        <w:rPr>
          <w:sz w:val="20"/>
          <w:szCs w:val="20"/>
          <w:color w:val="auto"/>
        </w:rPr>
      </w:pPr>
      <w:r>
        <w:rPr>
          <w:rFonts w:ascii="Arial" w:cs="Arial" w:eastAsia="Arial" w:hAnsi="Arial"/>
          <w:sz w:val="15"/>
          <w:szCs w:val="15"/>
          <w:color w:val="auto"/>
        </w:rPr>
        <w:t>The ultimate impact of the COVID-19 pandemic is highly uncertain and subject to change. We do not yet know the full extent of potential delays or impacts on our business, financing or clinical trial activities or on healthcare systems or the global economy as a whole. However, these effects may have a material impact on our liquidity, capital resources, operations and business and those of the third parties on which we rely and a recession or market correction resulting from the spread of COVID-19 could materially affect our business and the value of our common stock. We will continue to monitor the COVID-19 situation closely.</w:t>
      </w:r>
    </w:p>
    <w:p>
      <w:pPr>
        <w:spacing w:after="0" w:line="172" w:lineRule="exact"/>
        <w:rPr>
          <w:sz w:val="20"/>
          <w:szCs w:val="20"/>
          <w:color w:val="auto"/>
        </w:rPr>
      </w:pPr>
    </w:p>
    <w:p>
      <w:pPr>
        <w:ind w:right="60"/>
        <w:spacing w:after="0" w:line="324" w:lineRule="auto"/>
        <w:rPr>
          <w:sz w:val="20"/>
          <w:szCs w:val="20"/>
          <w:color w:val="auto"/>
        </w:rPr>
      </w:pPr>
      <w:r>
        <w:rPr>
          <w:rFonts w:ascii="Arial" w:cs="Arial" w:eastAsia="Arial" w:hAnsi="Arial"/>
          <w:sz w:val="14"/>
          <w:szCs w:val="14"/>
          <w:b w:val="1"/>
          <w:bCs w:val="1"/>
          <w:i w:val="1"/>
          <w:iCs w:val="1"/>
          <w:color w:val="auto"/>
        </w:rPr>
        <w:t>As an NDA applicant and as a potential commercial “virtual manufacturer,” we may rely in many cases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7" w:lineRule="exact"/>
        <w:rPr>
          <w:sz w:val="20"/>
          <w:szCs w:val="20"/>
          <w:color w:val="auto"/>
        </w:rPr>
      </w:pPr>
    </w:p>
    <w:p>
      <w:pPr>
        <w:ind w:right="100" w:firstLine="749"/>
        <w:spacing w:after="0" w:line="192" w:lineRule="exact"/>
        <w:rPr>
          <w:sz w:val="20"/>
          <w:szCs w:val="20"/>
          <w:color w:val="auto"/>
        </w:rPr>
      </w:pPr>
      <w:r>
        <w:rPr>
          <w:rFonts w:ascii="Arial" w:cs="Arial" w:eastAsia="Arial" w:hAnsi="Arial"/>
          <w:sz w:val="15"/>
          <w:szCs w:val="15"/>
          <w:color w:val="auto"/>
        </w:rPr>
        <w:t>We may retain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5"/>
          <w:szCs w:val="15"/>
          <w:color w:val="auto"/>
        </w:rPr>
        <w:t>‑</w:t>
      </w:r>
      <w:r>
        <w:rPr>
          <w:rFonts w:ascii="Arial" w:cs="Arial" w:eastAsia="Arial" w:hAnsi="Arial"/>
          <w:sz w:val="15"/>
          <w:szCs w:val="15"/>
          <w:color w:val="auto"/>
        </w:rPr>
        <w:t>party providers that perform services for us, including entrusting our inventories of products to their care and handling. If these third</w:t>
      </w:r>
      <w:r>
        <w:rPr>
          <w:rFonts w:ascii="MS PGothic" w:cs="MS PGothic" w:eastAsia="MS PGothic" w:hAnsi="MS PGothic"/>
          <w:sz w:val="15"/>
          <w:szCs w:val="15"/>
          <w:color w:val="auto"/>
        </w:rPr>
        <w:t>‑</w:t>
      </w:r>
      <w:r>
        <w:rPr>
          <w:rFonts w:ascii="Arial" w:cs="Arial" w:eastAsia="Arial" w:hAnsi="Arial"/>
          <w:sz w:val="15"/>
          <w:szCs w:val="15"/>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201" w:lineRule="exact"/>
        <w:rPr>
          <w:sz w:val="20"/>
          <w:szCs w:val="20"/>
          <w:color w:val="auto"/>
        </w:rPr>
      </w:pPr>
    </w:p>
    <w:p>
      <w:pPr>
        <w:ind w:right="120" w:firstLine="749"/>
        <w:spacing w:after="0" w:line="315" w:lineRule="auto"/>
        <w:rPr>
          <w:sz w:val="20"/>
          <w:szCs w:val="20"/>
          <w:color w:val="auto"/>
        </w:rPr>
      </w:pPr>
      <w:r>
        <w:rPr>
          <w:rFonts w:ascii="Arial" w:cs="Arial" w:eastAsia="Arial" w:hAnsi="Arial"/>
          <w:sz w:val="14"/>
          <w:szCs w:val="14"/>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49" w:lineRule="exact"/>
        <w:rPr>
          <w:sz w:val="20"/>
          <w:szCs w:val="20"/>
          <w:color w:val="auto"/>
        </w:rPr>
      </w:pPr>
    </w:p>
    <w:p>
      <w:pPr>
        <w:ind w:right="80" w:firstLine="749"/>
        <w:spacing w:after="0" w:line="261" w:lineRule="auto"/>
        <w:rPr>
          <w:sz w:val="20"/>
          <w:szCs w:val="20"/>
          <w:color w:val="auto"/>
        </w:rPr>
      </w:pPr>
      <w:r>
        <w:rPr>
          <w:rFonts w:ascii="Arial" w:cs="Arial" w:eastAsia="Arial" w:hAnsi="Arial"/>
          <w:sz w:val="16"/>
          <w:szCs w:val="16"/>
          <w:color w:val="auto"/>
        </w:rPr>
        <w:t>Additionally, if a third-party errs in calculating government pricing information from transactional data in our financial records, it could impact our discount and rebate liability and potentially cause government programs to overpay providers for our products, which could expose us to significant False Claims Act liability and other civil monetary penalties.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4" w:name="page65"/>
    <w:bookmarkEnd w:id="6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72" w:lineRule="exact"/>
        <w:rPr>
          <w:sz w:val="20"/>
          <w:szCs w:val="20"/>
          <w:color w:val="auto"/>
        </w:rPr>
      </w:pPr>
    </w:p>
    <w:p>
      <w:pPr>
        <w:ind w:right="40" w:firstLine="749"/>
        <w:spacing w:after="0" w:line="191" w:lineRule="exact"/>
        <w:rPr>
          <w:sz w:val="20"/>
          <w:szCs w:val="20"/>
          <w:color w:val="auto"/>
        </w:rPr>
      </w:pPr>
      <w:r>
        <w:rPr>
          <w:rFonts w:ascii="Arial" w:cs="Arial" w:eastAsia="Arial" w:hAnsi="Arial"/>
          <w:sz w:val="14"/>
          <w:szCs w:val="14"/>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4"/>
          <w:szCs w:val="14"/>
          <w:color w:val="auto"/>
        </w:rPr>
        <w:t>‑</w:t>
      </w:r>
      <w:r>
        <w:rPr>
          <w:rFonts w:ascii="Arial" w:cs="Arial" w:eastAsia="Arial" w:hAnsi="Arial"/>
          <w:sz w:val="14"/>
          <w:szCs w:val="14"/>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w:t>
      </w:r>
    </w:p>
    <w:p>
      <w:pPr>
        <w:spacing w:after="0" w:line="201" w:lineRule="exact"/>
        <w:rPr>
          <w:sz w:val="20"/>
          <w:szCs w:val="20"/>
          <w:color w:val="auto"/>
        </w:rPr>
      </w:pPr>
    </w:p>
    <w:p>
      <w:pPr>
        <w:ind w:right="380" w:firstLine="749"/>
        <w:spacing w:after="0" w:line="278" w:lineRule="auto"/>
        <w:rPr>
          <w:sz w:val="20"/>
          <w:szCs w:val="20"/>
          <w:color w:val="auto"/>
        </w:rPr>
      </w:pPr>
      <w:r>
        <w:rPr>
          <w:rFonts w:ascii="Arial" w:cs="Arial" w:eastAsia="Arial" w:hAnsi="Arial"/>
          <w:sz w:val="16"/>
          <w:szCs w:val="16"/>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184" w:lineRule="exact"/>
        <w:rPr>
          <w:sz w:val="20"/>
          <w:szCs w:val="20"/>
          <w:color w:val="auto"/>
        </w:rPr>
      </w:pPr>
    </w:p>
    <w:p>
      <w:pPr>
        <w:ind w:right="440" w:firstLine="749"/>
        <w:spacing w:after="0" w:line="278" w:lineRule="auto"/>
        <w:rPr>
          <w:sz w:val="20"/>
          <w:szCs w:val="20"/>
          <w:color w:val="auto"/>
        </w:rPr>
      </w:pPr>
      <w:r>
        <w:rPr>
          <w:rFonts w:ascii="Arial" w:cs="Arial" w:eastAsia="Arial" w:hAnsi="Arial"/>
          <w:sz w:val="16"/>
          <w:szCs w:val="16"/>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collaborators may not perform their obligations as expected;</w:t>
      </w:r>
    </w:p>
    <w:p>
      <w:pPr>
        <w:spacing w:after="0" w:line="235" w:lineRule="exact"/>
        <w:rPr>
          <w:sz w:val="20"/>
          <w:szCs w:val="20"/>
          <w:color w:val="auto"/>
        </w:rPr>
      </w:pPr>
    </w:p>
    <w:p>
      <w:pPr>
        <w:ind w:left="700" w:right="240"/>
        <w:spacing w:after="0" w:line="278" w:lineRule="auto"/>
        <w:rPr>
          <w:sz w:val="20"/>
          <w:szCs w:val="20"/>
          <w:color w:val="auto"/>
        </w:rPr>
      </w:pPr>
      <w:r>
        <w:rPr>
          <w:rFonts w:ascii="Arial" w:cs="Arial" w:eastAsia="Arial" w:hAnsi="Arial"/>
          <w:sz w:val="16"/>
          <w:szCs w:val="16"/>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84" w:lineRule="exact"/>
        <w:rPr>
          <w:sz w:val="20"/>
          <w:szCs w:val="20"/>
          <w:color w:val="auto"/>
        </w:rPr>
      </w:pPr>
    </w:p>
    <w:p>
      <w:pPr>
        <w:ind w:left="700" w:right="440"/>
        <w:spacing w:after="0" w:line="293" w:lineRule="auto"/>
        <w:rPr>
          <w:sz w:val="20"/>
          <w:szCs w:val="20"/>
          <w:color w:val="auto"/>
        </w:rPr>
      </w:pPr>
      <w:r>
        <w:rPr>
          <w:rFonts w:ascii="Arial" w:cs="Arial" w:eastAsia="Arial" w:hAnsi="Arial"/>
          <w:sz w:val="16"/>
          <w:szCs w:val="16"/>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collaborators could fail to make timely regulatory submissions for a product candidate;</w:t>
      </w:r>
    </w:p>
    <w:p>
      <w:pPr>
        <w:spacing w:after="0" w:line="235" w:lineRule="exact"/>
        <w:rPr>
          <w:sz w:val="20"/>
          <w:szCs w:val="20"/>
          <w:color w:val="auto"/>
        </w:rPr>
      </w:pPr>
    </w:p>
    <w:p>
      <w:pPr>
        <w:ind w:left="700" w:right="800"/>
        <w:spacing w:after="0" w:line="293" w:lineRule="auto"/>
        <w:rPr>
          <w:sz w:val="20"/>
          <w:szCs w:val="20"/>
          <w:color w:val="auto"/>
        </w:rPr>
      </w:pPr>
      <w:r>
        <w:rPr>
          <w:rFonts w:ascii="Arial" w:cs="Arial" w:eastAsia="Arial" w:hAnsi="Arial"/>
          <w:sz w:val="16"/>
          <w:szCs w:val="16"/>
          <w:color w:val="auto"/>
        </w:rPr>
        <w:t>collaborators may not comply with all applicable regulatory requirements or may fail to report safety data in accordance with all applicable regulatory requirements;</w:t>
      </w:r>
    </w:p>
    <w:p>
      <w:pPr>
        <w:spacing w:after="0" w:line="172" w:lineRule="exact"/>
        <w:rPr>
          <w:sz w:val="20"/>
          <w:szCs w:val="20"/>
          <w:color w:val="auto"/>
        </w:rPr>
      </w:pPr>
    </w:p>
    <w:p>
      <w:pPr>
        <w:ind w:left="700"/>
        <w:spacing w:after="0" w:line="278" w:lineRule="auto"/>
        <w:rPr>
          <w:sz w:val="20"/>
          <w:szCs w:val="20"/>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84" w:lineRule="exact"/>
        <w:rPr>
          <w:sz w:val="20"/>
          <w:szCs w:val="20"/>
          <w:color w:val="auto"/>
        </w:rPr>
      </w:pPr>
    </w:p>
    <w:p>
      <w:pPr>
        <w:ind w:left="700" w:right="160"/>
        <w:spacing w:after="0" w:line="293" w:lineRule="auto"/>
        <w:rPr>
          <w:sz w:val="20"/>
          <w:szCs w:val="20"/>
          <w:color w:val="auto"/>
        </w:rPr>
      </w:pPr>
      <w:r>
        <w:rPr>
          <w:rFonts w:ascii="Arial" w:cs="Arial" w:eastAsia="Arial" w:hAnsi="Arial"/>
          <w:sz w:val="16"/>
          <w:szCs w:val="16"/>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2" w:lineRule="exact"/>
        <w:rPr>
          <w:sz w:val="20"/>
          <w:szCs w:val="20"/>
          <w:color w:val="auto"/>
        </w:rPr>
      </w:pPr>
    </w:p>
    <w:p>
      <w:pPr>
        <w:ind w:left="700" w:right="580"/>
        <w:spacing w:after="0" w:line="293" w:lineRule="auto"/>
        <w:rPr>
          <w:sz w:val="20"/>
          <w:szCs w:val="20"/>
          <w:color w:val="auto"/>
        </w:rPr>
      </w:pPr>
      <w:r>
        <w:rPr>
          <w:rFonts w:ascii="Arial" w:cs="Arial" w:eastAsia="Arial" w:hAnsi="Arial"/>
          <w:sz w:val="16"/>
          <w:szCs w:val="16"/>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72" w:lineRule="exact"/>
        <w:rPr>
          <w:sz w:val="20"/>
          <w:szCs w:val="20"/>
          <w:color w:val="auto"/>
        </w:rPr>
      </w:pPr>
    </w:p>
    <w:p>
      <w:pPr>
        <w:jc w:val="both"/>
        <w:ind w:left="700" w:right="180"/>
        <w:spacing w:after="0" w:line="278" w:lineRule="auto"/>
        <w:rPr>
          <w:sz w:val="20"/>
          <w:szCs w:val="20"/>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lead to additional responsibilities for us with respect to product candidates, or result in litigation or arbitration, any of which would be time consuming and expensive;</w:t>
      </w:r>
    </w:p>
    <w:p>
      <w:pPr>
        <w:spacing w:after="0" w:line="184" w:lineRule="exact"/>
        <w:rPr>
          <w:sz w:val="20"/>
          <w:szCs w:val="20"/>
          <w:color w:val="auto"/>
        </w:rPr>
      </w:pPr>
    </w:p>
    <w:p>
      <w:pPr>
        <w:ind w:left="700" w:right="100"/>
        <w:spacing w:after="0" w:line="293" w:lineRule="auto"/>
        <w:rPr>
          <w:sz w:val="20"/>
          <w:szCs w:val="20"/>
          <w:color w:val="auto"/>
        </w:rPr>
      </w:pPr>
      <w:r>
        <w:rPr>
          <w:rFonts w:ascii="Arial" w:cs="Arial" w:eastAsia="Arial" w:hAnsi="Arial"/>
          <w:sz w:val="16"/>
          <w:szCs w:val="16"/>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collaborators may infringe the intellectual property rights of third parties, which may expose us to litigation and potential liability.</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5" w:name="page66"/>
    <w:bookmarkEnd w:id="6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189" w:lineRule="exact"/>
        <w:rPr>
          <w:sz w:val="20"/>
          <w:szCs w:val="20"/>
          <w:color w:val="auto"/>
        </w:rPr>
      </w:pPr>
    </w:p>
    <w:p>
      <w:pPr>
        <w:ind w:right="340" w:firstLine="749"/>
        <w:spacing w:after="0" w:line="278" w:lineRule="auto"/>
        <w:rPr>
          <w:sz w:val="20"/>
          <w:szCs w:val="20"/>
          <w:color w:val="auto"/>
        </w:rPr>
      </w:pPr>
      <w:r>
        <w:rPr>
          <w:rFonts w:ascii="Arial" w:cs="Arial" w:eastAsia="Arial" w:hAnsi="Arial"/>
          <w:sz w:val="16"/>
          <w:szCs w:val="16"/>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71" w:lineRule="exact"/>
        <w:rPr>
          <w:sz w:val="20"/>
          <w:szCs w:val="20"/>
          <w:color w:val="auto"/>
        </w:rPr>
      </w:pPr>
    </w:p>
    <w:p>
      <w:pPr>
        <w:ind w:right="20" w:firstLine="749"/>
        <w:spacing w:after="0" w:line="249" w:lineRule="auto"/>
        <w:rPr>
          <w:sz w:val="20"/>
          <w:szCs w:val="20"/>
          <w:color w:val="auto"/>
        </w:rPr>
      </w:pPr>
      <w:r>
        <w:rPr>
          <w:rFonts w:ascii="Arial" w:cs="Arial" w:eastAsia="Arial" w:hAnsi="Arial"/>
          <w:sz w:val="15"/>
          <w:szCs w:val="15"/>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8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b w:val="1"/>
          <w:bCs w:val="1"/>
          <w:i w:val="1"/>
          <w:iCs w:val="1"/>
          <w:color w:val="auto"/>
        </w:rPr>
        <w:t>We are dependent on third parties to decide to utilize our product candidates effectively, including by making them readily available at the point of care throughout their networks of pharmacies.</w:t>
      </w:r>
    </w:p>
    <w:p>
      <w:pPr>
        <w:spacing w:after="0" w:line="171" w:lineRule="exact"/>
        <w:rPr>
          <w:sz w:val="20"/>
          <w:szCs w:val="20"/>
          <w:color w:val="auto"/>
        </w:rPr>
      </w:pPr>
    </w:p>
    <w:p>
      <w:pPr>
        <w:ind w:right="60" w:firstLine="749"/>
        <w:spacing w:after="0" w:line="266" w:lineRule="auto"/>
        <w:rPr>
          <w:sz w:val="20"/>
          <w:szCs w:val="20"/>
          <w:color w:val="auto"/>
        </w:rPr>
      </w:pPr>
      <w:r>
        <w:rPr>
          <w:rFonts w:ascii="Arial" w:cs="Arial" w:eastAsia="Arial" w:hAnsi="Arial"/>
          <w:sz w:val="14"/>
          <w:szCs w:val="14"/>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INTELLECTUAL PROPERTY</w:t>
      </w:r>
    </w:p>
    <w:p>
      <w:pPr>
        <w:spacing w:after="0" w:line="212"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71" w:lineRule="exact"/>
        <w:rPr>
          <w:sz w:val="20"/>
          <w:szCs w:val="20"/>
          <w:color w:val="auto"/>
        </w:rPr>
      </w:pPr>
    </w:p>
    <w:p>
      <w:pPr>
        <w:ind w:firstLine="749"/>
        <w:spacing w:after="0" w:line="183"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patent and trade secret protection for our current and future product candidates that we may develop, license, or acquire, as well as the related manufacturing methods. We will be able to protect our technologies from unauthorized use by third parties to the extent that the technologies are covered by valid and enforceable patents or trade secrets.</w:t>
      </w:r>
    </w:p>
    <w:p>
      <w:pPr>
        <w:spacing w:after="0" w:line="188" w:lineRule="exact"/>
        <w:rPr>
          <w:sz w:val="20"/>
          <w:szCs w:val="20"/>
          <w:color w:val="auto"/>
        </w:rPr>
      </w:pPr>
    </w:p>
    <w:p>
      <w:pPr>
        <w:ind w:right="60" w:firstLine="749"/>
        <w:spacing w:after="0" w:line="178" w:lineRule="exact"/>
        <w:rPr>
          <w:sz w:val="20"/>
          <w:szCs w:val="20"/>
          <w:color w:val="auto"/>
        </w:rPr>
      </w:pPr>
      <w:r>
        <w:rPr>
          <w:rFonts w:ascii="Arial" w:cs="Arial" w:eastAsia="Arial" w:hAnsi="Arial"/>
          <w:sz w:val="15"/>
          <w:szCs w:val="15"/>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 applications and patents. Therefore, these patents and patent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and patent applications or in third</w:t>
      </w:r>
      <w:r>
        <w:rPr>
          <w:rFonts w:ascii="MS PGothic" w:cs="MS PGothic" w:eastAsia="MS PGothic" w:hAnsi="MS PGothic"/>
          <w:sz w:val="15"/>
          <w:szCs w:val="15"/>
          <w:color w:val="auto"/>
        </w:rPr>
        <w:t>‑</w:t>
      </w:r>
      <w:r>
        <w:rPr>
          <w:rFonts w:ascii="Arial" w:cs="Arial" w:eastAsia="Arial" w:hAnsi="Arial"/>
          <w:sz w:val="15"/>
          <w:szCs w:val="15"/>
          <w:color w:val="auto"/>
        </w:rPr>
        <w:t>party patents and patent applications.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6" w:name="page67"/>
    <w:bookmarkEnd w:id="6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left="700"/>
        <w:spacing w:after="0"/>
        <w:rPr>
          <w:sz w:val="20"/>
          <w:szCs w:val="20"/>
          <w:color w:val="auto"/>
        </w:rPr>
      </w:pPr>
      <w:r>
        <w:rPr>
          <w:rFonts w:ascii="Arial" w:cs="Arial" w:eastAsia="Arial" w:hAnsi="Arial"/>
          <w:sz w:val="15"/>
          <w:szCs w:val="15"/>
          <w:color w:val="auto"/>
        </w:rPr>
        <w:t>we may not have been the first to conceive of and reduce to practice the inventions covered by each of our pending patent applications and issued patents;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may not have been the first to file patent applications for these inventions;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others may independently develop similar or alternative technologies or duplicate any of our product candidates or technologies;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it is possible that none of the pending patent applications will result in issued patents;</w:t>
      </w:r>
    </w:p>
    <w:p>
      <w:pPr>
        <w:spacing w:after="0" w:line="235" w:lineRule="exact"/>
        <w:rPr>
          <w:sz w:val="20"/>
          <w:szCs w:val="20"/>
          <w:color w:val="auto"/>
        </w:rPr>
      </w:pPr>
    </w:p>
    <w:p>
      <w:pPr>
        <w:ind w:left="700" w:right="20"/>
        <w:spacing w:after="0" w:line="293" w:lineRule="auto"/>
        <w:rPr>
          <w:sz w:val="20"/>
          <w:szCs w:val="20"/>
          <w:color w:val="auto"/>
        </w:rPr>
      </w:pPr>
      <w:r>
        <w:rPr>
          <w:rFonts w:ascii="Arial" w:cs="Arial" w:eastAsia="Arial" w:hAnsi="Arial"/>
          <w:sz w:val="16"/>
          <w:szCs w:val="16"/>
          <w:color w:val="auto"/>
        </w:rPr>
        <w:t>the issued patents may not cover commercially viable active products, may not provide us with any competitive advantages, or may be successfully challenged by third parties;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may not develop additional proprietary technologies that are patentable;</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patents of others may have an adverse effect on our business;</w:t>
      </w:r>
    </w:p>
    <w:p>
      <w:pPr>
        <w:spacing w:after="0" w:line="235" w:lineRule="exact"/>
        <w:rPr>
          <w:sz w:val="20"/>
          <w:szCs w:val="20"/>
          <w:color w:val="auto"/>
        </w:rPr>
      </w:pPr>
    </w:p>
    <w:p>
      <w:pPr>
        <w:ind w:left="700" w:right="240"/>
        <w:spacing w:after="0" w:line="369" w:lineRule="auto"/>
        <w:rPr>
          <w:sz w:val="20"/>
          <w:szCs w:val="20"/>
          <w:color w:val="auto"/>
        </w:rPr>
      </w:pPr>
      <w:r>
        <w:rPr>
          <w:rFonts w:ascii="Arial" w:cs="Arial" w:eastAsia="Arial" w:hAnsi="Arial"/>
          <w:sz w:val="14"/>
          <w:szCs w:val="14"/>
          <w:color w:val="auto"/>
        </w:rPr>
        <w:t>noncompliance with requirements of governmental patent agencies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26" w:lineRule="exact"/>
        <w:rPr>
          <w:sz w:val="20"/>
          <w:szCs w:val="20"/>
          <w:color w:val="auto"/>
        </w:rPr>
      </w:pPr>
    </w:p>
    <w:p>
      <w:pPr>
        <w:ind w:left="700" w:right="280"/>
        <w:spacing w:after="0" w:line="278" w:lineRule="auto"/>
        <w:rPr>
          <w:sz w:val="20"/>
          <w:szCs w:val="20"/>
          <w:color w:val="auto"/>
        </w:rPr>
      </w:pPr>
      <w:r>
        <w:rPr>
          <w:rFonts w:ascii="Arial" w:cs="Arial" w:eastAsia="Arial" w:hAnsi="Arial"/>
          <w:sz w:val="16"/>
          <w:szCs w:val="16"/>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84" w:lineRule="exact"/>
        <w:rPr>
          <w:sz w:val="20"/>
          <w:szCs w:val="20"/>
          <w:color w:val="auto"/>
        </w:rPr>
      </w:pPr>
    </w:p>
    <w:p>
      <w:pPr>
        <w:ind w:left="700" w:right="160"/>
        <w:spacing w:after="0" w:line="328" w:lineRule="auto"/>
        <w:rPr>
          <w:sz w:val="20"/>
          <w:szCs w:val="20"/>
          <w:color w:val="auto"/>
        </w:rPr>
      </w:pPr>
      <w:r>
        <w:rPr>
          <w:rFonts w:ascii="Arial" w:cs="Arial" w:eastAsia="Arial" w:hAnsi="Arial"/>
          <w:sz w:val="15"/>
          <w:szCs w:val="15"/>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50"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5"/>
          <w:szCs w:val="15"/>
          <w:color w:val="auto"/>
        </w:rPr>
        <w:t>‑</w:t>
      </w:r>
      <w:r>
        <w:rPr>
          <w:rFonts w:ascii="Arial" w:cs="Arial" w:eastAsia="Arial" w:hAnsi="Arial"/>
          <w:sz w:val="15"/>
          <w:szCs w:val="15"/>
          <w:color w:val="auto"/>
        </w:rPr>
        <w:t>approved product. The actual length of the extension will depend on the amount of patent term lost while the product was in clinical trials. However, the applicable authorities, including the U.S. Patent and Trademark Office, or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214"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72" w:lineRule="exact"/>
        <w:rPr>
          <w:sz w:val="20"/>
          <w:szCs w:val="20"/>
          <w:color w:val="auto"/>
        </w:rPr>
      </w:pPr>
    </w:p>
    <w:p>
      <w:pPr>
        <w:ind w:right="100" w:firstLine="749"/>
        <w:spacing w:after="0" w:line="269" w:lineRule="auto"/>
        <w:rPr>
          <w:sz w:val="20"/>
          <w:szCs w:val="20"/>
          <w:color w:val="auto"/>
        </w:rPr>
      </w:pPr>
      <w:r>
        <w:rPr>
          <w:rFonts w:ascii="Arial" w:cs="Arial" w:eastAsia="Arial" w:hAnsi="Arial"/>
          <w:sz w:val="16"/>
          <w:szCs w:val="16"/>
          <w:color w:val="auto"/>
        </w:rPr>
        <w:t>On September 16, 2011, the Leahy-Smith America Invents Act, or the Leahy-Smith Act, was signed into law. The Leahy-Smith Act includes a number of significant changes to U.S. patent law. These include provisions that affect the way patent applications are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7" w:name="page68"/>
    <w:bookmarkEnd w:id="6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615" cy="8890"/>
                    </a:xfrm>
                    <a:prstGeom prst="rect">
                      <a:avLst/>
                    </a:prstGeom>
                    <a:noFill/>
                  </pic:spPr>
                </pic:pic>
              </a:graphicData>
            </a:graphic>
          </wp:anchor>
        </w:drawing>
      </w:r>
    </w:p>
    <w:p>
      <w:pPr>
        <w:spacing w:after="0" w:line="215" w:lineRule="exact"/>
        <w:rPr>
          <w:sz w:val="20"/>
          <w:szCs w:val="20"/>
          <w:color w:val="auto"/>
        </w:rPr>
      </w:pPr>
    </w:p>
    <w:p>
      <w:pPr>
        <w:ind w:right="40" w:firstLine="749"/>
        <w:spacing w:after="0" w:line="307" w:lineRule="auto"/>
        <w:rPr>
          <w:sz w:val="20"/>
          <w:szCs w:val="20"/>
          <w:color w:val="auto"/>
        </w:rPr>
      </w:pPr>
      <w:r>
        <w:rPr>
          <w:rFonts w:ascii="Arial" w:cs="Arial" w:eastAsia="Arial" w:hAnsi="Arial"/>
          <w:sz w:val="14"/>
          <w:szCs w:val="14"/>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may allow third parties to commercialize our technology or products and compete directly with us, without payment to us, or may result in our inability to manufacture or commercialize products without infringing third-party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374" w:lineRule="exact"/>
        <w:rPr>
          <w:sz w:val="20"/>
          <w:szCs w:val="20"/>
          <w:color w:val="auto"/>
        </w:rPr>
      </w:pPr>
    </w:p>
    <w:p>
      <w:pPr>
        <w:jc w:val="both"/>
        <w:ind w:right="20" w:firstLine="749"/>
        <w:spacing w:after="0" w:line="273" w:lineRule="auto"/>
        <w:rPr>
          <w:sz w:val="20"/>
          <w:szCs w:val="20"/>
          <w:color w:val="auto"/>
        </w:rPr>
      </w:pPr>
      <w:r>
        <w:rPr>
          <w:rFonts w:ascii="Arial" w:cs="Arial" w:eastAsia="Arial" w:hAnsi="Arial"/>
          <w:sz w:val="16"/>
          <w:szCs w:val="16"/>
          <w:color w:val="auto"/>
        </w:rPr>
        <w:t>In addition, the patentability of claims in pending patent applications covering any of our current or future product candidates can be challenged by third parties during prosecution before the USPTO, for example by third-party observations and derivation proceedings, and the validity of claims in issued patents can be challenged by third parties in various post-grant proceedings such as post-grant review, reexamination, and inter-partes review proceedings. We may incur increased expenses related to the growth of our intellectual property portfolio and to its defense.</w:t>
      </w:r>
    </w:p>
    <w:p>
      <w:pPr>
        <w:spacing w:after="0" w:line="189" w:lineRule="exact"/>
        <w:rPr>
          <w:sz w:val="20"/>
          <w:szCs w:val="20"/>
          <w:color w:val="auto"/>
        </w:rPr>
      </w:pPr>
    </w:p>
    <w:p>
      <w:pPr>
        <w:ind w:right="140" w:firstLine="749"/>
        <w:spacing w:after="0" w:line="271" w:lineRule="auto"/>
        <w:rPr>
          <w:sz w:val="20"/>
          <w:szCs w:val="20"/>
          <w:color w:val="auto"/>
        </w:rPr>
      </w:pPr>
      <w:r>
        <w:rPr>
          <w:rFonts w:ascii="Arial" w:cs="Arial" w:eastAsia="Arial" w:hAnsi="Arial"/>
          <w:sz w:val="16"/>
          <w:szCs w:val="16"/>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90" w:lineRule="exact"/>
        <w:rPr>
          <w:sz w:val="20"/>
          <w:szCs w:val="20"/>
          <w:color w:val="auto"/>
        </w:rPr>
      </w:pPr>
    </w:p>
    <w:p>
      <w:pPr>
        <w:ind w:firstLine="749"/>
        <w:spacing w:after="0" w:line="293" w:lineRule="auto"/>
        <w:rPr>
          <w:sz w:val="20"/>
          <w:szCs w:val="20"/>
          <w:color w:val="auto"/>
        </w:rPr>
      </w:pPr>
      <w:r>
        <w:rPr>
          <w:rFonts w:ascii="Arial" w:cs="Arial" w:eastAsia="Arial" w:hAnsi="Arial"/>
          <w:sz w:val="15"/>
          <w:szCs w:val="15"/>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know-how.</w:t>
      </w:r>
    </w:p>
    <w:p>
      <w:pPr>
        <w:spacing w:after="0" w:line="176" w:lineRule="exact"/>
        <w:rPr>
          <w:sz w:val="20"/>
          <w:szCs w:val="20"/>
          <w:color w:val="auto"/>
        </w:rPr>
      </w:pPr>
    </w:p>
    <w:p>
      <w:pPr>
        <w:ind w:right="460"/>
        <w:spacing w:after="0" w:line="328" w:lineRule="auto"/>
        <w:rPr>
          <w:sz w:val="20"/>
          <w:szCs w:val="20"/>
          <w:color w:val="auto"/>
        </w:rPr>
      </w:pPr>
      <w:r>
        <w:rPr>
          <w:rFonts w:ascii="Arial" w:cs="Arial" w:eastAsia="Arial" w:hAnsi="Arial"/>
          <w:sz w:val="15"/>
          <w:szCs w:val="15"/>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50" w:lineRule="exact"/>
        <w:rPr>
          <w:sz w:val="20"/>
          <w:szCs w:val="20"/>
          <w:color w:val="auto"/>
        </w:rPr>
      </w:pPr>
    </w:p>
    <w:p>
      <w:pPr>
        <w:ind w:right="100" w:firstLine="749"/>
        <w:spacing w:after="0" w:line="203" w:lineRule="exact"/>
        <w:rPr>
          <w:sz w:val="20"/>
          <w:szCs w:val="20"/>
          <w:color w:val="auto"/>
        </w:rPr>
      </w:pPr>
      <w:r>
        <w:rPr>
          <w:rFonts w:ascii="Arial" w:cs="Arial" w:eastAsia="Arial" w:hAnsi="Arial"/>
          <w:sz w:val="14"/>
          <w:szCs w:val="14"/>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4"/>
          <w:szCs w:val="14"/>
          <w:color w:val="auto"/>
        </w:rPr>
        <w:t>‑</w:t>
      </w:r>
      <w:r>
        <w:rPr>
          <w:rFonts w:ascii="Arial" w:cs="Arial" w:eastAsia="Arial" w:hAnsi="Arial"/>
          <w:sz w:val="14"/>
          <w:szCs w:val="14"/>
          <w:color w:val="auto"/>
        </w:rPr>
        <w:t>U.S. patent agencies for the patents and patent applications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4"/>
          <w:szCs w:val="14"/>
          <w:color w:val="auto"/>
        </w:rPr>
        <w:t>‑</w:t>
      </w:r>
      <w:r>
        <w:rPr>
          <w:rFonts w:ascii="Arial" w:cs="Arial" w:eastAsia="Arial" w:hAnsi="Arial"/>
          <w:sz w:val="14"/>
          <w:szCs w:val="14"/>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8" w:name="page69"/>
    <w:bookmarkEnd w:id="6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72" w:lineRule="exact"/>
        <w:rPr>
          <w:sz w:val="20"/>
          <w:szCs w:val="20"/>
          <w:color w:val="auto"/>
        </w:rPr>
      </w:pPr>
    </w:p>
    <w:p>
      <w:pPr>
        <w:ind w:firstLine="749"/>
        <w:spacing w:after="0" w:line="286" w:lineRule="auto"/>
        <w:rPr>
          <w:sz w:val="20"/>
          <w:szCs w:val="20"/>
          <w:color w:val="auto"/>
        </w:rPr>
      </w:pPr>
      <w:r>
        <w:rPr>
          <w:rFonts w:ascii="Arial" w:cs="Arial" w:eastAsia="Arial" w:hAnsi="Arial"/>
          <w:sz w:val="15"/>
          <w:szCs w:val="15"/>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against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6"/>
          <w:szCs w:val="16"/>
          <w:color w:val="auto"/>
        </w:rPr>
        <w:t>If a third-party claims that we infringe their intellectual property rights, we could face a number of issues, including:</w:t>
      </w:r>
    </w:p>
    <w:p>
      <w:pPr>
        <w:spacing w:after="0" w:line="235" w:lineRule="exact"/>
        <w:rPr>
          <w:sz w:val="20"/>
          <w:szCs w:val="20"/>
          <w:color w:val="auto"/>
        </w:rPr>
      </w:pPr>
    </w:p>
    <w:p>
      <w:pPr>
        <w:ind w:left="700" w:right="800"/>
        <w:spacing w:after="0" w:line="293" w:lineRule="auto"/>
        <w:rPr>
          <w:sz w:val="20"/>
          <w:szCs w:val="20"/>
          <w:color w:val="auto"/>
        </w:rPr>
      </w:pPr>
      <w:r>
        <w:rPr>
          <w:rFonts w:ascii="Arial" w:cs="Arial" w:eastAsia="Arial" w:hAnsi="Arial"/>
          <w:sz w:val="16"/>
          <w:szCs w:val="16"/>
          <w:color w:val="auto"/>
        </w:rPr>
        <w:t>infringement and other intellectual property claims which, whether meritorious or not, can be expensive and time consuming to litigate and can divert management’s attention from our core business;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substantial damages for past infringement which we may have to pay if a court decides that our product infringes on a competitor’s patent;</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court prohibiting us from selling or licensing our product unless the patent holder licenses the patent to us, which it would not be required to do;</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if a license is available from a patent holder, we may have to pay substantial royalties or grant cross licenses to our patents;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redesigning our product candidates and processes so they do not infringe, which may not be possible or could require substantial funds and time.</w:t>
      </w:r>
    </w:p>
    <w:p>
      <w:pPr>
        <w:spacing w:after="0" w:line="235" w:lineRule="exact"/>
        <w:rPr>
          <w:sz w:val="20"/>
          <w:szCs w:val="20"/>
          <w:color w:val="auto"/>
        </w:rPr>
      </w:pPr>
    </w:p>
    <w:p>
      <w:pPr>
        <w:ind w:right="40" w:firstLine="749"/>
        <w:spacing w:after="0" w:line="203" w:lineRule="exact"/>
        <w:rPr>
          <w:sz w:val="20"/>
          <w:szCs w:val="20"/>
          <w:color w:val="auto"/>
        </w:rPr>
      </w:pPr>
      <w:r>
        <w:rPr>
          <w:rFonts w:ascii="Arial" w:cs="Arial" w:eastAsia="Arial" w:hAnsi="Arial"/>
          <w:sz w:val="15"/>
          <w:szCs w:val="15"/>
          <w:color w:val="auto"/>
        </w:rPr>
        <w:t>If we are found to infringe a third-party’s intellectual property rights, we could be required to obtain a license from such third-party to continue developing and marketing our products and technology. However, we may not be able to obtain any required license on commercially reasonable terms, or at all. Even if we were able to obtain a license, it could be non</w:t>
      </w:r>
      <w:r>
        <w:rPr>
          <w:rFonts w:ascii="MS PGothic" w:cs="MS PGothic" w:eastAsia="MS PGothic" w:hAnsi="MS PGothic"/>
          <w:sz w:val="15"/>
          <w:szCs w:val="15"/>
          <w:color w:val="auto"/>
        </w:rPr>
        <w:t>‑</w:t>
      </w:r>
      <w:r>
        <w:rPr>
          <w:rFonts w:ascii="Arial" w:cs="Arial" w:eastAsia="Arial" w:hAnsi="Arial"/>
          <w:sz w:val="15"/>
          <w:szCs w:val="15"/>
          <w:color w:val="auto"/>
        </w:rPr>
        <w:t>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materially harm our business. Claims that we have misappropriated the confidential information or trade secrets of third parties could have a similar negative impact on our business, financial condition, results of operations, and prospects.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 involved in lawsuits to protect or enforce our patents or the patents of our licensors, which could be expensive, time consuming, and unsuccessful.</w:t>
      </w:r>
    </w:p>
    <w:p>
      <w:pPr>
        <w:spacing w:after="0" w:line="258" w:lineRule="exact"/>
        <w:rPr>
          <w:sz w:val="20"/>
          <w:szCs w:val="20"/>
          <w:color w:val="auto"/>
        </w:rPr>
      </w:pPr>
    </w:p>
    <w:p>
      <w:pPr>
        <w:ind w:right="40" w:firstLine="749"/>
        <w:spacing w:after="0" w:line="288" w:lineRule="auto"/>
        <w:rPr>
          <w:sz w:val="20"/>
          <w:szCs w:val="20"/>
          <w:color w:val="auto"/>
        </w:rPr>
      </w:pPr>
      <w:r>
        <w:rPr>
          <w:rFonts w:ascii="Arial" w:cs="Arial" w:eastAsia="Arial" w:hAnsi="Arial"/>
          <w:sz w:val="15"/>
          <w:szCs w:val="15"/>
          <w:color w:val="auto"/>
        </w:rPr>
        <w:t>Competitors may infringe our issued patents, our in-licensed patents, or other intellectual property that we own or in-license. Under the terms of our license agreements with Antecip, if we believe a third-party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0" w:lineRule="exact"/>
        <w:rPr>
          <w:sz w:val="20"/>
          <w:szCs w:val="20"/>
          <w:color w:val="auto"/>
        </w:rPr>
      </w:pPr>
    </w:p>
    <w:p>
      <w:pPr>
        <w:jc w:val="both"/>
        <w:ind w:right="160" w:firstLine="749"/>
        <w:spacing w:after="0" w:line="273" w:lineRule="auto"/>
        <w:rPr>
          <w:sz w:val="20"/>
          <w:szCs w:val="20"/>
          <w:color w:val="auto"/>
        </w:rPr>
      </w:pPr>
      <w:r>
        <w:rPr>
          <w:rFonts w:ascii="Arial" w:cs="Arial" w:eastAsia="Arial" w:hAnsi="Arial"/>
          <w:sz w:val="16"/>
          <w:szCs w:val="16"/>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in-license needed technology, or enter into development partnerships that would help us bring our product candidates to market.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69" w:name="page70"/>
    <w:bookmarkEnd w:id="6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60"/>
        <w:spacing w:after="0" w:line="328" w:lineRule="auto"/>
        <w:rPr>
          <w:sz w:val="20"/>
          <w:szCs w:val="20"/>
          <w:color w:val="auto"/>
        </w:rPr>
      </w:pPr>
      <w:r>
        <w:rPr>
          <w:rFonts w:ascii="Arial" w:cs="Arial" w:eastAsia="Arial" w:hAnsi="Arial"/>
          <w:sz w:val="15"/>
          <w:szCs w:val="15"/>
          <w:b w:val="1"/>
          <w:bCs w:val="1"/>
          <w:i w:val="1"/>
          <w:iCs w:val="1"/>
          <w:color w:val="auto"/>
        </w:rPr>
        <w:t>We have licensed and may need to license certain intellectual property from third parties in the future. Such licenses may not be available or may not be available on commercially reasonable terms. Our business may be materially harmed if the licenses are not available or terminated for any reason.</w:t>
      </w:r>
    </w:p>
    <w:p>
      <w:pPr>
        <w:spacing w:after="0" w:line="150" w:lineRule="exact"/>
        <w:rPr>
          <w:sz w:val="20"/>
          <w:szCs w:val="20"/>
          <w:color w:val="auto"/>
        </w:rPr>
      </w:pPr>
    </w:p>
    <w:p>
      <w:pPr>
        <w:ind w:right="20" w:firstLine="749"/>
        <w:spacing w:after="0" w:line="289" w:lineRule="auto"/>
        <w:rPr>
          <w:sz w:val="20"/>
          <w:szCs w:val="20"/>
          <w:color w:val="auto"/>
        </w:rPr>
      </w:pPr>
      <w:r>
        <w:rPr>
          <w:rFonts w:ascii="Arial" w:cs="Arial" w:eastAsia="Arial" w:hAnsi="Arial"/>
          <w:sz w:val="15"/>
          <w:szCs w:val="15"/>
          <w:color w:val="auto"/>
        </w:rPr>
        <w:t>We are a party to certain license agreements under which we are granted rights to intellectual property, including patent rights that are important to our business. We expect that we may need to enter into additional license agreements in the future to commercialize our products, in which case we would be required to obtain a license from additional third parties. Such licenses may not be available on commercially reasonable terms, or at all, which could materially harm our business, financial condition, results of operations, and prospects. We rely on these licenses to use intellectual property that may be material to our business and important or necessary to the development or commercialization of our products. Our existing license agreements impose, and we expect that future license agreements will impose on us, various exclusivity obligations. If we fail to comply with our obligations under these agreements, the applicable licensor may have the right to terminate our license, in which case we may not be able to develop or commercialize the products covered by such license.</w:t>
      </w:r>
    </w:p>
    <w:p>
      <w:pPr>
        <w:spacing w:after="0" w:line="180" w:lineRule="exact"/>
        <w:rPr>
          <w:sz w:val="20"/>
          <w:szCs w:val="20"/>
          <w:color w:val="auto"/>
        </w:rPr>
      </w:pPr>
    </w:p>
    <w:p>
      <w:pPr>
        <w:ind w:right="20" w:firstLine="749"/>
        <w:spacing w:after="0" w:line="265" w:lineRule="auto"/>
        <w:rPr>
          <w:sz w:val="20"/>
          <w:szCs w:val="20"/>
          <w:color w:val="auto"/>
        </w:rPr>
      </w:pPr>
      <w:r>
        <w:rPr>
          <w:rFonts w:ascii="Arial" w:cs="Arial" w:eastAsia="Arial" w:hAnsi="Arial"/>
          <w:sz w:val="15"/>
          <w:szCs w:val="15"/>
          <w:color w:val="auto"/>
        </w:rPr>
        <w:t>In January 2020, we entered into an agreement with Pfizer Inc., or Pfizer, for an exclusive U.S. license to Pfizer’s clinical and nonclinical data, and intellectual property for reboxetine, the active pharmaceutical ingredient in AXS-12 which Axsome is developing for the treatment of narcolepsy. The agreement also provides Axsome exclusive rights to develop and commercialize esreboxetine, a new late-stage product candidate now referred to as AXS-14, in the U.S. for the treatment of fibromyalgia. Under the terms of the agreement, we received from Pfizer an exclusive U.S. license to Pfizer data for reboxetine and esreboxetine encompassing a full range of nonclinical studies, and short-term and long-term clinical trials involving more than five thousand patients. The licensed data includes results of a positive Phase 3 trial and a positive Phase 2 trial of esreboxetine in the treatment of fibromyalgia. We will have the exclusive right and sole responsibility of developing AXS-14 (esreboxetine) in the U.S. for the treatment of fibromyalgia and for other indications. Pfizer received 82,019 shares of our common stock having a value of $8.0 million, based on the average closing price of our common stock for the 10 prior trading days of $97.538, in consideration for the license and rights. Pfizer also received an upfront cash payment of $3.0 million and will receive up to $323 million in regulatory and sales milestones, and tiered mid-single to low double-digit royalties on future sales. Pfizer will also have a right of first negotiation on any potential future strategic transactions involving AXS-12 and AXS-14. Under the agreement, we are obligated to use commercially reasonable efforts to develop, manufacture and commercialize the compounds and products in the United States and to seek and maintain regulatory approvals for the compounds and products. The agreement will expire on a product-by-product basis upon expiration of the last-to-expire royalty term for such product. On expiration (but not earlier termination), we will have a perpetual, non-exclusive, fully paid, royalty-free and irrevocable license under the licensed patent rights and related data to develop, manufacture, use, commercialize and otherwise exploit the compounds. Either party may terminate the agreement for the other party’s material breach following a cure period. Pfizer may immediately terminate the agreement upon certain insolvency events relating to us. We may terminate the agreement for any reason upon ninety days written notice to Pfizer at any time after the first anniversary of the agreement. If the license agreement with Pfizer is terminated for any reason, our business, financial condition, results of operations, and prospects will be materially harmed.</w:t>
      </w:r>
    </w:p>
    <w:p>
      <w:pPr>
        <w:spacing w:after="0" w:line="191" w:lineRule="exact"/>
        <w:rPr>
          <w:sz w:val="20"/>
          <w:szCs w:val="20"/>
          <w:color w:val="auto"/>
        </w:rPr>
      </w:pPr>
    </w:p>
    <w:p>
      <w:pPr>
        <w:ind w:firstLine="749"/>
        <w:spacing w:after="0" w:line="190" w:lineRule="exact"/>
        <w:rPr>
          <w:sz w:val="20"/>
          <w:szCs w:val="20"/>
          <w:color w:val="auto"/>
        </w:rPr>
      </w:pPr>
      <w:r>
        <w:rPr>
          <w:rFonts w:ascii="Arial" w:cs="Arial" w:eastAsia="Arial" w:hAnsi="Arial"/>
          <w:sz w:val="15"/>
          <w:szCs w:val="15"/>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AXS-05, as well as two product candidates that are not currently in development, anywhere in the world for human therapeutic, veterinary, and diagnostic use. The agreements were amended in August 2015 to update the schedule of patents and applications subject to the license agreements. Pursuant to the agreements, we are required to use commercially reasonable efforts to develop, obtain regulatory approval for, and commercialize AXS-05. Under the terms of the agreements, we are required to pay to Antecip a royalty equal to 3.0% for AXS-05, of net sales of products containing the licensed technology by us, our affiliates, or permitted sublicensees. These royalty payments are subject to reduction by an amount up to 50.0% of any required payments to third parties. Unless earlier terminated by a party for cause or by us for convenience, the agreements remain in effect on a product-by-product and country-by-country basis until the later to occur of (1) the applicable product is no longer covered by a valid claim in that country or (2) 10 years from the first commercial sale of the applicable product in that country. Upon expiration of the agreements with respect to a product in a country, our license grant for that product in that country will become a fully paid up, royalty free, perpetual non</w:t>
      </w:r>
      <w:r>
        <w:rPr>
          <w:rFonts w:ascii="MS PGothic" w:cs="MS PGothic" w:eastAsia="MS PGothic" w:hAnsi="MS PGothic"/>
          <w:sz w:val="15"/>
          <w:szCs w:val="15"/>
          <w:color w:val="auto"/>
        </w:rPr>
        <w:t>‑</w:t>
      </w:r>
      <w:r>
        <w:rPr>
          <w:rFonts w:ascii="Arial" w:cs="Arial" w:eastAsia="Arial" w:hAnsi="Arial"/>
          <w:sz w:val="15"/>
          <w:szCs w:val="15"/>
          <w:color w:val="auto"/>
        </w:rPr>
        <w:t>exclusive license. If Antecip terminates any of the agreements for cause, or if we exercise our right to terminate any of the agreements for convenience, the rights granted to us under such terminated agreement will revert to Antecip. To date, we have not been required to make any payments to Antecip under any of the license agreements. We are dependent upon the license agreements with Antecip and if any of the license agreements with Antecip are terminated for any reason, our business, financial condition, results of operations, and prospects will be materially harmed.</w:t>
      </w:r>
    </w:p>
    <w:p>
      <w:pPr>
        <w:spacing w:after="0" w:line="206"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72" w:lineRule="exact"/>
        <w:rPr>
          <w:sz w:val="20"/>
          <w:szCs w:val="20"/>
          <w:color w:val="auto"/>
        </w:rPr>
      </w:pPr>
    </w:p>
    <w:p>
      <w:pPr>
        <w:ind w:right="120" w:firstLine="749"/>
        <w:spacing w:after="0" w:line="304" w:lineRule="auto"/>
        <w:rPr>
          <w:sz w:val="20"/>
          <w:szCs w:val="20"/>
          <w:color w:val="auto"/>
        </w:rPr>
      </w:pPr>
      <w:r>
        <w:rPr>
          <w:rFonts w:ascii="Arial" w:cs="Arial" w:eastAsia="Arial" w:hAnsi="Arial"/>
          <w:sz w:val="14"/>
          <w:szCs w:val="14"/>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0" w:name="page71"/>
    <w:bookmarkEnd w:id="7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21" w:lineRule="exact"/>
        <w:rPr>
          <w:sz w:val="20"/>
          <w:szCs w:val="20"/>
          <w:color w:val="auto"/>
        </w:rPr>
      </w:pPr>
    </w:p>
    <w:p>
      <w:pPr>
        <w:ind w:firstLine="749"/>
        <w:spacing w:after="0" w:line="191" w:lineRule="exact"/>
        <w:rPr>
          <w:sz w:val="20"/>
          <w:szCs w:val="20"/>
          <w:color w:val="auto"/>
        </w:rPr>
      </w:pPr>
      <w:r>
        <w:rPr>
          <w:rFonts w:ascii="Arial" w:cs="Arial" w:eastAsia="Arial" w:hAnsi="Arial"/>
          <w:sz w:val="15"/>
          <w:szCs w:val="15"/>
          <w:color w:val="auto"/>
        </w:rPr>
        <w:t>We rely on trade secrets to protect our proprietary technological advances and know</w:t>
      </w:r>
      <w:r>
        <w:rPr>
          <w:rFonts w:ascii="MS PGothic" w:cs="MS PGothic" w:eastAsia="MS PGothic" w:hAnsi="MS PGothic"/>
          <w:sz w:val="15"/>
          <w:szCs w:val="15"/>
          <w:color w:val="auto"/>
        </w:rPr>
        <w:t>‑</w:t>
      </w:r>
      <w:r>
        <w:rPr>
          <w:rFonts w:ascii="Arial" w:cs="Arial" w:eastAsia="Arial" w:hAnsi="Arial"/>
          <w:sz w:val="15"/>
          <w:szCs w:val="15"/>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5"/>
          <w:szCs w:val="15"/>
          <w:color w:val="auto"/>
        </w:rPr>
        <w:t>‑</w:t>
      </w:r>
      <w:r>
        <w:rPr>
          <w:rFonts w:ascii="Arial" w:cs="Arial" w:eastAsia="Arial" w:hAnsi="Arial"/>
          <w:sz w:val="15"/>
          <w:szCs w:val="15"/>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or our licensors may not be able to protect our intellectual property rights throughout the world.</w:t>
      </w:r>
    </w:p>
    <w:p>
      <w:pPr>
        <w:spacing w:after="0" w:line="235" w:lineRule="exact"/>
        <w:rPr>
          <w:sz w:val="20"/>
          <w:szCs w:val="20"/>
          <w:color w:val="auto"/>
        </w:rPr>
      </w:pPr>
    </w:p>
    <w:p>
      <w:pPr>
        <w:ind w:right="80" w:firstLine="749"/>
        <w:spacing w:after="0" w:line="293" w:lineRule="auto"/>
        <w:rPr>
          <w:sz w:val="20"/>
          <w:szCs w:val="20"/>
          <w:color w:val="auto"/>
        </w:rPr>
      </w:pPr>
      <w:r>
        <w:rPr>
          <w:rFonts w:ascii="Arial" w:cs="Arial" w:eastAsia="Arial" w:hAnsi="Arial"/>
          <w:sz w:val="14"/>
          <w:szCs w:val="14"/>
          <w:color w:val="auto"/>
        </w:rPr>
        <w:t>Filing, prosecuting, and defending patent applications and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3" w:lineRule="exact"/>
        <w:rPr>
          <w:sz w:val="20"/>
          <w:szCs w:val="20"/>
          <w:color w:val="auto"/>
        </w:rPr>
      </w:pPr>
    </w:p>
    <w:p>
      <w:pPr>
        <w:ind w:right="140" w:firstLine="749"/>
        <w:spacing w:after="0" w:line="251"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LEGAL AND COMPLIANCE MATTERS</w:t>
      </w:r>
    </w:p>
    <w:p>
      <w:pPr>
        <w:spacing w:after="0" w:line="239" w:lineRule="exact"/>
        <w:rPr>
          <w:sz w:val="20"/>
          <w:szCs w:val="20"/>
          <w:color w:val="auto"/>
        </w:rPr>
      </w:pPr>
    </w:p>
    <w:p>
      <w:pPr>
        <w:ind w:right="80"/>
        <w:spacing w:after="0" w:line="369" w:lineRule="auto"/>
        <w:rPr>
          <w:sz w:val="20"/>
          <w:szCs w:val="20"/>
          <w:color w:val="auto"/>
        </w:rPr>
      </w:pPr>
      <w:r>
        <w:rPr>
          <w:rFonts w:ascii="Arial" w:cs="Arial" w:eastAsia="Arial" w:hAnsi="Arial"/>
          <w:sz w:val="14"/>
          <w:szCs w:val="14"/>
          <w:b w:val="1"/>
          <w:bCs w:val="1"/>
          <w:i w:val="1"/>
          <w:iCs w:val="1"/>
          <w:color w:val="auto"/>
        </w:rPr>
        <w:t>If we fail to comply with federal state, and foreign healthcare laws, including fraud and abuse and transparency and health and other information privacy and security laws, we could face substantial penalties and our business, financial condition, results of operations, and prospects could be adversely affected.</w:t>
      </w:r>
    </w:p>
    <w:p>
      <w:pPr>
        <w:spacing w:after="0" w:line="126" w:lineRule="exact"/>
        <w:rPr>
          <w:sz w:val="20"/>
          <w:szCs w:val="20"/>
          <w:color w:val="auto"/>
        </w:rPr>
      </w:pPr>
    </w:p>
    <w:p>
      <w:pPr>
        <w:ind w:firstLine="749"/>
        <w:spacing w:after="0" w:line="191" w:lineRule="exact"/>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 the “Business—Government Regulation and Product Approval” section of the filed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such as the federal Anti-Kickback Statute, the federal civil and criminal False Claims Act, the civil monetary penalties statute, the Medicaid Drug Rebate statute and other price reporting requirements, the Veterans Health Care Act of 1992, the Physician Payments Sunshine Act, the Foreign Corrupt Practices Act of 1977, the Patient Protection and Affordable Care Act of 2010, and similar state and foreign laws. Even though we do not and will not control referrals of healthcare services or bill directly to Medicare, Medicaid, or other third-party payors, certain federal and state healthcare laws and regulations pertaining to fraud and abuse and patients’ rights are and will be applicable to our business. We would be subject to healthcare fraud and abuse laws by both the federal government and the states in which we conduct our business.</w:t>
      </w:r>
    </w:p>
    <w:p>
      <w:pPr>
        <w:spacing w:after="0" w:line="203" w:lineRule="exact"/>
        <w:rPr>
          <w:sz w:val="20"/>
          <w:szCs w:val="20"/>
          <w:color w:val="auto"/>
        </w:rPr>
      </w:pPr>
    </w:p>
    <w:p>
      <w:pPr>
        <w:ind w:right="100" w:firstLine="749"/>
        <w:spacing w:after="0" w:line="295" w:lineRule="auto"/>
        <w:rPr>
          <w:sz w:val="20"/>
          <w:szCs w:val="20"/>
          <w:color w:val="auto"/>
        </w:rPr>
      </w:pPr>
      <w:r>
        <w:rPr>
          <w:rFonts w:ascii="Arial" w:cs="Arial" w:eastAsia="Arial" w:hAnsi="Arial"/>
          <w:sz w:val="14"/>
          <w:szCs w:val="14"/>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3" w:lineRule="exact"/>
        <w:rPr>
          <w:sz w:val="20"/>
          <w:szCs w:val="20"/>
          <w:color w:val="auto"/>
        </w:rPr>
      </w:pPr>
    </w:p>
    <w:p>
      <w:pPr>
        <w:ind w:right="80" w:firstLine="749"/>
        <w:spacing w:after="0" w:line="315" w:lineRule="auto"/>
        <w:rPr>
          <w:sz w:val="20"/>
          <w:szCs w:val="20"/>
          <w:color w:val="auto"/>
        </w:rPr>
      </w:pPr>
      <w:r>
        <w:rPr>
          <w:rFonts w:ascii="Arial" w:cs="Arial" w:eastAsia="Arial" w:hAnsi="Arial"/>
          <w:sz w:val="14"/>
          <w:szCs w:val="14"/>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1" w:name="page72"/>
    <w:bookmarkEnd w:id="7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line="349" w:lineRule="auto"/>
        <w:rPr>
          <w:sz w:val="20"/>
          <w:szCs w:val="20"/>
          <w:color w:val="auto"/>
        </w:rPr>
      </w:pPr>
      <w:r>
        <w:rPr>
          <w:rFonts w:ascii="Arial" w:cs="Arial" w:eastAsia="Arial" w:hAnsi="Arial"/>
          <w:sz w:val="14"/>
          <w:szCs w:val="14"/>
          <w:b w:val="1"/>
          <w:bCs w:val="1"/>
          <w:i w:val="1"/>
          <w:iCs w:val="1"/>
          <w:color w:val="auto"/>
        </w:rPr>
        <w:t>If the government or third-party payors fail to provide adequate coverage and payment rates for any of our current or future product candidates, or if health maintenance organization (HMOs) or long-term care facilities choose to use therapies that are less expensive, our revenue and prospects for profitability will be limited.</w:t>
      </w:r>
    </w:p>
    <w:p>
      <w:pPr>
        <w:spacing w:after="0" w:line="126" w:lineRule="exact"/>
        <w:rPr>
          <w:sz w:val="20"/>
          <w:szCs w:val="20"/>
          <w:color w:val="auto"/>
        </w:rPr>
      </w:pPr>
    </w:p>
    <w:p>
      <w:pPr>
        <w:ind w:firstLine="749"/>
        <w:spacing w:after="0" w:line="249" w:lineRule="auto"/>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third-party payors. Such third-party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Many private payors employ “new-to-market blocks” for newly launched medications and other products until the payors have had the opportunity to make a coverage decision based upon their internal review of such products. When a medication or other product is not covered, the patient is responsible to pay the full price, which can significantly limit utilization.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197" w:lineRule="exact"/>
        <w:rPr>
          <w:sz w:val="20"/>
          <w:szCs w:val="20"/>
          <w:color w:val="auto"/>
        </w:rPr>
      </w:pPr>
    </w:p>
    <w:p>
      <w:pPr>
        <w:ind w:firstLine="749"/>
        <w:spacing w:after="0" w:line="265" w:lineRule="auto"/>
        <w:rPr>
          <w:sz w:val="20"/>
          <w:szCs w:val="20"/>
          <w:color w:val="auto"/>
        </w:rPr>
      </w:pPr>
      <w:r>
        <w:rPr>
          <w:rFonts w:ascii="Arial" w:cs="Arial" w:eastAsia="Arial" w:hAnsi="Arial"/>
          <w:sz w:val="15"/>
          <w:szCs w:val="15"/>
          <w:color w:val="auto"/>
        </w:rPr>
        <w:t>There is significant uncertainty related to third-party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Additionally, drug pricing is a key state and federal issue within the U.S., with recent legislation and additional proposals designed to bring more transparency to drug pricing, reduce the cost of prescription drugs under Medicare and Medicaid, review the relationship between pricing and manufacturer patient programs and reform government program reimbursement methodologies for drugs. We expect continued focus and pressure on drug pricing going forward.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third-party payors, such as private health insurers and health maintenance organizations, decide which medications they will cover and establish reimbursement levels. The healthcare industry is acutely focused on cost containment, both in the United States and elsewhere. Several third-party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90" w:lineRule="exact"/>
        <w:rPr>
          <w:sz w:val="20"/>
          <w:szCs w:val="20"/>
          <w:color w:val="auto"/>
        </w:rPr>
      </w:pPr>
    </w:p>
    <w:p>
      <w:pPr>
        <w:ind w:right="40" w:firstLine="749"/>
        <w:spacing w:after="0" w:line="252" w:lineRule="auto"/>
        <w:rPr>
          <w:sz w:val="20"/>
          <w:szCs w:val="20"/>
          <w:color w:val="auto"/>
        </w:rPr>
      </w:pPr>
      <w:r>
        <w:rPr>
          <w:rFonts w:ascii="Arial" w:cs="Arial" w:eastAsia="Arial" w:hAnsi="Arial"/>
          <w:sz w:val="16"/>
          <w:szCs w:val="16"/>
          <w:color w:val="auto"/>
        </w:rPr>
        <w:t>Third-party payors, whether foreign or domestic, or governmental or commercial, are developing increasingly sophisticated methods of controlling healthcare costs. In addition, in the United States, no uniform policy of coverage and reimbursement for drug products exists among third-party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91" w:lineRule="exact"/>
        <w:rPr>
          <w:sz w:val="20"/>
          <w:szCs w:val="20"/>
          <w:color w:val="auto"/>
        </w:rPr>
      </w:pPr>
    </w:p>
    <w:p>
      <w:pPr>
        <w:ind w:right="60" w:firstLine="749"/>
        <w:spacing w:after="0" w:line="289" w:lineRule="auto"/>
        <w:rPr>
          <w:sz w:val="20"/>
          <w:szCs w:val="20"/>
          <w:color w:val="auto"/>
        </w:rPr>
      </w:pPr>
      <w:r>
        <w:rPr>
          <w:rFonts w:ascii="Arial" w:cs="Arial" w:eastAsia="Arial" w:hAnsi="Arial"/>
          <w:sz w:val="15"/>
          <w:szCs w:val="15"/>
          <w:color w:val="auto"/>
        </w:rPr>
        <w:t>Assuming coverage is approved, the resulting reimbursement payment rates might not be adequate. If payors subject our product candidates to maximum payment amounts or impose limitations that make it difficult to obtain reimbursement, providers may choose to use therapies which are less expensive or have fewer access restrictions when compared to our product candidates. Additionally, if payors require high copayments, beneficiaries may decline prescriptions and seek alternative therapies. We may need to conduct post-marketing studies in order to demonstrate the cost effectiveness of any future products to the satisfaction of hospitals and other target customers and their third-party payors. Such studies might require us to commit a significant amount of management time and financial and other resources. Our future products might not ultimately be considered cost effective. Adequate third-party coverage and reimbursement might not be available to enable us to maintain price levels sufficient to realize an appropriate return on investment in product development.</w:t>
      </w:r>
    </w:p>
    <w:p>
      <w:pPr>
        <w:spacing w:after="0" w:line="180" w:lineRule="exact"/>
        <w:rPr>
          <w:sz w:val="20"/>
          <w:szCs w:val="20"/>
          <w:color w:val="auto"/>
        </w:rPr>
      </w:pPr>
    </w:p>
    <w:p>
      <w:pPr>
        <w:ind w:right="80" w:firstLine="749"/>
        <w:spacing w:after="0" w:line="311" w:lineRule="auto"/>
        <w:rPr>
          <w:sz w:val="20"/>
          <w:szCs w:val="20"/>
          <w:color w:val="auto"/>
        </w:rPr>
      </w:pPr>
      <w:r>
        <w:rPr>
          <w:rFonts w:ascii="Arial" w:cs="Arial" w:eastAsia="Arial" w:hAnsi="Arial"/>
          <w:sz w:val="14"/>
          <w:szCs w:val="14"/>
          <w:color w:val="auto"/>
        </w:rPr>
        <w:t>In addition, federal programs impose penalties on manufacturers of drugs marketed under an NDA, including 505(b)(2) drugs, in the form of mandatory additional rebates and/or discounts if commercial prices increase at a rate greater than the Consumer Price Index Urban, and these rebates and/or discounts, which can be substantial, may impact our ability to raise commercial prices. Regulatory authorities and third-party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 effective, and coverage and reimbursement may not be available to our customers, or those of our collaborators, or may not be sufficient to allow our products, if any, to be marketed on a competitive basis. Cost 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third-party payors do not provide adequate coverage or reimbursement, our prospects for revenue and profitability will suffer.</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 w:right="379" w:bottom="1440" w:gutter="0" w:footer="0" w:header="0"/>
        </w:sectPr>
      </w:pPr>
    </w:p>
    <w:bookmarkStart w:id="72" w:name="page73"/>
    <w:bookmarkEnd w:id="7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80" w:firstLine="749"/>
        <w:spacing w:after="0" w:line="269" w:lineRule="auto"/>
        <w:rPr>
          <w:sz w:val="20"/>
          <w:szCs w:val="20"/>
          <w:color w:val="auto"/>
        </w:rPr>
      </w:pPr>
      <w:r>
        <w:rPr>
          <w:rFonts w:ascii="Arial" w:cs="Arial" w:eastAsia="Arial" w:hAnsi="Arial"/>
          <w:sz w:val="16"/>
          <w:szCs w:val="16"/>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94" w:lineRule="exact"/>
        <w:rPr>
          <w:sz w:val="20"/>
          <w:szCs w:val="20"/>
          <w:color w:val="auto"/>
        </w:rPr>
      </w:pPr>
    </w:p>
    <w:p>
      <w:pPr>
        <w:ind w:firstLine="749"/>
        <w:spacing w:after="0" w:line="269"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94" w:lineRule="exact"/>
        <w:rPr>
          <w:sz w:val="20"/>
          <w:szCs w:val="20"/>
          <w:color w:val="auto"/>
        </w:rPr>
      </w:pPr>
    </w:p>
    <w:p>
      <w:pPr>
        <w:ind w:firstLine="749"/>
        <w:spacing w:after="0" w:line="291" w:lineRule="auto"/>
        <w:rPr>
          <w:sz w:val="20"/>
          <w:szCs w:val="20"/>
          <w:color w:val="auto"/>
        </w:rPr>
      </w:pPr>
      <w:r>
        <w:rPr>
          <w:rFonts w:ascii="Arial" w:cs="Arial" w:eastAsia="Arial" w:hAnsi="Arial"/>
          <w:sz w:val="15"/>
          <w:szCs w:val="15"/>
          <w:color w:val="auto"/>
        </w:rPr>
        <w:t>In addition, increasingly, third-party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 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76" w:lineRule="exact"/>
        <w:rPr>
          <w:sz w:val="20"/>
          <w:szCs w:val="20"/>
          <w:color w:val="auto"/>
        </w:rPr>
      </w:pPr>
    </w:p>
    <w:p>
      <w:pPr>
        <w:ind w:right="240"/>
        <w:spacing w:after="0" w:line="293"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72" w:lineRule="exact"/>
        <w:rPr>
          <w:sz w:val="20"/>
          <w:szCs w:val="20"/>
          <w:color w:val="auto"/>
        </w:rPr>
      </w:pPr>
    </w:p>
    <w:p>
      <w:pPr>
        <w:ind w:right="80" w:firstLine="749"/>
        <w:spacing w:after="0" w:line="203" w:lineRule="exact"/>
        <w:rPr>
          <w:sz w:val="20"/>
          <w:szCs w:val="20"/>
          <w:color w:val="auto"/>
        </w:rPr>
      </w:pPr>
      <w:r>
        <w:rPr>
          <w:rFonts w:ascii="Arial" w:cs="Arial" w:eastAsia="Arial" w:hAnsi="Arial"/>
          <w:sz w:val="15"/>
          <w:szCs w:val="15"/>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5"/>
          <w:szCs w:val="15"/>
          <w:color w:val="auto"/>
        </w:rPr>
        <w:t>‑</w:t>
      </w:r>
      <w:r>
        <w:rPr>
          <w:rFonts w:ascii="Arial" w:cs="Arial" w:eastAsia="Arial" w:hAnsi="Arial"/>
          <w:sz w:val="15"/>
          <w:szCs w:val="15"/>
          <w:color w:val="auto"/>
        </w:rPr>
        <w:t>approval activities, and affect our ability, or the ability of our collaborators, to profitably sell any products for which we obtain marketing approval. It is unclear what impact these various efforts have and will have on our business operations and resulting financial condition.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215" w:lineRule="exact"/>
        <w:rPr>
          <w:sz w:val="20"/>
          <w:szCs w:val="20"/>
          <w:color w:val="auto"/>
        </w:rPr>
      </w:pPr>
    </w:p>
    <w:p>
      <w:pPr>
        <w:ind w:right="80" w:firstLine="749"/>
        <w:spacing w:after="0" w:line="278" w:lineRule="auto"/>
        <w:rPr>
          <w:sz w:val="20"/>
          <w:szCs w:val="20"/>
          <w:color w:val="auto"/>
        </w:rPr>
      </w:pPr>
      <w:r>
        <w:rPr>
          <w:rFonts w:ascii="Arial" w:cs="Arial" w:eastAsia="Arial" w:hAnsi="Arial"/>
          <w:sz w:val="16"/>
          <w:szCs w:val="16"/>
          <w:color w:val="auto"/>
        </w:rPr>
        <w:t>For example, there have been numerous attempts by Congress and the former Trump Administration, through legislation and executive orders, to repeal or materially modify various aspects of ACA. In addition, there have been multiple lawsuits challenging the constitutionality of the ACA as well as various components of the ACA. After proceeding through more recent appellate challenges, in June 2021, the Supreme Court upheld the ACA.</w:t>
      </w:r>
    </w:p>
    <w:p>
      <w:pPr>
        <w:spacing w:after="0" w:line="184" w:lineRule="exact"/>
        <w:rPr>
          <w:sz w:val="20"/>
          <w:szCs w:val="20"/>
          <w:color w:val="auto"/>
        </w:rPr>
      </w:pPr>
    </w:p>
    <w:p>
      <w:pPr>
        <w:ind w:right="100" w:firstLine="749"/>
        <w:spacing w:after="0" w:line="267" w:lineRule="auto"/>
        <w:rPr>
          <w:sz w:val="20"/>
          <w:szCs w:val="20"/>
          <w:color w:val="auto"/>
        </w:rPr>
      </w:pPr>
      <w:r>
        <w:rPr>
          <w:rFonts w:ascii="Arial" w:cs="Arial" w:eastAsia="Arial" w:hAnsi="Arial"/>
          <w:sz w:val="16"/>
          <w:szCs w:val="16"/>
          <w:color w:val="auto"/>
        </w:rPr>
        <w:t>It is unclear how regulations and sub-regulatory policy, which fluctuate continually, may affect interpretation and further implementation of the ACA and its practical effects on our business, particularly entering an election year. We are unable to predict the future course of federal or state healthcare legislation in the United States directed at broadening the availability of healthcare and containing or lowering the cost of healthcare, including drugs and biologics. Any further changes in the law or regulatory framework that reduce our revenue or increase our costs could also have a material and adverse effect on our business, financial condition and results of operations. Furthermore, we anticipate that the Biden Administration will issue a number of Executive Orders, which may alter the policies of the previous administration. Additionally, certain agency rules and policy statements of the prior four years may be rescinded. Further, the Biden Administration may propose substantial changes to the U.S. healthcare system, including expanding government-funded health insurance options. We are uncertain of the impact or outcome of these potential Executive Orders, rescission of rules and policy statements, or new legislation, especially any relative impact on the healthcare regulatory and policy landscape, or the impact they may have on our business.</w:t>
      </w:r>
    </w:p>
    <w:p>
      <w:pPr>
        <w:spacing w:after="0" w:line="196" w:lineRule="exact"/>
        <w:rPr>
          <w:sz w:val="20"/>
          <w:szCs w:val="20"/>
          <w:color w:val="auto"/>
        </w:rPr>
      </w:pPr>
    </w:p>
    <w:p>
      <w:pPr>
        <w:ind w:firstLine="749"/>
        <w:spacing w:after="0" w:line="267" w:lineRule="auto"/>
        <w:rPr>
          <w:sz w:val="20"/>
          <w:szCs w:val="20"/>
          <w:color w:val="auto"/>
        </w:rPr>
      </w:pPr>
      <w:r>
        <w:rPr>
          <w:rFonts w:ascii="Arial" w:cs="Arial" w:eastAsia="Arial" w:hAnsi="Arial"/>
          <w:sz w:val="15"/>
          <w:szCs w:val="15"/>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also an increasing focus on the price of drugs, both at the state and federal levels, and it is likely that additional pricing controls will be enacted and could harm our business, financial condition and results of operations. For instance, states such as California have begun enacting transparency laws aimed at curbing drug price increases and with the change in administration it is possible that President Biden may issue Executive Orders with the potential to change a number of prior executive branch actions on drug pricing. We continue to monitor the potential impact of proposals to lower prescription drug costs at the federal and state level. For example, under the Biden Administration’s Build Back Better Agenda, Medicare negotiation of prescription drug costs with biopharmaceutical companies is proposed to lower prescription drug costs.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3" w:name="page74"/>
    <w:bookmarkEnd w:id="7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80" w:firstLine="749"/>
        <w:spacing w:after="0" w:line="304" w:lineRule="auto"/>
        <w:rPr>
          <w:sz w:val="20"/>
          <w:szCs w:val="20"/>
          <w:color w:val="auto"/>
        </w:rPr>
      </w:pPr>
      <w:r>
        <w:rPr>
          <w:rFonts w:ascii="Arial" w:cs="Arial" w:eastAsia="Arial" w:hAnsi="Arial"/>
          <w:sz w:val="14"/>
          <w:szCs w:val="14"/>
          <w:color w:val="auto"/>
        </w:rPr>
        <w:t>Legislative and regulatory proposals may also be made to expand post 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6" w:lineRule="exact"/>
        <w:rPr>
          <w:sz w:val="20"/>
          <w:szCs w:val="20"/>
          <w:color w:val="auto"/>
        </w:rPr>
      </w:pPr>
    </w:p>
    <w:p>
      <w:pPr>
        <w:ind w:firstLine="749"/>
        <w:spacing w:after="0" w:line="310" w:lineRule="auto"/>
        <w:rPr>
          <w:sz w:val="20"/>
          <w:szCs w:val="20"/>
          <w:color w:val="auto"/>
        </w:rPr>
      </w:pPr>
      <w:r>
        <w:rPr>
          <w:rFonts w:ascii="Arial" w:cs="Arial" w:eastAsia="Arial" w:hAnsi="Arial"/>
          <w:sz w:val="14"/>
          <w:szCs w:val="14"/>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certain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Product identifier information (an aspect of the product tracing scheme) is also now required. The DSCSA requirements, development of standards, and the system for product tracing have been and will continue to be phased in over a period of years, with the FDA indicating enforcement discretion on certain aspects due to the COVID-19 pandemic. The distribution of product samples continues to be regulated under the PDMA, and some states also impose regulations on drug sample distribution.</w:t>
      </w:r>
    </w:p>
    <w:p>
      <w:pPr>
        <w:spacing w:after="0" w:line="167" w:lineRule="exact"/>
        <w:rPr>
          <w:sz w:val="20"/>
          <w:szCs w:val="20"/>
          <w:color w:val="auto"/>
        </w:rPr>
      </w:pPr>
    </w:p>
    <w:p>
      <w:pPr>
        <w:ind w:right="40" w:firstLine="749"/>
        <w:spacing w:after="0" w:line="278" w:lineRule="auto"/>
        <w:rPr>
          <w:sz w:val="20"/>
          <w:szCs w:val="20"/>
          <w:color w:val="auto"/>
        </w:rPr>
      </w:pPr>
      <w:r>
        <w:rPr>
          <w:rFonts w:ascii="Arial" w:cs="Arial" w:eastAsia="Arial" w:hAnsi="Arial"/>
          <w:sz w:val="16"/>
          <w:szCs w:val="16"/>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Governments outside the United States tend to impose strict price controls, which may adversely affect our revenues, if any.</w:t>
      </w:r>
    </w:p>
    <w:p>
      <w:pPr>
        <w:spacing w:after="0" w:line="235" w:lineRule="exact"/>
        <w:rPr>
          <w:sz w:val="20"/>
          <w:szCs w:val="20"/>
          <w:color w:val="auto"/>
        </w:rPr>
      </w:pPr>
    </w:p>
    <w:p>
      <w:pPr>
        <w:ind w:right="140" w:firstLine="749"/>
        <w:spacing w:after="0" w:line="203" w:lineRule="exact"/>
        <w:rPr>
          <w:sz w:val="20"/>
          <w:szCs w:val="20"/>
          <w:color w:val="auto"/>
        </w:rPr>
      </w:pPr>
      <w:r>
        <w:rPr>
          <w:rFonts w:ascii="Arial" w:cs="Arial" w:eastAsia="Arial" w:hAnsi="Arial"/>
          <w:sz w:val="14"/>
          <w:szCs w:val="14"/>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4"/>
          <w:szCs w:val="14"/>
          <w:color w:val="auto"/>
        </w:rPr>
        <w:t>‑</w:t>
      </w:r>
      <w:r>
        <w:rPr>
          <w:rFonts w:ascii="Arial" w:cs="Arial" w:eastAsia="Arial" w:hAnsi="Arial"/>
          <w:sz w:val="14"/>
          <w:szCs w:val="14"/>
          <w:color w:val="auto"/>
        </w:rPr>
        <w:t>effectiveness of our product candidate to other available therapies. There can be no assurance that our products will be considered cost</w:t>
      </w:r>
      <w:r>
        <w:rPr>
          <w:rFonts w:ascii="MS PGothic" w:cs="MS PGothic" w:eastAsia="MS PGothic" w:hAnsi="MS PGothic"/>
          <w:sz w:val="14"/>
          <w:szCs w:val="14"/>
          <w:color w:val="auto"/>
        </w:rPr>
        <w:t>‑</w:t>
      </w:r>
      <w:r>
        <w:rPr>
          <w:rFonts w:ascii="Arial" w:cs="Arial" w:eastAsia="Arial" w:hAnsi="Arial"/>
          <w:sz w:val="14"/>
          <w:szCs w:val="14"/>
          <w:color w:val="auto"/>
        </w:rPr>
        <w:t>effective by third</w:t>
      </w:r>
      <w:r>
        <w:rPr>
          <w:rFonts w:ascii="MS PGothic" w:cs="MS PGothic" w:eastAsia="MS PGothic" w:hAnsi="MS PGothic"/>
          <w:sz w:val="14"/>
          <w:szCs w:val="14"/>
          <w:color w:val="auto"/>
        </w:rPr>
        <w:t>‑</w:t>
      </w:r>
      <w:r>
        <w:rPr>
          <w:rFonts w:ascii="Arial" w:cs="Arial" w:eastAsia="Arial" w:hAnsi="Arial"/>
          <w:sz w:val="14"/>
          <w:szCs w:val="14"/>
          <w:color w:val="auto"/>
        </w:rPr>
        <w:t>party payors, that an adequate level of reimbursement will be available, or that the third</w:t>
      </w:r>
      <w:r>
        <w:rPr>
          <w:rFonts w:ascii="MS PGothic" w:cs="MS PGothic" w:eastAsia="MS PGothic" w:hAnsi="MS PGothic"/>
          <w:sz w:val="14"/>
          <w:szCs w:val="14"/>
          <w:color w:val="auto"/>
        </w:rPr>
        <w:t>‑</w:t>
      </w:r>
      <w:r>
        <w:rPr>
          <w:rFonts w:ascii="Arial" w:cs="Arial" w:eastAsia="Arial" w:hAnsi="Arial"/>
          <w:sz w:val="14"/>
          <w:szCs w:val="14"/>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215" w:lineRule="exact"/>
        <w:rPr>
          <w:sz w:val="20"/>
          <w:szCs w:val="20"/>
          <w:color w:val="auto"/>
        </w:rPr>
      </w:pPr>
    </w:p>
    <w:p>
      <w:pPr>
        <w:ind w:right="280"/>
        <w:spacing w:after="0" w:line="328" w:lineRule="auto"/>
        <w:rPr>
          <w:sz w:val="20"/>
          <w:szCs w:val="20"/>
          <w:color w:val="auto"/>
        </w:rPr>
      </w:pPr>
      <w:r>
        <w:rPr>
          <w:rFonts w:ascii="Arial" w:cs="Arial" w:eastAsia="Arial" w:hAnsi="Arial"/>
          <w:sz w:val="15"/>
          <w:szCs w:val="15"/>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50" w:lineRule="exact"/>
        <w:rPr>
          <w:sz w:val="20"/>
          <w:szCs w:val="20"/>
          <w:color w:val="auto"/>
        </w:rPr>
      </w:pPr>
    </w:p>
    <w:p>
      <w:pPr>
        <w:ind w:firstLine="749"/>
        <w:spacing w:after="0" w:line="309" w:lineRule="auto"/>
        <w:rPr>
          <w:sz w:val="20"/>
          <w:szCs w:val="20"/>
          <w:color w:val="auto"/>
        </w:rPr>
      </w:pPr>
      <w:r>
        <w:rPr>
          <w:rFonts w:ascii="Arial" w:cs="Arial" w:eastAsia="Arial" w:hAnsi="Arial"/>
          <w:sz w:val="14"/>
          <w:szCs w:val="14"/>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 Further, even if we are successful in mounting a defense, we may incur substantial costs in preparing and maintaining our defense and any such action would be time- and resource-intensive and potentially divert management’s attention from the business, which could adversely affect our ability to operate our business and our results of operations.</w:t>
      </w:r>
    </w:p>
    <w:p>
      <w:pPr>
        <w:spacing w:after="0" w:line="168" w:lineRule="exact"/>
        <w:rPr>
          <w:sz w:val="20"/>
          <w:szCs w:val="20"/>
          <w:color w:val="auto"/>
        </w:rPr>
      </w:pPr>
    </w:p>
    <w:p>
      <w:pPr>
        <w:ind w:right="420"/>
        <w:spacing w:after="0" w:line="204" w:lineRule="exact"/>
        <w:rPr>
          <w:sz w:val="20"/>
          <w:szCs w:val="20"/>
          <w:color w:val="auto"/>
        </w:rPr>
      </w:pPr>
      <w:r>
        <w:rPr>
          <w:rFonts w:ascii="Arial" w:cs="Arial" w:eastAsia="Arial" w:hAnsi="Arial"/>
          <w:sz w:val="16"/>
          <w:szCs w:val="16"/>
          <w:b w:val="1"/>
          <w:bCs w:val="1"/>
          <w:i w:val="1"/>
          <w:iCs w:val="1"/>
          <w:color w:val="auto"/>
        </w:rPr>
        <w:t>Our third</w:t>
      </w:r>
      <w:r>
        <w:rPr>
          <w:rFonts w:ascii="MS PGothic" w:cs="MS PGothic" w:eastAsia="MS PGothic" w:hAnsi="MS PGothic"/>
          <w:sz w:val="16"/>
          <w:szCs w:val="16"/>
          <w:b w:val="1"/>
          <w:bCs w:val="1"/>
          <w:i w:val="1"/>
          <w:iCs w:val="1"/>
          <w:color w:val="auto"/>
        </w:rPr>
        <w:t>‑</w:t>
      </w:r>
      <w:r>
        <w:rPr>
          <w:rFonts w:ascii="Arial" w:cs="Arial" w:eastAsia="Arial" w:hAnsi="Arial"/>
          <w:sz w:val="16"/>
          <w:szCs w:val="16"/>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213" w:lineRule="exact"/>
        <w:rPr>
          <w:sz w:val="20"/>
          <w:szCs w:val="20"/>
          <w:color w:val="auto"/>
        </w:rPr>
      </w:pPr>
    </w:p>
    <w:p>
      <w:pPr>
        <w:ind w:right="60" w:firstLine="749"/>
        <w:spacing w:after="0" w:line="203" w:lineRule="exact"/>
        <w:rPr>
          <w:sz w:val="20"/>
          <w:szCs w:val="20"/>
          <w:color w:val="auto"/>
        </w:rPr>
      </w:pPr>
      <w:r>
        <w:rPr>
          <w:rFonts w:ascii="Arial" w:cs="Arial" w:eastAsia="Arial" w:hAnsi="Arial"/>
          <w:sz w:val="14"/>
          <w:szCs w:val="14"/>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4"/>
          <w:szCs w:val="14"/>
          <w:color w:val="auto"/>
        </w:rPr>
        <w:t>‑</w:t>
      </w:r>
      <w:r>
        <w:rPr>
          <w:rFonts w:ascii="Arial" w:cs="Arial" w:eastAsia="Arial" w:hAnsi="Arial"/>
          <w:sz w:val="14"/>
          <w:szCs w:val="14"/>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4" w:name="page75"/>
    <w:bookmarkEnd w:id="7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jc w:val="both"/>
        <w:ind w:right="40" w:firstLine="749"/>
        <w:spacing w:after="0" w:line="305" w:lineRule="auto"/>
        <w:rPr>
          <w:sz w:val="20"/>
          <w:szCs w:val="20"/>
          <w:color w:val="auto"/>
        </w:rPr>
      </w:pPr>
      <w:r>
        <w:rPr>
          <w:rFonts w:ascii="Arial" w:cs="Arial" w:eastAsia="Arial" w:hAnsi="Arial"/>
          <w:sz w:val="15"/>
          <w:szCs w:val="15"/>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66" w:lineRule="exact"/>
        <w:rPr>
          <w:sz w:val="20"/>
          <w:szCs w:val="20"/>
          <w:color w:val="auto"/>
        </w:rPr>
      </w:pPr>
    </w:p>
    <w:p>
      <w:pPr>
        <w:ind w:right="20" w:firstLine="749"/>
        <w:spacing w:after="0" w:line="278"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 OPERATIONS</w:t>
      </w:r>
    </w:p>
    <w:p>
      <w:pPr>
        <w:spacing w:after="0" w:line="239"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firstLine="749"/>
        <w:spacing w:after="0" w:line="203" w:lineRule="exact"/>
        <w:rPr>
          <w:sz w:val="20"/>
          <w:szCs w:val="20"/>
          <w:color w:val="auto"/>
        </w:rPr>
      </w:pPr>
      <w:r>
        <w:rPr>
          <w:rFonts w:ascii="Arial" w:cs="Arial" w:eastAsia="Arial" w:hAnsi="Arial"/>
          <w:sz w:val="15"/>
          <w:szCs w:val="15"/>
          <w:color w:val="auto"/>
        </w:rPr>
        <w:t>As of November 1, 2021, we had 106 full</w:t>
      </w:r>
      <w:r>
        <w:rPr>
          <w:rFonts w:ascii="MS PGothic" w:cs="MS PGothic" w:eastAsia="MS PGothic" w:hAnsi="MS PGothic"/>
          <w:sz w:val="15"/>
          <w:szCs w:val="15"/>
          <w:color w:val="auto"/>
        </w:rPr>
        <w:t>‑</w:t>
      </w:r>
      <w:r>
        <w:rPr>
          <w:rFonts w:ascii="Arial" w:cs="Arial" w:eastAsia="Arial" w:hAnsi="Arial"/>
          <w:sz w:val="15"/>
          <w:szCs w:val="15"/>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Further, the value to employees of stock options or restricted stock units that vest over time is significantly affected by movements in our stock price that are beyond our control and may at any time be insufficient to counteract more lucrative offers from other companies. Our need to effectively manage our operations, growth and various projects requires that we:</w:t>
      </w:r>
    </w:p>
    <w:p>
      <w:pPr>
        <w:spacing w:after="0" w:line="215" w:lineRule="exact"/>
        <w:rPr>
          <w:sz w:val="20"/>
          <w:szCs w:val="20"/>
          <w:color w:val="auto"/>
        </w:rPr>
      </w:pPr>
    </w:p>
    <w:p>
      <w:pPr>
        <w:ind w:left="700" w:right="340"/>
        <w:spacing w:after="0" w:line="293" w:lineRule="auto"/>
        <w:rPr>
          <w:sz w:val="20"/>
          <w:szCs w:val="20"/>
          <w:color w:val="auto"/>
        </w:rPr>
      </w:pPr>
      <w:r>
        <w:rPr>
          <w:rFonts w:ascii="Arial" w:cs="Arial" w:eastAsia="Arial" w:hAnsi="Arial"/>
          <w:sz w:val="16"/>
          <w:szCs w:val="16"/>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72" w:lineRule="exact"/>
        <w:rPr>
          <w:sz w:val="20"/>
          <w:szCs w:val="20"/>
          <w:color w:val="auto"/>
        </w:rPr>
      </w:pPr>
    </w:p>
    <w:p>
      <w:pPr>
        <w:ind w:left="700" w:right="520"/>
        <w:spacing w:after="0" w:line="293" w:lineRule="auto"/>
        <w:rPr>
          <w:sz w:val="20"/>
          <w:szCs w:val="20"/>
          <w:color w:val="auto"/>
        </w:rPr>
      </w:pPr>
      <w:r>
        <w:rPr>
          <w:rFonts w:ascii="Arial" w:cs="Arial" w:eastAsia="Arial" w:hAnsi="Arial"/>
          <w:sz w:val="16"/>
          <w:szCs w:val="16"/>
          <w:color w:val="auto"/>
        </w:rPr>
        <w:t>ensure that our consultants and other service providers successfully carry out their contractual obligations, provide high quality results, and meet expected deadlines;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continue to carry out our own contractual obligations to our licensors and other third parties; and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continue to improve our operational, financial, and management controls, reporting systems, and procedures.</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5"/>
          <w:szCs w:val="15"/>
          <w:color w:val="auto"/>
        </w:rPr>
        <w:t>We may be unable to successfully implement these tasks on a larger scale and, accordingly, may not achieve our development and commercialization goals.</w:t>
      </w:r>
    </w:p>
    <w:p>
      <w:pPr>
        <w:spacing w:after="0" w:line="246"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b w:val="1"/>
          <w:bCs w:val="1"/>
          <w:i w:val="1"/>
          <w:iCs w:val="1"/>
          <w:color w:val="auto"/>
        </w:rPr>
        <w:t>Our continued growth could strain our personnel resources and infrastructure, and if we are unable to implement appropriate controls and procedures to manage our growth, we will not be able to implement our business plan successfully.</w:t>
      </w:r>
    </w:p>
    <w:p>
      <w:pPr>
        <w:spacing w:after="0" w:line="172" w:lineRule="exact"/>
        <w:rPr>
          <w:sz w:val="20"/>
          <w:szCs w:val="20"/>
          <w:color w:val="auto"/>
        </w:rPr>
      </w:pPr>
    </w:p>
    <w:p>
      <w:pPr>
        <w:ind w:firstLine="749"/>
        <w:spacing w:after="0" w:line="291" w:lineRule="auto"/>
        <w:rPr>
          <w:sz w:val="20"/>
          <w:szCs w:val="20"/>
          <w:color w:val="auto"/>
        </w:rPr>
      </w:pPr>
      <w:r>
        <w:rPr>
          <w:rFonts w:ascii="Arial" w:cs="Arial" w:eastAsia="Arial" w:hAnsi="Arial"/>
          <w:sz w:val="15"/>
          <w:szCs w:val="15"/>
          <w:color w:val="auto"/>
        </w:rPr>
        <w:t>As we continue to complete our clinical trials and prepare for commercialization of our product candidates, and as our company continues to grow, we may experience significant strains on our resources, including to our administrative, operational and financial infrastructure, which will result in additional burdens on management. Our success will depend in part upon the ability of our senior management to manage this growth effectively. To do so, we must continue to hire, train and manage new employees as needed. If our new hires perform poorly, or if we are unsuccessful in hiring, training, managing and integrating these new employees, or if we are not successful in retaining our existing employees, our business would be harmed. To manage the expected growth of our operations and personnel, we will need to continue to improve our operational, financial and management controls and our reporting systems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acquire businesses or products, or form strategic alliances in the future, and we may not realize the benefits of such acquisitions or alliances.</w:t>
      </w:r>
    </w:p>
    <w:p>
      <w:pPr>
        <w:spacing w:after="0" w:line="246" w:lineRule="exact"/>
        <w:rPr>
          <w:sz w:val="20"/>
          <w:szCs w:val="20"/>
          <w:color w:val="auto"/>
        </w:rPr>
      </w:pPr>
    </w:p>
    <w:p>
      <w:pPr>
        <w:ind w:right="20" w:firstLine="749"/>
        <w:spacing w:after="0" w:line="293" w:lineRule="auto"/>
        <w:rPr>
          <w:sz w:val="20"/>
          <w:szCs w:val="20"/>
          <w:color w:val="auto"/>
        </w:rPr>
      </w:pPr>
      <w:r>
        <w:rPr>
          <w:rFonts w:ascii="Arial" w:cs="Arial" w:eastAsia="Arial" w:hAnsi="Arial"/>
          <w:sz w:val="15"/>
          <w:szCs w:val="15"/>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5" w:name="page76"/>
    <w:bookmarkEnd w:id="75"/>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be able to manage our business effectively if we are unable to attract and retain key personnel.</w:t>
      </w:r>
    </w:p>
    <w:p>
      <w:pPr>
        <w:spacing w:after="0" w:line="221" w:lineRule="exact"/>
        <w:rPr>
          <w:sz w:val="20"/>
          <w:szCs w:val="20"/>
          <w:color w:val="auto"/>
        </w:rPr>
      </w:pPr>
    </w:p>
    <w:p>
      <w:pPr>
        <w:ind w:right="80" w:firstLine="749"/>
        <w:spacing w:after="0" w:line="256" w:lineRule="auto"/>
        <w:rPr>
          <w:sz w:val="20"/>
          <w:szCs w:val="20"/>
          <w:color w:val="auto"/>
        </w:rPr>
      </w:pPr>
      <w:r>
        <w:rPr>
          <w:rFonts w:ascii="Arial" w:cs="Arial" w:eastAsia="Arial" w:hAnsi="Arial"/>
          <w:sz w:val="16"/>
          <w:szCs w:val="16"/>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7" w:lineRule="exact"/>
        <w:rPr>
          <w:sz w:val="20"/>
          <w:szCs w:val="20"/>
          <w:color w:val="auto"/>
        </w:rPr>
      </w:pPr>
    </w:p>
    <w:p>
      <w:pPr>
        <w:ind w:right="60" w:firstLine="749"/>
        <w:spacing w:after="0" w:line="293" w:lineRule="auto"/>
        <w:rPr>
          <w:sz w:val="20"/>
          <w:szCs w:val="20"/>
          <w:color w:val="auto"/>
        </w:rPr>
      </w:pPr>
      <w:r>
        <w:rPr>
          <w:rFonts w:ascii="Arial" w:cs="Arial" w:eastAsia="Arial" w:hAnsi="Arial"/>
          <w:sz w:val="14"/>
          <w:szCs w:val="14"/>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3" w:lineRule="exact"/>
        <w:rPr>
          <w:sz w:val="20"/>
          <w:szCs w:val="20"/>
          <w:color w:val="auto"/>
        </w:rPr>
      </w:pPr>
    </w:p>
    <w:p>
      <w:pPr>
        <w:ind w:right="660"/>
        <w:spacing w:after="0" w:line="310"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 over financial reporting, we may not be able to accurately report our financial condition, results of operations or cash flows, which may adversely affect investor confidence in us and, as a result, the value of our common stock.</w:t>
      </w:r>
    </w:p>
    <w:p>
      <w:pPr>
        <w:spacing w:after="0" w:line="148" w:lineRule="exact"/>
        <w:rPr>
          <w:sz w:val="20"/>
          <w:szCs w:val="20"/>
          <w:color w:val="auto"/>
        </w:rPr>
      </w:pPr>
    </w:p>
    <w:p>
      <w:pPr>
        <w:ind w:right="20" w:firstLine="749"/>
        <w:spacing w:after="0" w:line="253" w:lineRule="auto"/>
        <w:rPr>
          <w:sz w:val="20"/>
          <w:szCs w:val="20"/>
          <w:color w:val="auto"/>
        </w:rPr>
      </w:pPr>
      <w:r>
        <w:rPr>
          <w:rFonts w:ascii="Arial" w:cs="Arial" w:eastAsia="Arial" w:hAnsi="Arial"/>
          <w:sz w:val="16"/>
          <w:szCs w:val="16"/>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91" w:lineRule="exact"/>
        <w:rPr>
          <w:sz w:val="20"/>
          <w:szCs w:val="20"/>
          <w:color w:val="auto"/>
        </w:rPr>
      </w:pPr>
    </w:p>
    <w:p>
      <w:pPr>
        <w:ind w:right="60" w:firstLine="749"/>
        <w:spacing w:after="0" w:line="287" w:lineRule="auto"/>
        <w:rPr>
          <w:sz w:val="20"/>
          <w:szCs w:val="20"/>
          <w:color w:val="auto"/>
        </w:rPr>
      </w:pPr>
      <w:r>
        <w:rPr>
          <w:rFonts w:ascii="Arial" w:cs="Arial" w:eastAsia="Arial" w:hAnsi="Arial"/>
          <w:sz w:val="15"/>
          <w:szCs w:val="15"/>
          <w:color w:val="auto"/>
        </w:rPr>
        <w:t>The Sarbanes-Oxley Act requires, among other things, that we maintain effective internal controls for financial reporting and disclosure controls and procedures. Under Section 404(a) of the Sarbanes-Oxley Act, we are required to furnish a report by management on, among other things, the effectiveness of our internal control over financial reporting. This report must include disclosure of any material weaknesses identified by our management during its periodic assessment of our internal control over financial reporting. A material weakness is a deficiency, or combination of deficiencies, in internal control over financial reporting that results in more than a reasonable possibility that a material misstatement of annual or interim financial statements will not be prevented or detected on a timely basis. Section 404(b) of the Sarbanes-Oxley Act also requires our independent auditors to attest to, and report on, this management assessment. Ensuring that we have adequate internal controls in place so that we can produce accurate financial statements on a timely basis is a costly and time-consuming effort. If we are not able to comply with the requirements of Section 404 or if we or our independent registered public accounting firm are unable to attest to the effectiveness of our internal control over financial reporting, investors may lose confidence in the accuracy and completeness of our financial reports, the market price of our stock could decline and we could be subject to sanctions or investigations by Nasdaq, the SEC, or other regulatory authorities, which would require additional financial and management resources.</w:t>
      </w:r>
    </w:p>
    <w:p>
      <w:pPr>
        <w:spacing w:after="0" w:line="178" w:lineRule="exact"/>
        <w:rPr>
          <w:sz w:val="20"/>
          <w:szCs w:val="20"/>
          <w:color w:val="auto"/>
        </w:rPr>
      </w:pPr>
    </w:p>
    <w:p>
      <w:pPr>
        <w:ind w:firstLine="749"/>
        <w:spacing w:after="0" w:line="288" w:lineRule="auto"/>
        <w:rPr>
          <w:sz w:val="20"/>
          <w:szCs w:val="20"/>
          <w:color w:val="auto"/>
        </w:rPr>
      </w:pPr>
      <w:r>
        <w:rPr>
          <w:rFonts w:ascii="Arial" w:cs="Arial" w:eastAsia="Arial" w:hAnsi="Arial"/>
          <w:sz w:val="15"/>
          <w:szCs w:val="15"/>
          <w:color w:val="auto"/>
        </w:rPr>
        <w:t>During the evaluation and testing process, if we identify one or more material weaknesses in our internal control over financial reporting, we would be required to implement remediation procedures aimed at mitigating the control weakness or weaknesses. Until such remediation procedures succeed in mitigating the control weakness or weaknesses, we would be unable to assert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timely and accurately report our financial condition, results of operations or cash flows. The cost of compliance with Section 404 requires us to incur substantial accounting expense and expend significant management time on compliance related issues as we implement additional corporate governance practices and comply with reporting requirements. Although we currently use the services of a third-party accounting firm to assist us with internal controls, we currently do not have an internal audit group, and we may need to hire additional accounting and financial staff with appropriate public company experience and technical accounting knowledge.</w:t>
      </w:r>
    </w:p>
    <w:p>
      <w:pPr>
        <w:spacing w:after="0" w:line="180" w:lineRule="exact"/>
        <w:rPr>
          <w:sz w:val="20"/>
          <w:szCs w:val="20"/>
          <w:color w:val="auto"/>
        </w:rPr>
      </w:pPr>
    </w:p>
    <w:p>
      <w:pPr>
        <w:ind w:right="100" w:firstLine="749"/>
        <w:spacing w:after="0" w:line="318" w:lineRule="auto"/>
        <w:rPr>
          <w:sz w:val="20"/>
          <w:szCs w:val="20"/>
          <w:color w:val="auto"/>
        </w:rPr>
      </w:pPr>
      <w:r>
        <w:rPr>
          <w:rFonts w:ascii="Arial" w:cs="Arial" w:eastAsia="Arial" w:hAnsi="Arial"/>
          <w:sz w:val="14"/>
          <w:szCs w:val="14"/>
          <w:color w:val="auto"/>
        </w:rPr>
        <w:t>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we could lose investor confidence in the accuracy and completeness of our financial reports, and we could be subject to sanctions or investigations by the Nasdaq Global Market, the SEC or other regulatory authorities, which would require additional financial and management resources.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6" w:name="page77"/>
    <w:bookmarkEnd w:id="76"/>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disclosure controls and procedures may not prevent or detect all errors or acts of fraud.</w:t>
      </w:r>
    </w:p>
    <w:p>
      <w:pPr>
        <w:spacing w:after="0" w:line="235" w:lineRule="exact"/>
        <w:rPr>
          <w:sz w:val="20"/>
          <w:szCs w:val="20"/>
          <w:color w:val="auto"/>
        </w:rPr>
      </w:pPr>
    </w:p>
    <w:p>
      <w:pPr>
        <w:ind w:right="20" w:firstLine="749"/>
        <w:spacing w:after="0" w:line="27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90" w:lineRule="exact"/>
        <w:rPr>
          <w:sz w:val="20"/>
          <w:szCs w:val="20"/>
          <w:color w:val="auto"/>
        </w:rPr>
      </w:pPr>
    </w:p>
    <w:p>
      <w:pPr>
        <w:ind w:firstLine="749"/>
        <w:spacing w:after="0" w:line="311" w:lineRule="auto"/>
        <w:rPr>
          <w:sz w:val="20"/>
          <w:szCs w:val="20"/>
          <w:color w:val="auto"/>
        </w:rPr>
      </w:pPr>
      <w:r>
        <w:rPr>
          <w:rFonts w:ascii="Arial" w:cs="Arial" w:eastAsia="Arial" w:hAnsi="Arial"/>
          <w:sz w:val="14"/>
          <w:szCs w:val="14"/>
          <w:color w:val="auto"/>
        </w:rPr>
        <w:t>In addition, as discussed above, the Sarbanes-Oxley Act requires, among other things, that we maintain effective disclosure controls and procedures and internal control over financial reporting. In particular, Section 404 of the Sarbanes-Oxley Act requires us to perform system and process evaluation and testing of our internal control over financial reporting to allow management to report on, and our independent registered public accounting firm to attest to, the effectiveness of our internal control over financial reporting. Pursuant to Section 404, we are required to provide an annual management report on the effectiveness of our internal control over financial reporting and we will also be required to include with such annual report an attestation report on internal controls over financial reporting issued by our independent registered public accounting firm. In the future, our independent registered public accounting firm may issue a report that is adverse in the event that we have not maintained effective internal controls over financial reporting, in all material respects. Any failure to maintain effective disclosure controls and internal control over financial reporting could have a material and adverse effect on our business, results of operations and financial condition and could cause a decline in the trading price of our common stock.</w:t>
      </w:r>
    </w:p>
    <w:p>
      <w:pPr>
        <w:spacing w:after="0" w:line="167" w:lineRule="exact"/>
        <w:rPr>
          <w:sz w:val="20"/>
          <w:szCs w:val="20"/>
          <w:color w:val="auto"/>
        </w:rPr>
      </w:pPr>
    </w:p>
    <w:p>
      <w:pPr>
        <w:ind w:right="520" w:firstLine="749"/>
        <w:spacing w:after="0" w:line="273" w:lineRule="auto"/>
        <w:rPr>
          <w:sz w:val="20"/>
          <w:szCs w:val="20"/>
          <w:color w:val="auto"/>
        </w:rPr>
      </w:pPr>
      <w:r>
        <w:rPr>
          <w:rFonts w:ascii="Arial" w:cs="Arial" w:eastAsia="Arial" w:hAnsi="Arial"/>
          <w:sz w:val="16"/>
          <w:szCs w:val="16"/>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system failures.</w:t>
      </w:r>
    </w:p>
    <w:p>
      <w:pPr>
        <w:spacing w:after="0" w:line="235" w:lineRule="exact"/>
        <w:rPr>
          <w:sz w:val="20"/>
          <w:szCs w:val="20"/>
          <w:color w:val="auto"/>
        </w:rPr>
      </w:pPr>
    </w:p>
    <w:p>
      <w:pPr>
        <w:ind w:right="160" w:firstLine="749"/>
        <w:spacing w:after="0" w:line="287" w:lineRule="auto"/>
        <w:rPr>
          <w:sz w:val="20"/>
          <w:szCs w:val="20"/>
          <w:color w:val="auto"/>
        </w:rPr>
      </w:pPr>
      <w:r>
        <w:rPr>
          <w:rFonts w:ascii="Arial" w:cs="Arial" w:eastAsia="Arial" w:hAnsi="Arial"/>
          <w:sz w:val="15"/>
          <w:szCs w:val="15"/>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7" w:name="page78"/>
    <w:bookmarkEnd w:id="77"/>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Our failure to comply with state, national and/or foreign data protection laws and regulations could lead to government enforcement actions and significant penalties against us, and adversely impact our operating results.</w:t>
      </w:r>
    </w:p>
    <w:p>
      <w:pPr>
        <w:spacing w:after="0" w:line="172" w:lineRule="exact"/>
        <w:rPr>
          <w:sz w:val="20"/>
          <w:szCs w:val="20"/>
          <w:color w:val="auto"/>
        </w:rPr>
      </w:pPr>
    </w:p>
    <w:p>
      <w:pPr>
        <w:ind w:firstLine="749"/>
        <w:spacing w:after="0" w:line="285" w:lineRule="auto"/>
        <w:rPr>
          <w:sz w:val="20"/>
          <w:szCs w:val="20"/>
          <w:color w:val="auto"/>
        </w:rPr>
      </w:pPr>
      <w:r>
        <w:rPr>
          <w:rFonts w:ascii="Arial" w:cs="Arial" w:eastAsia="Arial" w:hAnsi="Arial"/>
          <w:sz w:val="15"/>
          <w:szCs w:val="15"/>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86"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b w:val="1"/>
          <w:bCs w:val="1"/>
          <w:i w:val="1"/>
          <w:iCs w:val="1"/>
          <w:color w:val="auto"/>
        </w:rPr>
        <w:t>Our failure to comply with state, national and/or foreign data protection laws and regulations could lead to government enforcement actions and significant penalties against us, and adversely impact our operating results.</w:t>
      </w:r>
    </w:p>
    <w:p>
      <w:pPr>
        <w:spacing w:after="0" w:line="172" w:lineRule="exact"/>
        <w:rPr>
          <w:sz w:val="20"/>
          <w:szCs w:val="20"/>
          <w:color w:val="auto"/>
        </w:rPr>
      </w:pPr>
    </w:p>
    <w:p>
      <w:pPr>
        <w:ind w:right="20" w:firstLine="749"/>
        <w:spacing w:after="0" w:line="268"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and security laws apply more broadly than the Health Insurance Portability and Accountability Act (HIPAA) and its implementing regulations. For example, California recently enacted legislation – the California Consumer Privacy Act, or CCPA – effective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Further, many data privacy and security laws within the U.S. have concurrent jurisdiction, which could subject us to enforcement by multiple agencies under multiple statutes for the same conduct (e.g., FTC enforcement under Section 5, HHS-Office for Civil Rights enforcement under HIPAA, and actions by state Attorneys General for violation of applicable state laws).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OWNERSHIP OF OUR COMMON STOCK</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be sustained.</w:t>
      </w:r>
    </w:p>
    <w:p>
      <w:pPr>
        <w:spacing w:after="0" w:line="235" w:lineRule="exact"/>
        <w:rPr>
          <w:sz w:val="20"/>
          <w:szCs w:val="20"/>
          <w:color w:val="auto"/>
        </w:rPr>
      </w:pPr>
    </w:p>
    <w:p>
      <w:pPr>
        <w:ind w:right="120" w:firstLine="749"/>
        <w:spacing w:after="0" w:line="293" w:lineRule="auto"/>
        <w:rPr>
          <w:sz w:val="20"/>
          <w:szCs w:val="20"/>
          <w:color w:val="auto"/>
        </w:rPr>
      </w:pPr>
      <w:r>
        <w:rPr>
          <w:rFonts w:ascii="Arial" w:cs="Arial" w:eastAsia="Arial" w:hAnsi="Arial"/>
          <w:sz w:val="15"/>
          <w:szCs w:val="15"/>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market price of our common stock may be highly volatile.</w:t>
      </w:r>
    </w:p>
    <w:p>
      <w:pPr>
        <w:spacing w:after="0" w:line="235" w:lineRule="exact"/>
        <w:rPr>
          <w:sz w:val="20"/>
          <w:szCs w:val="20"/>
          <w:color w:val="auto"/>
        </w:rPr>
      </w:pPr>
    </w:p>
    <w:p>
      <w:pPr>
        <w:ind w:right="180" w:firstLine="749"/>
        <w:spacing w:after="0" w:line="273" w:lineRule="auto"/>
        <w:rPr>
          <w:sz w:val="20"/>
          <w:szCs w:val="20"/>
          <w:color w:val="auto"/>
        </w:rPr>
      </w:pPr>
      <w:r>
        <w:rPr>
          <w:rFonts w:ascii="Arial" w:cs="Arial" w:eastAsia="Arial" w:hAnsi="Arial"/>
          <w:sz w:val="16"/>
          <w:szCs w:val="16"/>
          <w:color w:val="auto"/>
        </w:rPr>
        <w:t>The trading price of our common stock is likely to be highly volatile. For example, in 2019, we experienced an extraordinary level of appreciation in our stock price. Such levels of gain are unlikely to continue in the future. For example, throughout the course of fiscal year 2020 and already during the first half of 2021, we have seen both significant appreciations and depreciations in our stock price. As a result of this volatility, investors may not be able to sell their common stock at or above the price paid for the shares. The market price for our common stock may be influenced by many factors, including:</w:t>
      </w:r>
    </w:p>
    <w:p>
      <w:pPr>
        <w:spacing w:after="0" w:line="18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delays in the commencement, enrollment, and ultimate completion, of our planned and ongoing Phase 3 clinical trials for our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delay or refusal on the part of the FDA in approving an NDA for any of our current and future product candidates;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commercial success of any of our current and future product candidates, if approved by the FDA;</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78" w:name="page79"/>
    <w:bookmarkEnd w:id="78"/>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left="700" w:right="4000"/>
        <w:spacing w:after="0" w:line="545" w:lineRule="auto"/>
        <w:rPr>
          <w:sz w:val="20"/>
          <w:szCs w:val="20"/>
          <w:color w:val="auto"/>
        </w:rPr>
      </w:pPr>
      <w:r>
        <w:rPr>
          <w:rFonts w:ascii="Arial" w:cs="Arial" w:eastAsia="Arial" w:hAnsi="Arial"/>
          <w:sz w:val="16"/>
          <w:szCs w:val="16"/>
          <w:color w:val="auto"/>
        </w:rPr>
        <w:t>operating and stock price performance of other companies that investors deem comparable to ours; recommendations by securities analysts;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news relating to our industry as a whole and news relating to trends in our markets;</w:t>
      </w:r>
    </w:p>
    <w:p>
      <w:pPr>
        <w:spacing w:after="0" w:line="235" w:lineRule="exact"/>
        <w:rPr>
          <w:sz w:val="20"/>
          <w:szCs w:val="20"/>
          <w:color w:val="auto"/>
        </w:rPr>
      </w:pPr>
    </w:p>
    <w:p>
      <w:pPr>
        <w:ind w:left="700" w:right="3740"/>
        <w:spacing w:after="0" w:line="545" w:lineRule="auto"/>
        <w:rPr>
          <w:sz w:val="20"/>
          <w:szCs w:val="20"/>
          <w:color w:val="auto"/>
        </w:rPr>
      </w:pPr>
      <w:r>
        <w:rPr>
          <w:rFonts w:ascii="Arial" w:cs="Arial" w:eastAsia="Arial" w:hAnsi="Arial"/>
          <w:sz w:val="16"/>
          <w:szCs w:val="16"/>
          <w:color w:val="auto"/>
        </w:rPr>
        <w:t>results of clinical trials of any of our current and future product candidates or those of our competitors; actual or anticipated variations in quarterly or annual operating results; failure to meet or exceed financial projections we provide to the public, if any;</w:t>
      </w:r>
    </w:p>
    <w:p>
      <w:pPr>
        <w:spacing w:after="0" w:line="2" w:lineRule="exact"/>
        <w:rPr>
          <w:sz w:val="20"/>
          <w:szCs w:val="20"/>
          <w:color w:val="auto"/>
        </w:rPr>
      </w:pPr>
    </w:p>
    <w:p>
      <w:pPr>
        <w:ind w:left="700" w:right="2980"/>
        <w:spacing w:after="0" w:line="545" w:lineRule="auto"/>
        <w:rPr>
          <w:sz w:val="20"/>
          <w:szCs w:val="20"/>
          <w:color w:val="auto"/>
        </w:rPr>
      </w:pPr>
      <w:r>
        <w:rPr>
          <w:rFonts w:ascii="Arial" w:cs="Arial" w:eastAsia="Arial" w:hAnsi="Arial"/>
          <w:sz w:val="16"/>
          <w:szCs w:val="16"/>
          <w:color w:val="auto"/>
        </w:rPr>
        <w:t>failure to meet or exceed the estimates and projections of the investment community, including securities analysts; introduction of competitive products or technologies;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changes or developments in laws or regulations applicable to our product candidates;</w:t>
      </w:r>
    </w:p>
    <w:p>
      <w:pPr>
        <w:spacing w:after="0" w:line="235" w:lineRule="exact"/>
        <w:rPr>
          <w:sz w:val="20"/>
          <w:szCs w:val="20"/>
          <w:color w:val="auto"/>
        </w:rPr>
      </w:pPr>
    </w:p>
    <w:p>
      <w:pPr>
        <w:ind w:left="700" w:right="2900"/>
        <w:spacing w:after="0" w:line="545" w:lineRule="auto"/>
        <w:rPr>
          <w:sz w:val="20"/>
          <w:szCs w:val="20"/>
          <w:color w:val="auto"/>
        </w:rPr>
      </w:pPr>
      <w:r>
        <w:rPr>
          <w:rFonts w:ascii="Arial" w:cs="Arial" w:eastAsia="Arial" w:hAnsi="Arial"/>
          <w:sz w:val="16"/>
          <w:szCs w:val="16"/>
          <w:color w:val="auto"/>
        </w:rPr>
        <w:t>the perception of the pharmaceutical industry by the public, legislatures, regulators, and the investment community; general economic and market conditions and overall fluctuations in U.S. equity markets; data or security breaches;</w:t>
      </w:r>
    </w:p>
    <w:p>
      <w:pPr>
        <w:spacing w:after="0" w:line="2" w:lineRule="exact"/>
        <w:rPr>
          <w:sz w:val="20"/>
          <w:szCs w:val="20"/>
          <w:color w:val="auto"/>
        </w:rPr>
      </w:pPr>
    </w:p>
    <w:p>
      <w:pPr>
        <w:ind w:left="700" w:right="3900"/>
        <w:spacing w:after="0" w:line="545" w:lineRule="auto"/>
        <w:rPr>
          <w:sz w:val="20"/>
          <w:szCs w:val="20"/>
          <w:color w:val="auto"/>
        </w:rPr>
      </w:pPr>
      <w:r>
        <w:rPr>
          <w:rFonts w:ascii="Arial" w:cs="Arial" w:eastAsia="Arial" w:hAnsi="Arial"/>
          <w:sz w:val="16"/>
          <w:szCs w:val="16"/>
          <w:color w:val="auto"/>
        </w:rPr>
        <w:t>developments concerning our sources of manufacturing supply, warehousing, and inventory control; disputes or other developments relating to patents or other proprietary rights; additions or departures of key scientific or management personnel;</w:t>
      </w:r>
    </w:p>
    <w:p>
      <w:pPr>
        <w:spacing w:after="0" w:line="2" w:lineRule="exact"/>
        <w:rPr>
          <w:sz w:val="20"/>
          <w:szCs w:val="20"/>
          <w:color w:val="auto"/>
        </w:rPr>
      </w:pPr>
    </w:p>
    <w:p>
      <w:pPr>
        <w:ind w:left="700" w:right="3860"/>
        <w:spacing w:after="0" w:line="545" w:lineRule="auto"/>
        <w:rPr>
          <w:sz w:val="20"/>
          <w:szCs w:val="20"/>
          <w:color w:val="auto"/>
        </w:rPr>
      </w:pPr>
      <w:r>
        <w:rPr>
          <w:rFonts w:ascii="Arial" w:cs="Arial" w:eastAsia="Arial" w:hAnsi="Arial"/>
          <w:sz w:val="16"/>
          <w:szCs w:val="16"/>
          <w:color w:val="auto"/>
        </w:rPr>
        <w:t>announcements of investigations or regulatory scrutiny of our operations or lawsuits filed against us; capital commitments;</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investors’ general perception of our company and our business;</w:t>
      </w:r>
    </w:p>
    <w:p>
      <w:pPr>
        <w:spacing w:after="0" w:line="235" w:lineRule="exact"/>
        <w:rPr>
          <w:sz w:val="20"/>
          <w:szCs w:val="20"/>
          <w:color w:val="auto"/>
        </w:rPr>
      </w:pPr>
    </w:p>
    <w:p>
      <w:pPr>
        <w:ind w:left="700" w:right="2140"/>
        <w:spacing w:after="0" w:line="545" w:lineRule="auto"/>
        <w:rPr>
          <w:sz w:val="20"/>
          <w:szCs w:val="20"/>
          <w:color w:val="auto"/>
        </w:rPr>
      </w:pPr>
      <w:r>
        <w:rPr>
          <w:rFonts w:ascii="Arial" w:cs="Arial" w:eastAsia="Arial" w:hAnsi="Arial"/>
          <w:sz w:val="16"/>
          <w:szCs w:val="16"/>
          <w:color w:val="auto"/>
        </w:rPr>
        <w:t>announcements and expectations of additional financing efforts, including the issuance of debt, equity or convertible securities; sales of our common stock, including sales by our directors and officers or significant stockholders; changes in the market valuations of companies similar to us;</w:t>
      </w:r>
    </w:p>
    <w:p>
      <w:pPr>
        <w:spacing w:after="0" w:line="2" w:lineRule="exact"/>
        <w:rPr>
          <w:sz w:val="20"/>
          <w:szCs w:val="20"/>
          <w:color w:val="auto"/>
        </w:rPr>
      </w:pPr>
    </w:p>
    <w:p>
      <w:pPr>
        <w:ind w:left="700" w:right="3540"/>
        <w:spacing w:after="0" w:line="545" w:lineRule="auto"/>
        <w:rPr>
          <w:sz w:val="20"/>
          <w:szCs w:val="20"/>
          <w:color w:val="auto"/>
        </w:rPr>
      </w:pPr>
      <w:r>
        <w:rPr>
          <w:rFonts w:ascii="Arial" w:cs="Arial" w:eastAsia="Arial" w:hAnsi="Arial"/>
          <w:sz w:val="16"/>
          <w:szCs w:val="16"/>
          <w:color w:val="auto"/>
        </w:rPr>
        <w:t>announcements by us or our competitors of significant acquisitions, strategic partnerships, or divestitures; general conditions or trends in our industry; and</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other factors described in this “Risk Factors” section.</w:t>
      </w:r>
    </w:p>
    <w:p>
      <w:pPr>
        <w:spacing w:after="0" w:line="235" w:lineRule="exact"/>
        <w:rPr>
          <w:sz w:val="20"/>
          <w:szCs w:val="20"/>
          <w:color w:val="auto"/>
        </w:rPr>
      </w:pPr>
    </w:p>
    <w:p>
      <w:pPr>
        <w:ind w:firstLine="749"/>
        <w:spacing w:after="0" w:line="278" w:lineRule="auto"/>
        <w:rPr>
          <w:sz w:val="20"/>
          <w:szCs w:val="20"/>
          <w:color w:val="auto"/>
        </w:rPr>
      </w:pPr>
      <w:r>
        <w:rPr>
          <w:rFonts w:ascii="Arial" w:cs="Arial" w:eastAsia="Arial" w:hAnsi="Arial"/>
          <w:sz w:val="16"/>
          <w:szCs w:val="16"/>
          <w:color w:val="auto"/>
        </w:rPr>
        <w:t>In addition, the stock market in general, and the market for mid-cap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79" w:name="page80"/>
    <w:bookmarkEnd w:id="79"/>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jc w:val="both"/>
        <w:ind w:right="140" w:firstLine="749"/>
        <w:spacing w:after="0" w:line="278"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84"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2"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quarterly operating results may fluctuate significantly.</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We expect our operating results to be subject to quarterly fluctuations. Our net loss and other operating results will be affected by numerous factors, including:</w:t>
      </w:r>
    </w:p>
    <w:p>
      <w:pPr>
        <w:spacing w:after="0" w:line="258" w:lineRule="exact"/>
        <w:rPr>
          <w:sz w:val="20"/>
          <w:szCs w:val="20"/>
          <w:color w:val="auto"/>
        </w:rPr>
      </w:pPr>
    </w:p>
    <w:p>
      <w:pPr>
        <w:ind w:left="700" w:right="460"/>
        <w:spacing w:after="0" w:line="293" w:lineRule="auto"/>
        <w:rPr>
          <w:sz w:val="20"/>
          <w:szCs w:val="20"/>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72" w:lineRule="exact"/>
        <w:rPr>
          <w:sz w:val="20"/>
          <w:szCs w:val="20"/>
          <w:color w:val="auto"/>
        </w:rPr>
      </w:pPr>
    </w:p>
    <w:p>
      <w:pPr>
        <w:jc w:val="both"/>
        <w:ind w:left="700" w:right="240"/>
        <w:spacing w:after="0" w:line="278" w:lineRule="auto"/>
        <w:rPr>
          <w:sz w:val="20"/>
          <w:szCs w:val="20"/>
          <w:color w:val="auto"/>
        </w:rPr>
      </w:pPr>
      <w:r>
        <w:rPr>
          <w:rFonts w:ascii="Arial" w:cs="Arial" w:eastAsia="Arial" w:hAnsi="Arial"/>
          <w:sz w:val="16"/>
          <w:szCs w:val="16"/>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84" w:lineRule="exact"/>
        <w:rPr>
          <w:sz w:val="20"/>
          <w:szCs w:val="20"/>
          <w:color w:val="auto"/>
        </w:rPr>
      </w:pPr>
    </w:p>
    <w:p>
      <w:pPr>
        <w:ind w:left="700" w:right="640"/>
        <w:spacing w:after="0" w:line="204" w:lineRule="exact"/>
        <w:rPr>
          <w:sz w:val="20"/>
          <w:szCs w:val="20"/>
          <w:color w:val="auto"/>
        </w:rPr>
      </w:pPr>
      <w:r>
        <w:rPr>
          <w:rFonts w:ascii="Arial" w:cs="Arial" w:eastAsia="Arial" w:hAnsi="Arial"/>
          <w:sz w:val="16"/>
          <w:szCs w:val="16"/>
          <w:color w:val="auto"/>
        </w:rPr>
        <w:t>our ability to identify and enter into third</w:t>
      </w:r>
      <w:r>
        <w:rPr>
          <w:rFonts w:ascii="MS PGothic" w:cs="MS PGothic" w:eastAsia="MS PGothic" w:hAnsi="MS PGothic"/>
          <w:sz w:val="16"/>
          <w:szCs w:val="16"/>
          <w:color w:val="auto"/>
        </w:rPr>
        <w:t>‑</w:t>
      </w:r>
      <w:r>
        <w:rPr>
          <w:rFonts w:ascii="Arial" w:cs="Arial" w:eastAsia="Arial" w:hAnsi="Arial"/>
          <w:sz w:val="16"/>
          <w:szCs w:val="16"/>
          <w:color w:val="auto"/>
        </w:rPr>
        <w:t>party manufacturing arrangements capable of manufacturing any of our current or future product candidates in commercial quantities;</w:t>
      </w:r>
    </w:p>
    <w:p>
      <w:pPr>
        <w:spacing w:after="0" w:line="213" w:lineRule="exact"/>
        <w:rPr>
          <w:sz w:val="20"/>
          <w:szCs w:val="20"/>
          <w:color w:val="auto"/>
        </w:rPr>
      </w:pPr>
    </w:p>
    <w:p>
      <w:pPr>
        <w:ind w:left="700"/>
        <w:spacing w:after="0"/>
        <w:rPr>
          <w:sz w:val="20"/>
          <w:szCs w:val="20"/>
          <w:color w:val="auto"/>
        </w:rPr>
      </w:pPr>
      <w:r>
        <w:rPr>
          <w:rFonts w:ascii="Arial" w:cs="Arial" w:eastAsia="Arial" w:hAnsi="Arial"/>
          <w:sz w:val="15"/>
          <w:szCs w:val="15"/>
          <w:color w:val="auto"/>
        </w:rPr>
        <w:t>our execution of other collaborative, licensing, or similar arrangements and the timing of payments we may make or receive under these arrangements;</w:t>
      </w:r>
    </w:p>
    <w:p>
      <w:pPr>
        <w:spacing w:after="0" w:line="24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variations in the level of expenses related to our future development programs;</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any product liability or intellectual property infringement lawsuit in which we may become involved;</w:t>
      </w:r>
    </w:p>
    <w:p>
      <w:pPr>
        <w:spacing w:after="0" w:line="2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regulatory developments affecting our current and future product candidates, or the product candidates of our competitors; and</w:t>
      </w:r>
    </w:p>
    <w:p>
      <w:pPr>
        <w:spacing w:after="0" w:line="235" w:lineRule="exact"/>
        <w:rPr>
          <w:sz w:val="20"/>
          <w:szCs w:val="20"/>
          <w:color w:val="auto"/>
        </w:rPr>
      </w:pPr>
    </w:p>
    <w:p>
      <w:pPr>
        <w:ind w:left="700" w:right="140"/>
        <w:spacing w:after="0" w:line="293" w:lineRule="auto"/>
        <w:rPr>
          <w:sz w:val="20"/>
          <w:szCs w:val="20"/>
          <w:color w:val="auto"/>
        </w:rPr>
      </w:pPr>
      <w:r>
        <w:rPr>
          <w:rFonts w:ascii="Arial" w:cs="Arial" w:eastAsia="Arial" w:hAnsi="Arial"/>
          <w:sz w:val="16"/>
          <w:szCs w:val="16"/>
          <w:color w:val="auto"/>
        </w:rPr>
        <w:t>if any of our current or future product candidates receive regulatory approval, the level of underlying demand for such product candidate and wholesaler buying patterns.</w:t>
      </w:r>
    </w:p>
    <w:p>
      <w:pPr>
        <w:spacing w:after="0" w:line="172" w:lineRule="exact"/>
        <w:rPr>
          <w:sz w:val="20"/>
          <w:szCs w:val="20"/>
          <w:color w:val="auto"/>
        </w:rPr>
      </w:pPr>
    </w:p>
    <w:p>
      <w:pPr>
        <w:ind w:right="200" w:firstLine="749"/>
        <w:spacing w:after="0" w:line="305" w:lineRule="auto"/>
        <w:rPr>
          <w:sz w:val="20"/>
          <w:szCs w:val="20"/>
          <w:color w:val="auto"/>
        </w:rPr>
      </w:pPr>
      <w:r>
        <w:rPr>
          <w:rFonts w:ascii="Arial" w:cs="Arial" w:eastAsia="Arial" w:hAnsi="Arial"/>
          <w:sz w:val="15"/>
          <w:szCs w:val="15"/>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66"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72" w:lineRule="exact"/>
        <w:rPr>
          <w:sz w:val="20"/>
          <w:szCs w:val="20"/>
          <w:color w:val="auto"/>
        </w:rPr>
      </w:pPr>
    </w:p>
    <w:p>
      <w:pPr>
        <w:ind w:right="60" w:firstLine="749"/>
        <w:spacing w:after="0" w:line="293" w:lineRule="auto"/>
        <w:rPr>
          <w:sz w:val="20"/>
          <w:szCs w:val="20"/>
          <w:color w:val="auto"/>
        </w:rPr>
      </w:pPr>
      <w:r>
        <w:rPr>
          <w:rFonts w:ascii="Arial" w:cs="Arial" w:eastAsia="Arial" w:hAnsi="Arial"/>
          <w:sz w:val="15"/>
          <w:szCs w:val="15"/>
          <w:color w:val="auto"/>
        </w:rPr>
        <w:t>Until such time, if ever, as we can generate substantial product revenues, we expect to finance our cash needs through a combination of equity offerings, debt financings, grants, and license and development agreements in connection with any collaborations.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0" w:name="page81"/>
    <w:bookmarkEnd w:id="80"/>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180" w:firstLine="749"/>
        <w:spacing w:after="0" w:line="315" w:lineRule="auto"/>
        <w:rPr>
          <w:sz w:val="20"/>
          <w:szCs w:val="20"/>
          <w:color w:val="auto"/>
        </w:rPr>
      </w:pPr>
      <w:r>
        <w:rPr>
          <w:rFonts w:ascii="Arial" w:cs="Arial" w:eastAsia="Arial" w:hAnsi="Arial"/>
          <w:sz w:val="14"/>
          <w:szCs w:val="14"/>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3"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Our principal stockholders and management own a significant percentage of our stock and may be able to exert significant control over matters subject to stockholder approval.</w:t>
      </w:r>
    </w:p>
    <w:p>
      <w:pPr>
        <w:spacing w:after="0" w:line="172" w:lineRule="exact"/>
        <w:rPr>
          <w:sz w:val="20"/>
          <w:szCs w:val="20"/>
          <w:color w:val="auto"/>
        </w:rPr>
      </w:pPr>
    </w:p>
    <w:p>
      <w:pPr>
        <w:ind w:right="20" w:firstLine="749"/>
        <w:spacing w:after="0" w:line="253" w:lineRule="auto"/>
        <w:rPr>
          <w:sz w:val="20"/>
          <w:szCs w:val="20"/>
          <w:color w:val="auto"/>
        </w:rPr>
      </w:pPr>
      <w:r>
        <w:rPr>
          <w:rFonts w:ascii="Arial" w:cs="Arial" w:eastAsia="Arial" w:hAnsi="Arial"/>
          <w:sz w:val="16"/>
          <w:szCs w:val="16"/>
          <w:color w:val="auto"/>
        </w:rPr>
        <w:t>As of November 1, 2021, our executive officers, directors, and 5% stockholders and their affiliates beneficially owned an aggregate of approximately 38%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91" w:lineRule="exact"/>
        <w:rPr>
          <w:sz w:val="20"/>
          <w:szCs w:val="20"/>
          <w:color w:val="auto"/>
        </w:rPr>
      </w:pPr>
    </w:p>
    <w:p>
      <w:pPr>
        <w:ind w:right="100" w:firstLine="749"/>
        <w:spacing w:after="0" w:line="272" w:lineRule="auto"/>
        <w:rPr>
          <w:sz w:val="20"/>
          <w:szCs w:val="20"/>
          <w:color w:val="auto"/>
        </w:rPr>
      </w:pPr>
      <w:r>
        <w:rPr>
          <w:rFonts w:ascii="Arial" w:cs="Arial" w:eastAsia="Arial" w:hAnsi="Arial"/>
          <w:sz w:val="15"/>
          <w:szCs w:val="15"/>
          <w:color w:val="auto"/>
        </w:rPr>
        <w:t>Some of these persons or entities may have interests different than our other stockholders.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common stock in the public market by our existing stockholders could cause our stock price to fall.</w:t>
      </w:r>
    </w:p>
    <w:p>
      <w:pPr>
        <w:spacing w:after="0" w:line="221" w:lineRule="exact"/>
        <w:rPr>
          <w:sz w:val="20"/>
          <w:szCs w:val="20"/>
          <w:color w:val="auto"/>
        </w:rPr>
      </w:pPr>
    </w:p>
    <w:p>
      <w:pPr>
        <w:ind w:firstLine="749"/>
        <w:spacing w:after="0" w:line="261" w:lineRule="auto"/>
        <w:rPr>
          <w:sz w:val="20"/>
          <w:szCs w:val="20"/>
          <w:color w:val="auto"/>
        </w:rPr>
      </w:pPr>
      <w:r>
        <w:rPr>
          <w:rFonts w:ascii="Arial" w:cs="Arial" w:eastAsia="Arial" w:hAnsi="Arial"/>
          <w:sz w:val="16"/>
          <w:szCs w:val="16"/>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83" w:lineRule="exact"/>
        <w:rPr>
          <w:sz w:val="20"/>
          <w:szCs w:val="20"/>
          <w:color w:val="auto"/>
        </w:rPr>
      </w:pPr>
    </w:p>
    <w:p>
      <w:pPr>
        <w:ind w:right="40" w:firstLine="749"/>
        <w:spacing w:after="0" w:line="253" w:lineRule="auto"/>
        <w:rPr>
          <w:sz w:val="20"/>
          <w:szCs w:val="20"/>
          <w:color w:val="auto"/>
        </w:rPr>
      </w:pPr>
      <w:r>
        <w:rPr>
          <w:rFonts w:ascii="Arial" w:cs="Arial" w:eastAsia="Arial" w:hAnsi="Arial"/>
          <w:sz w:val="16"/>
          <w:szCs w:val="16"/>
          <w:color w:val="auto"/>
        </w:rPr>
        <w:t>As of November 1, 2021, we have outstanding 37,691,733 shares of common stock and 4,942,682 shares of common stock equivalents that would increase the number of common stock outstanding if these instruments were exercised or converted, including stock options to purchase common stock based on vesting requirements and warrants to purchase common stock, as well as outstanding restricted stock units. Of our currently outstanding shares of common stock, 29,702,909 are freely tradable. The remainder of the outstanding shares of common stock are held by our affiliates and may be considered “control securities” for purposes of Rule 144 under the Securities Act.</w:t>
      </w:r>
    </w:p>
    <w:p>
      <w:pPr>
        <w:spacing w:after="0" w:line="191" w:lineRule="exact"/>
        <w:rPr>
          <w:sz w:val="20"/>
          <w:szCs w:val="20"/>
          <w:color w:val="auto"/>
        </w:rPr>
      </w:pPr>
    </w:p>
    <w:p>
      <w:pPr>
        <w:ind w:right="60" w:firstLine="749"/>
        <w:spacing w:after="0" w:line="194" w:lineRule="exact"/>
        <w:rPr>
          <w:sz w:val="20"/>
          <w:szCs w:val="20"/>
          <w:color w:val="auto"/>
        </w:rPr>
      </w:pPr>
      <w:r>
        <w:rPr>
          <w:rFonts w:ascii="Arial" w:cs="Arial" w:eastAsia="Arial" w:hAnsi="Arial"/>
          <w:sz w:val="16"/>
          <w:szCs w:val="16"/>
          <w:color w:val="auto"/>
        </w:rPr>
        <w:t>In addition, we have filed one or more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registering the issuance of an aggregate of 10,453,341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will be available for sale in the public market subject to vesting arrangements and exercise of options, the lock</w:t>
      </w:r>
      <w:r>
        <w:rPr>
          <w:rFonts w:ascii="MS PGothic" w:cs="MS PGothic" w:eastAsia="MS PGothic" w:hAnsi="MS PGothic"/>
          <w:sz w:val="16"/>
          <w:szCs w:val="16"/>
          <w:color w:val="auto"/>
        </w:rPr>
        <w:t>‑</w:t>
      </w:r>
      <w:r>
        <w:rPr>
          <w:rFonts w:ascii="Arial" w:cs="Arial" w:eastAsia="Arial" w:hAnsi="Arial"/>
          <w:sz w:val="16"/>
          <w:szCs w:val="16"/>
          <w:color w:val="auto"/>
        </w:rPr>
        <w:t>up agreements described above and the restrictions of Rule 144 in the case of our affiliates.</w:t>
      </w:r>
    </w:p>
    <w:p>
      <w:pPr>
        <w:spacing w:after="0" w:line="199"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our December 2019 public offering and the proceeds from sales pursuant to our Sales Agreement, and may not use them effectively.</w:t>
      </w:r>
    </w:p>
    <w:p>
      <w:pPr>
        <w:spacing w:after="0" w:line="172" w:lineRule="exact"/>
        <w:rPr>
          <w:sz w:val="20"/>
          <w:szCs w:val="20"/>
          <w:color w:val="auto"/>
        </w:rPr>
      </w:pPr>
    </w:p>
    <w:p>
      <w:pPr>
        <w:ind w:right="80" w:firstLine="749"/>
        <w:spacing w:after="0" w:line="290" w:lineRule="auto"/>
        <w:rPr>
          <w:sz w:val="20"/>
          <w:szCs w:val="20"/>
          <w:color w:val="auto"/>
        </w:rPr>
      </w:pPr>
      <w:r>
        <w:rPr>
          <w:rFonts w:ascii="Arial" w:cs="Arial" w:eastAsia="Arial" w:hAnsi="Arial"/>
          <w:sz w:val="14"/>
          <w:szCs w:val="14"/>
          <w:color w:val="auto"/>
        </w:rPr>
        <w:t>Our management will have broad discretion in the application of the net proceeds from our capital raises, which we refer to as our Capital Raises, including our December 2019 public offering and the proceeds from sales pursuant to our December 2019 “at-the-market” sales agreement with SVB Leerink, which provides for the sale of up to $80.0 million of our common stock from time to time, and our stockholders will not have the opportunity as part of their investment decision to assess whether the net proceeds from our Capital Raises are being used appropriately. Our stockholders may not agree with our decisions, and our use of the proceeds may not yield any return on investment for our stockholders.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Our stockholders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1" w:name="page82"/>
    <w:bookmarkEnd w:id="81"/>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use of our net operating loss carryforwards and research tax credits may be limited.</w:t>
      </w:r>
    </w:p>
    <w:p>
      <w:pPr>
        <w:spacing w:after="0" w:line="235" w:lineRule="exact"/>
        <w:rPr>
          <w:sz w:val="20"/>
          <w:szCs w:val="20"/>
          <w:color w:val="auto"/>
        </w:rPr>
      </w:pPr>
    </w:p>
    <w:p>
      <w:pPr>
        <w:ind w:right="60" w:firstLine="749"/>
        <w:spacing w:after="0" w:line="266" w:lineRule="auto"/>
        <w:rPr>
          <w:sz w:val="20"/>
          <w:szCs w:val="20"/>
          <w:color w:val="auto"/>
        </w:rPr>
      </w:pPr>
      <w:r>
        <w:rPr>
          <w:rFonts w:ascii="Arial" w:cs="Arial" w:eastAsia="Arial" w:hAnsi="Arial"/>
          <w:sz w:val="15"/>
          <w:szCs w:val="15"/>
          <w:color w:val="auto"/>
        </w:rPr>
        <w:t>Our net operating loss carryforwards and any future research and development tax credits may expire and not be used. As of December 31, 2020, we had U.S. federal net operating loss, NOL, carryforwards of approximately $249 million. Net operating loss carry forwards amounting to $60 million generated before the 2018 tax year will start expiring beginning 2032, if we have not used them prior to that time, and the net operating losses of approximately $189 million generated in 2018 and later have an indefinite carryforward period.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other public and private Capital Raises, and other transactions that have occurred, may trigger, or may have already triggered, such an ownership change. In addition, since we may need to raise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86" w:lineRule="exact"/>
        <w:rPr>
          <w:sz w:val="20"/>
          <w:szCs w:val="20"/>
          <w:color w:val="auto"/>
        </w:rPr>
      </w:pPr>
    </w:p>
    <w:p>
      <w:pPr>
        <w:ind w:right="40" w:firstLine="749"/>
        <w:spacing w:after="0" w:line="270" w:lineRule="auto"/>
        <w:rPr>
          <w:sz w:val="20"/>
          <w:szCs w:val="20"/>
          <w:color w:val="auto"/>
        </w:rPr>
      </w:pPr>
      <w:r>
        <w:rPr>
          <w:rFonts w:ascii="Arial" w:cs="Arial" w:eastAsia="Arial" w:hAnsi="Arial"/>
          <w:sz w:val="15"/>
          <w:szCs w:val="15"/>
          <w:color w:val="auto"/>
        </w:rPr>
        <w:t>On March 27, 2020, the Coronavirus Aid, Relief, and Economic Security Act, or the CARES Act, was enacted and signed into law, and GAAP requires recognition of the tax effects of new legislation during the reporting period that includes the enactment date. The CARES Act, among other things, includes changes to the tax provisions that benefits business entities and makes certain technical corrections to the 2017 Tax Cuts and Jobs Act including permitting NOLs, carryovers and carrybacks to offset 100% of taxable income for taxable years beginning before 2021. In addition, the CARES Act allows NOLs incurred in 2018, 2019, and 2020 to be carried back to each of the five preceding taxable years to generate a refund of previously paid income taxes. The CARES Act provides other reliefs and stimulus measures. We have evaluated the impact of the CARES Act, however, at present we do not expect that any provision of the CARES Act would result in a material cash benefit to us or have a material impact on our financial statements or internal controls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Because we do not intend to pay dividends on our common stock, returns for our stockholders will be limited to any increase in the value of our stock.</w:t>
      </w:r>
    </w:p>
    <w:p>
      <w:pPr>
        <w:spacing w:after="0" w:line="246" w:lineRule="exact"/>
        <w:rPr>
          <w:sz w:val="20"/>
          <w:szCs w:val="20"/>
          <w:color w:val="auto"/>
        </w:rPr>
      </w:pPr>
    </w:p>
    <w:p>
      <w:pPr>
        <w:ind w:right="100" w:firstLine="749"/>
        <w:spacing w:after="0" w:line="297" w:lineRule="auto"/>
        <w:rPr>
          <w:sz w:val="20"/>
          <w:szCs w:val="20"/>
          <w:color w:val="auto"/>
        </w:rPr>
      </w:pPr>
      <w:r>
        <w:rPr>
          <w:rFonts w:ascii="Arial" w:cs="Arial" w:eastAsia="Arial" w:hAnsi="Arial"/>
          <w:sz w:val="15"/>
          <w:szCs w:val="15"/>
          <w:color w:val="auto"/>
        </w:rPr>
        <w:t>We have never declared or paid any cash dividends on our capital stock. In addition, the terms of our existing credit facility with Hercules preclude us from paying cash dividends without Hercules’ consent.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7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72" w:lineRule="exact"/>
        <w:rPr>
          <w:sz w:val="20"/>
          <w:szCs w:val="20"/>
          <w:color w:val="auto"/>
        </w:rPr>
      </w:pPr>
    </w:p>
    <w:p>
      <w:pPr>
        <w:ind w:right="40" w:firstLine="749"/>
        <w:spacing w:after="0" w:line="291" w:lineRule="auto"/>
        <w:rPr>
          <w:sz w:val="20"/>
          <w:szCs w:val="20"/>
          <w:color w:val="auto"/>
        </w:rPr>
      </w:pPr>
      <w:r>
        <w:rPr>
          <w:rFonts w:ascii="Arial" w:cs="Arial" w:eastAsia="Arial" w:hAnsi="Arial"/>
          <w:sz w:val="15"/>
          <w:szCs w:val="15"/>
          <w:color w:val="auto"/>
        </w:rPr>
        <w:t>There are provisions in our amended and restated certificate of incorporation and amended and restated bylaws that may make it difficult for a third-party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We do not currently have any preferred stock outstanding.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176" w:lineRule="exact"/>
        <w:rPr>
          <w:sz w:val="20"/>
          <w:szCs w:val="20"/>
          <w:color w:val="auto"/>
        </w:rPr>
      </w:pPr>
    </w:p>
    <w:p>
      <w:pPr>
        <w:ind w:firstLine="749"/>
        <w:spacing w:after="0" w:line="20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82" w:name="page83"/>
    <w:bookmarkEnd w:id="82"/>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84" w:lineRule="exact"/>
        <w:rPr>
          <w:sz w:val="20"/>
          <w:szCs w:val="20"/>
          <w:color w:val="auto"/>
        </w:rPr>
      </w:pPr>
    </w:p>
    <w:p>
      <w:pPr>
        <w:ind w:firstLine="749"/>
        <w:spacing w:after="0" w:line="27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90" w:lineRule="exact"/>
        <w:rPr>
          <w:sz w:val="20"/>
          <w:szCs w:val="20"/>
          <w:color w:val="auto"/>
        </w:rPr>
      </w:pPr>
    </w:p>
    <w:p>
      <w:pPr>
        <w:ind w:right="40" w:firstLine="749"/>
        <w:spacing w:after="0" w:line="308" w:lineRule="auto"/>
        <w:rPr>
          <w:sz w:val="20"/>
          <w:szCs w:val="20"/>
          <w:color w:val="auto"/>
        </w:rPr>
      </w:pPr>
      <w:r>
        <w:rPr>
          <w:rFonts w:ascii="Arial" w:cs="Arial" w:eastAsia="Arial" w:hAnsi="Arial"/>
          <w:sz w:val="14"/>
          <w:szCs w:val="14"/>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171" w:lineRule="exact"/>
        <w:rPr>
          <w:sz w:val="20"/>
          <w:szCs w:val="20"/>
          <w:color w:val="auto"/>
        </w:rPr>
      </w:pPr>
    </w:p>
    <w:p>
      <w:pPr>
        <w:ind w:right="40" w:firstLine="749"/>
        <w:spacing w:after="0" w:line="273" w:lineRule="auto"/>
        <w:rPr>
          <w:sz w:val="20"/>
          <w:szCs w:val="20"/>
          <w:color w:val="auto"/>
        </w:rPr>
      </w:pPr>
      <w:r>
        <w:rPr>
          <w:rFonts w:ascii="Arial" w:cs="Arial" w:eastAsia="Arial" w:hAnsi="Arial"/>
          <w:sz w:val="16"/>
          <w:szCs w:val="16"/>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3" w:name="page84"/>
    <w:bookmarkEnd w:id="83"/>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31" w:lineRule="exact"/>
        <w:rPr>
          <w:sz w:val="20"/>
          <w:szCs w:val="20"/>
          <w:color w:val="auto"/>
        </w:rPr>
      </w:pPr>
    </w:p>
    <w:p>
      <w:pPr>
        <w:ind w:left="760"/>
        <w:spacing w:after="0"/>
        <w:rPr>
          <w:sz w:val="20"/>
          <w:szCs w:val="20"/>
          <w:color w:val="auto"/>
        </w:rPr>
      </w:pPr>
      <w:r>
        <w:rPr>
          <w:rFonts w:ascii="Arial" w:cs="Arial" w:eastAsia="Arial" w:hAnsi="Arial"/>
          <w:sz w:val="16"/>
          <w:szCs w:val="16"/>
          <w:color w:val="auto"/>
        </w:rPr>
        <w:t>The exhibits filed as part of this Quarterly Report on Form 10-Q are set forth on the Exhibit Index, which is incorporated herein by reference.</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20" w:type="dxa"/>
            <w:vAlign w:val="bottom"/>
            <w:gridSpan w:val="6"/>
          </w:tcPr>
          <w:p>
            <w:pPr>
              <w:ind w:left="3000"/>
              <w:spacing w:after="0"/>
              <w:rPr>
                <w:sz w:val="20"/>
                <w:szCs w:val="20"/>
                <w:color w:val="auto"/>
              </w:rPr>
            </w:pPr>
            <w:r>
              <w:rPr>
                <w:rFonts w:ascii="Arial" w:cs="Arial" w:eastAsia="Arial" w:hAnsi="Arial"/>
                <w:sz w:val="16"/>
                <w:szCs w:val="16"/>
                <w:b w:val="1"/>
                <w:bCs w:val="1"/>
                <w:color w:val="auto"/>
              </w:rPr>
              <w:t>INDEX OF EXHIBITS</w:t>
            </w:r>
          </w:p>
        </w:tc>
      </w:tr>
      <w:tr>
        <w:trPr>
          <w:trHeight w:val="447"/>
        </w:trPr>
        <w:tc>
          <w:tcPr>
            <w:tcW w:w="1020" w:type="dxa"/>
            <w:vAlign w:val="bottom"/>
          </w:tcPr>
          <w:p>
            <w:pPr>
              <w:ind w:left="320"/>
              <w:spacing w:after="0"/>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4"/>
        </w:trPr>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Number</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420" w:type="dxa"/>
            <w:vAlign w:val="bottom"/>
            <w:tcBorders>
              <w:bottom w:val="single" w:sz="8" w:color="auto"/>
            </w:tcBorders>
            <w:gridSpan w:val="6"/>
          </w:tcPr>
          <w:p>
            <w:pPr>
              <w:ind w:left="4060"/>
              <w:spacing w:after="0"/>
              <w:rPr>
                <w:sz w:val="20"/>
                <w:szCs w:val="20"/>
                <w:color w:val="auto"/>
              </w:rPr>
            </w:pPr>
            <w:r>
              <w:rPr>
                <w:rFonts w:ascii="Arial" w:cs="Arial" w:eastAsia="Arial" w:hAnsi="Arial"/>
                <w:sz w:val="13"/>
                <w:szCs w:val="13"/>
                <w:b w:val="1"/>
                <w:bCs w:val="1"/>
                <w:color w:val="auto"/>
              </w:rPr>
              <w:t>Description</w:t>
            </w:r>
          </w:p>
        </w:tc>
      </w:tr>
      <w:tr>
        <w:trPr>
          <w:trHeight w:val="338"/>
        </w:trPr>
        <w:tc>
          <w:tcPr>
            <w:tcW w:w="1020" w:type="dxa"/>
            <w:vAlign w:val="bottom"/>
          </w:tcPr>
          <w:p>
            <w:pPr>
              <w:ind w:left="20"/>
              <w:spacing w:after="0"/>
              <w:rPr>
                <w:sz w:val="20"/>
                <w:szCs w:val="20"/>
                <w:color w:val="auto"/>
              </w:rPr>
            </w:pPr>
            <w:r>
              <w:rPr>
                <w:rFonts w:ascii="Arial" w:cs="Arial" w:eastAsia="Arial" w:hAnsi="Arial"/>
                <w:sz w:val="16"/>
                <w:szCs w:val="16"/>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40" w:type="dxa"/>
            <w:vAlign w:val="bottom"/>
            <w:tcBorders>
              <w:bottom w:val="single" w:sz="8" w:color="0563C1"/>
            </w:tcBorders>
            <w:gridSpan w:val="3"/>
          </w:tcPr>
          <w:p>
            <w:pPr>
              <w:spacing w:after="0"/>
              <w:rPr>
                <w:rFonts w:ascii="Arial" w:cs="Arial" w:eastAsia="Arial" w:hAnsi="Arial"/>
                <w:sz w:val="16"/>
                <w:szCs w:val="16"/>
                <w:color w:val="0563C1"/>
                <w:w w:val="91"/>
              </w:rPr>
            </w:pPr>
            <w:hyperlink w:anchor="page86">
              <w:r>
                <w:rPr>
                  <w:rFonts w:ascii="Arial" w:cs="Arial" w:eastAsia="Arial" w:hAnsi="Arial"/>
                  <w:sz w:val="16"/>
                  <w:szCs w:val="16"/>
                  <w:color w:val="0563C1"/>
                  <w:w w:val="91"/>
                </w:rPr>
                <w:t>First Amendment to Hercules Loan and Security Agreement, dated October 14, 2021, by and among Axsome Therapeutics, Inc., the Lenders who from</w:t>
              </w:r>
            </w:hyperlink>
          </w:p>
        </w:tc>
        <w:tc>
          <w:tcPr>
            <w:tcW w:w="240" w:type="dxa"/>
            <w:vAlign w:val="bottom"/>
            <w:gridSpan w:val="4"/>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60" w:type="dxa"/>
            <w:vAlign w:val="bottom"/>
            <w:tcBorders>
              <w:bottom w:val="single" w:sz="8" w:color="0563C1"/>
            </w:tcBorders>
            <w:gridSpan w:val="2"/>
          </w:tcPr>
          <w:p>
            <w:pPr>
              <w:spacing w:after="0" w:line="183" w:lineRule="exact"/>
              <w:rPr>
                <w:rFonts w:ascii="Arial" w:cs="Arial" w:eastAsia="Arial" w:hAnsi="Arial"/>
                <w:sz w:val="16"/>
                <w:szCs w:val="16"/>
                <w:color w:val="0563C1"/>
                <w:w w:val="91"/>
              </w:rPr>
            </w:pPr>
            <w:hyperlink w:anchor="page86">
              <w:r>
                <w:rPr>
                  <w:rFonts w:ascii="Arial" w:cs="Arial" w:eastAsia="Arial" w:hAnsi="Arial"/>
                  <w:sz w:val="16"/>
                  <w:szCs w:val="16"/>
                  <w:color w:val="0563C1"/>
                  <w:w w:val="91"/>
                </w:rPr>
                <w:t>time to time may be party thereto, and Hercules Capital, Inc., in its capacity as administrative agent and collateral agent for itself and the Lenders.</w:t>
              </w:r>
            </w:hyperlink>
          </w:p>
        </w:tc>
        <w:tc>
          <w:tcPr>
            <w:tcW w:w="620" w:type="dxa"/>
            <w:vAlign w:val="bottom"/>
            <w:gridSpan w:val="5"/>
          </w:tcPr>
          <w:p>
            <w:pPr>
              <w:spacing w:after="0"/>
              <w:rPr>
                <w:sz w:val="15"/>
                <w:szCs w:val="15"/>
                <w:color w:val="auto"/>
              </w:rPr>
            </w:pPr>
          </w:p>
        </w:tc>
      </w:tr>
      <w:tr>
        <w:trPr>
          <w:trHeight w:val="372"/>
        </w:trPr>
        <w:tc>
          <w:tcPr>
            <w:tcW w:w="1020" w:type="dxa"/>
            <w:vAlign w:val="bottom"/>
          </w:tcPr>
          <w:p>
            <w:pPr>
              <w:ind w:left="20"/>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rFonts w:ascii="Arial" w:cs="Arial" w:eastAsia="Arial" w:hAnsi="Arial"/>
                <w:sz w:val="16"/>
                <w:szCs w:val="16"/>
                <w:color w:val="0563C1"/>
                <w:w w:val="93"/>
              </w:rPr>
            </w:pPr>
            <w:hyperlink w:anchor="page204">
              <w:r>
                <w:rPr>
                  <w:rFonts w:ascii="Arial" w:cs="Arial" w:eastAsia="Arial" w:hAnsi="Arial"/>
                  <w:sz w:val="16"/>
                  <w:szCs w:val="16"/>
                  <w:color w:val="0563C1"/>
                  <w:w w:val="93"/>
                </w:rPr>
                <w:t>Certification of Principal Executive Officer pursuant to Rule 13a-14(a)/15d-14(a), as adopted pursuant to Section 302 of the Sarbanes-Oxley Act of 2002.</w:t>
              </w:r>
            </w:hyperlink>
          </w:p>
        </w:tc>
      </w:tr>
      <w:tr>
        <w:trPr>
          <w:trHeight w:val="439"/>
        </w:trPr>
        <w:tc>
          <w:tcPr>
            <w:tcW w:w="1020" w:type="dxa"/>
            <w:vAlign w:val="bottom"/>
          </w:tcPr>
          <w:p>
            <w:pPr>
              <w:ind w:left="20"/>
              <w:spacing w:after="0"/>
              <w:rPr>
                <w:sz w:val="20"/>
                <w:szCs w:val="20"/>
                <w:color w:val="auto"/>
              </w:rPr>
            </w:pPr>
            <w:r>
              <w:rPr>
                <w:rFonts w:ascii="Arial" w:cs="Arial" w:eastAsia="Arial" w:hAnsi="Arial"/>
                <w:sz w:val="16"/>
                <w:szCs w:val="16"/>
                <w:color w:val="auto"/>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20" w:type="dxa"/>
            <w:vAlign w:val="bottom"/>
            <w:tcBorders>
              <w:top w:val="single" w:sz="8" w:color="0563C1"/>
              <w:bottom w:val="single" w:sz="8" w:color="0563C1"/>
            </w:tcBorders>
            <w:gridSpan w:val="4"/>
          </w:tcPr>
          <w:p>
            <w:pPr>
              <w:spacing w:after="0"/>
              <w:rPr>
                <w:rFonts w:ascii="Arial" w:cs="Arial" w:eastAsia="Arial" w:hAnsi="Arial"/>
                <w:sz w:val="16"/>
                <w:szCs w:val="16"/>
                <w:color w:val="0563C1"/>
                <w:w w:val="92"/>
              </w:rPr>
            </w:pPr>
            <w:hyperlink w:anchor="page205">
              <w:r>
                <w:rPr>
                  <w:rFonts w:ascii="Arial" w:cs="Arial" w:eastAsia="Arial" w:hAnsi="Arial"/>
                  <w:sz w:val="16"/>
                  <w:szCs w:val="16"/>
                  <w:color w:val="0563C1"/>
                  <w:w w:val="92"/>
                </w:rPr>
                <w:t>Certification of Principal Financial Officer pursuant to Rule 13a-14(a)/15d-14(a), as adopted pursuant to Section 302 of the Sarbanes-Oxley Act of 2002.</w:t>
              </w:r>
            </w:hyperlink>
          </w:p>
        </w:tc>
        <w:tc>
          <w:tcPr>
            <w:tcW w:w="40" w:type="dxa"/>
            <w:vAlign w:val="bottom"/>
            <w:tcBorders>
              <w:top w:val="single" w:sz="8" w:color="0563C1"/>
            </w:tcBorders>
          </w:tcPr>
          <w:p>
            <w:pPr>
              <w:spacing w:after="0"/>
              <w:rPr>
                <w:sz w:val="24"/>
                <w:szCs w:val="24"/>
                <w:color w:val="auto"/>
              </w:rPr>
            </w:pPr>
          </w:p>
        </w:tc>
        <w:tc>
          <w:tcPr>
            <w:tcW w:w="120" w:type="dxa"/>
            <w:vAlign w:val="bottom"/>
            <w:gridSpan w:val="2"/>
          </w:tcPr>
          <w:p>
            <w:pPr>
              <w:spacing w:after="0"/>
              <w:rPr>
                <w:sz w:val="24"/>
                <w:szCs w:val="24"/>
                <w:color w:val="auto"/>
              </w:rPr>
            </w:pPr>
          </w:p>
        </w:tc>
      </w:tr>
      <w:tr>
        <w:trPr>
          <w:trHeight w:val="439"/>
        </w:trPr>
        <w:tc>
          <w:tcPr>
            <w:tcW w:w="1020" w:type="dxa"/>
            <w:vAlign w:val="bottom"/>
          </w:tcPr>
          <w:p>
            <w:pPr>
              <w:ind w:left="20"/>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60" w:type="dxa"/>
            <w:vAlign w:val="bottom"/>
            <w:tcBorders>
              <w:bottom w:val="single" w:sz="8" w:color="0563C1"/>
            </w:tcBorders>
            <w:gridSpan w:val="6"/>
          </w:tcPr>
          <w:p>
            <w:pPr>
              <w:spacing w:after="0"/>
              <w:rPr>
                <w:rFonts w:ascii="Arial" w:cs="Arial" w:eastAsia="Arial" w:hAnsi="Arial"/>
                <w:sz w:val="16"/>
                <w:szCs w:val="16"/>
                <w:color w:val="0563C1"/>
                <w:w w:val="92"/>
              </w:rPr>
            </w:pPr>
            <w:hyperlink w:anchor="page206">
              <w:r>
                <w:rPr>
                  <w:rFonts w:ascii="Arial" w:cs="Arial" w:eastAsia="Arial" w:hAnsi="Arial"/>
                  <w:sz w:val="16"/>
                  <w:szCs w:val="16"/>
                  <w:color w:val="0563C1"/>
                  <w:w w:val="92"/>
                </w:rPr>
                <w:t>Certification of Principal Executive Officer pursuant to 18 U.S.C. §1350, as adopted pursuant to Section 906 of the Sarbanes-Oxley Act of 2002 (furnished</w:t>
              </w:r>
            </w:hyperlink>
          </w:p>
        </w:tc>
        <w:tc>
          <w:tcPr>
            <w:tcW w:w="20" w:type="dxa"/>
            <w:vAlign w:val="bottom"/>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tcBorders>
              <w:bottom w:val="single" w:sz="8" w:color="0563C1"/>
            </w:tcBorders>
          </w:tcPr>
          <w:p>
            <w:pPr>
              <w:spacing w:after="0" w:line="183" w:lineRule="exact"/>
              <w:rPr>
                <w:rFonts w:ascii="Arial" w:cs="Arial" w:eastAsia="Arial" w:hAnsi="Arial"/>
                <w:sz w:val="16"/>
                <w:szCs w:val="16"/>
                <w:color w:val="0563C1"/>
                <w:w w:val="91"/>
              </w:rPr>
            </w:pPr>
            <w:hyperlink w:anchor="page206">
              <w:r>
                <w:rPr>
                  <w:rFonts w:ascii="Arial" w:cs="Arial" w:eastAsia="Arial" w:hAnsi="Arial"/>
                  <w:sz w:val="16"/>
                  <w:szCs w:val="16"/>
                  <w:color w:val="0563C1"/>
                  <w:w w:val="91"/>
                </w:rPr>
                <w:t>herewith).</w:t>
              </w:r>
            </w:hyperlink>
          </w:p>
        </w:tc>
        <w:tc>
          <w:tcPr>
            <w:tcW w:w="9420" w:type="dxa"/>
            <w:vAlign w:val="bottom"/>
            <w:gridSpan w:val="6"/>
          </w:tcPr>
          <w:p>
            <w:pPr>
              <w:spacing w:after="0"/>
              <w:rPr>
                <w:sz w:val="15"/>
                <w:szCs w:val="15"/>
                <w:color w:val="auto"/>
              </w:rPr>
            </w:pPr>
          </w:p>
        </w:tc>
      </w:tr>
      <w:tr>
        <w:trPr>
          <w:trHeight w:val="402"/>
        </w:trPr>
        <w:tc>
          <w:tcPr>
            <w:tcW w:w="1020" w:type="dxa"/>
            <w:vAlign w:val="bottom"/>
          </w:tcPr>
          <w:p>
            <w:pPr>
              <w:ind w:left="20"/>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w w:val="93"/>
              </w:rPr>
              <w:t>Certification of Principal Financial Officer pursuant to 18 U.S.C. §1350, as adopted pursuant to Section 906 of the Sarbanes-Oxley Act of 2002 (furnished</w:t>
            </w: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herewith).</w:t>
            </w:r>
          </w:p>
        </w:tc>
      </w:tr>
      <w:tr>
        <w:trPr>
          <w:trHeight w:val="388"/>
        </w:trPr>
        <w:tc>
          <w:tcPr>
            <w:tcW w:w="1020" w:type="dxa"/>
            <w:vAlign w:val="bottom"/>
          </w:tcPr>
          <w:p>
            <w:pPr>
              <w:ind w:left="20"/>
              <w:spacing w:after="0"/>
              <w:rPr>
                <w:sz w:val="20"/>
                <w:szCs w:val="20"/>
                <w:color w:val="auto"/>
              </w:rPr>
            </w:pPr>
            <w:r>
              <w:rPr>
                <w:rFonts w:ascii="Arial" w:cs="Arial" w:eastAsia="Arial" w:hAnsi="Arial"/>
                <w:sz w:val="16"/>
                <w:szCs w:val="16"/>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w w:val="95"/>
              </w:rPr>
              <w:t>Inline XBRL Instance Document (the instance document does not appear in the Interactive Data File because its XBRL tags are embedded within the</w:t>
            </w:r>
          </w:p>
        </w:tc>
      </w:tr>
      <w:tr>
        <w:trPr>
          <w:trHeight w:val="20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Inline XBRL document)</w:t>
            </w:r>
          </w:p>
        </w:tc>
      </w:tr>
      <w:tr>
        <w:trPr>
          <w:trHeight w:val="392"/>
        </w:trPr>
        <w:tc>
          <w:tcPr>
            <w:tcW w:w="1020" w:type="dxa"/>
            <w:vAlign w:val="bottom"/>
          </w:tcPr>
          <w:p>
            <w:pPr>
              <w:ind w:left="20"/>
              <w:spacing w:after="0"/>
              <w:rPr>
                <w:sz w:val="20"/>
                <w:szCs w:val="20"/>
                <w:color w:val="auto"/>
              </w:rPr>
            </w:pPr>
            <w:r>
              <w:rPr>
                <w:rFonts w:ascii="Arial" w:cs="Arial" w:eastAsia="Arial" w:hAnsi="Arial"/>
                <w:sz w:val="16"/>
                <w:szCs w:val="16"/>
                <w:color w:val="auto"/>
              </w:rPr>
              <w:t>101.SCH</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Inline XBRL Taxonomy Extension Schema Document</w:t>
            </w:r>
          </w:p>
        </w:tc>
      </w:tr>
      <w:tr>
        <w:trPr>
          <w:trHeight w:val="459"/>
        </w:trPr>
        <w:tc>
          <w:tcPr>
            <w:tcW w:w="1020" w:type="dxa"/>
            <w:vAlign w:val="bottom"/>
          </w:tcPr>
          <w:p>
            <w:pPr>
              <w:ind w:left="20"/>
              <w:spacing w:after="0"/>
              <w:rPr>
                <w:sz w:val="20"/>
                <w:szCs w:val="20"/>
                <w:color w:val="auto"/>
              </w:rPr>
            </w:pPr>
            <w:r>
              <w:rPr>
                <w:rFonts w:ascii="Arial" w:cs="Arial" w:eastAsia="Arial" w:hAnsi="Arial"/>
                <w:sz w:val="16"/>
                <w:szCs w:val="16"/>
                <w:color w:val="auto"/>
              </w:rPr>
              <w:t>101.CAL</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Inline XBRL Taxonomy Extension Calculation Database Document</w:t>
            </w:r>
          </w:p>
        </w:tc>
      </w:tr>
      <w:tr>
        <w:trPr>
          <w:trHeight w:val="459"/>
        </w:trPr>
        <w:tc>
          <w:tcPr>
            <w:tcW w:w="1020" w:type="dxa"/>
            <w:vAlign w:val="bottom"/>
          </w:tcPr>
          <w:p>
            <w:pPr>
              <w:ind w:left="20"/>
              <w:spacing w:after="0"/>
              <w:rPr>
                <w:sz w:val="20"/>
                <w:szCs w:val="20"/>
                <w:color w:val="auto"/>
              </w:rPr>
            </w:pPr>
            <w:r>
              <w:rPr>
                <w:rFonts w:ascii="Arial" w:cs="Arial" w:eastAsia="Arial" w:hAnsi="Arial"/>
                <w:sz w:val="16"/>
                <w:szCs w:val="16"/>
                <w:color w:val="auto"/>
              </w:rPr>
              <w:t>101.DEF</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Inline XBRL Taxonomy Extension Definition Linkbase Document</w:t>
            </w:r>
          </w:p>
        </w:tc>
      </w:tr>
      <w:tr>
        <w:trPr>
          <w:trHeight w:val="459"/>
        </w:trPr>
        <w:tc>
          <w:tcPr>
            <w:tcW w:w="1020" w:type="dxa"/>
            <w:vAlign w:val="bottom"/>
          </w:tcPr>
          <w:p>
            <w:pPr>
              <w:ind w:left="20"/>
              <w:spacing w:after="0"/>
              <w:rPr>
                <w:sz w:val="20"/>
                <w:szCs w:val="20"/>
                <w:color w:val="auto"/>
              </w:rPr>
            </w:pPr>
            <w:r>
              <w:rPr>
                <w:rFonts w:ascii="Arial" w:cs="Arial" w:eastAsia="Arial" w:hAnsi="Arial"/>
                <w:sz w:val="16"/>
                <w:szCs w:val="16"/>
                <w:color w:val="auto"/>
              </w:rPr>
              <w:t>101.LAB</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Inline XBRL Taxonomy Extension Label Linkbase Document</w:t>
            </w:r>
          </w:p>
        </w:tc>
      </w:tr>
      <w:tr>
        <w:trPr>
          <w:trHeight w:val="459"/>
        </w:trPr>
        <w:tc>
          <w:tcPr>
            <w:tcW w:w="1020" w:type="dxa"/>
            <w:vAlign w:val="bottom"/>
          </w:tcPr>
          <w:p>
            <w:pPr>
              <w:ind w:left="20"/>
              <w:spacing w:after="0"/>
              <w:rPr>
                <w:sz w:val="20"/>
                <w:szCs w:val="20"/>
                <w:color w:val="auto"/>
              </w:rPr>
            </w:pPr>
            <w:r>
              <w:rPr>
                <w:rFonts w:ascii="Arial" w:cs="Arial" w:eastAsia="Arial" w:hAnsi="Arial"/>
                <w:sz w:val="16"/>
                <w:szCs w:val="16"/>
                <w:color w:val="auto"/>
              </w:rPr>
              <w:t>101.PRE</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Inline XBRL Taxonomy Extension Presentation Linkbase Document</w:t>
            </w:r>
          </w:p>
        </w:tc>
      </w:tr>
      <w:tr>
        <w:trPr>
          <w:trHeight w:val="459"/>
        </w:trPr>
        <w:tc>
          <w:tcPr>
            <w:tcW w:w="1020" w:type="dxa"/>
            <w:vAlign w:val="bottom"/>
          </w:tcPr>
          <w:p>
            <w:pPr>
              <w:ind w:left="20"/>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80" w:type="dxa"/>
            <w:vAlign w:val="bottom"/>
            <w:gridSpan w:val="7"/>
          </w:tcPr>
          <w:p>
            <w:pPr>
              <w:spacing w:after="0"/>
              <w:rPr>
                <w:sz w:val="20"/>
                <w:szCs w:val="20"/>
                <w:color w:val="auto"/>
              </w:rPr>
            </w:pPr>
            <w:r>
              <w:rPr>
                <w:rFonts w:ascii="Arial" w:cs="Arial" w:eastAsia="Arial" w:hAnsi="Arial"/>
                <w:sz w:val="16"/>
                <w:szCs w:val="16"/>
                <w:color w:val="auto"/>
              </w:rPr>
              <w:t>Cover Page Interactive Data File (formatted as inline XBRL with applicable taxonomy extension information contained in Exhibits 101.)</w:t>
            </w:r>
          </w:p>
        </w:tc>
      </w:tr>
    </w:tbl>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**Filed herewith.</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4" w:name="page85"/>
    <w:bookmarkEnd w:id="84"/>
    <w:p>
      <w:pPr>
        <w:spacing w:after="0"/>
        <w:rPr>
          <w:rFonts w:ascii="Arial" w:cs="Arial" w:eastAsia="Arial" w:hAnsi="Arial"/>
          <w:sz w:val="16"/>
          <w:szCs w:val="16"/>
          <w:u w:val="single" w:color="auto"/>
          <w:color w:val="0563C1"/>
        </w:rPr>
      </w:pPr>
      <w:hyperlink w:anchor="page2">
        <w:r>
          <w:rPr>
            <w:rFonts w:ascii="Arial" w:cs="Arial" w:eastAsia="Arial" w:hAnsi="Arial"/>
            <w:sz w:val="16"/>
            <w:szCs w:val="16"/>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961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239" w:lineRule="exact"/>
        <w:rPr>
          <w:sz w:val="20"/>
          <w:szCs w:val="20"/>
          <w:color w:val="auto"/>
        </w:rPr>
      </w:pPr>
    </w:p>
    <w:p>
      <w:pPr>
        <w:ind w:right="400" w:firstLine="749"/>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80" w:type="dxa"/>
            <w:vAlign w:val="bottom"/>
          </w:tcPr>
          <w:p>
            <w:pPr>
              <w:spacing w:after="0"/>
              <w:rPr>
                <w:sz w:val="17"/>
                <w:szCs w:val="17"/>
                <w:color w:val="auto"/>
              </w:rPr>
            </w:pPr>
          </w:p>
        </w:tc>
        <w:tc>
          <w:tcPr>
            <w:tcW w:w="7660" w:type="dxa"/>
            <w:vAlign w:val="bottom"/>
            <w:gridSpan w:val="2"/>
          </w:tcPr>
          <w:p>
            <w:pPr>
              <w:ind w:left="2180"/>
              <w:spacing w:after="0"/>
              <w:rPr>
                <w:sz w:val="20"/>
                <w:szCs w:val="20"/>
                <w:color w:val="auto"/>
              </w:rPr>
            </w:pPr>
            <w:r>
              <w:rPr>
                <w:rFonts w:ascii="Arial" w:cs="Arial" w:eastAsia="Arial" w:hAnsi="Arial"/>
                <w:sz w:val="16"/>
                <w:szCs w:val="16"/>
                <w:color w:val="auto"/>
              </w:rPr>
              <w:t>AXSOME THERAPEUTICS, INC.</w:t>
            </w:r>
          </w:p>
        </w:tc>
      </w:tr>
      <w:tr>
        <w:trPr>
          <w:trHeight w:val="607"/>
        </w:trPr>
        <w:tc>
          <w:tcPr>
            <w:tcW w:w="3580" w:type="dxa"/>
            <w:vAlign w:val="bottom"/>
          </w:tcPr>
          <w:p>
            <w:pPr>
              <w:ind w:left="20"/>
              <w:spacing w:after="0"/>
              <w:rPr>
                <w:sz w:val="20"/>
                <w:szCs w:val="20"/>
                <w:color w:val="auto"/>
              </w:rPr>
            </w:pPr>
            <w:r>
              <w:rPr>
                <w:rFonts w:ascii="Arial" w:cs="Arial" w:eastAsia="Arial" w:hAnsi="Arial"/>
                <w:sz w:val="16"/>
                <w:szCs w:val="16"/>
                <w:color w:val="auto"/>
              </w:rPr>
              <w:t>Date: November 8, 2021</w:t>
            </w:r>
          </w:p>
        </w:tc>
        <w:tc>
          <w:tcPr>
            <w:tcW w:w="2500" w:type="dxa"/>
            <w:vAlign w:val="bottom"/>
          </w:tcPr>
          <w:p>
            <w:pPr>
              <w:ind w:left="218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Herriot Tabuteau, M.D.</w:t>
            </w:r>
          </w:p>
        </w:tc>
      </w:tr>
      <w:tr>
        <w:trPr>
          <w:trHeight w:val="210"/>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Herriot Tabuteau, M.D.</w:t>
            </w:r>
          </w:p>
        </w:tc>
      </w:tr>
      <w:tr>
        <w:trPr>
          <w:trHeight w:val="297"/>
        </w:trPr>
        <w:tc>
          <w:tcPr>
            <w:tcW w:w="3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President and Chief Executive Officer</w:t>
            </w:r>
          </w:p>
        </w:tc>
      </w:tr>
      <w:tr>
        <w:trPr>
          <w:trHeight w:val="297"/>
        </w:trPr>
        <w:tc>
          <w:tcPr>
            <w:tcW w:w="3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904"/>
        </w:trPr>
        <w:tc>
          <w:tcPr>
            <w:tcW w:w="3580" w:type="dxa"/>
            <w:vAlign w:val="bottom"/>
          </w:tcPr>
          <w:p>
            <w:pPr>
              <w:ind w:left="20"/>
              <w:spacing w:after="0"/>
              <w:rPr>
                <w:sz w:val="20"/>
                <w:szCs w:val="20"/>
                <w:color w:val="auto"/>
              </w:rPr>
            </w:pPr>
            <w:r>
              <w:rPr>
                <w:rFonts w:ascii="Arial" w:cs="Arial" w:eastAsia="Arial" w:hAnsi="Arial"/>
                <w:sz w:val="16"/>
                <w:szCs w:val="16"/>
                <w:color w:val="auto"/>
              </w:rPr>
              <w:t>Date: November 8, 2021</w:t>
            </w:r>
          </w:p>
        </w:tc>
        <w:tc>
          <w:tcPr>
            <w:tcW w:w="2500" w:type="dxa"/>
            <w:vAlign w:val="bottom"/>
          </w:tcPr>
          <w:p>
            <w:pPr>
              <w:ind w:left="2180"/>
              <w:spacing w:after="0"/>
              <w:rPr>
                <w:sz w:val="20"/>
                <w:szCs w:val="20"/>
                <w:color w:val="auto"/>
              </w:rPr>
            </w:pPr>
            <w:r>
              <w:rPr>
                <w:rFonts w:ascii="Arial" w:cs="Arial" w:eastAsia="Arial" w:hAnsi="Arial"/>
                <w:sz w:val="16"/>
                <w:szCs w:val="16"/>
                <w:color w:val="auto"/>
              </w:rPr>
              <w:t>By</w:t>
            </w:r>
          </w:p>
        </w:tc>
        <w:tc>
          <w:tcPr>
            <w:tcW w:w="5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Nick Pizzie</w:t>
            </w:r>
          </w:p>
        </w:tc>
      </w:tr>
      <w:tr>
        <w:trPr>
          <w:trHeight w:val="210"/>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Nick Pizzie</w:t>
            </w:r>
          </w:p>
        </w:tc>
      </w:tr>
      <w:tr>
        <w:trPr>
          <w:trHeight w:val="297"/>
        </w:trPr>
        <w:tc>
          <w:tcPr>
            <w:tcW w:w="3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97"/>
        </w:trPr>
        <w:tc>
          <w:tcPr>
            <w:tcW w:w="35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51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r>
        <w:trPr>
          <w:trHeight w:val="729"/>
        </w:trPr>
        <w:tc>
          <w:tcPr>
            <w:tcW w:w="3580" w:type="dxa"/>
            <w:vAlign w:val="bottom"/>
          </w:tcPr>
          <w:p>
            <w:pPr>
              <w:spacing w:after="0"/>
              <w:rPr>
                <w:sz w:val="24"/>
                <w:szCs w:val="24"/>
                <w:color w:val="auto"/>
              </w:rPr>
            </w:pPr>
          </w:p>
        </w:tc>
        <w:tc>
          <w:tcPr>
            <w:tcW w:w="2500" w:type="dxa"/>
            <w:vAlign w:val="bottom"/>
          </w:tcPr>
          <w:p>
            <w:pPr>
              <w:jc w:val="right"/>
              <w:ind w:right="299"/>
              <w:spacing w:after="0"/>
              <w:rPr>
                <w:sz w:val="20"/>
                <w:szCs w:val="20"/>
                <w:color w:val="auto"/>
              </w:rPr>
            </w:pPr>
            <w:r>
              <w:rPr>
                <w:rFonts w:ascii="Arial" w:cs="Arial" w:eastAsia="Arial" w:hAnsi="Arial"/>
                <w:sz w:val="16"/>
                <w:szCs w:val="16"/>
                <w:color w:val="auto"/>
              </w:rPr>
              <w:t>85</w:t>
            </w:r>
          </w:p>
        </w:tc>
        <w:tc>
          <w:tcPr>
            <w:tcW w:w="5160" w:type="dxa"/>
            <w:vAlign w:val="bottom"/>
          </w:tcPr>
          <w:p>
            <w:pPr>
              <w:spacing w:after="0"/>
              <w:rPr>
                <w:sz w:val="24"/>
                <w:szCs w:val="24"/>
                <w:color w:val="auto"/>
              </w:rPr>
            </w:pPr>
          </w:p>
        </w:tc>
      </w:tr>
      <w:tr>
        <w:trPr>
          <w:trHeight w:val="121"/>
        </w:trPr>
        <w:tc>
          <w:tcPr>
            <w:tcW w:w="358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5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85" w:name="page86"/>
    <w:bookmarkEnd w:id="85"/>
    <w:p>
      <w:pPr>
        <w:ind w:left="10220"/>
        <w:spacing w:after="0"/>
        <w:rPr>
          <w:sz w:val="20"/>
          <w:szCs w:val="20"/>
          <w:color w:val="auto"/>
        </w:rPr>
      </w:pPr>
      <w:r>
        <w:rPr>
          <w:rFonts w:ascii="Arial" w:cs="Arial" w:eastAsia="Arial" w:hAnsi="Arial"/>
          <w:sz w:val="18"/>
          <w:szCs w:val="18"/>
          <w:b w:val="1"/>
          <w:bCs w:val="1"/>
          <w:color w:val="auto"/>
        </w:rPr>
        <w:t>Exhibit 10.1</w:t>
      </w:r>
    </w:p>
    <w:p>
      <w:pPr>
        <w:spacing w:after="0" w:line="312" w:lineRule="exact"/>
        <w:rPr>
          <w:sz w:val="20"/>
          <w:szCs w:val="20"/>
          <w:color w:val="auto"/>
        </w:rPr>
      </w:pPr>
    </w:p>
    <w:p>
      <w:pPr>
        <w:jc w:val="right"/>
        <w:ind w:right="40"/>
        <w:spacing w:after="0"/>
        <w:rPr>
          <w:sz w:val="20"/>
          <w:szCs w:val="20"/>
          <w:color w:val="auto"/>
        </w:rPr>
      </w:pPr>
      <w:r>
        <w:rPr>
          <w:rFonts w:ascii="Arial" w:cs="Arial" w:eastAsia="Arial" w:hAnsi="Arial"/>
          <w:sz w:val="20"/>
          <w:szCs w:val="20"/>
          <w:b w:val="1"/>
          <w:bCs w:val="1"/>
          <w:i w:val="1"/>
          <w:iCs w:val="1"/>
          <w:color w:val="auto"/>
        </w:rPr>
        <w:t>Conformed Version –</w:t>
      </w:r>
    </w:p>
    <w:p>
      <w:pPr>
        <w:spacing w:after="0" w:line="29"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[Exhibit B intentionally omitted. It is not material and would be competitively harmful if publicly disclosed.]</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LOAN AND SECURITY AGREEMENT</w:t>
      </w:r>
    </w:p>
    <w:p>
      <w:pPr>
        <w:spacing w:after="0" w:line="243" w:lineRule="exact"/>
        <w:rPr>
          <w:sz w:val="20"/>
          <w:szCs w:val="20"/>
          <w:color w:val="auto"/>
        </w:rPr>
      </w:pPr>
    </w:p>
    <w:p>
      <w:pPr>
        <w:jc w:val="both"/>
        <w:ind w:firstLine="749"/>
        <w:spacing w:after="0" w:line="275" w:lineRule="auto"/>
        <w:rPr>
          <w:sz w:val="20"/>
          <w:szCs w:val="20"/>
          <w:color w:val="auto"/>
        </w:rPr>
      </w:pPr>
      <w:r>
        <w:rPr>
          <w:rFonts w:ascii="Arial" w:cs="Arial" w:eastAsia="Arial" w:hAnsi="Arial"/>
          <w:sz w:val="18"/>
          <w:szCs w:val="18"/>
          <w:color w:val="auto"/>
        </w:rPr>
        <w:t>THIS FIRST AMENDMENT TO LOAN AND SECURITY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October 14, 2021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w:t>
      </w:r>
      <w:r>
        <w:rPr>
          <w:rFonts w:ascii="Arial" w:cs="Arial" w:eastAsia="Arial" w:hAnsi="Arial"/>
          <w:sz w:val="18"/>
          <w:szCs w:val="18"/>
          <w:u w:val="single" w:color="auto"/>
          <w:color w:val="auto"/>
        </w:rPr>
        <w:t>Amendment Effective Date</w:t>
      </w:r>
      <w:r>
        <w:rPr>
          <w:rFonts w:ascii="Arial" w:cs="Arial" w:eastAsia="Arial" w:hAnsi="Arial"/>
          <w:sz w:val="18"/>
          <w:szCs w:val="18"/>
          <w:color w:val="auto"/>
        </w:rPr>
        <w:t>”), is entered into by and among AXSOME THERAPEUTICS, INC., a Delaware corporation (“</w:t>
      </w:r>
      <w:r>
        <w:rPr>
          <w:rFonts w:ascii="Arial" w:cs="Arial" w:eastAsia="Arial" w:hAnsi="Arial"/>
          <w:sz w:val="18"/>
          <w:szCs w:val="18"/>
          <w:u w:val="single" w:color="auto"/>
          <w:color w:val="auto"/>
        </w:rPr>
        <w:t>Borrower</w:t>
      </w:r>
      <w:r>
        <w:rPr>
          <w:rFonts w:ascii="Arial" w:cs="Arial" w:eastAsia="Arial" w:hAnsi="Arial"/>
          <w:sz w:val="18"/>
          <w:szCs w:val="18"/>
          <w:color w:val="auto"/>
        </w:rPr>
        <w:t>”), and the several banks and other financial institutions or entities party hereto as Lender, constituting the Required Lenders and HERCULES CAPITAL, INC., a Maryland corporation, in its capacity as administrative agent and collateral agent for Lender (in such capacity, “</w:t>
      </w:r>
      <w:r>
        <w:rPr>
          <w:rFonts w:ascii="Arial" w:cs="Arial" w:eastAsia="Arial" w:hAnsi="Arial"/>
          <w:sz w:val="18"/>
          <w:szCs w:val="18"/>
          <w:u w:val="single" w:color="auto"/>
          <w:color w:val="auto"/>
        </w:rPr>
        <w:t>Agent</w:t>
      </w:r>
      <w:r>
        <w:rPr>
          <w:rFonts w:ascii="Arial" w:cs="Arial" w:eastAsia="Arial" w:hAnsi="Arial"/>
          <w:sz w:val="18"/>
          <w:szCs w:val="18"/>
          <w:color w:val="auto"/>
        </w:rPr>
        <w:t>”).</w:t>
      </w:r>
    </w:p>
    <w:p>
      <w:pPr>
        <w:spacing w:after="0" w:line="185" w:lineRule="exact"/>
        <w:rPr>
          <w:sz w:val="20"/>
          <w:szCs w:val="20"/>
          <w:color w:val="auto"/>
        </w:rPr>
      </w:pPr>
    </w:p>
    <w:p>
      <w:pPr>
        <w:jc w:val="both"/>
        <w:ind w:firstLine="749"/>
        <w:spacing w:after="0" w:line="279" w:lineRule="auto"/>
        <w:rPr>
          <w:sz w:val="20"/>
          <w:szCs w:val="20"/>
          <w:color w:val="auto"/>
        </w:rPr>
      </w:pPr>
      <w:r>
        <w:rPr>
          <w:rFonts w:ascii="Arial" w:cs="Arial" w:eastAsia="Arial" w:hAnsi="Arial"/>
          <w:sz w:val="18"/>
          <w:szCs w:val="18"/>
          <w:color w:val="auto"/>
        </w:rPr>
        <w:t>A. Borrower, Lenders and Agent are parties to that certain Loan and Security Agreement, dated as of September 25, 2020, (the “</w:t>
      </w:r>
      <w:r>
        <w:rPr>
          <w:rFonts w:ascii="Arial" w:cs="Arial" w:eastAsia="Arial" w:hAnsi="Arial"/>
          <w:sz w:val="18"/>
          <w:szCs w:val="18"/>
          <w:u w:val="single" w:color="auto"/>
          <w:color w:val="auto"/>
        </w:rPr>
        <w:t>Existing Loan</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and the Existing Loan Agreement, as amended by this Amendment and as further amended, restated, supplemented or otherwise modified from time to time, the “</w:t>
      </w:r>
      <w:r>
        <w:rPr>
          <w:rFonts w:ascii="Arial" w:cs="Arial" w:eastAsia="Arial" w:hAnsi="Arial"/>
          <w:sz w:val="18"/>
          <w:szCs w:val="18"/>
          <w:u w:val="single" w:color="auto"/>
          <w:color w:val="auto"/>
        </w:rPr>
        <w:t>Loan Agreement</w:t>
      </w:r>
      <w:r>
        <w:rPr>
          <w:rFonts w:ascii="Arial" w:cs="Arial" w:eastAsia="Arial" w:hAnsi="Arial"/>
          <w:sz w:val="18"/>
          <w:szCs w:val="18"/>
          <w:color w:val="auto"/>
        </w:rPr>
        <w:t>”).</w:t>
      </w:r>
    </w:p>
    <w:p>
      <w:pPr>
        <w:spacing w:after="0" w:line="18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B. Borrower, Lenders and Agent desire to modify the terms of the Existing Loan Agreement as set forth in this Amendment.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 Definitions; Interpretation.</w:t>
      </w:r>
    </w:p>
    <w:p>
      <w:pPr>
        <w:spacing w:after="0" w:line="239" w:lineRule="exact"/>
        <w:rPr>
          <w:sz w:val="20"/>
          <w:szCs w:val="20"/>
          <w:color w:val="auto"/>
        </w:rPr>
      </w:pPr>
    </w:p>
    <w:p>
      <w:pPr>
        <w:ind w:right="60" w:firstLine="800"/>
        <w:spacing w:after="0" w:line="297" w:lineRule="auto"/>
        <w:tabs>
          <w:tab w:leader="none" w:pos="1397"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Terms Defined in Loan Agreement</w:t>
      </w:r>
      <w:r>
        <w:rPr>
          <w:rFonts w:ascii="Arial" w:cs="Arial" w:eastAsia="Arial" w:hAnsi="Arial"/>
          <w:sz w:val="18"/>
          <w:szCs w:val="18"/>
          <w:color w:val="auto"/>
        </w:rPr>
        <w:t>. All capitalized terms used in this Amendment (including in the recitals hereof) and not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defined herein shall have the meanings assigned to them in the Loan Agreement.</w:t>
      </w:r>
    </w:p>
    <w:p>
      <w:pPr>
        <w:spacing w:after="0" w:line="162" w:lineRule="exact"/>
        <w:rPr>
          <w:rFonts w:ascii="Arial" w:cs="Arial" w:eastAsia="Arial" w:hAnsi="Arial"/>
          <w:sz w:val="18"/>
          <w:szCs w:val="18"/>
          <w:color w:val="auto"/>
        </w:rPr>
      </w:pPr>
    </w:p>
    <w:p>
      <w:pPr>
        <w:ind w:right="740" w:firstLine="800"/>
        <w:spacing w:after="0" w:line="297" w:lineRule="auto"/>
        <w:tabs>
          <w:tab w:leader="none" w:pos="1397"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Rules of Construction</w:t>
      </w:r>
      <w:r>
        <w:rPr>
          <w:rFonts w:ascii="Arial" w:cs="Arial" w:eastAsia="Arial" w:hAnsi="Arial"/>
          <w:sz w:val="18"/>
          <w:szCs w:val="18"/>
          <w:color w:val="auto"/>
        </w:rPr>
        <w:t>. The rules of construction that appear in Section 1.3 of the Loan Agreement shall be applicable to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and are incorporated herein by this reference.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Amendments to the Loan Agreement.</w:t>
      </w:r>
    </w:p>
    <w:p>
      <w:pPr>
        <w:spacing w:after="0" w:line="243" w:lineRule="exact"/>
        <w:rPr>
          <w:sz w:val="20"/>
          <w:szCs w:val="20"/>
          <w:color w:val="auto"/>
        </w:rPr>
      </w:pPr>
    </w:p>
    <w:p>
      <w:pPr>
        <w:ind w:left="1400" w:hanging="600"/>
        <w:spacing w:after="0"/>
        <w:tabs>
          <w:tab w:leader="none" w:pos="140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Upon satisfaction of the conditions set forth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hereof, the Existing Loan Agreement is hereby amended as follows:</w:t>
      </w:r>
    </w:p>
    <w:p>
      <w:pPr>
        <w:spacing w:after="0" w:line="250" w:lineRule="exact"/>
        <w:rPr>
          <w:rFonts w:ascii="Arial" w:cs="Arial" w:eastAsia="Arial" w:hAnsi="Arial"/>
          <w:sz w:val="17"/>
          <w:szCs w:val="17"/>
          <w:color w:val="auto"/>
        </w:rPr>
      </w:pPr>
    </w:p>
    <w:p>
      <w:pPr>
        <w:ind w:left="2800" w:hanging="1442"/>
        <w:spacing w:after="0"/>
        <w:tabs>
          <w:tab w:leader="none" w:pos="2800" w:val="left"/>
        </w:tabs>
        <w:numPr>
          <w:ilvl w:val="1"/>
          <w:numId w:val="4"/>
        </w:numPr>
        <w:rPr>
          <w:rFonts w:ascii="Arial" w:cs="Arial" w:eastAsia="Arial" w:hAnsi="Arial"/>
          <w:sz w:val="18"/>
          <w:szCs w:val="18"/>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sets forth a clean copy of the Loan Agreement as amended hereby;</w:t>
      </w:r>
    </w:p>
    <w:p>
      <w:pPr>
        <w:spacing w:after="0" w:line="238" w:lineRule="exact"/>
        <w:rPr>
          <w:rFonts w:ascii="Arial" w:cs="Arial" w:eastAsia="Arial" w:hAnsi="Arial"/>
          <w:sz w:val="18"/>
          <w:szCs w:val="18"/>
          <w:color w:val="auto"/>
        </w:rPr>
      </w:pPr>
    </w:p>
    <w:p>
      <w:pPr>
        <w:jc w:val="both"/>
        <w:ind w:firstLine="1315"/>
        <w:spacing w:after="0" w:line="279" w:lineRule="auto"/>
        <w:tabs>
          <w:tab w:leader="none" w:pos="2793"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deletions of the text in the Existing Loan Agreement (including, to the extent included in such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each Schedule or Exhibit to the Existing Loan Agreement) are indicated by </w:t>
      </w:r>
      <w:r>
        <w:rPr>
          <w:rFonts w:ascii="Arial" w:cs="Arial" w:eastAsia="Arial" w:hAnsi="Arial"/>
          <w:sz w:val="18"/>
          <w:szCs w:val="18"/>
          <w:color w:val="FF0000"/>
          <w:strike w:val="1"/>
        </w:rPr>
        <w:t>struck-through text</w:t>
      </w:r>
      <w:r>
        <w:rPr>
          <w:rFonts w:ascii="Arial" w:cs="Arial" w:eastAsia="Arial" w:hAnsi="Arial"/>
          <w:sz w:val="18"/>
          <w:szCs w:val="18"/>
          <w:color w:val="auto"/>
        </w:rPr>
        <w:t xml:space="preserve">, and insertions of text are indicated by </w:t>
      </w:r>
      <w:r>
        <w:rPr>
          <w:rFonts w:ascii="Arial" w:cs="Arial" w:eastAsia="Arial" w:hAnsi="Arial"/>
          <w:sz w:val="18"/>
          <w:szCs w:val="18"/>
          <w:b w:val="1"/>
          <w:bCs w:val="1"/>
          <w:u w:val="single" w:color="auto"/>
          <w:color w:val="0000FF"/>
        </w:rPr>
        <w:t>bold,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double-underlined text</w:t>
      </w:r>
      <w:r>
        <w:rPr>
          <w:rFonts w:ascii="Arial" w:cs="Arial" w:eastAsia="Arial" w:hAnsi="Arial"/>
          <w:sz w:val="18"/>
          <w:szCs w:val="18"/>
          <w:color w:val="000000"/>
        </w:rPr>
        <w:t>.</w:t>
      </w:r>
    </w:p>
    <w:p>
      <w:pPr>
        <w:spacing w:after="0" w:line="178" w:lineRule="exact"/>
        <w:rPr>
          <w:rFonts w:ascii="Arial" w:cs="Arial" w:eastAsia="Arial" w:hAnsi="Arial"/>
          <w:sz w:val="18"/>
          <w:szCs w:val="18"/>
          <w:color w:val="auto"/>
        </w:rPr>
      </w:pPr>
    </w:p>
    <w:p>
      <w:pPr>
        <w:jc w:val="both"/>
        <w:ind w:firstLine="800"/>
        <w:spacing w:after="0" w:line="281" w:lineRule="auto"/>
        <w:tabs>
          <w:tab w:leader="none" w:pos="1397"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References Within Existing Loan Agreement</w:t>
      </w:r>
      <w:r>
        <w:rPr>
          <w:rFonts w:ascii="Arial" w:cs="Arial" w:eastAsia="Arial" w:hAnsi="Arial"/>
          <w:sz w:val="18"/>
          <w:szCs w:val="18"/>
          <w:color w:val="auto"/>
        </w:rPr>
        <w:t>. Each reference in the Existing Loan Agreement to “this Agreement” and the words</w:t>
      </w:r>
      <w:r>
        <w:rPr>
          <w:rFonts w:ascii="Arial" w:cs="Arial" w:eastAsia="Arial" w:hAnsi="Arial"/>
          <w:sz w:val="18"/>
          <w:szCs w:val="18"/>
          <w:b w:val="1"/>
          <w:bCs w:val="1"/>
          <w:color w:val="auto"/>
        </w:rPr>
        <w:t xml:space="preserve"> </w:t>
      </w:r>
      <w:r>
        <w:rPr>
          <w:rFonts w:ascii="Arial" w:cs="Arial" w:eastAsia="Arial" w:hAnsi="Arial"/>
          <w:sz w:val="18"/>
          <w:szCs w:val="18"/>
          <w:color w:val="auto"/>
        </w:rPr>
        <w:t>“hereof,” “herein,” “hereunder,” or words of like import, shall mean and be a reference to the Existing Loan Agreement as amended by this Amendment. This Amendment shall be a Loan Document.</w:t>
      </w:r>
    </w:p>
    <w:p>
      <w:pPr>
        <w:spacing w:after="0" w:line="177" w:lineRule="exact"/>
        <w:rPr>
          <w:sz w:val="20"/>
          <w:szCs w:val="20"/>
          <w:color w:val="auto"/>
        </w:rPr>
      </w:pPr>
    </w:p>
    <w:p>
      <w:pPr>
        <w:spacing w:after="0" w:line="297" w:lineRule="auto"/>
        <w:rPr>
          <w:sz w:val="20"/>
          <w:szCs w:val="20"/>
          <w:color w:val="auto"/>
        </w:rPr>
      </w:pPr>
      <w:r>
        <w:rPr>
          <w:rFonts w:ascii="Arial" w:cs="Arial" w:eastAsia="Arial" w:hAnsi="Arial"/>
          <w:sz w:val="18"/>
          <w:szCs w:val="18"/>
          <w:b w:val="1"/>
          <w:bCs w:val="1"/>
          <w:color w:val="auto"/>
        </w:rPr>
        <w:t>SECTION 3 Conditions of Effectiveness</w:t>
      </w:r>
      <w:r>
        <w:rPr>
          <w:rFonts w:ascii="Arial" w:cs="Arial" w:eastAsia="Arial" w:hAnsi="Arial"/>
          <w:sz w:val="18"/>
          <w:szCs w:val="18"/>
          <w:color w:val="auto"/>
        </w:rPr>
        <w:t>. The effectiveness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Amendment shall be subject to Agent’s receipt of the following</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documents, in form and substance satisfactory to Agent, or, as applicable, the following conditions being met:</w:t>
      </w:r>
    </w:p>
    <w:p>
      <w:pPr>
        <w:spacing w:after="0" w:line="167" w:lineRule="exact"/>
        <w:rPr>
          <w:sz w:val="20"/>
          <w:szCs w:val="20"/>
          <w:color w:val="auto"/>
        </w:rPr>
      </w:pPr>
    </w:p>
    <w:p>
      <w:pPr>
        <w:ind w:left="1400" w:hanging="600"/>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Agent’s receipt of this Amendment, executed by Agent, each Lender and Borrower;</w:t>
      </w:r>
    </w:p>
    <w:p>
      <w:pPr>
        <w:spacing w:after="0" w:line="238" w:lineRule="exact"/>
        <w:rPr>
          <w:rFonts w:ascii="Arial" w:cs="Arial" w:eastAsia="Arial" w:hAnsi="Arial"/>
          <w:sz w:val="18"/>
          <w:szCs w:val="18"/>
          <w:color w:val="auto"/>
        </w:rPr>
      </w:pPr>
    </w:p>
    <w:p>
      <w:pPr>
        <w:jc w:val="both"/>
        <w:ind w:firstLine="800"/>
        <w:spacing w:after="0" w:line="296" w:lineRule="auto"/>
        <w:tabs>
          <w:tab w:leader="none" w:pos="1397" w:val="left"/>
        </w:tabs>
        <w:numPr>
          <w:ilvl w:val="0"/>
          <w:numId w:val="5"/>
        </w:numPr>
        <w:rPr>
          <w:rFonts w:ascii="Arial" w:cs="Arial" w:eastAsia="Arial" w:hAnsi="Arial"/>
          <w:sz w:val="17"/>
          <w:szCs w:val="17"/>
          <w:color w:val="auto"/>
        </w:rPr>
      </w:pPr>
      <w:r>
        <w:rPr>
          <w:rFonts w:ascii="Arial" w:cs="Arial" w:eastAsia="Arial" w:hAnsi="Arial"/>
          <w:sz w:val="17"/>
          <w:szCs w:val="17"/>
          <w:color w:val="auto"/>
        </w:rPr>
        <w:t>a duly executed certificate of an officer of Borrower certifying and attaching copies of (A) the Charter, certified as of a recent date by the jurisdiction of organization of Borrower and as in effect as of the First Amendment Effective Date; (B) the bylaws of Borrower, as in effect as of the First Amendment Effective Date; (C) resolutions of Borrower’s board of directors evidencing approval of this Amendment and the Advance to be made on the First Amendment Effective Date, as such resolutions remain in full force and effect as of the First Amendment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524510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Date; and (D) a schedule setting forth the name, title and specimen signature of officers or other authorized signers on behalf of Borrower;</w:t>
      </w:r>
    </w:p>
    <w:p>
      <w:pPr>
        <w:spacing w:after="0" w:line="239" w:lineRule="exact"/>
        <w:rPr>
          <w:sz w:val="20"/>
          <w:szCs w:val="20"/>
          <w:color w:val="auto"/>
        </w:rPr>
      </w:pPr>
    </w:p>
    <w:p>
      <w:pPr>
        <w:ind w:left="1400" w:hanging="600"/>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certificate of good standing for Borrower from its jurisdiction of organization;</w:t>
      </w:r>
    </w:p>
    <w:p>
      <w:pPr>
        <w:spacing w:after="0" w:line="238" w:lineRule="exact"/>
        <w:rPr>
          <w:rFonts w:ascii="Arial" w:cs="Arial" w:eastAsia="Arial" w:hAnsi="Arial"/>
          <w:sz w:val="18"/>
          <w:szCs w:val="18"/>
          <w:color w:val="auto"/>
        </w:rPr>
      </w:pPr>
    </w:p>
    <w:p>
      <w:pPr>
        <w:jc w:val="both"/>
        <w:ind w:firstLine="800"/>
        <w:spacing w:after="0" w:line="329" w:lineRule="auto"/>
        <w:tabs>
          <w:tab w:leader="none" w:pos="1397" w:val="left"/>
        </w:tabs>
        <w:numPr>
          <w:ilvl w:val="0"/>
          <w:numId w:val="6"/>
        </w:numPr>
        <w:rPr>
          <w:rFonts w:ascii="Arial" w:cs="Arial" w:eastAsia="Arial" w:hAnsi="Arial"/>
          <w:sz w:val="16"/>
          <w:szCs w:val="16"/>
          <w:color w:val="auto"/>
        </w:rPr>
      </w:pPr>
      <w:r>
        <w:rPr>
          <w:rFonts w:ascii="Arial" w:cs="Arial" w:eastAsia="Arial" w:hAnsi="Arial"/>
          <w:sz w:val="16"/>
          <w:szCs w:val="16"/>
          <w:color w:val="auto"/>
        </w:rPr>
        <w:t>On the First Amendment Effective Date, after giving effect to the amendment of the Existing Loan Agreement contemplated hereby: (i) the representations and warranties contained in Section 4 shall be true and correct on and as of the First Amendment Effective Date as though made on and as of such date; and (ii) there exist no Events of Default or events that with the passage of time would result in an Event of Default; and</w:t>
      </w:r>
    </w:p>
    <w:p>
      <w:pPr>
        <w:spacing w:after="0" w:line="147" w:lineRule="exact"/>
        <w:rPr>
          <w:rFonts w:ascii="Arial" w:cs="Arial" w:eastAsia="Arial" w:hAnsi="Arial"/>
          <w:sz w:val="16"/>
          <w:szCs w:val="16"/>
          <w:color w:val="auto"/>
        </w:rPr>
      </w:pPr>
    </w:p>
    <w:p>
      <w:pPr>
        <w:jc w:val="both"/>
        <w:ind w:firstLine="800"/>
        <w:spacing w:after="0" w:line="279" w:lineRule="auto"/>
        <w:tabs>
          <w:tab w:leader="none" w:pos="1397" w:val="left"/>
        </w:tabs>
        <w:numPr>
          <w:ilvl w:val="0"/>
          <w:numId w:val="6"/>
        </w:numPr>
        <w:rPr>
          <w:rFonts w:ascii="Arial" w:cs="Arial" w:eastAsia="Arial" w:hAnsi="Arial"/>
          <w:sz w:val="18"/>
          <w:szCs w:val="18"/>
          <w:color w:val="auto"/>
        </w:rPr>
      </w:pPr>
      <w:r>
        <w:rPr>
          <w:rFonts w:ascii="Arial" w:cs="Arial" w:eastAsia="Arial" w:hAnsi="Arial"/>
          <w:sz w:val="18"/>
          <w:szCs w:val="18"/>
          <w:color w:val="auto"/>
        </w:rPr>
        <w:t>Borrower shall have paid (i) all invoiced costs and expenses then due in accordance with Section 5(e), (ii) an amendment fee equal to $250,000 to the Agent and (iii) all other fees, costs and expenses, if any, due and payable as of the First Amendment Effective Date under the Loan Agreement.</w:t>
      </w:r>
    </w:p>
    <w:p>
      <w:pPr>
        <w:spacing w:after="0" w:line="17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b w:val="1"/>
          <w:bCs w:val="1"/>
          <w:color w:val="auto"/>
        </w:rPr>
        <w:t>SECTION 4 Representations and Warranties</w:t>
      </w:r>
      <w:r>
        <w:rPr>
          <w:rFonts w:ascii="Arial" w:cs="Arial" w:eastAsia="Arial" w:hAnsi="Arial"/>
          <w:sz w:val="17"/>
          <w:szCs w:val="17"/>
          <w:color w:val="auto"/>
        </w:rPr>
        <w:t>. To induce Agent and Lender to enter into this Amendment, Borrower hereby confirms, as of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hereof, (a) that the representations and warranties made by it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of the Loan Agreement and in the other Loan Documents are true and correct in all material respects;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materiality qualifier shall not be applicable to any representations and warranties that already are qualified or modified by materiality in the text thereof and that any representations and warranties made as of a specific date are only true and correct in all material respects as of such date, and that no Event of Default has occurred and is continuing, (b) that no event that has had or could reasonably be expected to have a Material Adverse Effect has occurred and is continuing and Borrower is not aware of any event likely to occur that is reasonably expected to result in a Material Adverse Effect; (c) that the information included in the Perfection Certificate delivered to Agent on the First Amendment Effective Date is true and correct; (d) Lenders have and shall continue to have valid, enforceable and perfected first-priority liens, subject only to Permitted Liens, on and security interests in the Collateral and all other collateral heretofore granted by Borrower to Lenders, pursuant to the Loan Documents or otherwise granted to or held by Lenders; (e) the agreements and obligations of Borrower contained in the Loan Documents and in this Amendment constitute the legal, valid and binding obligations of Borrower, enforceable against Borrower in accordance with their respective terms, except as the enforceability thereof may be limited by bankruptcy, insolvency or other similar laws of general application affecting the enforcement of creditors’ rights or by the application of general principles of equity; and (f) the execution, delivery and performance of this Amendment by Borrower will not violate any law, rule, regulation, order, contractual obligation or organizational document of Borrower and will not result in, or require, the creation or imposition of any lien, claim or encumbrance of any kind on any of its properties or revenues. For the purposes of this Section 4, each reference in Section 5 of the Loan Agreement to “this Agreement,” and the words “hereof,” “herein,” “hereunder,” or words of like import in such Section, shall mean and be a reference to the Loan Agreement as amended by this Amendment.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5 Miscellaneous.</w:t>
      </w:r>
    </w:p>
    <w:p>
      <w:pPr>
        <w:spacing w:after="0" w:line="239" w:lineRule="exact"/>
        <w:rPr>
          <w:sz w:val="20"/>
          <w:szCs w:val="20"/>
          <w:color w:val="auto"/>
        </w:rPr>
      </w:pPr>
    </w:p>
    <w:p>
      <w:pPr>
        <w:ind w:left="1400" w:hanging="600"/>
        <w:spacing w:after="0"/>
        <w:tabs>
          <w:tab w:leader="none" w:pos="140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Loan Documents Otherwise Not Affected; Reaffirmation</w:t>
      </w:r>
      <w:r>
        <w:rPr>
          <w:rFonts w:ascii="Arial" w:cs="Arial" w:eastAsia="Arial" w:hAnsi="Arial"/>
          <w:sz w:val="18"/>
          <w:szCs w:val="18"/>
          <w:color w:val="auto"/>
        </w:rPr>
        <w:t>.</w:t>
      </w:r>
    </w:p>
    <w:p>
      <w:pPr>
        <w:spacing w:after="0" w:line="256" w:lineRule="exact"/>
        <w:rPr>
          <w:rFonts w:ascii="Arial" w:cs="Arial" w:eastAsia="Arial" w:hAnsi="Arial"/>
          <w:sz w:val="18"/>
          <w:szCs w:val="18"/>
          <w:color w:val="auto"/>
        </w:rPr>
      </w:pPr>
    </w:p>
    <w:p>
      <w:pPr>
        <w:jc w:val="both"/>
        <w:ind w:firstLine="1358"/>
        <w:spacing w:after="0" w:line="275" w:lineRule="auto"/>
        <w:tabs>
          <w:tab w:leader="none" w:pos="2793" w:val="left"/>
        </w:tabs>
        <w:numPr>
          <w:ilvl w:val="1"/>
          <w:numId w:val="7"/>
        </w:numPr>
        <w:rPr>
          <w:rFonts w:ascii="Arial" w:cs="Arial" w:eastAsia="Arial" w:hAnsi="Arial"/>
          <w:sz w:val="18"/>
          <w:szCs w:val="18"/>
          <w:color w:val="auto"/>
        </w:rPr>
      </w:pPr>
      <w:r>
        <w:rPr>
          <w:rFonts w:ascii="Arial" w:cs="Arial" w:eastAsia="Arial" w:hAnsi="Arial"/>
          <w:sz w:val="18"/>
          <w:szCs w:val="18"/>
          <w:color w:val="auto"/>
        </w:rPr>
        <w:t>Except as expressly amended pursuant hereto or referenced herein, the Loan Agreement and the other Loan Documents shall remain unchanged and in full force and effect and are hereby ratified and confirmed in all respects. Lender’s and Agent’s execution and delivery of, or acceptance of, this Amendment shall not be deemed to create a course of dealing or otherwise create any express or implied duty by any of them to provide any other or further amendments, consents or waivers in the future.</w:t>
      </w:r>
    </w:p>
    <w:p>
      <w:pPr>
        <w:spacing w:after="0" w:line="185" w:lineRule="exact"/>
        <w:rPr>
          <w:rFonts w:ascii="Arial" w:cs="Arial" w:eastAsia="Arial" w:hAnsi="Arial"/>
          <w:sz w:val="18"/>
          <w:szCs w:val="18"/>
          <w:color w:val="auto"/>
        </w:rPr>
      </w:pPr>
    </w:p>
    <w:p>
      <w:pPr>
        <w:jc w:val="both"/>
        <w:ind w:firstLine="1315"/>
        <w:spacing w:after="0" w:line="288" w:lineRule="auto"/>
        <w:tabs>
          <w:tab w:leader="none" w:pos="2793" w:val="left"/>
        </w:tabs>
        <w:numPr>
          <w:ilvl w:val="1"/>
          <w:numId w:val="7"/>
        </w:numPr>
        <w:rPr>
          <w:rFonts w:ascii="Arial" w:cs="Arial" w:eastAsia="Arial" w:hAnsi="Arial"/>
          <w:sz w:val="17"/>
          <w:szCs w:val="17"/>
          <w:color w:val="auto"/>
        </w:rPr>
      </w:pPr>
      <w:r>
        <w:rPr>
          <w:rFonts w:ascii="Arial" w:cs="Arial" w:eastAsia="Arial" w:hAnsi="Arial"/>
          <w:sz w:val="17"/>
          <w:szCs w:val="17"/>
          <w:color w:val="auto"/>
        </w:rPr>
        <w:t>Borrower hereby expressly (1) reaffirms, ratifies and confirms all Secured Obligations under the Loan Agreement and the other Loan Documents, (2) reaffirms, ratifies and confirms the grant of security under Section 3.1 of the Loan Agreement, (3) reaffirms that such grant of security in the Collateral secures all Secured Obligations under the Loan Agreement, and with effect from (and including) the First Amendment Effective Date, such grant of security in the Collateral: (x) remains in full force and effect notwithstanding the amendments expressly referenced herein; and (y) secures all Secured Obligations under the Loan Agreement, as amended by this Amendment, and the other Loan Documents, (4) agrees that this Amendment shall be a “Loan Document” under the Loan Agreement and (5) agrees that the Loan Agreement and each other Loan Document shall remain in full force and effect following any action contemplated in connection herewith.</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7" w:name="page88"/>
    <w:bookmarkEnd w:id="87"/>
    <w:p>
      <w:pPr>
        <w:jc w:val="both"/>
        <w:ind w:firstLine="1271"/>
        <w:spacing w:after="0" w:line="272" w:lineRule="auto"/>
        <w:tabs>
          <w:tab w:leader="none" w:pos="2793" w:val="left"/>
        </w:tabs>
        <w:numPr>
          <w:ilvl w:val="1"/>
          <w:numId w:val="8"/>
        </w:numPr>
        <w:rPr>
          <w:rFonts w:ascii="Arial" w:cs="Arial" w:eastAsia="Arial" w:hAnsi="Arial"/>
          <w:sz w:val="18"/>
          <w:szCs w:val="18"/>
          <w:color w:val="auto"/>
        </w:rPr>
      </w:pPr>
      <w:r>
        <w:rPr>
          <w:rFonts w:ascii="Arial" w:cs="Arial" w:eastAsia="Arial" w:hAnsi="Arial"/>
          <w:sz w:val="18"/>
          <w:szCs w:val="18"/>
          <w:color w:val="auto"/>
        </w:rPr>
        <w:t>This Amendment is not a novation and the terms and conditions of this Amendment shall be in addition to and supplemental to all terms and conditions set forth in the Loan Documents. Nothing in this Amendment is intended, or shall be construed, to constitute an accord and satisfaction of Borrower’s Secured Obligations under or in connection with the Loan Agreement and any other Loan Document or to modify, affect or impair the perfection or continuity of Agent’s security interest in, (on behalf of itself and the Lenders) security titles to or other liens on any Collateral for the Secured Obligations.</w:t>
      </w:r>
    </w:p>
    <w:p>
      <w:pPr>
        <w:spacing w:after="0" w:line="186" w:lineRule="exact"/>
        <w:rPr>
          <w:rFonts w:ascii="Arial" w:cs="Arial" w:eastAsia="Arial" w:hAnsi="Arial"/>
          <w:sz w:val="18"/>
          <w:szCs w:val="18"/>
          <w:color w:val="auto"/>
        </w:rPr>
      </w:pPr>
    </w:p>
    <w:p>
      <w:pPr>
        <w:jc w:val="both"/>
        <w:ind w:firstLine="800"/>
        <w:spacing w:after="0" w:line="276" w:lineRule="auto"/>
        <w:tabs>
          <w:tab w:leader="none" w:pos="139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Conditions</w:t>
      </w:r>
      <w:r>
        <w:rPr>
          <w:rFonts w:ascii="Arial" w:cs="Arial" w:eastAsia="Arial" w:hAnsi="Arial"/>
          <w:sz w:val="18"/>
          <w:szCs w:val="18"/>
          <w:color w:val="auto"/>
        </w:rPr>
        <w:t>. For purposes of determining compliance with the conditions specified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w:t>
      </w:r>
      <w:r>
        <w:rPr>
          <w:rFonts w:ascii="Arial" w:cs="Arial" w:eastAsia="Arial" w:hAnsi="Arial"/>
          <w:sz w:val="18"/>
          <w:szCs w:val="18"/>
          <w:color w:val="auto"/>
        </w:rPr>
        <w:t>, each Lender that has signed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shall be deemed to have consented to, approved or accepted or to be satisfied with, each document or other matter required thereunder to be consented to or approved by or acceptable or satisfactory to a Lender unless Agent shall have received notice from such Lender prior to the date hereof specifying its objection thereto.</w:t>
      </w:r>
    </w:p>
    <w:p>
      <w:pPr>
        <w:spacing w:after="0" w:line="181" w:lineRule="exact"/>
        <w:rPr>
          <w:rFonts w:ascii="Arial" w:cs="Arial" w:eastAsia="Arial" w:hAnsi="Arial"/>
          <w:sz w:val="18"/>
          <w:szCs w:val="18"/>
          <w:color w:val="auto"/>
        </w:rPr>
      </w:pPr>
    </w:p>
    <w:p>
      <w:pPr>
        <w:ind w:left="1400" w:hanging="600"/>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[Reserved]</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800"/>
        <w:spacing w:after="0" w:line="281" w:lineRule="auto"/>
        <w:tabs>
          <w:tab w:leader="none" w:pos="139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No Reliance</w:t>
      </w:r>
      <w:r>
        <w:rPr>
          <w:rFonts w:ascii="Arial" w:cs="Arial" w:eastAsia="Arial" w:hAnsi="Arial"/>
          <w:sz w:val="18"/>
          <w:szCs w:val="18"/>
          <w:color w:val="auto"/>
        </w:rPr>
        <w:t>. Borrower hereby acknowledges and confirms to Agent and Lenders that Borrower is executing this Amendment on the</w:t>
      </w:r>
      <w:r>
        <w:rPr>
          <w:rFonts w:ascii="Arial" w:cs="Arial" w:eastAsia="Arial" w:hAnsi="Arial"/>
          <w:sz w:val="18"/>
          <w:szCs w:val="18"/>
          <w:b w:val="1"/>
          <w:bCs w:val="1"/>
          <w:color w:val="auto"/>
        </w:rPr>
        <w:t xml:space="preserve"> </w:t>
      </w:r>
      <w:r>
        <w:rPr>
          <w:rFonts w:ascii="Arial" w:cs="Arial" w:eastAsia="Arial" w:hAnsi="Arial"/>
          <w:sz w:val="18"/>
          <w:szCs w:val="18"/>
          <w:color w:val="auto"/>
        </w:rPr>
        <w:t>basis of its own investigation and for its own reasons without reliance upon any agreement, representation, understanding or communication by or on behalf of any other Person.</w:t>
      </w:r>
    </w:p>
    <w:p>
      <w:pPr>
        <w:spacing w:after="0" w:line="177" w:lineRule="exact"/>
        <w:rPr>
          <w:rFonts w:ascii="Arial" w:cs="Arial" w:eastAsia="Arial" w:hAnsi="Arial"/>
          <w:sz w:val="18"/>
          <w:szCs w:val="18"/>
          <w:color w:val="auto"/>
        </w:rPr>
      </w:pPr>
    </w:p>
    <w:p>
      <w:pPr>
        <w:jc w:val="both"/>
        <w:ind w:firstLine="800"/>
        <w:spacing w:after="0" w:line="305" w:lineRule="auto"/>
        <w:tabs>
          <w:tab w:leader="none" w:pos="1397"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Costs and Expenses</w:t>
      </w:r>
      <w:r>
        <w:rPr>
          <w:rFonts w:ascii="Arial" w:cs="Arial" w:eastAsia="Arial" w:hAnsi="Arial"/>
          <w:sz w:val="17"/>
          <w:szCs w:val="17"/>
          <w:color w:val="auto"/>
        </w:rPr>
        <w:t>. Borrower agrees to pay to Agent on the date hereof the reasonable out-of-pocket costs and expenses of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Lender party hereto, and the fees and disbursements of counsel to Agent and Lender party hereto in connection with the negotiation, preparation, execution and delivery of this Amendment and any other documents to be delivered in connection herewith on the date hereof.</w:t>
      </w:r>
    </w:p>
    <w:p>
      <w:pPr>
        <w:spacing w:after="0" w:line="159" w:lineRule="exact"/>
        <w:rPr>
          <w:rFonts w:ascii="Arial" w:cs="Arial" w:eastAsia="Arial" w:hAnsi="Arial"/>
          <w:sz w:val="17"/>
          <w:szCs w:val="17"/>
          <w:color w:val="auto"/>
        </w:rPr>
      </w:pPr>
    </w:p>
    <w:p>
      <w:pPr>
        <w:ind w:left="1400" w:hanging="600"/>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Binding Effect</w:t>
      </w:r>
      <w:r>
        <w:rPr>
          <w:rFonts w:ascii="Arial" w:cs="Arial" w:eastAsia="Arial" w:hAnsi="Arial"/>
          <w:sz w:val="18"/>
          <w:szCs w:val="18"/>
          <w:color w:val="auto"/>
        </w:rPr>
        <w:t>. This Amendment binds and is for the benefit of the successors and permitted assigns of each party.</w:t>
      </w:r>
    </w:p>
    <w:p>
      <w:pPr>
        <w:spacing w:after="0" w:line="238" w:lineRule="exact"/>
        <w:rPr>
          <w:rFonts w:ascii="Arial" w:cs="Arial" w:eastAsia="Arial" w:hAnsi="Arial"/>
          <w:sz w:val="18"/>
          <w:szCs w:val="18"/>
          <w:color w:val="auto"/>
        </w:rPr>
      </w:pPr>
    </w:p>
    <w:p>
      <w:pPr>
        <w:jc w:val="both"/>
        <w:ind w:firstLine="800"/>
        <w:spacing w:after="0" w:line="274" w:lineRule="auto"/>
        <w:tabs>
          <w:tab w:leader="none" w:pos="139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w:t>
      </w:r>
      <w:r>
        <w:rPr>
          <w:rFonts w:ascii="Arial" w:cs="Arial" w:eastAsia="Arial" w:hAnsi="Arial"/>
          <w:sz w:val="18"/>
          <w:szCs w:val="18"/>
          <w:color w:val="auto"/>
        </w:rPr>
        <w:t>THIS AMENDMENT AND THE RIGHTS AND OBLIGATIONS OF THE PARTIES HEREUNDER SHALL IN</w:t>
      </w:r>
      <w:r>
        <w:rPr>
          <w:rFonts w:ascii="Arial" w:cs="Arial" w:eastAsia="Arial" w:hAnsi="Arial"/>
          <w:sz w:val="18"/>
          <w:szCs w:val="18"/>
          <w:b w:val="1"/>
          <w:bCs w:val="1"/>
          <w:color w:val="auto"/>
        </w:rPr>
        <w:t xml:space="preserve"> </w:t>
      </w:r>
      <w:r>
        <w:rPr>
          <w:rFonts w:ascii="Arial" w:cs="Arial" w:eastAsia="Arial" w:hAnsi="Arial"/>
          <w:sz w:val="18"/>
          <w:szCs w:val="18"/>
          <w:color w:val="auto"/>
        </w:rPr>
        <w:t>ALL RESPECTS BE GOVERNED BY AND CONSTRUED IN ACCORDANCE WITH, THE INTERNAL LAWS OF THE STATE OF CALIFORNIA (WITHOUT REGARD TO THE CONFLICT OF LAWS PRINCIPLES THAT WOULD RESULT IN the application of ANY laws OTHER THAN THE LAWS OF THE STATE OF CALIFORNIA), INCLUDING ALL MATTERS OF CONSTRUCTION, VALIDITY AND PERFORMANCE, REGARDLESS OF THE LOCATION OF THE COLLATERAL.</w:t>
      </w:r>
    </w:p>
    <w:p>
      <w:pPr>
        <w:spacing w:after="0" w:line="181" w:lineRule="exact"/>
        <w:rPr>
          <w:rFonts w:ascii="Arial" w:cs="Arial" w:eastAsia="Arial" w:hAnsi="Arial"/>
          <w:sz w:val="18"/>
          <w:szCs w:val="18"/>
          <w:color w:val="auto"/>
        </w:rPr>
      </w:pPr>
    </w:p>
    <w:p>
      <w:pPr>
        <w:jc w:val="both"/>
        <w:ind w:firstLine="800"/>
        <w:spacing w:after="0" w:line="276" w:lineRule="auto"/>
        <w:tabs>
          <w:tab w:leader="none" w:pos="139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Complete Agreement; Amendments</w:t>
      </w:r>
      <w:r>
        <w:rPr>
          <w:rFonts w:ascii="Arial" w:cs="Arial" w:eastAsia="Arial" w:hAnsi="Arial"/>
          <w:sz w:val="18"/>
          <w:szCs w:val="18"/>
          <w:color w:val="auto"/>
        </w:rPr>
        <w:t>. This Amendment and the Loan Documents represent the entire agreement about this subject</w:t>
      </w:r>
      <w:r>
        <w:rPr>
          <w:rFonts w:ascii="Arial" w:cs="Arial" w:eastAsia="Arial" w:hAnsi="Arial"/>
          <w:sz w:val="18"/>
          <w:szCs w:val="18"/>
          <w:b w:val="1"/>
          <w:bCs w:val="1"/>
          <w:color w:val="auto"/>
        </w:rPr>
        <w:t xml:space="preserve"> </w:t>
      </w:r>
      <w:r>
        <w:rPr>
          <w:rFonts w:ascii="Arial" w:cs="Arial" w:eastAsia="Arial" w:hAnsi="Arial"/>
          <w:sz w:val="18"/>
          <w:szCs w:val="18"/>
          <w:color w:val="auto"/>
        </w:rPr>
        <w:t>matter and supersede prior negotiations or agreements with respect to such subject matter. All prior agreements, understandings, representations, warranties, and negotiations between the parties about the subject matter of this Amendment and the Loan Documents merge into this Amendment and the Loan Documents.</w:t>
      </w:r>
    </w:p>
    <w:p>
      <w:pPr>
        <w:spacing w:after="0" w:line="181" w:lineRule="exact"/>
        <w:rPr>
          <w:rFonts w:ascii="Arial" w:cs="Arial" w:eastAsia="Arial" w:hAnsi="Arial"/>
          <w:sz w:val="18"/>
          <w:szCs w:val="18"/>
          <w:color w:val="auto"/>
        </w:rPr>
      </w:pPr>
    </w:p>
    <w:p>
      <w:pPr>
        <w:ind w:firstLine="800"/>
        <w:spacing w:after="0" w:line="297" w:lineRule="auto"/>
        <w:tabs>
          <w:tab w:leader="none" w:pos="139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Severability of Provisions. </w:t>
      </w:r>
      <w:r>
        <w:rPr>
          <w:rFonts w:ascii="Arial" w:cs="Arial" w:eastAsia="Arial" w:hAnsi="Arial"/>
          <w:sz w:val="18"/>
          <w:szCs w:val="18"/>
          <w:color w:val="auto"/>
        </w:rPr>
        <w:t>Each provision of this Amendment is severable from every other provision in determining the</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provision.</w:t>
      </w:r>
    </w:p>
    <w:p>
      <w:pPr>
        <w:spacing w:after="0" w:line="162" w:lineRule="exact"/>
        <w:rPr>
          <w:rFonts w:ascii="Arial" w:cs="Arial" w:eastAsia="Arial" w:hAnsi="Arial"/>
          <w:sz w:val="18"/>
          <w:szCs w:val="18"/>
          <w:color w:val="auto"/>
        </w:rPr>
      </w:pPr>
    </w:p>
    <w:p>
      <w:pPr>
        <w:jc w:val="both"/>
        <w:ind w:firstLine="800"/>
        <w:spacing w:after="0" w:line="276" w:lineRule="auto"/>
        <w:tabs>
          <w:tab w:leader="none" w:pos="1397"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any number of counterparts and by different parties on separate counterparts,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when executed and delivered, is an original, and all taken together, constitute one Amendment. Delivery of an executed counterpart of a signature page of this Amendment by facsimile, portable document format (.pdf) or other electronic transmission will be as effective as delivery of a manually executed counterpart hereof.</w:t>
      </w:r>
    </w:p>
    <w:p>
      <w:pPr>
        <w:spacing w:after="0" w:line="181" w:lineRule="exact"/>
        <w:rPr>
          <w:rFonts w:ascii="Arial" w:cs="Arial" w:eastAsia="Arial" w:hAnsi="Arial"/>
          <w:sz w:val="18"/>
          <w:szCs w:val="18"/>
          <w:color w:val="auto"/>
        </w:rPr>
      </w:pPr>
    </w:p>
    <w:p>
      <w:pPr>
        <w:ind w:left="1400" w:hanging="600"/>
        <w:spacing w:after="0"/>
        <w:tabs>
          <w:tab w:leader="none" w:pos="140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Loan Documents</w:t>
      </w:r>
      <w:r>
        <w:rPr>
          <w:rFonts w:ascii="Arial" w:cs="Arial" w:eastAsia="Arial" w:hAnsi="Arial"/>
          <w:sz w:val="18"/>
          <w:szCs w:val="18"/>
          <w:color w:val="auto"/>
        </w:rPr>
        <w:t>. This Amendment and the documents related thereto shall constitute a Loan Document.</w:t>
      </w:r>
    </w:p>
    <w:p>
      <w:pPr>
        <w:spacing w:after="0" w:line="238" w:lineRule="exact"/>
        <w:rPr>
          <w:rFonts w:ascii="Arial" w:cs="Arial" w:eastAsia="Arial" w:hAnsi="Arial"/>
          <w:sz w:val="18"/>
          <w:szCs w:val="18"/>
          <w:color w:val="auto"/>
        </w:rPr>
      </w:pPr>
    </w:p>
    <w:p>
      <w:pPr>
        <w:jc w:val="both"/>
        <w:ind w:firstLine="800"/>
        <w:spacing w:after="0" w:line="297" w:lineRule="auto"/>
        <w:tabs>
          <w:tab w:leader="none" w:pos="1397"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Electronic Execution of Certain Other Documents</w:t>
      </w:r>
      <w:r>
        <w:rPr>
          <w:rFonts w:ascii="Arial" w:cs="Arial" w:eastAsia="Arial" w:hAnsi="Arial"/>
          <w:sz w:val="17"/>
          <w:szCs w:val="17"/>
          <w:color w:val="auto"/>
        </w:rPr>
        <w:t>. The words “execution,” “execute”, “signed,” “signature,” and words of like</w:t>
      </w:r>
      <w:r>
        <w:rPr>
          <w:rFonts w:ascii="Arial" w:cs="Arial" w:eastAsia="Arial" w:hAnsi="Arial"/>
          <w:sz w:val="17"/>
          <w:szCs w:val="17"/>
          <w:b w:val="1"/>
          <w:bCs w:val="1"/>
          <w:color w:val="auto"/>
        </w:rPr>
        <w:t xml:space="preserve"> </w:t>
      </w:r>
      <w:r>
        <w:rPr>
          <w:rFonts w:ascii="Arial" w:cs="Arial" w:eastAsia="Arial" w:hAnsi="Arial"/>
          <w:sz w:val="17"/>
          <w:szCs w:val="17"/>
          <w:color w:val="auto"/>
        </w:rPr>
        <w:t>import in or related to any document to be signed in connection with this Amendment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Collateral Agent, or the keeping of records in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8" w:name="page89"/>
    <w:bookmarkEnd w:id="88"/>
    <w:p>
      <w:pPr>
        <w:jc w:val="both"/>
        <w:spacing w:after="0" w:line="275" w:lineRule="auto"/>
        <w:rPr>
          <w:sz w:val="20"/>
          <w:szCs w:val="20"/>
          <w:color w:val="auto"/>
        </w:rPr>
      </w:pPr>
      <w:r>
        <w:rPr>
          <w:rFonts w:ascii="Arial" w:cs="Arial" w:eastAsia="Arial" w:hAnsi="Arial"/>
          <w:sz w:val="18"/>
          <w:szCs w:val="18"/>
          <w:color w:val="auto"/>
        </w:rPr>
        <w:t>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Transactions Act, or any other similar state laws based on the Uniform Electronic Transactions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9" w:name="page90"/>
    <w:bookmarkEnd w:id="89"/>
    <w:p>
      <w:pPr>
        <w:ind w:left="760"/>
        <w:spacing w:after="0"/>
        <w:rPr>
          <w:sz w:val="20"/>
          <w:szCs w:val="20"/>
          <w:color w:val="auto"/>
        </w:rPr>
      </w:pPr>
      <w:r>
        <w:rPr>
          <w:rFonts w:ascii="Arial" w:cs="Arial" w:eastAsia="Arial" w:hAnsi="Arial"/>
          <w:sz w:val="16"/>
          <w:szCs w:val="16"/>
          <w:color w:val="auto"/>
        </w:rPr>
        <w:t>IN WITNESS WHEREOF, the parties hereto have duly executed this Amendment, as of the date first above written.</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BORROWER:</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AXSOME THERAPEUTICS, INC.</w:t>
      </w:r>
    </w:p>
    <w:p>
      <w:pPr>
        <w:spacing w:after="0" w:line="221" w:lineRule="exact"/>
        <w:rPr>
          <w:sz w:val="20"/>
          <w:szCs w:val="20"/>
          <w:color w:val="auto"/>
        </w:rPr>
      </w:pPr>
    </w:p>
    <w:tbl>
      <w:tblPr>
        <w:tblLayout w:type="fixed"/>
        <w:tblInd w:w="52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1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2"/>
              </w:rPr>
              <w:t>/s/Herriot Tabuteau, M.D.</w:t>
            </w:r>
          </w:p>
        </w:tc>
      </w:tr>
      <w:tr>
        <w:trPr>
          <w:trHeight w:val="466"/>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1880" w:type="dxa"/>
            <w:vAlign w:val="bottom"/>
          </w:tcPr>
          <w:p>
            <w:pPr>
              <w:spacing w:after="0"/>
              <w:rPr>
                <w:sz w:val="20"/>
                <w:szCs w:val="20"/>
                <w:color w:val="auto"/>
              </w:rPr>
            </w:pPr>
            <w:r>
              <w:rPr>
                <w:rFonts w:ascii="Arial" w:cs="Arial" w:eastAsia="Arial" w:hAnsi="Arial"/>
                <w:sz w:val="18"/>
                <w:szCs w:val="18"/>
                <w:color w:val="auto"/>
              </w:rPr>
              <w:t>Herriot Tabuteau, M.D.</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18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31"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[SIGNATURES CONTINUE ON THE NEXT PAGE]</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8" w:right="1440" w:bottom="1440" w:gutter="0" w:footer="0" w:header="0"/>
        </w:sectPr>
      </w:pPr>
    </w:p>
    <w:bookmarkStart w:id="90" w:name="page91"/>
    <w:bookmarkEnd w:id="90"/>
    <w:p>
      <w:pPr>
        <w:ind w:left="5240"/>
        <w:spacing w:after="0"/>
        <w:rPr>
          <w:sz w:val="20"/>
          <w:szCs w:val="20"/>
          <w:color w:val="auto"/>
        </w:rPr>
      </w:pPr>
      <w:r>
        <w:rPr>
          <w:rFonts w:ascii="Arial" w:cs="Arial" w:eastAsia="Arial" w:hAnsi="Arial"/>
          <w:sz w:val="18"/>
          <w:szCs w:val="18"/>
          <w:color w:val="auto"/>
        </w:rPr>
        <w:t>AGENT:</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HERCULES CAPITAL, INC.</w:t>
      </w:r>
    </w:p>
    <w:p>
      <w:pPr>
        <w:spacing w:after="0" w:line="221" w:lineRule="exact"/>
        <w:rPr>
          <w:sz w:val="20"/>
          <w:szCs w:val="20"/>
          <w:color w:val="auto"/>
        </w:rPr>
      </w:pPr>
    </w:p>
    <w:tbl>
      <w:tblPr>
        <w:tblLayout w:type="fixed"/>
        <w:tblInd w:w="52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Seth Meyer</w:t>
            </w:r>
          </w:p>
        </w:tc>
        <w:tc>
          <w:tcPr>
            <w:tcW w:w="620" w:type="dxa"/>
            <w:vAlign w:val="bottom"/>
          </w:tcPr>
          <w:p>
            <w:pPr>
              <w:spacing w:after="0"/>
              <w:rPr>
                <w:sz w:val="17"/>
                <w:szCs w:val="17"/>
                <w:color w:val="auto"/>
              </w:rPr>
            </w:pPr>
          </w:p>
        </w:tc>
      </w:tr>
      <w:tr>
        <w:trPr>
          <w:trHeight w:val="466"/>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1680" w:type="dxa"/>
            <w:vAlign w:val="bottom"/>
            <w:gridSpan w:val="2"/>
          </w:tcPr>
          <w:p>
            <w:pPr>
              <w:spacing w:after="0"/>
              <w:rPr>
                <w:sz w:val="20"/>
                <w:szCs w:val="20"/>
                <w:color w:val="auto"/>
              </w:rPr>
            </w:pPr>
            <w:r>
              <w:rPr>
                <w:rFonts w:ascii="Arial" w:cs="Arial" w:eastAsia="Arial" w:hAnsi="Arial"/>
                <w:sz w:val="18"/>
                <w:szCs w:val="18"/>
                <w:color w:val="auto"/>
              </w:rPr>
              <w:t>Seth Meyer</w:t>
            </w:r>
          </w:p>
        </w:tc>
      </w:tr>
      <w:tr>
        <w:trPr>
          <w:trHeight w:val="445"/>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pacing w:after="0" w:line="32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LENDER:</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HERCULES CAPITAL, INC.</w:t>
      </w:r>
    </w:p>
    <w:p>
      <w:pPr>
        <w:spacing w:after="0" w:line="221" w:lineRule="exact"/>
        <w:rPr>
          <w:sz w:val="20"/>
          <w:szCs w:val="20"/>
          <w:color w:val="auto"/>
        </w:rPr>
      </w:pPr>
    </w:p>
    <w:tbl>
      <w:tblPr>
        <w:tblLayout w:type="fixed"/>
        <w:tblInd w:w="52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Seth Meyer</w:t>
            </w:r>
          </w:p>
        </w:tc>
        <w:tc>
          <w:tcPr>
            <w:tcW w:w="620" w:type="dxa"/>
            <w:vAlign w:val="bottom"/>
          </w:tcPr>
          <w:p>
            <w:pPr>
              <w:spacing w:after="0"/>
              <w:rPr>
                <w:sz w:val="17"/>
                <w:szCs w:val="17"/>
                <w:color w:val="auto"/>
              </w:rPr>
            </w:pPr>
          </w:p>
        </w:tc>
      </w:tr>
      <w:tr>
        <w:trPr>
          <w:trHeight w:val="466"/>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1680" w:type="dxa"/>
            <w:vAlign w:val="bottom"/>
            <w:gridSpan w:val="2"/>
          </w:tcPr>
          <w:p>
            <w:pPr>
              <w:spacing w:after="0"/>
              <w:rPr>
                <w:sz w:val="20"/>
                <w:szCs w:val="20"/>
                <w:color w:val="auto"/>
              </w:rPr>
            </w:pPr>
            <w:r>
              <w:rPr>
                <w:rFonts w:ascii="Arial" w:cs="Arial" w:eastAsia="Arial" w:hAnsi="Arial"/>
                <w:sz w:val="18"/>
                <w:szCs w:val="18"/>
                <w:color w:val="auto"/>
              </w:rPr>
              <w:t>Seth Meyer</w:t>
            </w:r>
          </w:p>
        </w:tc>
      </w:tr>
      <w:tr>
        <w:trPr>
          <w:trHeight w:val="446"/>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r>
        <w:trPr>
          <w:trHeight w:val="891"/>
        </w:trPr>
        <w:tc>
          <w:tcPr>
            <w:tcW w:w="2760" w:type="dxa"/>
            <w:vAlign w:val="bottom"/>
            <w:gridSpan w:val="3"/>
          </w:tcPr>
          <w:p>
            <w:pPr>
              <w:spacing w:after="0"/>
              <w:rPr>
                <w:sz w:val="20"/>
                <w:szCs w:val="20"/>
                <w:color w:val="auto"/>
              </w:rPr>
            </w:pPr>
            <w:r>
              <w:rPr>
                <w:rFonts w:ascii="Arial" w:cs="Arial" w:eastAsia="Arial" w:hAnsi="Arial"/>
                <w:sz w:val="18"/>
                <w:szCs w:val="18"/>
                <w:color w:val="auto"/>
              </w:rPr>
              <w:t>HERCULES FUNDING IV LLC</w:t>
            </w:r>
          </w:p>
        </w:tc>
      </w:tr>
      <w:tr>
        <w:trPr>
          <w:trHeight w:val="405"/>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Seth Meyer</w:t>
            </w:r>
          </w:p>
        </w:tc>
        <w:tc>
          <w:tcPr>
            <w:tcW w:w="620" w:type="dxa"/>
            <w:vAlign w:val="bottom"/>
          </w:tcPr>
          <w:p>
            <w:pPr>
              <w:spacing w:after="0"/>
              <w:rPr>
                <w:sz w:val="24"/>
                <w:szCs w:val="24"/>
                <w:color w:val="auto"/>
              </w:rPr>
            </w:pPr>
          </w:p>
        </w:tc>
      </w:tr>
      <w:tr>
        <w:trPr>
          <w:trHeight w:val="466"/>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1680" w:type="dxa"/>
            <w:vAlign w:val="bottom"/>
            <w:gridSpan w:val="2"/>
          </w:tcPr>
          <w:p>
            <w:pPr>
              <w:spacing w:after="0"/>
              <w:rPr>
                <w:sz w:val="20"/>
                <w:szCs w:val="20"/>
                <w:color w:val="auto"/>
              </w:rPr>
            </w:pPr>
            <w:r>
              <w:rPr>
                <w:rFonts w:ascii="Arial" w:cs="Arial" w:eastAsia="Arial" w:hAnsi="Arial"/>
                <w:sz w:val="18"/>
                <w:szCs w:val="18"/>
                <w:color w:val="auto"/>
              </w:rPr>
              <w:t>Seth Meyer</w:t>
            </w:r>
          </w:p>
        </w:tc>
      </w:tr>
      <w:tr>
        <w:trPr>
          <w:trHeight w:val="445"/>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1680" w:type="dxa"/>
            <w:vAlign w:val="bottom"/>
            <w:gridSpan w:val="2"/>
          </w:tcPr>
          <w:p>
            <w:pPr>
              <w:spacing w:after="0"/>
              <w:rPr>
                <w:sz w:val="20"/>
                <w:szCs w:val="20"/>
                <w:color w:val="auto"/>
              </w:rPr>
            </w:pPr>
            <w:r>
              <w:rPr>
                <w:rFonts w:ascii="Arial" w:cs="Arial" w:eastAsia="Arial" w:hAnsi="Arial"/>
                <w:sz w:val="18"/>
                <w:szCs w:val="18"/>
                <w:color w:val="auto"/>
                <w:w w:val="93"/>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HERCULES PRIVATE CREDIT FUND I L.P.</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 Hercules Private Global Venture Growth Fund GP I LLC, its general partner</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Hercules Adviser LLC, its sole member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2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Seth Meyer</w:t>
            </w:r>
          </w:p>
        </w:tc>
        <w:tc>
          <w:tcPr>
            <w:tcW w:w="500" w:type="dxa"/>
            <w:vAlign w:val="bottom"/>
          </w:tcPr>
          <w:p>
            <w:pPr>
              <w:spacing w:after="0"/>
              <w:rPr>
                <w:sz w:val="18"/>
                <w:szCs w:val="18"/>
                <w:color w:val="auto"/>
              </w:rPr>
            </w:pPr>
          </w:p>
        </w:tc>
      </w:tr>
      <w:tr>
        <w:trPr>
          <w:trHeight w:val="466"/>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1560" w:type="dxa"/>
            <w:vAlign w:val="bottom"/>
            <w:gridSpan w:val="2"/>
          </w:tcPr>
          <w:p>
            <w:pPr>
              <w:spacing w:after="0"/>
              <w:rPr>
                <w:sz w:val="20"/>
                <w:szCs w:val="20"/>
                <w:color w:val="auto"/>
              </w:rPr>
            </w:pPr>
            <w:r>
              <w:rPr>
                <w:rFonts w:ascii="Arial" w:cs="Arial" w:eastAsia="Arial" w:hAnsi="Arial"/>
                <w:sz w:val="18"/>
                <w:szCs w:val="18"/>
                <w:color w:val="auto"/>
              </w:rPr>
              <w:t>Seth Meyer</w:t>
            </w:r>
          </w:p>
        </w:tc>
      </w:tr>
      <w:tr>
        <w:trPr>
          <w:trHeight w:val="445"/>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1560" w:type="dxa"/>
            <w:vAlign w:val="bottom"/>
            <w:gridSpan w:val="2"/>
          </w:tcPr>
          <w:p>
            <w:pPr>
              <w:spacing w:after="0"/>
              <w:rPr>
                <w:sz w:val="20"/>
                <w:szCs w:val="20"/>
                <w:color w:val="auto"/>
              </w:rPr>
            </w:pPr>
            <w:r>
              <w:rPr>
                <w:rFonts w:ascii="Arial" w:cs="Arial" w:eastAsia="Arial" w:hAnsi="Arial"/>
                <w:sz w:val="18"/>
                <w:szCs w:val="18"/>
                <w:color w:val="auto"/>
                <w:w w:val="92"/>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00" w:right="519" w:bottom="1440" w:gutter="0" w:footer="0" w:header="0"/>
        </w:sectPr>
      </w:pPr>
    </w:p>
    <w:bookmarkStart w:id="91" w:name="page92"/>
    <w:bookmarkEnd w:id="91"/>
    <w:p>
      <w:pPr>
        <w:ind w:left="5240"/>
        <w:spacing w:after="0"/>
        <w:rPr>
          <w:sz w:val="20"/>
          <w:szCs w:val="20"/>
          <w:color w:val="auto"/>
        </w:rPr>
      </w:pPr>
      <w:r>
        <w:rPr>
          <w:rFonts w:ascii="Arial" w:cs="Arial" w:eastAsia="Arial" w:hAnsi="Arial"/>
          <w:sz w:val="18"/>
          <w:szCs w:val="18"/>
          <w:color w:val="auto"/>
        </w:rPr>
        <w:t>HERCULES PRIVATE GLOBAL VENTURE GROWTH FUND I L.P.</w:t>
      </w:r>
    </w:p>
    <w:p>
      <w:pPr>
        <w:spacing w:after="0" w:line="239"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By: Hercules Private Global Venture Growth Fund GP I LLC, its general partner</w:t>
      </w:r>
    </w:p>
    <w:p>
      <w:pPr>
        <w:spacing w:after="0" w:line="262"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By: Hercules Adviser LLC, its sole member</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240" w:type="dxa"/>
        <w:tblCellMar>
          <w:top w:w="0" w:type="dxa"/>
          <w:left w:w="0" w:type="dxa"/>
          <w:bottom w:w="0" w:type="dxa"/>
          <w:right w:w="0" w:type="dxa"/>
        </w:tblCellMar>
      </w:tblPr>
      <w:tr>
        <w:trPr>
          <w:trHeight w:val="207"/>
        </w:trPr>
        <w:tc>
          <w:tcPr>
            <w:tcW w:w="1080" w:type="dxa"/>
            <w:vAlign w:val="bottom"/>
          </w:tcPr>
          <w:p>
            <w:pPr>
              <w:spacing w:after="0"/>
              <w:rPr>
                <w:sz w:val="20"/>
                <w:szCs w:val="20"/>
                <w:color w:val="auto"/>
              </w:rPr>
            </w:pPr>
            <w:r>
              <w:rPr>
                <w:rFonts w:ascii="Arial" w:cs="Arial" w:eastAsia="Arial" w:hAnsi="Arial"/>
                <w:sz w:val="18"/>
                <w:szCs w:val="18"/>
                <w:color w:val="auto"/>
              </w:rPr>
              <w:t>Signature:</w:t>
            </w: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9"/>
              </w:rPr>
              <w:t>/s/ Seth Meyer</w:t>
            </w:r>
          </w:p>
        </w:tc>
        <w:tc>
          <w:tcPr>
            <w:tcW w:w="500" w:type="dxa"/>
            <w:vAlign w:val="bottom"/>
          </w:tcPr>
          <w:p>
            <w:pPr>
              <w:spacing w:after="0"/>
              <w:rPr>
                <w:sz w:val="17"/>
                <w:szCs w:val="17"/>
                <w:color w:val="auto"/>
              </w:rPr>
            </w:pPr>
          </w:p>
        </w:tc>
      </w:tr>
      <w:tr>
        <w:trPr>
          <w:trHeight w:val="466"/>
        </w:trPr>
        <w:tc>
          <w:tcPr>
            <w:tcW w:w="1080" w:type="dxa"/>
            <w:vAlign w:val="bottom"/>
          </w:tcPr>
          <w:p>
            <w:pPr>
              <w:spacing w:after="0"/>
              <w:rPr>
                <w:sz w:val="20"/>
                <w:szCs w:val="20"/>
                <w:color w:val="auto"/>
              </w:rPr>
            </w:pPr>
            <w:r>
              <w:rPr>
                <w:rFonts w:ascii="Arial" w:cs="Arial" w:eastAsia="Arial" w:hAnsi="Arial"/>
                <w:sz w:val="18"/>
                <w:szCs w:val="18"/>
                <w:color w:val="auto"/>
              </w:rPr>
              <w:t>Print Name:</w:t>
            </w:r>
          </w:p>
        </w:tc>
        <w:tc>
          <w:tcPr>
            <w:tcW w:w="1560" w:type="dxa"/>
            <w:vAlign w:val="bottom"/>
            <w:gridSpan w:val="2"/>
          </w:tcPr>
          <w:p>
            <w:pPr>
              <w:spacing w:after="0"/>
              <w:rPr>
                <w:sz w:val="20"/>
                <w:szCs w:val="20"/>
                <w:color w:val="auto"/>
              </w:rPr>
            </w:pPr>
            <w:r>
              <w:rPr>
                <w:rFonts w:ascii="Arial" w:cs="Arial" w:eastAsia="Arial" w:hAnsi="Arial"/>
                <w:sz w:val="18"/>
                <w:szCs w:val="18"/>
                <w:color w:val="auto"/>
              </w:rPr>
              <w:t>Seth Meyer</w:t>
            </w:r>
          </w:p>
        </w:tc>
      </w:tr>
      <w:tr>
        <w:trPr>
          <w:trHeight w:val="445"/>
        </w:trPr>
        <w:tc>
          <w:tcPr>
            <w:tcW w:w="1080" w:type="dxa"/>
            <w:vAlign w:val="bottom"/>
          </w:tcPr>
          <w:p>
            <w:pPr>
              <w:spacing w:after="0"/>
              <w:rPr>
                <w:sz w:val="20"/>
                <w:szCs w:val="20"/>
                <w:color w:val="auto"/>
              </w:rPr>
            </w:pPr>
            <w:r>
              <w:rPr>
                <w:rFonts w:ascii="Arial" w:cs="Arial" w:eastAsia="Arial" w:hAnsi="Arial"/>
                <w:sz w:val="18"/>
                <w:szCs w:val="18"/>
                <w:color w:val="auto"/>
              </w:rPr>
              <w:t>Title:</w:t>
            </w:r>
          </w:p>
        </w:tc>
        <w:tc>
          <w:tcPr>
            <w:tcW w:w="1560" w:type="dxa"/>
            <w:vAlign w:val="bottom"/>
            <w:gridSpan w:val="2"/>
          </w:tcPr>
          <w:p>
            <w:pPr>
              <w:spacing w:after="0"/>
              <w:rPr>
                <w:sz w:val="20"/>
                <w:szCs w:val="20"/>
                <w:color w:val="auto"/>
              </w:rPr>
            </w:pPr>
            <w:r>
              <w:rPr>
                <w:rFonts w:ascii="Arial" w:cs="Arial" w:eastAsia="Arial" w:hAnsi="Arial"/>
                <w:sz w:val="18"/>
                <w:szCs w:val="18"/>
                <w:color w:val="auto"/>
                <w:w w:val="92"/>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368" w:right="519" w:bottom="1440" w:gutter="0" w:footer="0" w:header="0"/>
        </w:sectPr>
      </w:pPr>
    </w:p>
    <w:bookmarkStart w:id="92" w:name="page93"/>
    <w:bookmarkEnd w:id="92"/>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LOAN AND SECURITY AGREEMENT</w:t>
      </w:r>
    </w:p>
    <w:p>
      <w:pPr>
        <w:spacing w:after="0" w:line="125"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2"/>
          <w:szCs w:val="22"/>
          <w:color w:val="auto"/>
        </w:rPr>
        <w:t>THIS LOAN AND SECURITY AGREEMENT is made and dated as of September 25, 2020 and is entered into by and among AXSOME THERAPEUTICS, INC., a Delaware corporation, and each of its Subsidiaries other than Excluded Subsidiaries (individually and collectively referred to as the “Borrower”), the several banks and other financial institutions or entities from time to time parties to this Agreement (collectively, referred to as the “Lenders”) and HERCULES CAPITAL, INC., a Maryland corporation, in its capacity as administrative agent and collateral agent for itself and the Lenders (in such capacity, the “Agent”).</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5" w:lineRule="exact"/>
        <w:rPr>
          <w:sz w:val="20"/>
          <w:szCs w:val="20"/>
          <w:color w:val="auto"/>
        </w:rPr>
      </w:pPr>
    </w:p>
    <w:p>
      <w:pPr>
        <w:ind w:right="20" w:firstLine="757"/>
        <w:spacing w:after="0" w:line="276" w:lineRule="auto"/>
        <w:tabs>
          <w:tab w:leader="none" w:pos="1181" w:val="left"/>
        </w:tabs>
        <w:numPr>
          <w:ilvl w:val="0"/>
          <w:numId w:val="10"/>
        </w:numPr>
        <w:rPr>
          <w:rFonts w:ascii="Arial" w:cs="Arial" w:eastAsia="Arial" w:hAnsi="Arial"/>
          <w:sz w:val="22"/>
          <w:szCs w:val="22"/>
          <w:color w:val="auto"/>
        </w:rPr>
      </w:pPr>
      <w:r>
        <w:rPr>
          <w:rFonts w:ascii="Arial" w:cs="Arial" w:eastAsia="Arial" w:hAnsi="Arial"/>
          <w:sz w:val="22"/>
          <w:szCs w:val="22"/>
          <w:color w:val="auto"/>
        </w:rPr>
        <w:t>Borrower has requested the Lenders make available to Borrower a loan in an aggregate principal amount of up to Three Hundred Million Dollars ($300,000,000) (the “Term Loan”); and</w:t>
      </w:r>
    </w:p>
    <w:p>
      <w:pPr>
        <w:spacing w:after="0" w:line="174" w:lineRule="exact"/>
        <w:rPr>
          <w:rFonts w:ascii="Arial" w:cs="Arial" w:eastAsia="Arial" w:hAnsi="Arial"/>
          <w:sz w:val="22"/>
          <w:szCs w:val="22"/>
          <w:color w:val="auto"/>
        </w:rPr>
      </w:pPr>
    </w:p>
    <w:p>
      <w:pPr>
        <w:ind w:left="1180" w:hanging="423"/>
        <w:spacing w:after="0"/>
        <w:tabs>
          <w:tab w:leader="none" w:pos="1180"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Lenders are willing to make the Term Loan on the terms and conditions set forth in this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Borrower, Agent and the Lenders agree as follows:</w:t>
      </w:r>
    </w:p>
    <w:p>
      <w:pPr>
        <w:spacing w:after="0" w:line="233" w:lineRule="exact"/>
        <w:rPr>
          <w:sz w:val="20"/>
          <w:szCs w:val="20"/>
          <w:color w:val="auto"/>
        </w:rPr>
      </w:pPr>
    </w:p>
    <w:p>
      <w:pPr>
        <w:ind w:left="1460" w:hanging="329"/>
        <w:spacing w:after="0"/>
        <w:tabs>
          <w:tab w:leader="none" w:pos="14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DEFINITIONS AND RULES OF CONSTRUCTION</w:t>
      </w:r>
    </w:p>
    <w:p>
      <w:pPr>
        <w:spacing w:after="0" w:line="233" w:lineRule="exact"/>
        <w:rPr>
          <w:rFonts w:ascii="Arial" w:cs="Arial" w:eastAsia="Arial" w:hAnsi="Arial"/>
          <w:sz w:val="22"/>
          <w:szCs w:val="22"/>
          <w:color w:val="auto"/>
        </w:rPr>
      </w:pPr>
    </w:p>
    <w:p>
      <w:pPr>
        <w:ind w:left="1880"/>
        <w:spacing w:after="0"/>
        <w:rPr>
          <w:rFonts w:ascii="Arial" w:cs="Arial" w:eastAsia="Arial" w:hAnsi="Arial"/>
          <w:sz w:val="22"/>
          <w:szCs w:val="22"/>
          <w:color w:val="auto"/>
        </w:rPr>
      </w:pPr>
      <w:r>
        <w:rPr>
          <w:rFonts w:ascii="Arial" w:cs="Arial" w:eastAsia="Arial" w:hAnsi="Arial"/>
          <w:sz w:val="19"/>
          <w:szCs w:val="19"/>
          <w:color w:val="auto"/>
        </w:rPr>
        <w:t>a.  Unless otherwise defined herein, the following capitalized terms shall have the following meanings:</w:t>
      </w:r>
    </w:p>
    <w:p>
      <w:pPr>
        <w:spacing w:after="0" w:line="268" w:lineRule="exact"/>
        <w:rPr>
          <w:sz w:val="20"/>
          <w:szCs w:val="20"/>
          <w:color w:val="auto"/>
        </w:rPr>
      </w:pPr>
    </w:p>
    <w:p>
      <w:pPr>
        <w:jc w:val="both"/>
        <w:ind w:firstLine="1497"/>
        <w:spacing w:after="0" w:line="327" w:lineRule="auto"/>
        <w:rPr>
          <w:sz w:val="20"/>
          <w:szCs w:val="20"/>
          <w:color w:val="auto"/>
        </w:rPr>
      </w:pPr>
      <w:r>
        <w:rPr>
          <w:rFonts w:ascii="Arial" w:cs="Arial" w:eastAsia="Arial" w:hAnsi="Arial"/>
          <w:sz w:val="19"/>
          <w:szCs w:val="19"/>
          <w:color w:val="auto"/>
        </w:rPr>
        <w:t>“Account Control Agreement(s)” means any agreement entered into by and among the Agent, Borrower and a third party bank or other institution (including a Securities Intermediary) in which Borrower maintains a Deposit Account or an account holding Investment Property and which perfects Agent’s first priority security interest in the subject account or accounts.</w:t>
      </w:r>
    </w:p>
    <w:p>
      <w:pPr>
        <w:spacing w:after="0" w:line="133" w:lineRule="exact"/>
        <w:rPr>
          <w:sz w:val="20"/>
          <w:szCs w:val="20"/>
          <w:color w:val="auto"/>
        </w:rPr>
      </w:pPr>
    </w:p>
    <w:p>
      <w:pPr>
        <w:jc w:val="both"/>
        <w:ind w:firstLine="1497"/>
        <w:spacing w:after="0" w:line="301" w:lineRule="auto"/>
        <w:rPr>
          <w:sz w:val="20"/>
          <w:szCs w:val="20"/>
          <w:color w:val="auto"/>
        </w:rPr>
      </w:pPr>
      <w:r>
        <w:rPr>
          <w:rFonts w:ascii="Arial" w:cs="Arial" w:eastAsia="Arial" w:hAnsi="Arial"/>
          <w:sz w:val="21"/>
          <w:szCs w:val="21"/>
          <w:color w:val="auto"/>
        </w:rPr>
        <w:t>“ACH Authorization” means the ACH Debit Authorization Agreement in substantially the form of Exhibit H, which account numbers shall be redacted for security purposes if and when filed publicly by the Borrower.</w:t>
      </w:r>
    </w:p>
    <w:p>
      <w:pPr>
        <w:spacing w:after="0" w:line="150"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“ACH Failure” means the failure of the Automated Clearing House (ACH) system to effect a transfer of funds requested by Lender to be used to satisfy all or part of Borrower’s obligations to pay principal and interest due hereunder, unless any such failure results from insufficient funds in Borrower’s account(s).</w:t>
      </w:r>
    </w:p>
    <w:p>
      <w:pPr>
        <w:spacing w:after="0" w:line="185" w:lineRule="exact"/>
        <w:rPr>
          <w:sz w:val="20"/>
          <w:szCs w:val="20"/>
          <w:color w:val="auto"/>
        </w:rPr>
      </w:pPr>
    </w:p>
    <w:p>
      <w:pPr>
        <w:jc w:val="both"/>
        <w:ind w:firstLine="1497"/>
        <w:spacing w:after="0" w:line="317" w:lineRule="auto"/>
        <w:rPr>
          <w:sz w:val="20"/>
          <w:szCs w:val="20"/>
          <w:color w:val="auto"/>
        </w:rPr>
      </w:pPr>
      <w:r>
        <w:rPr>
          <w:rFonts w:ascii="Arial" w:cs="Arial" w:eastAsia="Arial" w:hAnsi="Arial"/>
          <w:sz w:val="19"/>
          <w:szCs w:val="19"/>
          <w:color w:val="auto"/>
        </w:rPr>
        <w:t>“Acquisition” means any transaction or series of related transactions for the purpose of or resulting, directly or indirectly, in (a) the acquisition of all or substantially all of the assets of a Person, or any division, line of business or other business unit of another Person, (b) the acquisition of fifty percent (50%) or more of the Equity Interests of any Person, whether or not involving a merger, consolidation or similar transaction with such other Person, or otherwise</w:t>
      </w:r>
    </w:p>
    <w:p>
      <w:pPr>
        <w:spacing w:after="0" w:line="1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93" w:name="page94"/>
    <w:bookmarkEnd w:id="93"/>
    <w:p>
      <w:pPr>
        <w:jc w:val="both"/>
        <w:ind w:right="20"/>
        <w:spacing w:after="0" w:line="276" w:lineRule="auto"/>
        <w:rPr>
          <w:sz w:val="20"/>
          <w:szCs w:val="20"/>
          <w:color w:val="auto"/>
        </w:rPr>
      </w:pPr>
      <w:r>
        <w:rPr>
          <w:rFonts w:ascii="Arial" w:cs="Arial" w:eastAsia="Arial" w:hAnsi="Arial"/>
          <w:sz w:val="22"/>
          <w:szCs w:val="22"/>
          <w:color w:val="auto"/>
        </w:rPr>
        <w:t>causing any Person to become a Subsidiary of Borrower, or (c) the acquisition of, or the right to use, develop or sell (in each case, including through licensing), any product that would constitute a Borrower Product upon acquisition.</w:t>
      </w:r>
    </w:p>
    <w:p>
      <w:pPr>
        <w:spacing w:after="0" w:line="174" w:lineRule="exact"/>
        <w:rPr>
          <w:sz w:val="20"/>
          <w:szCs w:val="20"/>
          <w:color w:val="auto"/>
        </w:rPr>
      </w:pPr>
    </w:p>
    <w:p>
      <w:pPr>
        <w:jc w:val="both"/>
        <w:ind w:firstLine="1497"/>
        <w:spacing w:after="0" w:line="317" w:lineRule="auto"/>
        <w:rPr>
          <w:sz w:val="20"/>
          <w:szCs w:val="20"/>
          <w:color w:val="auto"/>
        </w:rPr>
      </w:pPr>
      <w:r>
        <w:rPr>
          <w:rFonts w:ascii="Arial" w:cs="Arial" w:eastAsia="Arial" w:hAnsi="Arial"/>
          <w:sz w:val="19"/>
          <w:szCs w:val="19"/>
          <w:color w:val="auto"/>
        </w:rPr>
        <w:t>“Acquisition Deferred Payments” means, with respect to an Acquisition, any “earnouts,” holdbacks, performance based-milestones, royalties, purchase price adjustments, profit sharing arrangements, deferred purchase money amounts, indemnifications, non-competition agreements, incentive payments, and other similar payment obligations, and other contingent obligations and agreements consisting of the adjustment of purchase price or similar adjustments.</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“Advance(s)” means a Term Loan Advance.</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“Advance Date” means the funding date of any Advance.</w:t>
      </w:r>
    </w:p>
    <w:p>
      <w:pPr>
        <w:spacing w:after="0" w:line="233" w:lineRule="exact"/>
        <w:rPr>
          <w:sz w:val="20"/>
          <w:szCs w:val="20"/>
          <w:color w:val="auto"/>
        </w:rPr>
      </w:pPr>
    </w:p>
    <w:p>
      <w:pPr>
        <w:jc w:val="both"/>
        <w:ind w:firstLine="1497"/>
        <w:spacing w:after="0" w:line="358" w:lineRule="auto"/>
        <w:rPr>
          <w:sz w:val="20"/>
          <w:szCs w:val="20"/>
          <w:color w:val="auto"/>
        </w:rPr>
      </w:pPr>
      <w:r>
        <w:rPr>
          <w:rFonts w:ascii="Arial" w:cs="Arial" w:eastAsia="Arial" w:hAnsi="Arial"/>
          <w:sz w:val="19"/>
          <w:szCs w:val="19"/>
          <w:color w:val="auto"/>
        </w:rPr>
        <w:t>“Advance Request” means a request for an Advance submitted by Borrower to Agent in substantially the form of Exhibit A, which account numbers shall be redacted for security purposes if and when filed publicly by the Borrower.</w:t>
      </w:r>
    </w:p>
    <w:p>
      <w:pPr>
        <w:spacing w:after="0" w:line="104"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“Affiliate” means with respect to any Person (a) any Person that directly or indirectly controls, is controlled by, or is under common control with such Person, (b) any Person directly or indirectly owning, controlling or holding with power to vote ten percent (10%) or more of the outstanding voting securities of such Person, and (c) any Person ten percent (10%) or more of whose outstanding voting securities are directly or indirectly owned, controlled or held by such Person with power to vote such securities. As used in the definition of “Affiliate,” the term “control” means the possession, directly or indirectly, of the power to direct or cause the direction of the management and policies of a Person, whether through ownership of voting securities, by contract or otherwise.</w:t>
      </w:r>
    </w:p>
    <w:p>
      <w:pPr>
        <w:spacing w:after="0" w:line="19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“Agreement” means this Loan and Security Agreement, as amended from time to time.</w:t>
      </w:r>
    </w:p>
    <w:p>
      <w:pPr>
        <w:spacing w:after="0" w:line="233"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“Amortization Date” means November 1, 2025; provided however, (x) if the First Interest Only Extension Conditions are satisfied, then May 1, 2026, and (y) if the Second Interest Only Extension Conditions are satisfied, then November 1, 2026.</w:t>
      </w:r>
    </w:p>
    <w:p>
      <w:pPr>
        <w:spacing w:after="0" w:line="185"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“Antecip License Agreement” means that certain License Agreement, dated as of April 17, 2012 by and between Borrower and Antecip Bioventures II LLC, as amended by the First Amendment to License Agreement dated as of August 21, 2015, as amended by the Antecip Direct Agreement and as may be further amended from time to time pursuant to terms of the Antecip Direct Agreement.</w:t>
      </w:r>
    </w:p>
    <w:p>
      <w:pPr>
        <w:spacing w:after="0" w:line="191" w:lineRule="exact"/>
        <w:rPr>
          <w:sz w:val="20"/>
          <w:szCs w:val="20"/>
          <w:color w:val="auto"/>
        </w:rPr>
      </w:pPr>
    </w:p>
    <w:p>
      <w:pPr>
        <w:jc w:val="both"/>
        <w:ind w:firstLine="1497"/>
        <w:spacing w:after="0" w:line="358" w:lineRule="auto"/>
        <w:rPr>
          <w:sz w:val="20"/>
          <w:szCs w:val="20"/>
          <w:color w:val="auto"/>
        </w:rPr>
      </w:pPr>
      <w:r>
        <w:rPr>
          <w:rFonts w:ascii="Arial" w:cs="Arial" w:eastAsia="Arial" w:hAnsi="Arial"/>
          <w:sz w:val="19"/>
          <w:szCs w:val="19"/>
          <w:color w:val="auto"/>
        </w:rPr>
        <w:t>“Antecip Direct Agreement” means that certain Direct Agreement dated as of the date hereof, by and among the Company, Antecip Bioventures II LLC and the Agent (as amended, supplemented or otherwise modified from time to time).</w:t>
      </w:r>
    </w:p>
    <w:p>
      <w:pPr>
        <w:spacing w:after="0" w:line="10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“Anti-Corruption Laws” means all laws, rules, and regulations of any jurisdiction applicable to Borrower or any of its Affiliates from time to time concerning or relating to bribery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4" w:name="page95"/>
    <w:bookmarkEnd w:id="94"/>
    <w:p>
      <w:pPr>
        <w:jc w:val="both"/>
        <w:ind w:right="20"/>
        <w:spacing w:after="0" w:line="276" w:lineRule="auto"/>
        <w:rPr>
          <w:sz w:val="20"/>
          <w:szCs w:val="20"/>
          <w:color w:val="auto"/>
        </w:rPr>
      </w:pPr>
      <w:r>
        <w:rPr>
          <w:rFonts w:ascii="Arial" w:cs="Arial" w:eastAsia="Arial" w:hAnsi="Arial"/>
          <w:sz w:val="22"/>
          <w:szCs w:val="22"/>
          <w:color w:val="auto"/>
        </w:rPr>
        <w:t>or corruption, including without limitation the United States Foreign Corrupt Practices Act of 1977, as amended, the UK Bribery Act 2010 and other similar legislation in any other jurisdictions.</w:t>
      </w:r>
    </w:p>
    <w:p>
      <w:pPr>
        <w:spacing w:after="0" w:line="174" w:lineRule="exact"/>
        <w:rPr>
          <w:sz w:val="20"/>
          <w:szCs w:val="20"/>
          <w:color w:val="auto"/>
        </w:rPr>
      </w:pPr>
    </w:p>
    <w:p>
      <w:pPr>
        <w:jc w:val="both"/>
        <w:ind w:firstLine="1497"/>
        <w:spacing w:after="0" w:line="271" w:lineRule="exact"/>
        <w:rPr>
          <w:sz w:val="20"/>
          <w:szCs w:val="20"/>
          <w:color w:val="auto"/>
        </w:rPr>
      </w:pPr>
      <w:r>
        <w:rPr>
          <w:rFonts w:ascii="Arial" w:cs="Arial" w:eastAsia="Arial" w:hAnsi="Arial"/>
          <w:sz w:val="22"/>
          <w:szCs w:val="22"/>
          <w:color w:val="auto"/>
        </w:rPr>
        <w:t>“Anti</w:t>
      </w:r>
      <w:r>
        <w:rPr>
          <w:rFonts w:ascii="MS PGothic" w:cs="MS PGothic" w:eastAsia="MS PGothic" w:hAnsi="MS PGothic"/>
          <w:sz w:val="22"/>
          <w:szCs w:val="22"/>
          <w:color w:val="auto"/>
        </w:rPr>
        <w:t>‑</w:t>
      </w:r>
      <w:r>
        <w:rPr>
          <w:rFonts w:ascii="Arial" w:cs="Arial" w:eastAsia="Arial" w:hAnsi="Arial"/>
          <w:sz w:val="22"/>
          <w:szCs w:val="22"/>
          <w:color w:val="auto"/>
        </w:rPr>
        <w:t>Terrorism Laws” means any laws, rules, regulations or orders relating to terrorism or money laundering, including without limitation Executive Order No. 13224 (effective September 24, 2001), the USA PATRIOT Act, the laws comprising or implementing the Bank Secrecy Act, and the laws administered by OFAC.</w:t>
      </w:r>
    </w:p>
    <w:p>
      <w:pPr>
        <w:spacing w:after="0" w:line="21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“Australian Subsidiary” means Axsome Therapeutics Australia Pty Ltd, a company organized under the laws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Australia.</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“AXS-05” means Borrower’s AXS-05 product candidate (bupropion and dextromethorphan) for the treatment of Major Depressive Disorder (MDD) and other indications.</w:t>
      </w:r>
    </w:p>
    <w:p>
      <w:pPr>
        <w:spacing w:after="0" w:line="174"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“AXS-05 Milestone” means Borrower shall have provided evidence reasonably satisfactory to Agent that the FDA has approved Borrower’s New Drug Application for AXS-05 for the treatment of MDD with a label claim that is generally consistent with that sought in Borrower’s New Drug Application filing.</w:t>
      </w:r>
    </w:p>
    <w:p>
      <w:pPr>
        <w:spacing w:after="0" w:line="185" w:lineRule="exact"/>
        <w:rPr>
          <w:sz w:val="20"/>
          <w:szCs w:val="20"/>
          <w:color w:val="auto"/>
        </w:rPr>
      </w:pPr>
    </w:p>
    <w:p>
      <w:pPr>
        <w:ind w:left="1560"/>
        <w:spacing w:after="0"/>
        <w:rPr>
          <w:sz w:val="20"/>
          <w:szCs w:val="20"/>
          <w:color w:val="auto"/>
        </w:rPr>
      </w:pPr>
      <w:r>
        <w:rPr>
          <w:rFonts w:ascii="Arial" w:cs="Arial" w:eastAsia="Arial" w:hAnsi="Arial"/>
          <w:sz w:val="22"/>
          <w:szCs w:val="22"/>
          <w:color w:val="auto"/>
        </w:rPr>
        <w:t>“AXS-05 Milestone Date” means the date on which the Borrower achieves the AXS-05 Milestone.</w:t>
      </w:r>
    </w:p>
    <w:p>
      <w:pPr>
        <w:spacing w:after="0" w:line="233"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“AXS-07” means Borrower’s AXS-07 product candidate (MoSEIC meloxicam and rizatriptan) for the acute treatment of migraine.</w:t>
      </w:r>
    </w:p>
    <w:p>
      <w:pPr>
        <w:spacing w:after="0" w:line="174"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“AXS-07 Milestone” means Borrower shall have provided evidence reasonably satisfactory to Agent that the FDA has approved Borrower’s New Drug Application for AXS-07 for the acute treatment of migraine with a label claim that is generally consistent with that sought in Borrower’s New Drug Application filing.</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“AXS-07 Milestone Date” means the date on which the Borrower achieves the AXS-07 Milestone.</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“AXS-12” means Borrower’s AXS-12 product candidate (reboxetine) for the treatment of narcolepsy.</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“AXS-14” means Borrower’s AXS-14 product candidate (esreboxetine) for the treatment of fibromyalgia.</w:t>
      </w:r>
    </w:p>
    <w:p>
      <w:pPr>
        <w:spacing w:after="0" w:line="245"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1"/>
          <w:szCs w:val="21"/>
          <w:color w:val="auto"/>
        </w:rPr>
        <w:t>“Blocked Person” means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 otherwise engaging in any transaction by any Anti-Terrorism Law, (d) a Person that commits, threatens or conspires to commit or supports “terrorism” as defined in Executive Order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5" w:name="page96"/>
    <w:bookmarkEnd w:id="95"/>
    <w:p>
      <w:pPr>
        <w:jc w:val="both"/>
        <w:spacing w:after="0" w:line="276" w:lineRule="auto"/>
        <w:rPr>
          <w:sz w:val="20"/>
          <w:szCs w:val="20"/>
          <w:color w:val="auto"/>
        </w:rPr>
      </w:pPr>
      <w:r>
        <w:rPr>
          <w:rFonts w:ascii="Arial" w:cs="Arial" w:eastAsia="Arial" w:hAnsi="Arial"/>
          <w:sz w:val="22"/>
          <w:szCs w:val="22"/>
          <w:color w:val="auto"/>
        </w:rPr>
        <w:t>No. 13224, or (e) a Person that is named a “specially designated national” or “blocked person” on the most current list published by OFAC or other similar list.</w:t>
      </w:r>
    </w:p>
    <w:p>
      <w:pPr>
        <w:spacing w:after="0" w:line="174"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21"/>
          <w:szCs w:val="21"/>
          <w:color w:val="auto"/>
        </w:rPr>
        <w:t>“Borrower Products” means all products currently being designed, manufactured or that are under preclinical or clinical investigation or development by Borrower or which Borrower intends to sell, license, or distribute in the future subject to applicable regulatory approvals including any products under development, collectively, together with all products that have been sold, licensed or distributed by Borrower since its incorporation.</w:t>
      </w:r>
    </w:p>
    <w:p>
      <w:pPr>
        <w:spacing w:after="0" w:line="173" w:lineRule="exact"/>
        <w:rPr>
          <w:sz w:val="20"/>
          <w:szCs w:val="20"/>
          <w:color w:val="auto"/>
        </w:rPr>
      </w:pPr>
    </w:p>
    <w:p>
      <w:pPr>
        <w:jc w:val="both"/>
        <w:ind w:firstLine="1497"/>
        <w:spacing w:after="0" w:line="327" w:lineRule="auto"/>
        <w:rPr>
          <w:sz w:val="20"/>
          <w:szCs w:val="20"/>
          <w:color w:val="auto"/>
        </w:rPr>
      </w:pPr>
      <w:r>
        <w:rPr>
          <w:rFonts w:ascii="Arial" w:cs="Arial" w:eastAsia="Arial" w:hAnsi="Arial"/>
          <w:sz w:val="19"/>
          <w:szCs w:val="19"/>
          <w:color w:val="auto"/>
        </w:rPr>
        <w:t>“Borrower’s Books” means Borrower’s or any of its Subsidiaries’ books and records including ledgers, federal, state, local and foreign tax returns, records regarding Borrower’s or its Subsidiaries’ assets or liabilities, the Collateral, business operations or financial condition, and all computer programs or storage or any equipment containing such information.</w:t>
      </w:r>
    </w:p>
    <w:p>
      <w:pPr>
        <w:spacing w:after="0" w:line="133"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“Business Day” means any day other than Saturday, Sunday and any other day on which banking institutions in the State of California are closed for business.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“Cash” means all cash, cash equivalents and liquid funds.</w:t>
      </w:r>
    </w:p>
    <w:p>
      <w:pPr>
        <w:spacing w:after="0" w:line="233"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1"/>
          <w:szCs w:val="21"/>
          <w:color w:val="auto"/>
        </w:rPr>
        <w:t>“Change in Control” means any (x) reorganization, recapitalization, consolidation or merger (or similar transaction or series of related transactions) of Borrower, sale or exchange of outstanding shares (or similar transaction or series of related transactions) of Borrower in which the holders of Borrower’s outstanding shares immediately before consummation of such transaction or series of related transactions do not, immediately after consummation of such transaction or series of related transactions, retain shares representing more than fifty percent (50%) of the voting power of the surviving entity of such transaction or series of related transactions (or the parent of such surviving entity if such surviving entity is wholly owned by such parent), in each case without regard to whether Borrower is the surviving entity or (y) “change of control”, “fundamental change”, “make-whole fundamental change” or any comparable term under and as defined in any indenture governing any Permitted Convertible Debt has occurred.</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“Closing Date” means the date of this Agreement.</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“Code” means the Internal Revenue Code of 1986, as amended.</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“Common Stock” means the Common Stock, $0.0001 par value per share, of the Borrower.</w:t>
      </w:r>
    </w:p>
    <w:p>
      <w:pPr>
        <w:spacing w:after="0" w:line="233"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9"/>
          <w:szCs w:val="19"/>
          <w:color w:val="auto"/>
        </w:rPr>
        <w:t>“Company IP” means any and all of the following, as they exist in and throughout the United States: (a) Current Company IP; (b) improvements, continuations, continuations-in-part, divisions, provisionals or any substitute applications, any patent issued with respect to any of the Current Company IP, any patent right claiming the composition of matter of, or the method of making or using, the Borrower Products in the United States, any reissue, reexamination, renewal or patent term extension or adjustment (including any supplementary protection certificate) of any such patent, and any confirmation patent or registration patent or patent of addition based on any such patent; (c) trade secrets or trade secret rights, including any rights to unpatented inventions, know-how, show-how, operating manuals, confidential or proprietary information, research in progress, algorithms, data, databases, data collections, designs, processes, procedures, methods,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6" w:name="page97"/>
    <w:bookmarkEnd w:id="96"/>
    <w:p>
      <w:pPr>
        <w:jc w:val="both"/>
        <w:spacing w:after="0" w:line="259" w:lineRule="auto"/>
        <w:rPr>
          <w:sz w:val="20"/>
          <w:szCs w:val="20"/>
          <w:color w:val="auto"/>
        </w:rPr>
      </w:pPr>
      <w:r>
        <w:rPr>
          <w:rFonts w:ascii="Arial" w:cs="Arial" w:eastAsia="Arial" w:hAnsi="Arial"/>
          <w:sz w:val="22"/>
          <w:szCs w:val="22"/>
          <w:color w:val="auto"/>
        </w:rPr>
        <w:t>protocols, materials, formulae, drawings, schematics, blueprints, flow charts, models, strategies, prototypes, techniques, and the results of experimentation and testing, including samples, in each case, as specifically related to any research, development, manufacture, production, use, commercialization, marketing, importing, storage, transport, offer for sale, distribution or sale of the Borrower Products; (d) any and all IP Ancillary Rights specifically relating to any of the foregoing; and (e) regulatory filings, submissions and approvals related to any research, development, manufacture, production, use, commercialization, marketing, importing, storage, transport, offer for sale, distribution or sale of the Borrower Products and all data provided in any of the foregoing.</w:t>
      </w:r>
    </w:p>
    <w:p>
      <w:pPr>
        <w:spacing w:after="0" w:line="195" w:lineRule="exact"/>
        <w:rPr>
          <w:sz w:val="20"/>
          <w:szCs w:val="20"/>
          <w:color w:val="auto"/>
        </w:rPr>
      </w:pPr>
    </w:p>
    <w:p>
      <w:pPr>
        <w:jc w:val="both"/>
        <w:ind w:firstLine="1497"/>
        <w:spacing w:after="0" w:line="301" w:lineRule="auto"/>
        <w:rPr>
          <w:sz w:val="20"/>
          <w:szCs w:val="20"/>
          <w:color w:val="auto"/>
        </w:rPr>
      </w:pPr>
      <w:r>
        <w:rPr>
          <w:rFonts w:ascii="Arial" w:cs="Arial" w:eastAsia="Arial" w:hAnsi="Arial"/>
          <w:sz w:val="19"/>
          <w:szCs w:val="19"/>
          <w:color w:val="auto"/>
        </w:rPr>
        <w:t>“Contingent Obligation” means, as applied to any Person, any direct or indirect liability, contingent or otherwise, of that Person with respect to (i) any Indebtedness, lease, dividend, letter of credit or other obligation of another, including any such obligation directly or indirectly guaranteed, endorsed, co-made or discounted or sold with recourse by that Person, or in respect of which that Person is otherwise directly or indirectly liable; (ii) any obligations with respect to undrawn letters of credit, corporate credit cards or merchant services issued for the account of that Person; and (iii) all obligations arising under any interest rate, currency or commodity swap agreement, interest rate cap agreement, interest rate collar agreement, or other agreement or arrangement designated to protect a Person against fluctuation in interest rates, currency exchange rates or commodity prices; provided, however, that the term “Contingent Obligation” shall not include endorsements for collection or deposit in the ordinary course of business or guaranties of operating leases that do not constitute Indebtedness. The amount of any Contingent Obligation shall be deemed to be an amount equal to the stated or determined amount of the primary obligation in respect of which such Contingent Obligation is made or, if not stated or determinable, the maximum reasonably anticipated liability in respect thereof as determined by such Person in good faith; provided, however, that such amount shall not in any event exceed the maximum amount of the obligations under the guarantee or other support arrangement. For the avoidance of doubt, no Permitted Bond Hedge Transaction or Permitted Warrant Transaction will be considered a Contingent Obligation of Borrower.</w:t>
      </w:r>
    </w:p>
    <w:p>
      <w:pPr>
        <w:spacing w:after="0" w:line="160" w:lineRule="exact"/>
        <w:rPr>
          <w:sz w:val="20"/>
          <w:szCs w:val="20"/>
          <w:color w:val="auto"/>
        </w:rPr>
      </w:pPr>
    </w:p>
    <w:p>
      <w:pPr>
        <w:jc w:val="both"/>
        <w:ind w:firstLine="1497"/>
        <w:spacing w:after="0" w:line="358" w:lineRule="auto"/>
        <w:rPr>
          <w:sz w:val="20"/>
          <w:szCs w:val="20"/>
          <w:color w:val="auto"/>
        </w:rPr>
      </w:pPr>
      <w:r>
        <w:rPr>
          <w:rFonts w:ascii="Arial" w:cs="Arial" w:eastAsia="Arial" w:hAnsi="Arial"/>
          <w:sz w:val="19"/>
          <w:szCs w:val="19"/>
          <w:color w:val="auto"/>
        </w:rPr>
        <w:t>“Copyright License” means any written agreement granting any right to use any Copyright or Copyright registration, now owned or hereafter acquired by Borrower or in which Borrower now holds or hereafter acquires any interest.</w:t>
      </w:r>
    </w:p>
    <w:p>
      <w:pPr>
        <w:spacing w:after="0" w:line="104" w:lineRule="exact"/>
        <w:rPr>
          <w:sz w:val="20"/>
          <w:szCs w:val="20"/>
          <w:color w:val="auto"/>
        </w:rPr>
      </w:pPr>
    </w:p>
    <w:p>
      <w:pPr>
        <w:jc w:val="both"/>
        <w:ind w:right="20" w:firstLine="1497"/>
        <w:spacing w:after="0" w:line="276" w:lineRule="auto"/>
        <w:rPr>
          <w:sz w:val="20"/>
          <w:szCs w:val="20"/>
          <w:color w:val="auto"/>
        </w:rPr>
      </w:pPr>
      <w:r>
        <w:rPr>
          <w:rFonts w:ascii="Arial" w:cs="Arial" w:eastAsia="Arial" w:hAnsi="Arial"/>
          <w:sz w:val="22"/>
          <w:szCs w:val="22"/>
          <w:color w:val="auto"/>
        </w:rPr>
        <w:t>“Copyrights” means all copyrights, whether registered or unregistered, held pursuant to the laws of the United States of America, any State thereof, or of any other country.</w:t>
      </w:r>
    </w:p>
    <w:p>
      <w:pPr>
        <w:spacing w:after="0" w:line="174" w:lineRule="exact"/>
        <w:rPr>
          <w:sz w:val="20"/>
          <w:szCs w:val="20"/>
          <w:color w:val="auto"/>
        </w:rPr>
      </w:pPr>
    </w:p>
    <w:p>
      <w:pPr>
        <w:jc w:val="both"/>
        <w:ind w:right="20" w:firstLine="1497"/>
        <w:spacing w:after="0" w:line="276" w:lineRule="auto"/>
        <w:rPr>
          <w:sz w:val="20"/>
          <w:szCs w:val="20"/>
          <w:color w:val="auto"/>
        </w:rPr>
      </w:pPr>
      <w:r>
        <w:rPr>
          <w:rFonts w:ascii="Arial" w:cs="Arial" w:eastAsia="Arial" w:hAnsi="Arial"/>
          <w:sz w:val="22"/>
          <w:szCs w:val="22"/>
          <w:color w:val="auto"/>
        </w:rPr>
        <w:t>“Cross-Default Reference Obligation” has the meaning assigned to such term in the definition of “Permitted Convertible Debt.”</w:t>
      </w:r>
    </w:p>
    <w:p>
      <w:pPr>
        <w:spacing w:after="0" w:line="17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“Deposit Accounts” means any “deposit accounts,” as such term is defined in the UCC, and includes any checking account, savings account, or certificate of deposit.</w:t>
      </w:r>
    </w:p>
    <w:p>
      <w:pPr>
        <w:spacing w:after="0" w:line="17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“Domestic Subsidiary” means any Subsidiary organized under the laws of the United States of America, any State thereof, the District of Columbia, or any other jurisdiction within the United States of America.</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7" w:name="page98"/>
    <w:bookmarkEnd w:id="97"/>
    <w:p>
      <w:pPr>
        <w:jc w:val="both"/>
        <w:ind w:firstLine="1497"/>
        <w:spacing w:after="0" w:line="276" w:lineRule="auto"/>
        <w:rPr>
          <w:sz w:val="20"/>
          <w:szCs w:val="20"/>
          <w:color w:val="auto"/>
        </w:rPr>
      </w:pPr>
      <w:r>
        <w:rPr>
          <w:rFonts w:ascii="Arial" w:cs="Arial" w:eastAsia="Arial" w:hAnsi="Arial"/>
          <w:sz w:val="22"/>
          <w:szCs w:val="22"/>
          <w:color w:val="auto"/>
        </w:rPr>
        <w:t>“Due Diligence Fee” means $75,000, which fee has been paid to the Lenders prior to the Closing Date, and shall be deemed fully earned on such date regardless of the early termination of this Agreement.</w:t>
      </w:r>
    </w:p>
    <w:p>
      <w:pPr>
        <w:spacing w:after="0" w:line="17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“Equity Interests” means, with respect to any Person, the capital stock, partnership or limited liability company interest, or other equity securities or equity ownership interests of such Person.</w:t>
      </w:r>
    </w:p>
    <w:p>
      <w:pPr>
        <w:spacing w:after="0" w:line="17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“ERISA” means the Employee Retirement Income Security Act of 1974, as amended, and the regulations promulgated thereunder.</w:t>
      </w:r>
    </w:p>
    <w:p>
      <w:pPr>
        <w:spacing w:after="0" w:line="174"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2"/>
          <w:szCs w:val="22"/>
          <w:color w:val="auto"/>
        </w:rPr>
        <w:t>“Excluded Account” means (i) accounts used solely to fund payroll or employee benefits in an aggregate amount not to exceed the then-next two payroll cycles, (ii) any Account (including, for the avoidance of doubt, any cash, cash equivalents, or other property contained therein) to the extent, and for so long as, such Account is pledged and used exclusively to secure performance of obligations arising and permitted under clauses (vi), (xiv) and (xv) of the definition of “Permitted Liens” and (iii) other Accounts that have a balance not to exceed One Hundred Thousand Dollars ($100,000.00) in the aggregate at any time.</w:t>
      </w:r>
    </w:p>
    <w:p>
      <w:pPr>
        <w:spacing w:after="0" w:line="192"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“Excluded Subsidiary” means (a) the Irish Subsidiary, (b) the Australian Subsidiary and (c) each Foreign Subsidiary of Borrower designated by Borrower as an “Excluded Subsidiary”; provided that, in each of the foregoing cases, the Excluded Subsidiary Condition is satisfied with respect to such Subsidiary at all times, and in each case as long as no Excluded Subsidiary owns any Intellectual Property.</w:t>
      </w:r>
    </w:p>
    <w:p>
      <w:pPr>
        <w:spacing w:after="0" w:line="191"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“Excluded Subsidiary Condition” means (a) the aggregate revenues (under GAAP) of all Excluded Subsidiaries does not exceed five percent (5%) of the consolidated revenues (under GAAP) of Borrower and its Subsidiaries; and (b) value of the total assets of all Excluded Subsidiaries does not exceed five percent (5%) of the consolidated total assets of Borrower and its Subsidiaries.</w:t>
      </w:r>
    </w:p>
    <w:p>
      <w:pPr>
        <w:spacing w:after="0" w:line="191" w:lineRule="exact"/>
        <w:rPr>
          <w:sz w:val="20"/>
          <w:szCs w:val="20"/>
          <w:color w:val="auto"/>
        </w:rPr>
      </w:pPr>
    </w:p>
    <w:p>
      <w:pPr>
        <w:ind w:left="2800" w:hanging="1122"/>
        <w:spacing w:after="0"/>
        <w:tabs>
          <w:tab w:leader="none" w:pos="280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“FDA” means the U.S. Food and Drug Administration or any successor thereto.</w:t>
      </w:r>
    </w:p>
    <w:p>
      <w:pPr>
        <w:spacing w:after="0" w:line="233" w:lineRule="exact"/>
        <w:rPr>
          <w:rFonts w:ascii="Arial" w:cs="Arial" w:eastAsia="Arial" w:hAnsi="Arial"/>
          <w:sz w:val="22"/>
          <w:szCs w:val="22"/>
          <w:color w:val="auto"/>
        </w:rPr>
      </w:pPr>
    </w:p>
    <w:p>
      <w:pPr>
        <w:jc w:val="both"/>
        <w:ind w:firstLine="1678"/>
        <w:spacing w:after="0" w:line="317" w:lineRule="auto"/>
        <w:tabs>
          <w:tab w:leader="none" w:pos="2793" w:val="left"/>
        </w:tabs>
        <w:numPr>
          <w:ilvl w:val="0"/>
          <w:numId w:val="12"/>
        </w:numPr>
        <w:rPr>
          <w:rFonts w:ascii="Arial" w:cs="Arial" w:eastAsia="Arial" w:hAnsi="Arial"/>
          <w:sz w:val="19"/>
          <w:szCs w:val="19"/>
          <w:color w:val="auto"/>
        </w:rPr>
      </w:pPr>
      <w:r>
        <w:rPr>
          <w:rFonts w:ascii="Arial" w:cs="Arial" w:eastAsia="Arial" w:hAnsi="Arial"/>
          <w:sz w:val="19"/>
          <w:szCs w:val="19"/>
          <w:color w:val="auto"/>
        </w:rPr>
        <w:t>“FDA Good Manufacturing Practices” means the applicable requirements and standards set forth in the Food, Drug, and Cosmetic Act (“FDCA”) and its implementing regulations (for example, for pharmaceuticals being used in Phase 2 or 3 studies, and commercial pharmaceuticals, 21 C.F.R. Parts 210 and 211) and relevant FDA guidance documents (for example, for pharmaceuticals in Phase 1, FDA guidance entitled “CGMP for Phase 1 Investigational Drugs”.</w:t>
      </w:r>
    </w:p>
    <w:p>
      <w:pPr>
        <w:spacing w:after="0" w:line="141" w:lineRule="exact"/>
        <w:rPr>
          <w:rFonts w:ascii="Arial" w:cs="Arial" w:eastAsia="Arial" w:hAnsi="Arial"/>
          <w:sz w:val="19"/>
          <w:szCs w:val="19"/>
          <w:color w:val="auto"/>
        </w:rPr>
      </w:pPr>
    </w:p>
    <w:p>
      <w:pPr>
        <w:jc w:val="both"/>
        <w:ind w:firstLine="1678"/>
        <w:spacing w:after="0" w:line="266" w:lineRule="auto"/>
        <w:tabs>
          <w:tab w:leader="none" w:pos="2793" w:val="left"/>
        </w:tabs>
        <w:numPr>
          <w:ilvl w:val="0"/>
          <w:numId w:val="12"/>
        </w:numPr>
        <w:rPr>
          <w:rFonts w:ascii="Arial" w:cs="Arial" w:eastAsia="Arial" w:hAnsi="Arial"/>
          <w:sz w:val="22"/>
          <w:szCs w:val="22"/>
          <w:color w:val="auto"/>
        </w:rPr>
      </w:pPr>
      <w:r>
        <w:rPr>
          <w:rFonts w:ascii="Arial" w:cs="Arial" w:eastAsia="Arial" w:hAnsi="Arial"/>
          <w:sz w:val="22"/>
          <w:szCs w:val="22"/>
          <w:color w:val="auto"/>
        </w:rPr>
        <w:t>“FDA Laws” means all applicable statutes, rules, regulations, standards, guidelines, policies and orders and Requirements of Law administered, implemented, enforced or issued by FDA or any comparable governmental authority.</w:t>
      </w:r>
    </w:p>
    <w:p>
      <w:pPr>
        <w:spacing w:after="0" w:line="184" w:lineRule="exact"/>
        <w:rPr>
          <w:rFonts w:ascii="Arial" w:cs="Arial" w:eastAsia="Arial" w:hAnsi="Arial"/>
          <w:sz w:val="22"/>
          <w:szCs w:val="22"/>
          <w:color w:val="auto"/>
        </w:rPr>
      </w:pPr>
    </w:p>
    <w:p>
      <w:pPr>
        <w:jc w:val="both"/>
        <w:ind w:firstLine="1678"/>
        <w:spacing w:after="0" w:line="266" w:lineRule="auto"/>
        <w:tabs>
          <w:tab w:leader="none" w:pos="2793" w:val="left"/>
        </w:tabs>
        <w:numPr>
          <w:ilvl w:val="0"/>
          <w:numId w:val="12"/>
        </w:numPr>
        <w:rPr>
          <w:rFonts w:ascii="Arial" w:cs="Arial" w:eastAsia="Arial" w:hAnsi="Arial"/>
          <w:sz w:val="22"/>
          <w:szCs w:val="22"/>
          <w:color w:val="auto"/>
        </w:rPr>
      </w:pPr>
      <w:r>
        <w:rPr>
          <w:rFonts w:ascii="Arial" w:cs="Arial" w:eastAsia="Arial" w:hAnsi="Arial"/>
          <w:sz w:val="22"/>
          <w:szCs w:val="22"/>
          <w:color w:val="auto"/>
        </w:rPr>
        <w:t>“Federal Health Care Program Laws” means collectively, federal Medicare or federal or state Medicaid statutes, Sections 1128, 1128A, 1128B, 1128C or 1877 of the Social Security Act (42 U.S.C. §§ 1320a-7, 1320a-7a, 1320a-7b, 1320a-7c, 1320a-7h and 1395nn), the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8" w:name="page99"/>
    <w:bookmarkEnd w:id="98"/>
    <w:p>
      <w:pPr>
        <w:jc w:val="both"/>
        <w:spacing w:after="0" w:line="303" w:lineRule="auto"/>
        <w:rPr>
          <w:sz w:val="20"/>
          <w:szCs w:val="20"/>
          <w:color w:val="auto"/>
        </w:rPr>
      </w:pPr>
      <w:r>
        <w:rPr>
          <w:rFonts w:ascii="Arial" w:cs="Arial" w:eastAsia="Arial" w:hAnsi="Arial"/>
          <w:sz w:val="19"/>
          <w:szCs w:val="19"/>
          <w:color w:val="auto"/>
        </w:rPr>
        <w:t>federal TRICARE statute (10 U.S.C. § 1071 et seq.), the civil False Claims Act of 1863 (31 U.S.C. § 3729 et seq.), criminal false claims statutes (e.g., 18 U.S.C. §§ 287 and 1001), the Program Fraud Civil Remedies Act of 1986 (31 U.S.C. § 3801 et seq.), HIPAA, or related regulations or other Requirements of Law that directly or indirectly govern the health care industry, programs of governmental authorities related to healthcare, health care professionals or other health care participants, or relationships among health care providers, suppliers, distributors, manufacturers and patients, and the pricing, sale and reimbursement of health care items or services including the collection and reporting requirements, and the processing of any applicable rebate, chargeback or adjustment, under applicable rules and regulations relating to the Medicaid Drug Rebate Program (42 U.S.C. § 1396r-8) and any state supplemental rebate program, Medicare average sales price reporting (42 U.S.C. § 1395w-3a), the Public Health Service Act (42 U.S.C. § 256b), the VA Federal Supply Schedule (38 U.S.C. § 8126) or under any state pharmaceutical assistance program or U.S. Department of Veterans Affairs agreement, and any successor government programs.</w:t>
      </w:r>
    </w:p>
    <w:p>
      <w:pPr>
        <w:spacing w:after="0" w:line="15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“First Amendment Closing Date” means October 14, 2021.</w:t>
      </w:r>
    </w:p>
    <w:p>
      <w:pPr>
        <w:spacing w:after="0" w:line="233" w:lineRule="exact"/>
        <w:rPr>
          <w:sz w:val="20"/>
          <w:szCs w:val="20"/>
          <w:color w:val="auto"/>
        </w:rPr>
      </w:pPr>
    </w:p>
    <w:p>
      <w:pPr>
        <w:jc w:val="both"/>
        <w:ind w:firstLine="1678"/>
        <w:spacing w:after="0" w:line="266" w:lineRule="auto"/>
        <w:tabs>
          <w:tab w:leader="none" w:pos="2793" w:val="left"/>
        </w:tabs>
        <w:numPr>
          <w:ilvl w:val="0"/>
          <w:numId w:val="13"/>
        </w:numPr>
        <w:rPr>
          <w:rFonts w:ascii="Arial" w:cs="Arial" w:eastAsia="Arial" w:hAnsi="Arial"/>
          <w:sz w:val="22"/>
          <w:szCs w:val="22"/>
          <w:color w:val="auto"/>
        </w:rPr>
      </w:pPr>
      <w:r>
        <w:rPr>
          <w:rFonts w:ascii="Arial" w:cs="Arial" w:eastAsia="Arial" w:hAnsi="Arial"/>
          <w:sz w:val="22"/>
          <w:szCs w:val="22"/>
          <w:color w:val="auto"/>
        </w:rPr>
        <w:t>“First Interest Only Extension Conditions” shall mean satisfaction of each of the following events: (a) no default or Event of Default shall have occurred and be continuing; and (b) either the AXS-05 Milestone or the AXS-07 Milestone have been achieved on or prior to October 31, 2025.</w:t>
      </w:r>
    </w:p>
    <w:p>
      <w:pPr>
        <w:spacing w:after="0" w:line="184" w:lineRule="exact"/>
        <w:rPr>
          <w:rFonts w:ascii="Arial" w:cs="Arial" w:eastAsia="Arial" w:hAnsi="Arial"/>
          <w:sz w:val="22"/>
          <w:szCs w:val="22"/>
          <w:color w:val="auto"/>
        </w:rPr>
      </w:pPr>
    </w:p>
    <w:p>
      <w:pPr>
        <w:jc w:val="both"/>
        <w:ind w:firstLine="1678"/>
        <w:spacing w:after="0" w:line="304" w:lineRule="auto"/>
        <w:tabs>
          <w:tab w:leader="none" w:pos="2793" w:val="left"/>
        </w:tabs>
        <w:numPr>
          <w:ilvl w:val="0"/>
          <w:numId w:val="13"/>
        </w:numPr>
        <w:rPr>
          <w:rFonts w:ascii="Arial" w:cs="Arial" w:eastAsia="Arial" w:hAnsi="Arial"/>
          <w:sz w:val="19"/>
          <w:szCs w:val="19"/>
          <w:color w:val="auto"/>
        </w:rPr>
      </w:pPr>
      <w:r>
        <w:rPr>
          <w:rFonts w:ascii="Arial" w:cs="Arial" w:eastAsia="Arial" w:hAnsi="Arial"/>
          <w:sz w:val="19"/>
          <w:szCs w:val="19"/>
          <w:color w:val="auto"/>
        </w:rPr>
        <w:t>“Forecast” means the projections for Borrower as delivered and accepted by Agent on October 4, 2021; provided however, that Borrower may from time to time update the Forecast with a forecast approved by the board of directors of the Borrower, subject to the consent of Agent in its reasonable discretion; provided, further that, it is acknowledged that the Forecast is premised on, among other things, certain assumptions about possible timing of a launch date for AXS-05 and AXS-07 and to the extent the assumed launch dates are deferred or delayed, then, for purposes of this Agreement and the other Loan Documents, the Forecast shall be deemed to be automatically updated and revised to defer the expected dates for receipt or recognition of revenues from AXS-05 and AXS-07, as applicable, by the same amount of time as the deferral or delay of the actual launch dates; provided, further that the Forecast must be updated prior to December 31, 2023 to include projections for 2024 and beyond based on a forecast approved by the board of directors demonstrating reasonable growth rates.</w:t>
      </w:r>
    </w:p>
    <w:p>
      <w:pPr>
        <w:spacing w:after="0" w:line="155" w:lineRule="exact"/>
        <w:rPr>
          <w:rFonts w:ascii="Arial" w:cs="Arial" w:eastAsia="Arial" w:hAnsi="Arial"/>
          <w:sz w:val="19"/>
          <w:szCs w:val="19"/>
          <w:color w:val="auto"/>
        </w:rPr>
      </w:pPr>
    </w:p>
    <w:p>
      <w:pPr>
        <w:ind w:left="2800" w:hanging="1122"/>
        <w:spacing w:after="0"/>
        <w:tabs>
          <w:tab w:leader="none" w:pos="2800" w:val="left"/>
        </w:tabs>
        <w:numPr>
          <w:ilvl w:val="0"/>
          <w:numId w:val="13"/>
        </w:numPr>
        <w:rPr>
          <w:rFonts w:ascii="Arial" w:cs="Arial" w:eastAsia="Arial" w:hAnsi="Arial"/>
          <w:sz w:val="22"/>
          <w:szCs w:val="22"/>
          <w:color w:val="auto"/>
        </w:rPr>
      </w:pPr>
      <w:r>
        <w:rPr>
          <w:rFonts w:ascii="Arial" w:cs="Arial" w:eastAsia="Arial" w:hAnsi="Arial"/>
          <w:sz w:val="22"/>
          <w:szCs w:val="22"/>
          <w:color w:val="auto"/>
        </w:rPr>
        <w:t>“Foreign Subsidiary” means any Subsidiary other than a Domestic Subsidiary.</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“GAAP” means generally accepted accounting principles in the United States of America, as in effect from time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to time.</w:t>
      </w:r>
    </w:p>
    <w:p>
      <w:pPr>
        <w:spacing w:after="0" w:line="229"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“Hedge Agreement” means any interest rate, currency or commodity swap agreement, interest rate cap agreement, interest rate collar agreement, fuel or mineral or other commodity hedge or exchange agreement or any other agreement or arrangement entered into for non-speculative purposes designated to protect a Person against fluctuation in interest rates, currency exchange rates, commodity or mineral prices.</w:t>
      </w:r>
    </w:p>
    <w:p>
      <w:pPr>
        <w:spacing w:after="0" w:line="191"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“Indebtedness” means (a) all indebtedness for borrowed money or the deferred purchase price of property or services (excluding trade credit entered into in the ordinary course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9" w:name="page100"/>
    <w:bookmarkEnd w:id="99"/>
    <w:p>
      <w:pPr>
        <w:jc w:val="both"/>
        <w:spacing w:after="0" w:line="304" w:lineRule="auto"/>
        <w:rPr>
          <w:sz w:val="20"/>
          <w:szCs w:val="20"/>
          <w:color w:val="auto"/>
        </w:rPr>
      </w:pPr>
      <w:r>
        <w:rPr>
          <w:rFonts w:ascii="Arial" w:cs="Arial" w:eastAsia="Arial" w:hAnsi="Arial"/>
          <w:sz w:val="19"/>
          <w:szCs w:val="19"/>
          <w:color w:val="auto"/>
        </w:rPr>
        <w:t>of business not past due for more than one hundred eighty (180) days), including reimbursement and other obligations with respect to surety bonds and letters of credit, (b) all obligations evidenced by notes, bonds, debentures or similar instruments, (c) all capital lease obligations, (d) equity securities of any Person subject to repurchase or redemption other than at the sole option of such Person, (e) non-contingent “earnouts”, purchase price adjustments, profit sharing arrangements, deferred purchase money amounts and similar payment obligations arising out of purchase and sale contracts but only as and to the extent of the amount required to be reflected as a liability on the balance sheet of such Person in accordance with GAAP, (f) non-contingent obligations to reimburse any bank or Person in respect of amounts paid under a letter of credit, banker’s acceptance or similar instrument, and (h) all Contingent Obligations. For the avoidance of doubt no Permitted Bond Hedge Transaction or Permitted Warrant Transaction shall be considered Indebtedness of the Borrower.</w:t>
      </w:r>
    </w:p>
    <w:p>
      <w:pPr>
        <w:spacing w:after="0" w:line="155" w:lineRule="exact"/>
        <w:rPr>
          <w:sz w:val="20"/>
          <w:szCs w:val="20"/>
          <w:color w:val="auto"/>
        </w:rPr>
      </w:pPr>
    </w:p>
    <w:p>
      <w:pPr>
        <w:ind w:left="2800" w:hanging="1122"/>
        <w:spacing w:after="0"/>
        <w:tabs>
          <w:tab w:leader="none" w:pos="2800" w:val="left"/>
        </w:tabs>
        <w:numPr>
          <w:ilvl w:val="0"/>
          <w:numId w:val="14"/>
        </w:numPr>
        <w:rPr>
          <w:rFonts w:ascii="Arial" w:cs="Arial" w:eastAsia="Arial" w:hAnsi="Arial"/>
          <w:sz w:val="19"/>
          <w:szCs w:val="19"/>
          <w:color w:val="auto"/>
        </w:rPr>
      </w:pPr>
      <w:r>
        <w:rPr>
          <w:rFonts w:ascii="Arial" w:cs="Arial" w:eastAsia="Arial" w:hAnsi="Arial"/>
          <w:sz w:val="19"/>
          <w:szCs w:val="19"/>
          <w:color w:val="auto"/>
        </w:rPr>
        <w:t>“Initial Facility Charge” means $737,500, which is payable to the Lenders in accordance with</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Section 4.1(f).</w:t>
      </w:r>
    </w:p>
    <w:p>
      <w:pPr>
        <w:spacing w:after="0" w:line="229" w:lineRule="exact"/>
        <w:rPr>
          <w:sz w:val="20"/>
          <w:szCs w:val="20"/>
          <w:color w:val="auto"/>
        </w:rPr>
      </w:pPr>
    </w:p>
    <w:p>
      <w:pPr>
        <w:ind w:firstLine="1678"/>
        <w:spacing w:after="0" w:line="276" w:lineRule="auto"/>
        <w:tabs>
          <w:tab w:leader="none" w:pos="2793"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“Initial Minimum Cash Test Date” means the date on which the outstanding principal amount of the Term Loan Advances is first equal to or greater than Fifty-Five Million Dollars ($55,000,000).</w:t>
      </w:r>
    </w:p>
    <w:p>
      <w:pPr>
        <w:spacing w:after="0" w:line="174" w:lineRule="exact"/>
        <w:rPr>
          <w:rFonts w:ascii="Arial" w:cs="Arial" w:eastAsia="Arial" w:hAnsi="Arial"/>
          <w:sz w:val="22"/>
          <w:szCs w:val="22"/>
          <w:color w:val="auto"/>
        </w:rPr>
      </w:pPr>
    </w:p>
    <w:p>
      <w:pPr>
        <w:jc w:val="both"/>
        <w:ind w:firstLine="1678"/>
        <w:spacing w:after="0" w:line="262" w:lineRule="auto"/>
        <w:tabs>
          <w:tab w:leader="none" w:pos="2793"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“Initial Performance Covenant Test Date” means the later of (i) the last calendar month of the calendar quarter that is nine months following the earlier of (x) the AXS-05 Milestone Date and (y) the AXS-07 Milestone Date, or (ii) the date on which the outstanding principal amount of the Term Loan Advances is equal to or greater than Sixty Five Million Dollars ($65,000,000).</w:t>
      </w:r>
    </w:p>
    <w:p>
      <w:pPr>
        <w:spacing w:after="0" w:line="191" w:lineRule="exact"/>
        <w:rPr>
          <w:sz w:val="20"/>
          <w:szCs w:val="20"/>
          <w:color w:val="auto"/>
        </w:rPr>
      </w:pPr>
    </w:p>
    <w:p>
      <w:pPr>
        <w:jc w:val="both"/>
        <w:ind w:right="20" w:firstLine="1497"/>
        <w:spacing w:after="0" w:line="327" w:lineRule="auto"/>
        <w:rPr>
          <w:sz w:val="20"/>
          <w:szCs w:val="20"/>
          <w:color w:val="auto"/>
        </w:rPr>
      </w:pPr>
      <w:r>
        <w:rPr>
          <w:rFonts w:ascii="Arial" w:cs="Arial" w:eastAsia="Arial" w:hAnsi="Arial"/>
          <w:sz w:val="19"/>
          <w:szCs w:val="19"/>
          <w:color w:val="auto"/>
        </w:rPr>
        <w:t>“Insolvency Proceeding” means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similar relief.</w:t>
      </w:r>
    </w:p>
    <w:p>
      <w:pPr>
        <w:spacing w:after="0" w:line="133"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“Intellectual Property” means all of Borrower’s Copyrights; Trademarks; Patents; Licenses; trade secrets and inventions; mask works; Borrower’s applications therefor and reissues, extensions, or renewals thereof; and Borrower’s goodwill associated with any of the foregoing, together with Borrower’s rights to sue for past, present and future infringement of Intellectual Property and the goodwill associated therewith.</w:t>
      </w:r>
    </w:p>
    <w:p>
      <w:pPr>
        <w:spacing w:after="0" w:line="191"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“Intellectual Property Security Agreement” means the Intellectual Property Security Agreement dated as of the Closing Date between the Borrower and Agent, as the same may from time to time be amended, restated, modified or otherwise supplemented.</w:t>
      </w:r>
    </w:p>
    <w:p>
      <w:pPr>
        <w:spacing w:after="0" w:line="185"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“Investment” means (a) any beneficial ownership (including stock, partnership, limited liability company interests, or other securities) of or in any Person, (b) any loan, advance or capital contribution to any Person or (c) any Acquisition.</w:t>
      </w:r>
    </w:p>
    <w:p>
      <w:pPr>
        <w:spacing w:after="0" w:line="185" w:lineRule="exact"/>
        <w:rPr>
          <w:sz w:val="20"/>
          <w:szCs w:val="20"/>
          <w:color w:val="auto"/>
        </w:rPr>
      </w:pPr>
    </w:p>
    <w:p>
      <w:pPr>
        <w:jc w:val="both"/>
        <w:ind w:right="20" w:firstLine="1497"/>
        <w:spacing w:after="0" w:line="266" w:lineRule="auto"/>
        <w:rPr>
          <w:sz w:val="20"/>
          <w:szCs w:val="20"/>
          <w:color w:val="auto"/>
        </w:rPr>
      </w:pPr>
      <w:r>
        <w:rPr>
          <w:rFonts w:ascii="Arial" w:cs="Arial" w:eastAsia="Arial" w:hAnsi="Arial"/>
          <w:sz w:val="22"/>
          <w:szCs w:val="22"/>
          <w:color w:val="auto"/>
        </w:rPr>
        <w:t>“IP Ancillary Rights” means, with respect to any Copyright, Trademark, Patent, software, trade secrets or trade secret rights, including any rights to unpatented inventions, know-how, show-how and operating manuals, all income, royalties, proceeds and liabilities at any time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0" w:name="page101"/>
    <w:bookmarkEnd w:id="100"/>
    <w:p>
      <w:pPr>
        <w:jc w:val="both"/>
        <w:ind w:right="20"/>
        <w:spacing w:after="0" w:line="262" w:lineRule="auto"/>
        <w:rPr>
          <w:sz w:val="20"/>
          <w:szCs w:val="20"/>
          <w:color w:val="auto"/>
        </w:rPr>
      </w:pPr>
      <w:r>
        <w:rPr>
          <w:rFonts w:ascii="Arial" w:cs="Arial" w:eastAsia="Arial" w:hAnsi="Arial"/>
          <w:sz w:val="22"/>
          <w:szCs w:val="22"/>
          <w:color w:val="auto"/>
        </w:rPr>
        <w:t>due or payable or asserted under or with respect to any of the foregoing or otherwise with respect thereto, including all rights to sue or recover at law or in equity for any past, present or future infringement, misappropriation, dilution, violation or other impairment thereof, and, in each case, all rights to obtain any other intellectual property right ancillary to any Copyright, Trademark, Patent, software, trade secrets or trade secret rights.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“Irish Subsidiary” is Axsome Therapeutics Limited, a company organized under the laws of Ireland.</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“IRS” means the United States Internal Revenue Service.</w:t>
      </w:r>
    </w:p>
    <w:p>
      <w:pPr>
        <w:spacing w:after="0" w:line="233"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“Joinder Agreements” means for each Subsidiary (other than an Excluded Subsidiary), a completed and executed Joinder Agreement in substantially the form attached hereto as Exhibit F.</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“License” means any Copyright License, Patent License, Trademark License or other license of rights or</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interests.</w:t>
      </w:r>
    </w:p>
    <w:p>
      <w:pPr>
        <w:spacing w:after="0" w:line="229" w:lineRule="exact"/>
        <w:rPr>
          <w:sz w:val="20"/>
          <w:szCs w:val="20"/>
          <w:color w:val="auto"/>
        </w:rPr>
      </w:pPr>
    </w:p>
    <w:p>
      <w:pPr>
        <w:jc w:val="both"/>
        <w:ind w:firstLine="1497"/>
        <w:spacing w:after="0" w:line="327" w:lineRule="auto"/>
        <w:rPr>
          <w:sz w:val="20"/>
          <w:szCs w:val="20"/>
          <w:color w:val="auto"/>
        </w:rPr>
      </w:pPr>
      <w:r>
        <w:rPr>
          <w:rFonts w:ascii="Arial" w:cs="Arial" w:eastAsia="Arial" w:hAnsi="Arial"/>
          <w:sz w:val="19"/>
          <w:szCs w:val="19"/>
          <w:color w:val="auto"/>
        </w:rPr>
        <w:t>“Lien” means any mortgage, deed of trust, pledge, hypothecation, assignment for security, security interest, encumbrance, levy, lien or charge of any kind, whether voluntarily incurred or arising by operation of law or otherwise, against any property, any conditional sale or other title retention agreement, and any lease in the nature of a security interest.</w:t>
      </w:r>
    </w:p>
    <w:p>
      <w:pPr>
        <w:spacing w:after="0" w:line="1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“Loan” means the Advances made under this Agreement.</w:t>
      </w:r>
    </w:p>
    <w:p>
      <w:pPr>
        <w:spacing w:after="0" w:line="233" w:lineRule="exact"/>
        <w:rPr>
          <w:sz w:val="20"/>
          <w:szCs w:val="20"/>
          <w:color w:val="auto"/>
        </w:rPr>
      </w:pPr>
    </w:p>
    <w:p>
      <w:pPr>
        <w:jc w:val="both"/>
        <w:ind w:firstLine="1497"/>
        <w:spacing w:after="0" w:line="261" w:lineRule="auto"/>
        <w:rPr>
          <w:sz w:val="20"/>
          <w:szCs w:val="20"/>
          <w:color w:val="auto"/>
        </w:rPr>
      </w:pPr>
      <w:r>
        <w:rPr>
          <w:rFonts w:ascii="Arial" w:cs="Arial" w:eastAsia="Arial" w:hAnsi="Arial"/>
          <w:sz w:val="22"/>
          <w:szCs w:val="22"/>
          <w:color w:val="auto"/>
        </w:rPr>
        <w:t>“Loan Documents” means this Agreement, the promissory notes (if any), the ACH Authorization, the Account Control Agreements, the Joinder Agreements, all UCC Financing Statements, the Warrant, the Pledge Agreement, the Intellectual Property Security Agreement, the Antecip Direct Agreement, and any other documents executed in connection with the Secured Obligations or the transactions contemplated hereby, as the same may from time to time be amended, modified, supplemented or restated.</w:t>
      </w:r>
    </w:p>
    <w:p>
      <w:pPr>
        <w:spacing w:after="0" w:line="190" w:lineRule="exact"/>
        <w:rPr>
          <w:sz w:val="20"/>
          <w:szCs w:val="20"/>
          <w:color w:val="auto"/>
        </w:rPr>
      </w:pPr>
    </w:p>
    <w:p>
      <w:pPr>
        <w:jc w:val="both"/>
        <w:ind w:firstLine="1497"/>
        <w:spacing w:after="0" w:line="261" w:lineRule="auto"/>
        <w:rPr>
          <w:sz w:val="20"/>
          <w:szCs w:val="20"/>
          <w:color w:val="auto"/>
        </w:rPr>
      </w:pPr>
      <w:r>
        <w:rPr>
          <w:rFonts w:ascii="Arial" w:cs="Arial" w:eastAsia="Arial" w:hAnsi="Arial"/>
          <w:sz w:val="22"/>
          <w:szCs w:val="22"/>
          <w:color w:val="auto"/>
        </w:rPr>
        <w:t>“Market Capitalization” means, as of any date of determination, the product of (a) the number of outstanding shares of Common Stock publicly disclosed in the most recent filing of Borrower with the United States Securities Exchange Commission as outstanding as of such date of determination and (b) the closing price of Borrower’s Common Stock (as quoted on Bloomberg L.P.’s page or any successor page thereto of Bloomberg L.P. or if such page is not available, any other commercially available source).</w:t>
      </w:r>
    </w:p>
    <w:p>
      <w:pPr>
        <w:spacing w:after="0" w:line="190" w:lineRule="exact"/>
        <w:rPr>
          <w:sz w:val="20"/>
          <w:szCs w:val="20"/>
          <w:color w:val="auto"/>
        </w:rPr>
      </w:pPr>
    </w:p>
    <w:p>
      <w:pPr>
        <w:jc w:val="both"/>
        <w:ind w:firstLine="1497"/>
        <w:spacing w:after="0" w:line="261" w:lineRule="auto"/>
        <w:rPr>
          <w:sz w:val="20"/>
          <w:szCs w:val="20"/>
          <w:color w:val="auto"/>
        </w:rPr>
      </w:pPr>
      <w:r>
        <w:rPr>
          <w:rFonts w:ascii="Arial" w:cs="Arial" w:eastAsia="Arial" w:hAnsi="Arial"/>
          <w:sz w:val="22"/>
          <w:szCs w:val="22"/>
          <w:color w:val="auto"/>
        </w:rPr>
        <w:t>“Material Adverse Effect” means a material adverse effect upon: (i) the business, operations, properties, assets or financial condition of Borrower and its Subsidiaries taken as a whole; or (ii) the ability of Borrower to perform or pay the Secured Obligations in accordance with the terms of the Loan Documents, or the ability of Agent or the Lenders to enforce any of its rights or remedies with respect to the Secured Obligations; or (iii) the Collateral or Agent’s Liens on the Collateral or the priority of such Liens.</w:t>
      </w:r>
    </w:p>
    <w:p>
      <w:pPr>
        <w:spacing w:after="0" w:line="190"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“Material Agreement” means (a) the Antecip License Agreement, (b) that certain license agreement dated as of January 10, 2020 by and between Borrower and Pfizer, Inc. and (c)</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1" w:name="page102"/>
    <w:bookmarkEnd w:id="101"/>
    <w:p>
      <w:pPr>
        <w:jc w:val="both"/>
        <w:spacing w:after="0" w:line="266" w:lineRule="auto"/>
        <w:rPr>
          <w:sz w:val="20"/>
          <w:szCs w:val="20"/>
          <w:color w:val="auto"/>
        </w:rPr>
      </w:pPr>
      <w:r>
        <w:rPr>
          <w:rFonts w:ascii="Arial" w:cs="Arial" w:eastAsia="Arial" w:hAnsi="Arial"/>
          <w:sz w:val="22"/>
          <w:szCs w:val="22"/>
          <w:color w:val="auto"/>
        </w:rPr>
        <w:t>any other license, agreement or other contractual arrangement whereby Borrower or any of its Subsidiaries is required to transfer, either in-kind or in cash, prior to the Term Loan Maturity Date, assets or property valued (book or market) at more than Ten Million Dollars ($10,000,000.00) in the aggregate.</w:t>
      </w:r>
    </w:p>
    <w:p>
      <w:pPr>
        <w:spacing w:after="0" w:line="185" w:lineRule="exact"/>
        <w:rPr>
          <w:sz w:val="20"/>
          <w:szCs w:val="20"/>
          <w:color w:val="auto"/>
        </w:rPr>
      </w:pPr>
    </w:p>
    <w:p>
      <w:pPr>
        <w:jc w:val="both"/>
        <w:ind w:firstLine="1497"/>
        <w:spacing w:after="0" w:line="273" w:lineRule="auto"/>
        <w:rPr>
          <w:sz w:val="20"/>
          <w:szCs w:val="20"/>
          <w:color w:val="auto"/>
        </w:rPr>
      </w:pPr>
      <w:r>
        <w:rPr>
          <w:rFonts w:ascii="Arial" w:cs="Arial" w:eastAsia="Arial" w:hAnsi="Arial"/>
          <w:sz w:val="21"/>
          <w:szCs w:val="21"/>
          <w:color w:val="auto"/>
        </w:rPr>
        <w:t>“Material Regulatory Liabilities” means (a)(i) any liabilities arising from the violation of Public Health Laws, Federal Health Care Program Laws, and other applicable comparable Requirements of Law, or from any non-routing terms, conditions of or requirements imposed relative to any Registrations (including costs of actions required under applicable Requirements of Law, including FDA Laws and Federal Health Care Program Laws, or necessary to remedy any violation of any terms or conditions applicable to any Registrations), including, but not limited to, withdrawal of approval, recall, revocation, suspension, import detention and seizure of any Borrower Product, and (ii) any loss of recurring annual revenues as a result of any loss, suspension or limitation of any Registrations, which, in the case of the foregoing clauses (i) and (ii), exceed $2,000,000 individually or in the aggregate, or (b) any Material Adverse Effect.</w:t>
      </w:r>
    </w:p>
    <w:p>
      <w:pPr>
        <w:spacing w:after="0" w:line="179" w:lineRule="exact"/>
        <w:rPr>
          <w:sz w:val="20"/>
          <w:szCs w:val="20"/>
          <w:color w:val="auto"/>
        </w:rPr>
      </w:pPr>
    </w:p>
    <w:p>
      <w:pPr>
        <w:jc w:val="both"/>
        <w:ind w:firstLine="1497"/>
        <w:spacing w:after="0" w:line="327" w:lineRule="auto"/>
        <w:rPr>
          <w:sz w:val="20"/>
          <w:szCs w:val="20"/>
          <w:color w:val="auto"/>
        </w:rPr>
      </w:pPr>
      <w:r>
        <w:rPr>
          <w:rFonts w:ascii="Arial" w:cs="Arial" w:eastAsia="Arial" w:hAnsi="Arial"/>
          <w:sz w:val="19"/>
          <w:szCs w:val="19"/>
          <w:color w:val="auto"/>
        </w:rPr>
        <w:t>“Maturity Extension Conditions” means (i) the Borrower achieves T6M Net Product Revenue of at least 60% of the T6M Net Product Revenue included in the Forecast and (ii) the Borrower notifies the Agent in writing of its desire to extend the Term Loan Maturity Date on or within five (5) Business Days of the third anniversary of the First Amendment Closing Date.</w:t>
      </w:r>
    </w:p>
    <w:p>
      <w:pPr>
        <w:spacing w:after="0" w:line="1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“Maximum Term Loan Amount” means Three Hundred Million Dollars ($300,000,000).</w:t>
      </w:r>
    </w:p>
    <w:p>
      <w:pPr>
        <w:spacing w:after="0" w:line="233"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“Net Product Revenue Ratio” means, as of any date of determination, the ratio of (a) the outstanding amount of the Term Loan Advances to (b) T3M Net Product Revenue.</w:t>
      </w:r>
    </w:p>
    <w:p>
      <w:pPr>
        <w:spacing w:after="0" w:line="174" w:lineRule="exact"/>
        <w:rPr>
          <w:sz w:val="20"/>
          <w:szCs w:val="20"/>
          <w:color w:val="auto"/>
        </w:rPr>
      </w:pPr>
    </w:p>
    <w:p>
      <w:pPr>
        <w:ind w:right="20" w:firstLine="1678"/>
        <w:spacing w:after="0" w:line="276" w:lineRule="auto"/>
        <w:tabs>
          <w:tab w:leader="none" w:pos="2793" w:val="left"/>
        </w:tabs>
        <w:numPr>
          <w:ilvl w:val="0"/>
          <w:numId w:val="16"/>
        </w:numPr>
        <w:rPr>
          <w:rFonts w:ascii="Arial" w:cs="Arial" w:eastAsia="Arial" w:hAnsi="Arial"/>
          <w:sz w:val="22"/>
          <w:szCs w:val="22"/>
          <w:color w:val="auto"/>
        </w:rPr>
      </w:pPr>
      <w:r>
        <w:rPr>
          <w:rFonts w:ascii="Arial" w:cs="Arial" w:eastAsia="Arial" w:hAnsi="Arial"/>
          <w:sz w:val="22"/>
          <w:szCs w:val="22"/>
          <w:color w:val="auto"/>
        </w:rPr>
        <w:t>“New Drug Application” means a new drug application in the United States for authorization to market a product, as defined in the applicable laws and regulations and submitted to the FDA.</w:t>
      </w:r>
    </w:p>
    <w:p>
      <w:pPr>
        <w:spacing w:after="0" w:line="174" w:lineRule="exact"/>
        <w:rPr>
          <w:sz w:val="20"/>
          <w:szCs w:val="20"/>
          <w:color w:val="auto"/>
        </w:rPr>
      </w:pPr>
    </w:p>
    <w:p>
      <w:pPr>
        <w:jc w:val="both"/>
        <w:ind w:right="20" w:firstLine="1497"/>
        <w:spacing w:after="0" w:line="276" w:lineRule="auto"/>
        <w:rPr>
          <w:sz w:val="20"/>
          <w:szCs w:val="20"/>
          <w:color w:val="auto"/>
        </w:rPr>
      </w:pPr>
      <w:r>
        <w:rPr>
          <w:rFonts w:ascii="Arial" w:cs="Arial" w:eastAsia="Arial" w:hAnsi="Arial"/>
          <w:sz w:val="22"/>
          <w:szCs w:val="22"/>
          <w:color w:val="auto"/>
        </w:rPr>
        <w:t>“Non-Disclosure Agreement” means that certain Non-Disclosure Agreement by and between Borrower and Agent, dated as of August 11, 2020.</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“OFAC” is the U.S. Department of Treasury Office of Foreign Assets Control.</w:t>
      </w:r>
    </w:p>
    <w:p>
      <w:pPr>
        <w:spacing w:after="0" w:line="233"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“OFAC Lists”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91"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“Patent License” means any written agreement granting any right with respect to any invention on which a Patent is in existence or a Patent application is pending, in which agreement Borrower now holds or hereafter acquires any interest.</w:t>
      </w:r>
    </w:p>
    <w:p>
      <w:pPr>
        <w:spacing w:after="0" w:line="185"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“Patents” means all letters patent of, or rights corresponding thereto, in the United States of America or in any other country, all registrations and recordings thereof, and all</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2" w:name="page103"/>
    <w:bookmarkEnd w:id="102"/>
    <w:p>
      <w:pPr>
        <w:spacing w:after="0"/>
        <w:rPr>
          <w:sz w:val="20"/>
          <w:szCs w:val="20"/>
          <w:color w:val="auto"/>
        </w:rPr>
      </w:pPr>
      <w:r>
        <w:rPr>
          <w:rFonts w:ascii="Arial" w:cs="Arial" w:eastAsia="Arial" w:hAnsi="Arial"/>
          <w:sz w:val="21"/>
          <w:szCs w:val="21"/>
          <w:color w:val="auto"/>
        </w:rPr>
        <w:t>applications for letters patent of, or rights corresponding thereto, in the United States of America or any other country.</w:t>
      </w:r>
    </w:p>
    <w:p>
      <w:pPr>
        <w:spacing w:after="0" w:line="245"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 xml:space="preserve">“Performance Covenant A” means satisfaction of each of the following at all times: (i) Borrower’s Market Capitalization exceeds One Billion Dollars ($1,000,000,000) and (ii) Borrower maintains Qualified Cash in an amount not less than fifty percent (50%) of the sum of the outstanding principal amount of the Term Loan Advances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Qualified Cash A/P Amount.</w:t>
      </w:r>
    </w:p>
    <w:p>
      <w:pPr>
        <w:spacing w:after="0" w:line="191"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 xml:space="preserve">“Performance Covenant B” means Borrower at all times maintains Qualified Cash in an amount not less than eighty five percent (85%) of the sum of the outstanding principal amount of the Term Loan Advances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Qualified Cash A/P Amount.</w:t>
      </w:r>
    </w:p>
    <w:p>
      <w:pPr>
        <w:spacing w:after="0" w:line="185"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“Performance Covenant C” means Borrower achieves T6M Net Product Revenue of at least 60% of the T6M Net Product Revenue included in the Forecast, determined on a quarterly basis.</w:t>
      </w:r>
    </w:p>
    <w:p>
      <w:pPr>
        <w:spacing w:after="0" w:line="174" w:lineRule="exact"/>
        <w:rPr>
          <w:sz w:val="20"/>
          <w:szCs w:val="20"/>
          <w:color w:val="auto"/>
        </w:rPr>
      </w:pPr>
    </w:p>
    <w:p>
      <w:pPr>
        <w:jc w:val="both"/>
        <w:ind w:right="20" w:firstLine="1497"/>
        <w:spacing w:after="0" w:line="276" w:lineRule="auto"/>
        <w:rPr>
          <w:sz w:val="20"/>
          <w:szCs w:val="20"/>
          <w:color w:val="auto"/>
        </w:rPr>
      </w:pPr>
      <w:r>
        <w:rPr>
          <w:rFonts w:ascii="Arial" w:cs="Arial" w:eastAsia="Arial" w:hAnsi="Arial"/>
          <w:sz w:val="22"/>
          <w:szCs w:val="22"/>
          <w:color w:val="auto"/>
        </w:rPr>
        <w:t>“Permitted Acquisition” means any Acquisition (including by way of merger), in each case located entirely within the United States of America, which is conducted in accordance with the following requirements:</w:t>
      </w:r>
    </w:p>
    <w:p>
      <w:pPr>
        <w:spacing w:after="0" w:line="174" w:lineRule="exact"/>
        <w:rPr>
          <w:sz w:val="20"/>
          <w:szCs w:val="20"/>
          <w:color w:val="auto"/>
        </w:rPr>
      </w:pPr>
    </w:p>
    <w:p>
      <w:pPr>
        <w:ind w:left="1880" w:firstLine="958"/>
        <w:spacing w:after="0" w:line="358" w:lineRule="auto"/>
        <w:tabs>
          <w:tab w:leader="none" w:pos="3975" w:val="left"/>
        </w:tabs>
        <w:numPr>
          <w:ilvl w:val="0"/>
          <w:numId w:val="17"/>
        </w:numPr>
        <w:rPr>
          <w:rFonts w:ascii="Arial" w:cs="Arial" w:eastAsia="Arial" w:hAnsi="Arial"/>
          <w:sz w:val="18"/>
          <w:szCs w:val="18"/>
          <w:color w:val="auto"/>
        </w:rPr>
      </w:pPr>
      <w:r>
        <w:rPr>
          <w:rFonts w:ascii="Arial" w:cs="Arial" w:eastAsia="Arial" w:hAnsi="Arial"/>
          <w:sz w:val="19"/>
          <w:szCs w:val="19"/>
          <w:color w:val="auto"/>
        </w:rPr>
        <w:t>of assets, Equity Interests, businesses, Persons or products engaged in a line of business incidental or related to that of the Borrower or its Subsidiaries or reasonable extensions thereof;</w:t>
      </w:r>
    </w:p>
    <w:p>
      <w:pPr>
        <w:spacing w:after="0" w:line="104" w:lineRule="exact"/>
        <w:rPr>
          <w:rFonts w:ascii="Arial" w:cs="Arial" w:eastAsia="Arial" w:hAnsi="Arial"/>
          <w:sz w:val="18"/>
          <w:szCs w:val="18"/>
          <w:color w:val="auto"/>
        </w:rPr>
      </w:pPr>
    </w:p>
    <w:p>
      <w:pPr>
        <w:jc w:val="both"/>
        <w:ind w:left="1880" w:firstLine="910"/>
        <w:spacing w:after="0" w:line="260" w:lineRule="auto"/>
        <w:tabs>
          <w:tab w:leader="none" w:pos="3975" w:val="left"/>
        </w:tabs>
        <w:numPr>
          <w:ilvl w:val="0"/>
          <w:numId w:val="17"/>
        </w:numPr>
        <w:rPr>
          <w:rFonts w:ascii="Arial" w:cs="Arial" w:eastAsia="Arial" w:hAnsi="Arial"/>
          <w:sz w:val="20"/>
          <w:szCs w:val="20"/>
          <w:color w:val="auto"/>
        </w:rPr>
      </w:pPr>
      <w:r>
        <w:rPr>
          <w:rFonts w:ascii="Arial" w:cs="Arial" w:eastAsia="Arial" w:hAnsi="Arial"/>
          <w:sz w:val="22"/>
          <w:szCs w:val="22"/>
          <w:color w:val="auto"/>
        </w:rPr>
        <w:t>unless otherwise agreed by Agent in its sole discretion, if such Acquisition is structured as a stock acquisition, then the Person so acquired shall either (i) become a wholly-owned (other than issuance of shares necessary under local law for the qualification of directors) Subsidiary of Borrower or of a Subsidiary and the Borrower shall comply, or cause such Subsidiary to comply, with 7.13 hereof, as applicable, or (ii) such Person shall be merged with and into Borrower (with the Borrower being the surviving entity);</w:t>
      </w:r>
    </w:p>
    <w:p>
      <w:pPr>
        <w:spacing w:after="0" w:line="191" w:lineRule="exact"/>
        <w:rPr>
          <w:rFonts w:ascii="Arial" w:cs="Arial" w:eastAsia="Arial" w:hAnsi="Arial"/>
          <w:sz w:val="20"/>
          <w:szCs w:val="20"/>
          <w:color w:val="auto"/>
        </w:rPr>
      </w:pPr>
    </w:p>
    <w:p>
      <w:pPr>
        <w:ind w:left="1880" w:right="20" w:firstLine="862"/>
        <w:spacing w:after="0" w:line="358" w:lineRule="auto"/>
        <w:tabs>
          <w:tab w:leader="none" w:pos="3975" w:val="left"/>
        </w:tabs>
        <w:numPr>
          <w:ilvl w:val="1"/>
          <w:numId w:val="17"/>
        </w:numPr>
        <w:rPr>
          <w:rFonts w:ascii="Arial" w:cs="Arial" w:eastAsia="Arial" w:hAnsi="Arial"/>
          <w:sz w:val="18"/>
          <w:szCs w:val="18"/>
          <w:color w:val="auto"/>
        </w:rPr>
      </w:pPr>
      <w:r>
        <w:rPr>
          <w:rFonts w:ascii="Arial" w:cs="Arial" w:eastAsia="Arial" w:hAnsi="Arial"/>
          <w:sz w:val="19"/>
          <w:szCs w:val="19"/>
          <w:color w:val="auto"/>
        </w:rPr>
        <w:t>if such Acquisition is structured as the acquisition or in-licensing of assets, such assets shall be acquired by a Borrower, and shall be free and clear of Liens other than Permitted Liens;</w:t>
      </w:r>
    </w:p>
    <w:p>
      <w:pPr>
        <w:spacing w:after="0" w:line="104" w:lineRule="exact"/>
        <w:rPr>
          <w:rFonts w:ascii="Arial" w:cs="Arial" w:eastAsia="Arial" w:hAnsi="Arial"/>
          <w:sz w:val="18"/>
          <w:szCs w:val="18"/>
          <w:color w:val="auto"/>
        </w:rPr>
      </w:pPr>
    </w:p>
    <w:p>
      <w:pPr>
        <w:jc w:val="both"/>
        <w:ind w:left="1880" w:firstLine="871"/>
        <w:spacing w:after="0" w:line="273" w:lineRule="auto"/>
        <w:tabs>
          <w:tab w:leader="none" w:pos="3975" w:val="left"/>
        </w:tabs>
        <w:numPr>
          <w:ilvl w:val="1"/>
          <w:numId w:val="17"/>
        </w:numPr>
        <w:rPr>
          <w:rFonts w:ascii="Arial" w:cs="Arial" w:eastAsia="Arial" w:hAnsi="Arial"/>
          <w:sz w:val="19"/>
          <w:szCs w:val="19"/>
          <w:color w:val="auto"/>
        </w:rPr>
      </w:pPr>
      <w:r>
        <w:rPr>
          <w:rFonts w:ascii="Arial" w:cs="Arial" w:eastAsia="Arial" w:hAnsi="Arial"/>
          <w:sz w:val="21"/>
          <w:szCs w:val="21"/>
          <w:color w:val="auto"/>
        </w:rPr>
        <w:t>the Borrower shall have delivered to the Lenders not less than ten (10) days (or such shorter period as Agent may agree in its sole discretion) nor more than forty five (45) days prior to the date of such Acquisition, notice of such Acquisition together with pro forma projected financial information, copies of all material documents relating to such acquisition reasonably requested by Agent, and historical financial statements for such acquired entity (to the extent available), division or line of business, in each case in form reasonably satisfactory to the Lenders and demonstrating compliance with the covenants set forth in Section 7.20 hereof on a pro forma basis as if the Acquisition occurred on the first day of the most recent measurement period;</w:t>
      </w:r>
    </w:p>
    <w:p>
      <w:pPr>
        <w:spacing w:after="0" w:line="178" w:lineRule="exact"/>
        <w:rPr>
          <w:rFonts w:ascii="Arial" w:cs="Arial" w:eastAsia="Arial" w:hAnsi="Arial"/>
          <w:sz w:val="19"/>
          <w:szCs w:val="19"/>
          <w:color w:val="auto"/>
        </w:rPr>
      </w:pPr>
    </w:p>
    <w:p>
      <w:pPr>
        <w:ind w:left="1880" w:firstLine="920"/>
        <w:spacing w:after="0" w:line="276" w:lineRule="auto"/>
        <w:tabs>
          <w:tab w:leader="none" w:pos="3975" w:val="left"/>
        </w:tabs>
        <w:numPr>
          <w:ilvl w:val="1"/>
          <w:numId w:val="17"/>
        </w:numPr>
        <w:rPr>
          <w:rFonts w:ascii="Arial" w:cs="Arial" w:eastAsia="Arial" w:hAnsi="Arial"/>
          <w:sz w:val="20"/>
          <w:szCs w:val="20"/>
          <w:color w:val="auto"/>
        </w:rPr>
      </w:pPr>
      <w:r>
        <w:rPr>
          <w:rFonts w:ascii="Arial" w:cs="Arial" w:eastAsia="Arial" w:hAnsi="Arial"/>
          <w:sz w:val="22"/>
          <w:szCs w:val="22"/>
          <w:color w:val="auto"/>
        </w:rPr>
        <w:t>both immediately before and after such Acquisition no Default or Event of Default shall have occurred and be continuing; and</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3" w:name="page104"/>
    <w:bookmarkEnd w:id="103"/>
    <w:p>
      <w:pPr>
        <w:jc w:val="both"/>
        <w:ind w:left="1880" w:firstLine="871"/>
        <w:spacing w:after="0" w:line="271" w:lineRule="auto"/>
        <w:tabs>
          <w:tab w:leader="none" w:pos="3975" w:val="left"/>
        </w:tabs>
        <w:numPr>
          <w:ilvl w:val="0"/>
          <w:numId w:val="18"/>
        </w:numPr>
        <w:rPr>
          <w:rFonts w:ascii="Arial" w:cs="Arial" w:eastAsia="Arial" w:hAnsi="Arial"/>
          <w:sz w:val="19"/>
          <w:szCs w:val="19"/>
          <w:color w:val="auto"/>
        </w:rPr>
      </w:pPr>
      <w:r>
        <w:rPr>
          <w:rFonts w:ascii="Arial" w:cs="Arial" w:eastAsia="Arial" w:hAnsi="Arial"/>
          <w:sz w:val="21"/>
          <w:szCs w:val="21"/>
          <w:color w:val="auto"/>
        </w:rPr>
        <w:t xml:space="preserve">the sum of the purchase price of such proposed new Permitted Acquisition (together with all prior Permitted Acquisitions consummated during the term of this Agreement), computed on the basis of total acquisition consideration paid or incurred, or to be paid or incurred, by Borrower with respect thereto (but excluding for such purpose: any unpaid Acquisition Deferred Payments, in each case except to the extent required to be reflected as liabilities on the balance sheet of Borrower), including the amount of Permitted Indebtedness assumed or to which such assets, businesses or business or ownership interest or shares, or any Person so acquired, is subject, shall not be greater than Twenty Five Million Dollars $25,000,000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aggregate amount of Tranche 5 Advances approved by Lenders’ investment committee for Acquisitions </w:t>
      </w:r>
      <w:r>
        <w:rPr>
          <w:rFonts w:ascii="Arial" w:cs="Arial" w:eastAsia="Arial" w:hAnsi="Arial"/>
          <w:sz w:val="21"/>
          <w:szCs w:val="21"/>
          <w:i w:val="1"/>
          <w:iCs w:val="1"/>
          <w:color w:val="auto"/>
        </w:rPr>
        <w:t>minus</w:t>
      </w:r>
      <w:r>
        <w:rPr>
          <w:rFonts w:ascii="Arial" w:cs="Arial" w:eastAsia="Arial" w:hAnsi="Arial"/>
          <w:sz w:val="21"/>
          <w:szCs w:val="21"/>
          <w:color w:val="auto"/>
        </w:rPr>
        <w:t xml:space="preserve"> the aggregate amount of all Acquisition Deferred Payments that have been paid.</w:t>
      </w:r>
    </w:p>
    <w:p>
      <w:pPr>
        <w:spacing w:after="0" w:line="189"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9"/>
          <w:szCs w:val="19"/>
          <w:color w:val="auto"/>
        </w:rPr>
        <w:t xml:space="preserve">“Permitted Bond Hedge Transaction” means any call or capped call option (or substantively equivalent derivative transaction) relating to the Common Stock (or other securities or property following a merger event or other change of the Common Stock) purchased by Borrower in connection with the issuance of any Permitted Convertible Debt and as may be amended in accordance with its terms;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net purchase price of any such call option transaction, less the amount received by Borrower in respect of any Permitted Warrant Transaction in connection with such issuance of Permitted Convertible Debt, shall not exceed 25% of the gross proceeds to Borrower from such issuance of Permitted Convertible Debt;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further </w:t>
      </w:r>
      <w:r>
        <w:rPr>
          <w:rFonts w:ascii="Arial" w:cs="Arial" w:eastAsia="Arial" w:hAnsi="Arial"/>
          <w:sz w:val="19"/>
          <w:szCs w:val="19"/>
          <w:color w:val="auto"/>
        </w:rPr>
        <w:t>that the terms, conditions and covenants of each such call option transaction are customary for agreements of such type,</w:t>
      </w:r>
      <w:r>
        <w:rPr>
          <w:rFonts w:ascii="Arial" w:cs="Arial" w:eastAsia="Arial" w:hAnsi="Arial"/>
          <w:sz w:val="19"/>
          <w:szCs w:val="19"/>
          <w:i w:val="1"/>
          <w:iCs w:val="1"/>
          <w:color w:val="auto"/>
        </w:rPr>
        <w:t xml:space="preserve"> </w:t>
      </w:r>
      <w:r>
        <w:rPr>
          <w:rFonts w:ascii="Arial" w:cs="Arial" w:eastAsia="Arial" w:hAnsi="Arial"/>
          <w:sz w:val="19"/>
          <w:szCs w:val="19"/>
          <w:color w:val="auto"/>
        </w:rPr>
        <w:t>as determined in good faith by the board of directors of the Borrower or a committee thereof.</w:t>
      </w:r>
    </w:p>
    <w:p>
      <w:pPr>
        <w:spacing w:after="0" w:line="155" w:lineRule="exact"/>
        <w:rPr>
          <w:sz w:val="20"/>
          <w:szCs w:val="20"/>
          <w:color w:val="auto"/>
        </w:rPr>
      </w:pPr>
    </w:p>
    <w:p>
      <w:pPr>
        <w:jc w:val="both"/>
        <w:ind w:firstLine="1678"/>
        <w:spacing w:after="0" w:line="300" w:lineRule="auto"/>
        <w:tabs>
          <w:tab w:leader="none" w:pos="2793"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“Permitted Convertible Debt” means Indebtedness of the Borrower that is convertible into a fixed number (subject to customary anti-dilution adjustments, “make-whole” increases and other customary changes thereto) of shares of Common Stock (or other securities or property following a merger event or other change of the Common Stock), cash or any combination thereof (with the amount of such cash or such combination determined by reference to the market price of such Common Stock or such other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Indebtedness shall (a) not require any scheduled amortization or otherwise require payment of principal prior to, or have a scheduled maturity date, earlier than, one hundred eighty (180) days after the Term Loan Maturity Date, (b) be unsecured, (c) not be guaranteed by any Subsidiary of Borrower, (d) contain usual and customary subordination terms for underwritten offerings of senior subordinated convertible notes as determined in good faith by the board of directors of the Borrower or a committee thereof, (e) shall specifically designate this Agreement and all Secured Obligations as “designated senior indebtedness” or similar term so that the subordination terms referred to in clause (d) of this definition specifically refer to such notes as being subordinated to the Secured Obligations pursuant to such subordination terms and (f) be on terms and conditions customary for Indebtedness of such type, as determined in good faith by the board of directors of the Borrower or a committee thereof; </w:t>
      </w:r>
      <w:r>
        <w:rPr>
          <w:rFonts w:ascii="Arial" w:cs="Arial" w:eastAsia="Arial" w:hAnsi="Arial"/>
          <w:sz w:val="19"/>
          <w:szCs w:val="19"/>
          <w:i w:val="1"/>
          <w:iCs w:val="1"/>
          <w:color w:val="auto"/>
        </w:rPr>
        <w:t>provided further</w:t>
      </w:r>
      <w:r>
        <w:rPr>
          <w:rFonts w:ascii="Arial" w:cs="Arial" w:eastAsia="Arial" w:hAnsi="Arial"/>
          <w:sz w:val="19"/>
          <w:szCs w:val="19"/>
          <w:color w:val="auto"/>
        </w:rPr>
        <w:t>, that any cross-default or cross-acceleration event of default (each howsoever defined) provision contained therein that relates to indebtedness or other payment obligations of Borrower (or any of its Subsidiaries) (such indebtedness or other payment obligations, a “Cross-Default Reference Obligation”) contains a cure period of at least thirty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w:t>
      </w: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4" w:name="page105"/>
    <w:bookmarkEnd w:id="104"/>
    <w:p>
      <w:pPr>
        <w:spacing w:after="0"/>
        <w:rPr>
          <w:sz w:val="20"/>
          <w:szCs w:val="20"/>
          <w:color w:val="auto"/>
        </w:rPr>
      </w:pPr>
      <w:r>
        <w:rPr>
          <w:rFonts w:ascii="Arial" w:cs="Arial" w:eastAsia="Arial" w:hAnsi="Arial"/>
          <w:sz w:val="19"/>
          <w:szCs w:val="19"/>
          <w:color w:val="auto"/>
        </w:rPr>
        <w:t>such Cross-Default Reference Obligation results in an event of default under such cross-default or cross-acceleration provision.</w:t>
      </w:r>
    </w:p>
    <w:p>
      <w:pPr>
        <w:spacing w:after="0" w:line="26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“Permitted Indebtedness” means:</w:t>
      </w:r>
    </w:p>
    <w:p>
      <w:pPr>
        <w:spacing w:after="0" w:line="233" w:lineRule="exact"/>
        <w:rPr>
          <w:sz w:val="20"/>
          <w:szCs w:val="20"/>
          <w:color w:val="auto"/>
        </w:rPr>
      </w:pPr>
    </w:p>
    <w:p>
      <w:pPr>
        <w:ind w:left="1880" w:right="20" w:firstLine="943"/>
        <w:spacing w:after="0" w:line="276" w:lineRule="auto"/>
        <w:tabs>
          <w:tab w:leader="none" w:pos="3975" w:val="left"/>
        </w:tabs>
        <w:numPr>
          <w:ilvl w:val="1"/>
          <w:numId w:val="20"/>
        </w:numPr>
        <w:rPr>
          <w:rFonts w:ascii="Arial" w:cs="Arial" w:eastAsia="Arial" w:hAnsi="Arial"/>
          <w:sz w:val="22"/>
          <w:szCs w:val="22"/>
          <w:color w:val="auto"/>
        </w:rPr>
      </w:pPr>
      <w:r>
        <w:rPr>
          <w:rFonts w:ascii="Arial" w:cs="Arial" w:eastAsia="Arial" w:hAnsi="Arial"/>
          <w:sz w:val="22"/>
          <w:szCs w:val="22"/>
          <w:color w:val="auto"/>
        </w:rPr>
        <w:t>Indebtedness of Borrower in favor of the Lenders or Agent arising under this Agreement or any other Loan Document;</w:t>
      </w:r>
    </w:p>
    <w:p>
      <w:pPr>
        <w:spacing w:after="0" w:line="174" w:lineRule="exact"/>
        <w:rPr>
          <w:rFonts w:ascii="Arial" w:cs="Arial" w:eastAsia="Arial" w:hAnsi="Arial"/>
          <w:sz w:val="22"/>
          <w:szCs w:val="22"/>
          <w:color w:val="auto"/>
        </w:rPr>
      </w:pPr>
    </w:p>
    <w:p>
      <w:pPr>
        <w:ind w:left="3980" w:hanging="1209"/>
        <w:spacing w:after="0"/>
        <w:tabs>
          <w:tab w:leader="none" w:pos="3980" w:val="left"/>
        </w:tabs>
        <w:numPr>
          <w:ilvl w:val="1"/>
          <w:numId w:val="20"/>
        </w:numPr>
        <w:rPr>
          <w:rFonts w:ascii="Arial" w:cs="Arial" w:eastAsia="Arial" w:hAnsi="Arial"/>
          <w:sz w:val="21"/>
          <w:szCs w:val="21"/>
          <w:color w:val="auto"/>
        </w:rPr>
      </w:pPr>
      <w:r>
        <w:rPr>
          <w:rFonts w:ascii="Arial" w:cs="Arial" w:eastAsia="Arial" w:hAnsi="Arial"/>
          <w:sz w:val="21"/>
          <w:szCs w:val="21"/>
          <w:color w:val="auto"/>
        </w:rPr>
        <w:t>Indebtedness existing on the Closing Date which is disclosed in Schedule 1A;</w:t>
      </w:r>
    </w:p>
    <w:p>
      <w:pPr>
        <w:spacing w:after="0" w:line="244" w:lineRule="exact"/>
        <w:rPr>
          <w:rFonts w:ascii="Arial" w:cs="Arial" w:eastAsia="Arial" w:hAnsi="Arial"/>
          <w:sz w:val="21"/>
          <w:szCs w:val="21"/>
          <w:color w:val="auto"/>
        </w:rPr>
      </w:pPr>
    </w:p>
    <w:p>
      <w:pPr>
        <w:jc w:val="both"/>
        <w:ind w:left="1880" w:firstLine="838"/>
        <w:spacing w:after="0" w:line="266" w:lineRule="auto"/>
        <w:tabs>
          <w:tab w:leader="none" w:pos="3975" w:val="left"/>
        </w:tabs>
        <w:numPr>
          <w:ilvl w:val="2"/>
          <w:numId w:val="20"/>
        </w:numPr>
        <w:rPr>
          <w:rFonts w:ascii="Arial" w:cs="Arial" w:eastAsia="Arial" w:hAnsi="Arial"/>
          <w:sz w:val="22"/>
          <w:szCs w:val="22"/>
          <w:color w:val="auto"/>
        </w:rPr>
      </w:pPr>
      <w:r>
        <w:rPr>
          <w:rFonts w:ascii="Arial" w:cs="Arial" w:eastAsia="Arial" w:hAnsi="Arial"/>
          <w:sz w:val="22"/>
          <w:szCs w:val="22"/>
          <w:color w:val="auto"/>
        </w:rPr>
        <w:t>Indebtedness of up to $500,000 outstanding at any time secured by a Lien described in clause (vii) of the defined term “Permitted Liens,” provided such Indebtedness does not exceed the cost of the Equipment and related software financed with such Indebtedness;</w:t>
      </w:r>
    </w:p>
    <w:p>
      <w:pPr>
        <w:spacing w:after="0" w:line="184" w:lineRule="exact"/>
        <w:rPr>
          <w:rFonts w:ascii="Arial" w:cs="Arial" w:eastAsia="Arial" w:hAnsi="Arial"/>
          <w:sz w:val="22"/>
          <w:szCs w:val="22"/>
          <w:color w:val="auto"/>
        </w:rPr>
      </w:pPr>
    </w:p>
    <w:p>
      <w:pPr>
        <w:ind w:left="1880" w:firstLine="848"/>
        <w:spacing w:after="0" w:line="276" w:lineRule="auto"/>
        <w:tabs>
          <w:tab w:leader="none" w:pos="3975" w:val="left"/>
        </w:tabs>
        <w:numPr>
          <w:ilvl w:val="2"/>
          <w:numId w:val="20"/>
        </w:numPr>
        <w:rPr>
          <w:rFonts w:ascii="Arial" w:cs="Arial" w:eastAsia="Arial" w:hAnsi="Arial"/>
          <w:sz w:val="22"/>
          <w:szCs w:val="22"/>
          <w:color w:val="auto"/>
        </w:rPr>
      </w:pPr>
      <w:r>
        <w:rPr>
          <w:rFonts w:ascii="Arial" w:cs="Arial" w:eastAsia="Arial" w:hAnsi="Arial"/>
          <w:sz w:val="22"/>
          <w:szCs w:val="22"/>
          <w:color w:val="auto"/>
        </w:rPr>
        <w:t>Indebtedness to trade creditors incurred in the ordinary course of business (other than any trade credit that is past due for more than one hundred eighty (180) days);</w:t>
      </w:r>
    </w:p>
    <w:p>
      <w:pPr>
        <w:spacing w:after="0" w:line="174" w:lineRule="exact"/>
        <w:rPr>
          <w:rFonts w:ascii="Arial" w:cs="Arial" w:eastAsia="Arial" w:hAnsi="Arial"/>
          <w:sz w:val="22"/>
          <w:szCs w:val="22"/>
          <w:color w:val="auto"/>
        </w:rPr>
      </w:pPr>
    </w:p>
    <w:p>
      <w:pPr>
        <w:ind w:left="3980" w:hanging="1199"/>
        <w:spacing w:after="0"/>
        <w:tabs>
          <w:tab w:leader="none" w:pos="3980" w:val="left"/>
        </w:tabs>
        <w:numPr>
          <w:ilvl w:val="2"/>
          <w:numId w:val="20"/>
        </w:numPr>
        <w:rPr>
          <w:rFonts w:ascii="Arial" w:cs="Arial" w:eastAsia="Arial" w:hAnsi="Arial"/>
          <w:sz w:val="22"/>
          <w:szCs w:val="22"/>
          <w:color w:val="auto"/>
        </w:rPr>
      </w:pPr>
      <w:r>
        <w:rPr>
          <w:rFonts w:ascii="Arial" w:cs="Arial" w:eastAsia="Arial" w:hAnsi="Arial"/>
          <w:sz w:val="22"/>
          <w:szCs w:val="22"/>
          <w:color w:val="auto"/>
        </w:rPr>
        <w:t>Indebtedness that also constitutes a Permitted Investment;</w:t>
      </w:r>
    </w:p>
    <w:p>
      <w:pPr>
        <w:spacing w:after="0" w:line="233" w:lineRule="exact"/>
        <w:rPr>
          <w:rFonts w:ascii="Arial" w:cs="Arial" w:eastAsia="Arial" w:hAnsi="Arial"/>
          <w:sz w:val="22"/>
          <w:szCs w:val="22"/>
          <w:color w:val="auto"/>
        </w:rPr>
      </w:pPr>
    </w:p>
    <w:p>
      <w:pPr>
        <w:ind w:left="3980" w:hanging="1252"/>
        <w:spacing w:after="0"/>
        <w:tabs>
          <w:tab w:leader="none" w:pos="3980" w:val="left"/>
        </w:tabs>
        <w:numPr>
          <w:ilvl w:val="2"/>
          <w:numId w:val="20"/>
        </w:numPr>
        <w:rPr>
          <w:rFonts w:ascii="Arial" w:cs="Arial" w:eastAsia="Arial" w:hAnsi="Arial"/>
          <w:sz w:val="22"/>
          <w:szCs w:val="22"/>
          <w:color w:val="auto"/>
        </w:rPr>
      </w:pPr>
      <w:r>
        <w:rPr>
          <w:rFonts w:ascii="Arial" w:cs="Arial" w:eastAsia="Arial" w:hAnsi="Arial"/>
          <w:sz w:val="22"/>
          <w:szCs w:val="22"/>
          <w:color w:val="auto"/>
        </w:rPr>
        <w:t>Subordinated Indebtedness;</w:t>
      </w:r>
    </w:p>
    <w:p>
      <w:pPr>
        <w:spacing w:after="0" w:line="233" w:lineRule="exact"/>
        <w:rPr>
          <w:rFonts w:ascii="Arial" w:cs="Arial" w:eastAsia="Arial" w:hAnsi="Arial"/>
          <w:sz w:val="22"/>
          <w:szCs w:val="22"/>
          <w:color w:val="auto"/>
        </w:rPr>
      </w:pPr>
    </w:p>
    <w:p>
      <w:pPr>
        <w:jc w:val="both"/>
        <w:ind w:left="1880" w:firstLine="796"/>
        <w:spacing w:after="0" w:line="308" w:lineRule="auto"/>
        <w:tabs>
          <w:tab w:leader="none" w:pos="3975" w:val="left"/>
        </w:tabs>
        <w:numPr>
          <w:ilvl w:val="2"/>
          <w:numId w:val="20"/>
        </w:numPr>
        <w:rPr>
          <w:rFonts w:ascii="Arial" w:cs="Arial" w:eastAsia="Arial" w:hAnsi="Arial"/>
          <w:sz w:val="19"/>
          <w:szCs w:val="19"/>
          <w:color w:val="auto"/>
        </w:rPr>
      </w:pPr>
      <w:r>
        <w:rPr>
          <w:rFonts w:ascii="Arial" w:cs="Arial" w:eastAsia="Arial" w:hAnsi="Arial"/>
          <w:sz w:val="19"/>
          <w:szCs w:val="19"/>
          <w:color w:val="auto"/>
        </w:rPr>
        <w:t>Indebtedness, including reimbursement obligations, in connection with (A) letters of credit, (B) foreign exchange services, ACH Services, and, cash management services (including credit cards, debit cards and similar instruments) and (C) Hedge Agreements (entered into in order to manage existing or anticipated interest rate, exchange rate or commodity price risks and not for speculative purposes), in each case that may or be unsecured or secured by Cash and issued on behalf of the Borrower or a Subsidiary thereof in an aggregate amount not to exceed $3,000,000 at any time outstanding,</w:t>
      </w:r>
    </w:p>
    <w:p>
      <w:pPr>
        <w:spacing w:after="0" w:line="153" w:lineRule="exact"/>
        <w:rPr>
          <w:rFonts w:ascii="Arial" w:cs="Arial" w:eastAsia="Arial" w:hAnsi="Arial"/>
          <w:sz w:val="19"/>
          <w:szCs w:val="19"/>
          <w:color w:val="auto"/>
        </w:rPr>
      </w:pPr>
    </w:p>
    <w:p>
      <w:pPr>
        <w:ind w:left="3980" w:hanging="1357"/>
        <w:spacing w:after="0"/>
        <w:tabs>
          <w:tab w:leader="none" w:pos="3980" w:val="left"/>
        </w:tabs>
        <w:numPr>
          <w:ilvl w:val="4"/>
          <w:numId w:val="20"/>
        </w:numPr>
        <w:rPr>
          <w:rFonts w:ascii="Arial" w:cs="Arial" w:eastAsia="Arial" w:hAnsi="Arial"/>
          <w:sz w:val="19"/>
          <w:szCs w:val="19"/>
          <w:color w:val="auto"/>
        </w:rPr>
      </w:pPr>
      <w:r>
        <w:rPr>
          <w:rFonts w:ascii="Arial" w:cs="Arial" w:eastAsia="Arial" w:hAnsi="Arial"/>
          <w:sz w:val="19"/>
          <w:szCs w:val="19"/>
          <w:color w:val="auto"/>
        </w:rPr>
        <w:t>other unsecured Indebtedness in an amount not to exceed $250,000 at any time</w:t>
      </w:r>
    </w:p>
    <w:p>
      <w:pPr>
        <w:spacing w:after="0" w:line="55"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outstanding,</w:t>
      </w:r>
    </w:p>
    <w:p>
      <w:pPr>
        <w:spacing w:after="0" w:line="228" w:lineRule="exact"/>
        <w:rPr>
          <w:rFonts w:ascii="Arial" w:cs="Arial" w:eastAsia="Arial" w:hAnsi="Arial"/>
          <w:sz w:val="19"/>
          <w:szCs w:val="19"/>
          <w:color w:val="auto"/>
        </w:rPr>
      </w:pPr>
    </w:p>
    <w:p>
      <w:pPr>
        <w:jc w:val="both"/>
        <w:ind w:left="1880" w:right="20" w:firstLine="848"/>
        <w:spacing w:after="0" w:line="299" w:lineRule="auto"/>
        <w:tabs>
          <w:tab w:leader="none" w:pos="3975" w:val="left"/>
        </w:tabs>
        <w:numPr>
          <w:ilvl w:val="3"/>
          <w:numId w:val="20"/>
        </w:numPr>
        <w:rPr>
          <w:rFonts w:ascii="Arial" w:cs="Arial" w:eastAsia="Arial" w:hAnsi="Arial"/>
          <w:sz w:val="19"/>
          <w:szCs w:val="19"/>
          <w:color w:val="auto"/>
        </w:rPr>
      </w:pPr>
      <w:r>
        <w:rPr>
          <w:rFonts w:ascii="Arial" w:cs="Arial" w:eastAsia="Arial" w:hAnsi="Arial"/>
          <w:sz w:val="19"/>
          <w:szCs w:val="19"/>
          <w:color w:val="auto"/>
        </w:rPr>
        <w:t>intercompany Indebtedness as long as either (A) each of the Subsidiary obligor and the Subsidiary obligee under such Indebtedness is a Subsidiary that has executed a Joinder Agreement, or</w:t>
      </w:r>
    </w:p>
    <w:p>
      <w:pPr>
        <w:ind w:left="1880"/>
        <w:spacing w:after="0" w:line="272" w:lineRule="auto"/>
        <w:tabs>
          <w:tab w:leader="none" w:pos="2239" w:val="left"/>
        </w:tabs>
        <w:numPr>
          <w:ilvl w:val="0"/>
          <w:numId w:val="21"/>
        </w:numPr>
        <w:rPr>
          <w:rFonts w:ascii="Arial" w:cs="Arial" w:eastAsia="Arial" w:hAnsi="Arial"/>
          <w:sz w:val="22"/>
          <w:szCs w:val="22"/>
          <w:color w:val="auto"/>
        </w:rPr>
      </w:pPr>
      <w:r>
        <w:rPr>
          <w:rFonts w:ascii="Arial" w:cs="Arial" w:eastAsia="Arial" w:hAnsi="Arial"/>
          <w:sz w:val="22"/>
          <w:szCs w:val="22"/>
          <w:color w:val="auto"/>
        </w:rPr>
        <w:t>it is Indebtedness of an Excluded Subsidiary permitted under clause (x) of the definition of Permitted Investments;</w:t>
      </w:r>
    </w:p>
    <w:p>
      <w:pPr>
        <w:spacing w:after="0" w:line="178" w:lineRule="exact"/>
        <w:rPr>
          <w:rFonts w:ascii="Arial" w:cs="Arial" w:eastAsia="Arial" w:hAnsi="Arial"/>
          <w:sz w:val="22"/>
          <w:szCs w:val="22"/>
          <w:color w:val="auto"/>
        </w:rPr>
      </w:pPr>
    </w:p>
    <w:p>
      <w:pPr>
        <w:ind w:left="1880" w:firstLine="901"/>
        <w:spacing w:after="0" w:line="276" w:lineRule="auto"/>
        <w:tabs>
          <w:tab w:leader="none" w:pos="3975" w:val="left"/>
        </w:tabs>
        <w:numPr>
          <w:ilvl w:val="1"/>
          <w:numId w:val="21"/>
        </w:numPr>
        <w:rPr>
          <w:rFonts w:ascii="Arial" w:cs="Arial" w:eastAsia="Arial" w:hAnsi="Arial"/>
          <w:sz w:val="22"/>
          <w:szCs w:val="22"/>
          <w:color w:val="auto"/>
        </w:rPr>
      </w:pPr>
      <w:r>
        <w:rPr>
          <w:rFonts w:ascii="Arial" w:cs="Arial" w:eastAsia="Arial" w:hAnsi="Arial"/>
          <w:sz w:val="22"/>
          <w:szCs w:val="22"/>
          <w:color w:val="auto"/>
        </w:rPr>
        <w:t>Permitted Convertible Debt not to exceed Five Hundred Million Dollars ($500,000,000) in principal amount at any one time outstanding;</w:t>
      </w:r>
    </w:p>
    <w:p>
      <w:pPr>
        <w:spacing w:after="0" w:line="174" w:lineRule="exact"/>
        <w:rPr>
          <w:rFonts w:ascii="Arial" w:cs="Arial" w:eastAsia="Arial" w:hAnsi="Arial"/>
          <w:sz w:val="22"/>
          <w:szCs w:val="22"/>
          <w:color w:val="auto"/>
        </w:rPr>
      </w:pPr>
    </w:p>
    <w:p>
      <w:pPr>
        <w:jc w:val="both"/>
        <w:ind w:left="1880" w:firstLine="848"/>
        <w:spacing w:after="0" w:line="308" w:lineRule="auto"/>
        <w:tabs>
          <w:tab w:leader="none" w:pos="3975" w:val="left"/>
        </w:tabs>
        <w:numPr>
          <w:ilvl w:val="2"/>
          <w:numId w:val="21"/>
        </w:numPr>
        <w:rPr>
          <w:rFonts w:ascii="Arial" w:cs="Arial" w:eastAsia="Arial" w:hAnsi="Arial"/>
          <w:sz w:val="19"/>
          <w:szCs w:val="19"/>
          <w:color w:val="auto"/>
        </w:rPr>
      </w:pPr>
      <w:r>
        <w:rPr>
          <w:rFonts w:ascii="Arial" w:cs="Arial" w:eastAsia="Arial" w:hAnsi="Arial"/>
          <w:sz w:val="19"/>
          <w:szCs w:val="19"/>
          <w:color w:val="auto"/>
        </w:rPr>
        <w:t>Indebtedness with respect to a Permitted Royalty Transaction that (a) is subordinated to the Secured Obligations pursuant to a subordination or intercreditor agreement on terms and conditions reasonably satisfactory to Agent, (b) does not have a scheduled maturity date earlier than one hundred eighty (180) days after the Term Loan Maturity Date, (c) is in an aggregate amount not to exceed $250,000,000, and (d) shall specifically designate this Agreement and all Secured Obligations as “designated senior indebtedness” or similar term so that the subordination terms referred to in clause (a) of</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5" w:name="page106"/>
    <w:bookmarkEnd w:id="105"/>
    <w:p>
      <w:pPr>
        <w:ind w:left="1880"/>
        <w:spacing w:after="0" w:line="276" w:lineRule="auto"/>
        <w:rPr>
          <w:sz w:val="20"/>
          <w:szCs w:val="20"/>
          <w:color w:val="auto"/>
        </w:rPr>
      </w:pPr>
      <w:r>
        <w:rPr>
          <w:rFonts w:ascii="Arial" w:cs="Arial" w:eastAsia="Arial" w:hAnsi="Arial"/>
          <w:sz w:val="22"/>
          <w:szCs w:val="22"/>
          <w:color w:val="auto"/>
        </w:rPr>
        <w:t>this clause specifically refer to such notes as being subordinated to the Secured Obligations pursuant to such subordination terms;</w:t>
      </w:r>
    </w:p>
    <w:p>
      <w:pPr>
        <w:spacing w:after="0" w:line="174" w:lineRule="exact"/>
        <w:rPr>
          <w:sz w:val="20"/>
          <w:szCs w:val="20"/>
          <w:color w:val="auto"/>
        </w:rPr>
      </w:pPr>
    </w:p>
    <w:p>
      <w:pPr>
        <w:ind w:left="1880" w:right="20" w:firstLine="796"/>
        <w:spacing w:after="0" w:line="276" w:lineRule="auto"/>
        <w:tabs>
          <w:tab w:leader="none" w:pos="3975"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Indebtedness incurred as a result of endorsing negotiable instruments received in the ordinary course of business;</w:t>
      </w:r>
    </w:p>
    <w:p>
      <w:pPr>
        <w:spacing w:after="0" w:line="174" w:lineRule="exact"/>
        <w:rPr>
          <w:rFonts w:ascii="Arial" w:cs="Arial" w:eastAsia="Arial" w:hAnsi="Arial"/>
          <w:sz w:val="22"/>
          <w:szCs w:val="22"/>
          <w:color w:val="auto"/>
        </w:rPr>
      </w:pPr>
    </w:p>
    <w:p>
      <w:pPr>
        <w:jc w:val="both"/>
        <w:ind w:left="1880" w:firstLine="743"/>
        <w:spacing w:after="0" w:line="266" w:lineRule="auto"/>
        <w:tabs>
          <w:tab w:leader="none" w:pos="3975"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Indebtedness in respect of surety bonds and other indemnities and similar obligations up to an aggregate amount of Five Hundred Thousand Dollars ($500,000) at any one time outstanding;</w:t>
      </w:r>
    </w:p>
    <w:p>
      <w:pPr>
        <w:spacing w:after="0" w:line="184" w:lineRule="exact"/>
        <w:rPr>
          <w:rFonts w:ascii="Arial" w:cs="Arial" w:eastAsia="Arial" w:hAnsi="Arial"/>
          <w:sz w:val="22"/>
          <w:szCs w:val="22"/>
          <w:color w:val="auto"/>
        </w:rPr>
      </w:pPr>
    </w:p>
    <w:p>
      <w:pPr>
        <w:ind w:left="1880" w:firstLine="753"/>
        <w:spacing w:after="0" w:line="276" w:lineRule="auto"/>
        <w:tabs>
          <w:tab w:leader="none" w:pos="3975"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Indebtedness arising with respect to Borrower’s real property lease and operating lease obligations in the ordinary course of Borrower’s business; and</w:t>
      </w:r>
    </w:p>
    <w:p>
      <w:pPr>
        <w:spacing w:after="0" w:line="174" w:lineRule="exact"/>
        <w:rPr>
          <w:rFonts w:ascii="Arial" w:cs="Arial" w:eastAsia="Arial" w:hAnsi="Arial"/>
          <w:sz w:val="22"/>
          <w:szCs w:val="22"/>
          <w:color w:val="auto"/>
        </w:rPr>
      </w:pPr>
    </w:p>
    <w:p>
      <w:pPr>
        <w:ind w:left="1880" w:right="20" w:firstLine="806"/>
        <w:spacing w:after="0" w:line="276" w:lineRule="auto"/>
        <w:tabs>
          <w:tab w:leader="none" w:pos="3975" w:val="left"/>
        </w:tabs>
        <w:numPr>
          <w:ilvl w:val="0"/>
          <w:numId w:val="22"/>
        </w:numPr>
        <w:rPr>
          <w:rFonts w:ascii="Arial" w:cs="Arial" w:eastAsia="Arial" w:hAnsi="Arial"/>
          <w:sz w:val="22"/>
          <w:szCs w:val="22"/>
          <w:color w:val="auto"/>
        </w:rPr>
      </w:pPr>
      <w:r>
        <w:rPr>
          <w:rFonts w:ascii="Arial" w:cs="Arial" w:eastAsia="Arial" w:hAnsi="Arial"/>
          <w:sz w:val="22"/>
          <w:szCs w:val="22"/>
          <w:color w:val="auto"/>
        </w:rPr>
        <w:t>Indebtedness in respect of Acquisition Deferred Payments incurred in connection with Permitted Acquisitions;</w:t>
      </w:r>
    </w:p>
    <w:p>
      <w:pPr>
        <w:spacing w:after="0" w:line="174" w:lineRule="exact"/>
        <w:rPr>
          <w:rFonts w:ascii="Arial" w:cs="Arial" w:eastAsia="Arial" w:hAnsi="Arial"/>
          <w:sz w:val="22"/>
          <w:szCs w:val="22"/>
          <w:color w:val="auto"/>
        </w:rPr>
      </w:pPr>
    </w:p>
    <w:p>
      <w:pPr>
        <w:jc w:val="both"/>
        <w:ind w:left="1880" w:firstLine="753"/>
        <w:spacing w:after="0" w:line="327" w:lineRule="auto"/>
        <w:tabs>
          <w:tab w:leader="none" w:pos="3975" w:val="left"/>
        </w:tabs>
        <w:numPr>
          <w:ilvl w:val="0"/>
          <w:numId w:val="22"/>
        </w:numPr>
        <w:rPr>
          <w:rFonts w:ascii="Arial" w:cs="Arial" w:eastAsia="Arial" w:hAnsi="Arial"/>
          <w:sz w:val="19"/>
          <w:szCs w:val="19"/>
          <w:color w:val="auto"/>
        </w:rPr>
      </w:pPr>
      <w:r>
        <w:rPr>
          <w:rFonts w:ascii="Arial" w:cs="Arial" w:eastAsia="Arial" w:hAnsi="Arial"/>
          <w:sz w:val="19"/>
          <w:szCs w:val="19"/>
          <w:color w:val="auto"/>
        </w:rPr>
        <w:t>extensions, refinancings, renewals, modifications, amendments or restatements of any items of Permitted Indebtedness; provided that the principal amount is not increased or the terms modified to impose materially more burdensome terms upon Borrower or its Subsidiary, as the case may be.</w:t>
      </w:r>
    </w:p>
    <w:p>
      <w:pPr>
        <w:spacing w:after="0" w:line="1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“Permitted Investment” means:</w:t>
      </w:r>
    </w:p>
    <w:p>
      <w:pPr>
        <w:spacing w:after="0" w:line="233" w:lineRule="exact"/>
        <w:rPr>
          <w:sz w:val="20"/>
          <w:szCs w:val="20"/>
          <w:color w:val="auto"/>
        </w:rPr>
      </w:pPr>
    </w:p>
    <w:p>
      <w:pPr>
        <w:ind w:left="3980" w:hanging="1157"/>
        <w:spacing w:after="0"/>
        <w:tabs>
          <w:tab w:leader="none" w:pos="3980" w:val="left"/>
        </w:tabs>
        <w:numPr>
          <w:ilvl w:val="0"/>
          <w:numId w:val="23"/>
        </w:numPr>
        <w:rPr>
          <w:rFonts w:ascii="Arial" w:cs="Arial" w:eastAsia="Arial" w:hAnsi="Arial"/>
          <w:sz w:val="21"/>
          <w:szCs w:val="21"/>
          <w:color w:val="auto"/>
        </w:rPr>
      </w:pPr>
      <w:r>
        <w:rPr>
          <w:rFonts w:ascii="Arial" w:cs="Arial" w:eastAsia="Arial" w:hAnsi="Arial"/>
          <w:sz w:val="21"/>
          <w:szCs w:val="21"/>
          <w:color w:val="auto"/>
        </w:rPr>
        <w:t>Investments existing on the Closing Date which are disclosed in Schedule 1B;</w:t>
      </w:r>
    </w:p>
    <w:p>
      <w:pPr>
        <w:spacing w:after="0" w:line="244" w:lineRule="exact"/>
        <w:rPr>
          <w:rFonts w:ascii="Arial" w:cs="Arial" w:eastAsia="Arial" w:hAnsi="Arial"/>
          <w:sz w:val="21"/>
          <w:szCs w:val="21"/>
          <w:color w:val="auto"/>
        </w:rPr>
      </w:pPr>
    </w:p>
    <w:p>
      <w:pPr>
        <w:jc w:val="both"/>
        <w:ind w:left="1880" w:firstLine="891"/>
        <w:spacing w:after="0" w:line="303" w:lineRule="auto"/>
        <w:tabs>
          <w:tab w:leader="none" w:pos="3975" w:val="left"/>
        </w:tabs>
        <w:numPr>
          <w:ilvl w:val="0"/>
          <w:numId w:val="23"/>
        </w:numPr>
        <w:rPr>
          <w:rFonts w:ascii="Arial" w:cs="Arial" w:eastAsia="Arial" w:hAnsi="Arial"/>
          <w:sz w:val="19"/>
          <w:szCs w:val="19"/>
          <w:color w:val="auto"/>
        </w:rPr>
      </w:pPr>
      <w:r>
        <w:rPr>
          <w:rFonts w:ascii="Arial" w:cs="Arial" w:eastAsia="Arial" w:hAnsi="Arial"/>
          <w:sz w:val="19"/>
          <w:szCs w:val="19"/>
          <w:color w:val="auto"/>
        </w:rPr>
        <w:t>(a) marketable direct obligations issued or unconditionally guaranteed by the United States of America or any agency or any State thereof maturing within one year from the date of acquisition thereof currently having a rating of at least A-2 or P-2 from either Standard &amp; Poor’s Corporation or Moody’s Investors Services, (b) commercial paper maturing no more than one year from the date of creation thereof and currently having a rating of at least A-2 or P-2 from either Standard &amp; Poor’s Corporation or Moody’s Investors Service, (c) certificates of deposit issued by any bank with assets of at least $500,000,000 maturing no more than one year from the date of investment therein, (d) money market accounts, and (e) Investments permitted by Borrower’s Investment Policy and Guidelines dated as of August 2016 and provided to the Agent and Lenders, as amended from time to time; provided that any material amendments thereto have been approved by Agent and the Lenders in their reasonable discretion;</w:t>
      </w:r>
    </w:p>
    <w:p>
      <w:pPr>
        <w:spacing w:after="0" w:line="157" w:lineRule="exact"/>
        <w:rPr>
          <w:rFonts w:ascii="Arial" w:cs="Arial" w:eastAsia="Arial" w:hAnsi="Arial"/>
          <w:sz w:val="19"/>
          <w:szCs w:val="19"/>
          <w:color w:val="auto"/>
        </w:rPr>
      </w:pPr>
    </w:p>
    <w:p>
      <w:pPr>
        <w:jc w:val="both"/>
        <w:ind w:left="1880" w:firstLine="838"/>
        <w:spacing w:after="0" w:line="308" w:lineRule="auto"/>
        <w:tabs>
          <w:tab w:leader="none" w:pos="3975" w:val="left"/>
        </w:tabs>
        <w:numPr>
          <w:ilvl w:val="1"/>
          <w:numId w:val="23"/>
        </w:numPr>
        <w:rPr>
          <w:rFonts w:ascii="Arial" w:cs="Arial" w:eastAsia="Arial" w:hAnsi="Arial"/>
          <w:sz w:val="19"/>
          <w:szCs w:val="19"/>
          <w:color w:val="auto"/>
        </w:rPr>
      </w:pPr>
      <w:r>
        <w:rPr>
          <w:rFonts w:ascii="Arial" w:cs="Arial" w:eastAsia="Arial" w:hAnsi="Arial"/>
          <w:sz w:val="19"/>
          <w:szCs w:val="19"/>
          <w:color w:val="auto"/>
        </w:rPr>
        <w:t>repurchases of Equity Interests from current or former employees, officers, directors, or consultants of Borrower under the terms of applicable repurchase agreements at the original issuance price of such securities (1) in an aggregate amount not to exceed $250,000 in any fiscal year; provided that no Event of Default has occurred, is continuing or would exist after giving effect to the repurchases or (2) in any amount where the consideration for the repurchase is the cancellation of indebtedness owed by such former employees, officers, directors or consultants to Borrower;</w:t>
      </w:r>
    </w:p>
    <w:p>
      <w:pPr>
        <w:spacing w:after="0" w:line="153" w:lineRule="exact"/>
        <w:rPr>
          <w:rFonts w:ascii="Arial" w:cs="Arial" w:eastAsia="Arial" w:hAnsi="Arial"/>
          <w:sz w:val="19"/>
          <w:szCs w:val="19"/>
          <w:color w:val="auto"/>
        </w:rPr>
      </w:pPr>
    </w:p>
    <w:p>
      <w:pPr>
        <w:ind w:left="3980" w:hanging="1252"/>
        <w:spacing w:after="0"/>
        <w:tabs>
          <w:tab w:leader="none" w:pos="3980" w:val="left"/>
        </w:tabs>
        <w:numPr>
          <w:ilvl w:val="1"/>
          <w:numId w:val="23"/>
        </w:numPr>
        <w:rPr>
          <w:rFonts w:ascii="Arial" w:cs="Arial" w:eastAsia="Arial" w:hAnsi="Arial"/>
          <w:sz w:val="22"/>
          <w:szCs w:val="22"/>
          <w:color w:val="auto"/>
        </w:rPr>
      </w:pPr>
      <w:r>
        <w:rPr>
          <w:rFonts w:ascii="Arial" w:cs="Arial" w:eastAsia="Arial" w:hAnsi="Arial"/>
          <w:sz w:val="22"/>
          <w:szCs w:val="22"/>
          <w:color w:val="auto"/>
        </w:rPr>
        <w:t>Investments accepted in connection with Permitted Transfers;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6" w:name="page107"/>
    <w:bookmarkEnd w:id="106"/>
    <w:p>
      <w:pPr>
        <w:jc w:val="both"/>
        <w:ind w:left="1880" w:firstLine="901"/>
        <w:spacing w:after="0" w:line="327" w:lineRule="auto"/>
        <w:tabs>
          <w:tab w:leader="none" w:pos="3975"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Investments (including debt obligations) received in connection with the bankruptcy or reorganization of customers or suppliers and in settlement of delinquent obligations of, and other disputes with, customers or suppliers arising in the ordinary course of Borrower’s business;</w:t>
      </w:r>
    </w:p>
    <w:p>
      <w:pPr>
        <w:spacing w:after="0" w:line="132" w:lineRule="exact"/>
        <w:rPr>
          <w:rFonts w:ascii="Arial" w:cs="Arial" w:eastAsia="Arial" w:hAnsi="Arial"/>
          <w:sz w:val="19"/>
          <w:szCs w:val="19"/>
          <w:color w:val="auto"/>
        </w:rPr>
      </w:pPr>
    </w:p>
    <w:p>
      <w:pPr>
        <w:jc w:val="both"/>
        <w:ind w:left="1880" w:firstLine="848"/>
        <w:spacing w:after="0" w:line="327" w:lineRule="auto"/>
        <w:tabs>
          <w:tab w:leader="none" w:pos="3975" w:val="left"/>
        </w:tabs>
        <w:numPr>
          <w:ilvl w:val="0"/>
          <w:numId w:val="24"/>
        </w:numPr>
        <w:rPr>
          <w:rFonts w:ascii="Arial" w:cs="Arial" w:eastAsia="Arial" w:hAnsi="Arial"/>
          <w:sz w:val="19"/>
          <w:szCs w:val="19"/>
          <w:color w:val="auto"/>
        </w:rPr>
      </w:pPr>
      <w:r>
        <w:rPr>
          <w:rFonts w:ascii="Arial" w:cs="Arial" w:eastAsia="Arial" w:hAnsi="Arial"/>
          <w:sz w:val="19"/>
          <w:szCs w:val="19"/>
          <w:color w:val="auto"/>
        </w:rPr>
        <w:t>Investments consisting of notes receivable of, or prepaid royalties and other credit extensions, to customers and suppliers who are not Affiliates, in the ordinary course of business; provided that this subparagraph (vi) shall not apply to Investments of Borrower in any Subsidiary;</w:t>
      </w:r>
    </w:p>
    <w:p>
      <w:pPr>
        <w:spacing w:after="0" w:line="132" w:lineRule="exact"/>
        <w:rPr>
          <w:rFonts w:ascii="Arial" w:cs="Arial" w:eastAsia="Arial" w:hAnsi="Arial"/>
          <w:sz w:val="19"/>
          <w:szCs w:val="19"/>
          <w:color w:val="auto"/>
        </w:rPr>
      </w:pPr>
    </w:p>
    <w:p>
      <w:pPr>
        <w:jc w:val="both"/>
        <w:ind w:left="1880" w:firstLine="796"/>
        <w:spacing w:after="0" w:line="262" w:lineRule="auto"/>
        <w:tabs>
          <w:tab w:leader="none" w:pos="3975" w:val="left"/>
        </w:tabs>
        <w:numPr>
          <w:ilvl w:val="1"/>
          <w:numId w:val="24"/>
        </w:numPr>
        <w:rPr>
          <w:rFonts w:ascii="Arial" w:cs="Arial" w:eastAsia="Arial" w:hAnsi="Arial"/>
          <w:sz w:val="22"/>
          <w:szCs w:val="22"/>
          <w:color w:val="auto"/>
        </w:rPr>
      </w:pPr>
      <w:r>
        <w:rPr>
          <w:rFonts w:ascii="Arial" w:cs="Arial" w:eastAsia="Arial" w:hAnsi="Arial"/>
          <w:sz w:val="22"/>
          <w:szCs w:val="22"/>
          <w:color w:val="auto"/>
        </w:rPr>
        <w:t>Investments consisting of loans not involving the net transfer on a substantially contemporaneous basis of cash proceeds to employees, officers or directors relating to the purchase of capital stock of Borrower pursuant to employee stock purchase plans or other similar agreements approved by Borrower’s board of directors;</w:t>
      </w:r>
    </w:p>
    <w:p>
      <w:pPr>
        <w:spacing w:after="0" w:line="191" w:lineRule="exact"/>
        <w:rPr>
          <w:rFonts w:ascii="Arial" w:cs="Arial" w:eastAsia="Arial" w:hAnsi="Arial"/>
          <w:sz w:val="22"/>
          <w:szCs w:val="22"/>
          <w:color w:val="auto"/>
        </w:rPr>
      </w:pPr>
    </w:p>
    <w:p>
      <w:pPr>
        <w:ind w:left="1880" w:firstLine="743"/>
        <w:spacing w:after="0" w:line="276" w:lineRule="auto"/>
        <w:tabs>
          <w:tab w:leader="none" w:pos="3975" w:val="left"/>
        </w:tabs>
        <w:numPr>
          <w:ilvl w:val="1"/>
          <w:numId w:val="24"/>
        </w:numPr>
        <w:rPr>
          <w:rFonts w:ascii="Arial" w:cs="Arial" w:eastAsia="Arial" w:hAnsi="Arial"/>
          <w:sz w:val="22"/>
          <w:szCs w:val="22"/>
          <w:color w:val="auto"/>
        </w:rPr>
      </w:pPr>
      <w:r>
        <w:rPr>
          <w:rFonts w:ascii="Arial" w:cs="Arial" w:eastAsia="Arial" w:hAnsi="Arial"/>
          <w:sz w:val="22"/>
          <w:szCs w:val="22"/>
          <w:color w:val="auto"/>
        </w:rPr>
        <w:t>Investments consisting of travel advances and employee relocation loans in the ordinary course of business;</w:t>
      </w:r>
    </w:p>
    <w:p>
      <w:pPr>
        <w:spacing w:after="0" w:line="174" w:lineRule="exact"/>
        <w:rPr>
          <w:rFonts w:ascii="Arial" w:cs="Arial" w:eastAsia="Arial" w:hAnsi="Arial"/>
          <w:sz w:val="22"/>
          <w:szCs w:val="22"/>
          <w:color w:val="auto"/>
        </w:rPr>
      </w:pPr>
    </w:p>
    <w:p>
      <w:pPr>
        <w:jc w:val="both"/>
        <w:ind w:left="1880" w:firstLine="848"/>
        <w:spacing w:after="0" w:line="261" w:lineRule="auto"/>
        <w:tabs>
          <w:tab w:leader="none" w:pos="3975" w:val="left"/>
        </w:tabs>
        <w:numPr>
          <w:ilvl w:val="1"/>
          <w:numId w:val="24"/>
        </w:numPr>
        <w:rPr>
          <w:rFonts w:ascii="Arial" w:cs="Arial" w:eastAsia="Arial" w:hAnsi="Arial"/>
          <w:sz w:val="22"/>
          <w:szCs w:val="22"/>
          <w:color w:val="auto"/>
        </w:rPr>
      </w:pPr>
      <w:r>
        <w:rPr>
          <w:rFonts w:ascii="Arial" w:cs="Arial" w:eastAsia="Arial" w:hAnsi="Arial"/>
          <w:sz w:val="22"/>
          <w:szCs w:val="22"/>
          <w:color w:val="auto"/>
        </w:rPr>
        <w:t>Investments in Subsidiaries (including creation of a Subsidiary in anticipation of a proposed Permitted Acquisition); provided that, unless such Subsidiary is an Excluded Subsidiary (after giving pro forma effect to such Investment), each such Subsidiary enters into a Joinder Agreement promptly after its formation by Borrower and execute such other related documents as shall be reasonably requested by Agent;</w:t>
      </w:r>
    </w:p>
    <w:p>
      <w:pPr>
        <w:spacing w:after="0" w:line="190" w:lineRule="exact"/>
        <w:rPr>
          <w:sz w:val="20"/>
          <w:szCs w:val="20"/>
          <w:color w:val="auto"/>
        </w:rPr>
      </w:pPr>
    </w:p>
    <w:p>
      <w:pPr>
        <w:jc w:val="both"/>
        <w:ind w:left="1880" w:firstLine="901"/>
        <w:spacing w:after="0" w:line="262" w:lineRule="auto"/>
        <w:tabs>
          <w:tab w:leader="none" w:pos="3975"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Investments in Excluded Subsidiaries to cover ordinary course of business operating and entity maintenance and regulatory (and, if applicable, wind-down and liquidation) costs and expenses in an aggregate amount not to exceed $500,000 in any fiscal year, and other amounts approved in advance in writing by Agent;</w:t>
      </w:r>
    </w:p>
    <w:p>
      <w:pPr>
        <w:spacing w:after="0" w:line="191" w:lineRule="exact"/>
        <w:rPr>
          <w:rFonts w:ascii="Arial" w:cs="Arial" w:eastAsia="Arial" w:hAnsi="Arial"/>
          <w:sz w:val="22"/>
          <w:szCs w:val="22"/>
          <w:color w:val="auto"/>
        </w:rPr>
      </w:pPr>
    </w:p>
    <w:p>
      <w:pPr>
        <w:jc w:val="both"/>
        <w:ind w:left="1880" w:firstLine="848"/>
        <w:spacing w:after="0" w:line="262" w:lineRule="auto"/>
        <w:tabs>
          <w:tab w:leader="none" w:pos="3975" w:val="left"/>
        </w:tabs>
        <w:numPr>
          <w:ilvl w:val="0"/>
          <w:numId w:val="25"/>
        </w:numPr>
        <w:rPr>
          <w:rFonts w:ascii="Arial" w:cs="Arial" w:eastAsia="Arial" w:hAnsi="Arial"/>
          <w:sz w:val="22"/>
          <w:szCs w:val="22"/>
          <w:color w:val="auto"/>
        </w:rPr>
      </w:pPr>
      <w:r>
        <w:rPr>
          <w:rFonts w:ascii="Arial" w:cs="Arial" w:eastAsia="Arial" w:hAnsi="Arial"/>
          <w:sz w:val="22"/>
          <w:szCs w:val="22"/>
          <w:color w:val="auto"/>
        </w:rPr>
        <w:t>joint ventures or strategic alliances in the ordinary course of Borrower’s business consisting of the nonexclusive licensing of technology, the development of technology or the providing of technical support; provided that any cash Investments by Borrower do not exceed $250,000 in the aggregate in any fiscal year;</w:t>
      </w:r>
    </w:p>
    <w:p>
      <w:pPr>
        <w:spacing w:after="0" w:line="191" w:lineRule="exact"/>
        <w:rPr>
          <w:rFonts w:ascii="Arial" w:cs="Arial" w:eastAsia="Arial" w:hAnsi="Arial"/>
          <w:sz w:val="22"/>
          <w:szCs w:val="22"/>
          <w:color w:val="auto"/>
        </w:rPr>
      </w:pPr>
    </w:p>
    <w:p>
      <w:pPr>
        <w:ind w:left="3980" w:hanging="1304"/>
        <w:spacing w:after="0"/>
        <w:tabs>
          <w:tab w:leader="none" w:pos="3980" w:val="left"/>
        </w:tabs>
        <w:numPr>
          <w:ilvl w:val="1"/>
          <w:numId w:val="25"/>
        </w:numPr>
        <w:rPr>
          <w:rFonts w:ascii="Arial" w:cs="Arial" w:eastAsia="Arial" w:hAnsi="Arial"/>
          <w:sz w:val="22"/>
          <w:szCs w:val="22"/>
          <w:color w:val="auto"/>
        </w:rPr>
      </w:pPr>
      <w:r>
        <w:rPr>
          <w:rFonts w:ascii="Arial" w:cs="Arial" w:eastAsia="Arial" w:hAnsi="Arial"/>
          <w:sz w:val="22"/>
          <w:szCs w:val="22"/>
          <w:color w:val="auto"/>
        </w:rPr>
        <w:t>Permitted Acquisitions;</w:t>
      </w:r>
    </w:p>
    <w:p>
      <w:pPr>
        <w:spacing w:after="0" w:line="233" w:lineRule="exact"/>
        <w:rPr>
          <w:rFonts w:ascii="Arial" w:cs="Arial" w:eastAsia="Arial" w:hAnsi="Arial"/>
          <w:sz w:val="22"/>
          <w:szCs w:val="22"/>
          <w:color w:val="auto"/>
        </w:rPr>
      </w:pPr>
    </w:p>
    <w:p>
      <w:pPr>
        <w:jc w:val="both"/>
        <w:ind w:left="1880" w:firstLine="743"/>
        <w:spacing w:after="0" w:line="266" w:lineRule="auto"/>
        <w:tabs>
          <w:tab w:leader="none" w:pos="3975" w:val="left"/>
        </w:tabs>
        <w:numPr>
          <w:ilvl w:val="1"/>
          <w:numId w:val="25"/>
        </w:numPr>
        <w:rPr>
          <w:rFonts w:ascii="Arial" w:cs="Arial" w:eastAsia="Arial" w:hAnsi="Arial"/>
          <w:sz w:val="22"/>
          <w:szCs w:val="22"/>
          <w:color w:val="auto"/>
        </w:rPr>
      </w:pPr>
      <w:r>
        <w:rPr>
          <w:rFonts w:ascii="Arial" w:cs="Arial" w:eastAsia="Arial" w:hAnsi="Arial"/>
          <w:sz w:val="22"/>
          <w:szCs w:val="22"/>
          <w:color w:val="auto"/>
        </w:rPr>
        <w:t>Borrower’s entry into (including payments of premiums in connection therewith), and the performance of obligations under, any Permitted Bond Hedge Transactions and Permitted Warrant Transactions in accordance with their terms;</w:t>
      </w:r>
    </w:p>
    <w:p>
      <w:pPr>
        <w:spacing w:after="0" w:line="184" w:lineRule="exact"/>
        <w:rPr>
          <w:rFonts w:ascii="Arial" w:cs="Arial" w:eastAsia="Arial" w:hAnsi="Arial"/>
          <w:sz w:val="22"/>
          <w:szCs w:val="22"/>
          <w:color w:val="auto"/>
        </w:rPr>
      </w:pPr>
    </w:p>
    <w:p>
      <w:pPr>
        <w:ind w:left="3980" w:hanging="1347"/>
        <w:spacing w:after="0"/>
        <w:tabs>
          <w:tab w:leader="none" w:pos="39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Hedge Agreements constituting Permitted Indebtedness pursuant to clause (vii)</w:t>
      </w:r>
    </w:p>
    <w:p>
      <w:pPr>
        <w:spacing w:after="0" w:line="55"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thereof; and</w:t>
      </w:r>
    </w:p>
    <w:p>
      <w:pPr>
        <w:spacing w:after="0" w:line="228" w:lineRule="exact"/>
        <w:rPr>
          <w:rFonts w:ascii="Arial" w:cs="Arial" w:eastAsia="Arial" w:hAnsi="Arial"/>
          <w:sz w:val="19"/>
          <w:szCs w:val="19"/>
          <w:color w:val="auto"/>
        </w:rPr>
      </w:pPr>
    </w:p>
    <w:p>
      <w:pPr>
        <w:ind w:left="3980" w:hanging="1294"/>
        <w:spacing w:after="0"/>
        <w:tabs>
          <w:tab w:leader="none" w:pos="3980" w:val="left"/>
        </w:tabs>
        <w:numPr>
          <w:ilvl w:val="1"/>
          <w:numId w:val="25"/>
        </w:numPr>
        <w:rPr>
          <w:rFonts w:ascii="Arial" w:cs="Arial" w:eastAsia="Arial" w:hAnsi="Arial"/>
          <w:sz w:val="19"/>
          <w:szCs w:val="19"/>
          <w:color w:val="auto"/>
        </w:rPr>
      </w:pPr>
      <w:r>
        <w:rPr>
          <w:rFonts w:ascii="Arial" w:cs="Arial" w:eastAsia="Arial" w:hAnsi="Arial"/>
          <w:sz w:val="19"/>
          <w:szCs w:val="19"/>
          <w:color w:val="auto"/>
        </w:rPr>
        <w:t>additional Investments that do not exceed $250,000 in the aggregate in any fiscal</w:t>
      </w:r>
    </w:p>
    <w:p>
      <w:pPr>
        <w:spacing w:after="0" w:line="55" w:lineRule="exact"/>
        <w:rPr>
          <w:rFonts w:ascii="Arial" w:cs="Arial" w:eastAsia="Arial" w:hAnsi="Arial"/>
          <w:sz w:val="19"/>
          <w:szCs w:val="19"/>
          <w:color w:val="auto"/>
        </w:rPr>
      </w:pPr>
    </w:p>
    <w:p>
      <w:pPr>
        <w:ind w:left="1880"/>
        <w:spacing w:after="0"/>
        <w:rPr>
          <w:rFonts w:ascii="Arial" w:cs="Arial" w:eastAsia="Arial" w:hAnsi="Arial"/>
          <w:sz w:val="19"/>
          <w:szCs w:val="19"/>
          <w:color w:val="auto"/>
        </w:rPr>
      </w:pPr>
      <w:r>
        <w:rPr>
          <w:rFonts w:ascii="Arial" w:cs="Arial" w:eastAsia="Arial" w:hAnsi="Arial"/>
          <w:sz w:val="22"/>
          <w:szCs w:val="22"/>
          <w:color w:val="auto"/>
        </w:rPr>
        <w:t>year.</w:t>
      </w: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ind w:left="1500"/>
        <w:spacing w:after="0"/>
        <w:rPr>
          <w:sz w:val="20"/>
          <w:szCs w:val="20"/>
          <w:color w:val="auto"/>
        </w:rPr>
      </w:pPr>
      <w:r>
        <w:rPr>
          <w:rFonts w:ascii="Arial" w:cs="Arial" w:eastAsia="Arial" w:hAnsi="Arial"/>
          <w:sz w:val="22"/>
          <w:szCs w:val="22"/>
          <w:color w:val="auto"/>
        </w:rPr>
        <w:t>“Permitted Liens” means:</w:t>
      </w:r>
    </w:p>
    <w:p>
      <w:pPr>
        <w:spacing w:after="0" w:line="233" w:lineRule="exact"/>
        <w:rPr>
          <w:sz w:val="20"/>
          <w:szCs w:val="20"/>
          <w:color w:val="auto"/>
        </w:rPr>
      </w:pPr>
    </w:p>
    <w:p>
      <w:pPr>
        <w:ind w:left="3980" w:hanging="1157"/>
        <w:spacing w:after="0"/>
        <w:tabs>
          <w:tab w:leader="none" w:pos="39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Liens in favor of Agent or the Lenders;</w:t>
      </w:r>
    </w:p>
    <w:p>
      <w:pPr>
        <w:spacing w:after="0" w:line="233" w:lineRule="exact"/>
        <w:rPr>
          <w:rFonts w:ascii="Arial" w:cs="Arial" w:eastAsia="Arial" w:hAnsi="Arial"/>
          <w:sz w:val="22"/>
          <w:szCs w:val="22"/>
          <w:color w:val="auto"/>
        </w:rPr>
      </w:pPr>
    </w:p>
    <w:p>
      <w:pPr>
        <w:ind w:left="3980" w:hanging="1209"/>
        <w:spacing w:after="0"/>
        <w:tabs>
          <w:tab w:leader="none" w:pos="39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Liens existing on the Closing Date which are disclosed in Schedule 1C;</w:t>
      </w:r>
    </w:p>
    <w:p>
      <w:pPr>
        <w:spacing w:after="0" w:line="233" w:lineRule="exact"/>
        <w:rPr>
          <w:rFonts w:ascii="Arial" w:cs="Arial" w:eastAsia="Arial" w:hAnsi="Arial"/>
          <w:sz w:val="22"/>
          <w:szCs w:val="22"/>
          <w:color w:val="auto"/>
        </w:rPr>
      </w:pPr>
    </w:p>
    <w:p>
      <w:pPr>
        <w:jc w:val="both"/>
        <w:ind w:left="1880" w:firstLine="838"/>
        <w:spacing w:after="0" w:line="262" w:lineRule="auto"/>
        <w:tabs>
          <w:tab w:leader="none" w:pos="3975" w:val="left"/>
        </w:tabs>
        <w:numPr>
          <w:ilvl w:val="1"/>
          <w:numId w:val="26"/>
        </w:numPr>
        <w:rPr>
          <w:rFonts w:ascii="Arial" w:cs="Arial" w:eastAsia="Arial" w:hAnsi="Arial"/>
          <w:sz w:val="22"/>
          <w:szCs w:val="22"/>
          <w:color w:val="auto"/>
        </w:rPr>
      </w:pPr>
      <w:r>
        <w:rPr>
          <w:rFonts w:ascii="Arial" w:cs="Arial" w:eastAsia="Arial" w:hAnsi="Arial"/>
          <w:sz w:val="22"/>
          <w:szCs w:val="22"/>
          <w:color w:val="auto"/>
        </w:rPr>
        <w:t>Liens for taxes, fees, assessments or other governmental charges or levies, either not yet delinquent or being contested in good faith by appropriate proceedings diligently conducted; provided, that Borrower maintains adequate reserves therefor on Borrower’s Books in accordance with GAAP;</w:t>
      </w:r>
    </w:p>
    <w:p>
      <w:pPr>
        <w:spacing w:after="0" w:line="191" w:lineRule="exact"/>
        <w:rPr>
          <w:rFonts w:ascii="Arial" w:cs="Arial" w:eastAsia="Arial" w:hAnsi="Arial"/>
          <w:sz w:val="22"/>
          <w:szCs w:val="22"/>
          <w:color w:val="auto"/>
        </w:rPr>
      </w:pPr>
    </w:p>
    <w:p>
      <w:pPr>
        <w:jc w:val="both"/>
        <w:ind w:left="1880" w:firstLine="848"/>
        <w:spacing w:after="0" w:line="311" w:lineRule="auto"/>
        <w:tabs>
          <w:tab w:leader="none" w:pos="3975" w:val="left"/>
        </w:tabs>
        <w:numPr>
          <w:ilvl w:val="1"/>
          <w:numId w:val="26"/>
        </w:numPr>
        <w:rPr>
          <w:rFonts w:ascii="Arial" w:cs="Arial" w:eastAsia="Arial" w:hAnsi="Arial"/>
          <w:sz w:val="19"/>
          <w:szCs w:val="19"/>
          <w:color w:val="auto"/>
        </w:rPr>
      </w:pPr>
      <w:r>
        <w:rPr>
          <w:rFonts w:ascii="Arial" w:cs="Arial" w:eastAsia="Arial" w:hAnsi="Arial"/>
          <w:sz w:val="19"/>
          <w:szCs w:val="19"/>
          <w:color w:val="auto"/>
        </w:rPr>
        <w:t>Liens securing claims or demands of materialmen, artisans, mechanics, carriers, warehousemen, landlords and other like Persons arising in the ordinary course of Borrower’s business and imposed without action of such parties; provided, that the payment thereof is not yet delinquent or remain payable without penalty, or that are being contested in good faith and by appropriate proceedings which proceedings have the effect of preventing the forfeiture or sale of the property subject thereto;</w:t>
      </w:r>
    </w:p>
    <w:p>
      <w:pPr>
        <w:spacing w:after="0" w:line="150" w:lineRule="exact"/>
        <w:rPr>
          <w:rFonts w:ascii="Arial" w:cs="Arial" w:eastAsia="Arial" w:hAnsi="Arial"/>
          <w:sz w:val="19"/>
          <w:szCs w:val="19"/>
          <w:color w:val="auto"/>
        </w:rPr>
      </w:pPr>
    </w:p>
    <w:p>
      <w:pPr>
        <w:ind w:left="1880" w:firstLine="901"/>
        <w:spacing w:after="0" w:line="276" w:lineRule="auto"/>
        <w:tabs>
          <w:tab w:leader="none" w:pos="3975" w:val="left"/>
        </w:tabs>
        <w:numPr>
          <w:ilvl w:val="1"/>
          <w:numId w:val="26"/>
        </w:numPr>
        <w:rPr>
          <w:rFonts w:ascii="Arial" w:cs="Arial" w:eastAsia="Arial" w:hAnsi="Arial"/>
          <w:sz w:val="22"/>
          <w:szCs w:val="22"/>
          <w:color w:val="auto"/>
        </w:rPr>
      </w:pPr>
      <w:r>
        <w:rPr>
          <w:rFonts w:ascii="Arial" w:cs="Arial" w:eastAsia="Arial" w:hAnsi="Arial"/>
          <w:sz w:val="22"/>
          <w:szCs w:val="22"/>
          <w:color w:val="auto"/>
        </w:rPr>
        <w:t>Liens arising from judgments, decrees or attachments in circumstances which do not constitute an Event of Default hereunder;</w:t>
      </w:r>
    </w:p>
    <w:p>
      <w:pPr>
        <w:spacing w:after="0" w:line="174" w:lineRule="exact"/>
        <w:rPr>
          <w:rFonts w:ascii="Arial" w:cs="Arial" w:eastAsia="Arial" w:hAnsi="Arial"/>
          <w:sz w:val="22"/>
          <w:szCs w:val="22"/>
          <w:color w:val="auto"/>
        </w:rPr>
      </w:pPr>
    </w:p>
    <w:p>
      <w:pPr>
        <w:jc w:val="both"/>
        <w:ind w:left="1880" w:firstLine="848"/>
        <w:spacing w:after="0" w:line="273" w:lineRule="auto"/>
        <w:tabs>
          <w:tab w:leader="none" w:pos="3975" w:val="left"/>
        </w:tabs>
        <w:numPr>
          <w:ilvl w:val="1"/>
          <w:numId w:val="26"/>
        </w:numPr>
        <w:rPr>
          <w:rFonts w:ascii="Arial" w:cs="Arial" w:eastAsia="Arial" w:hAnsi="Arial"/>
          <w:sz w:val="21"/>
          <w:szCs w:val="21"/>
          <w:color w:val="auto"/>
        </w:rPr>
      </w:pPr>
      <w:r>
        <w:rPr>
          <w:rFonts w:ascii="Arial" w:cs="Arial" w:eastAsia="Arial" w:hAnsi="Arial"/>
          <w:sz w:val="21"/>
          <w:szCs w:val="21"/>
          <w:color w:val="auto"/>
        </w:rPr>
        <w:t>the following Liens, to the extent made in the ordinary course of business: deposits and pledges under worker’s compensation, unemployment insurance, social security and other similar laws, or to secure the performance of bids, tenders or contracts (other than for the repayment of borrowed money) or to secure indemnity, performance or other similar bonds for the performance of bids, tenders or contracts (other than for the repayment of borrowed money) or to secure statutory obligations (other than Liens arising under ERISA or environmental Liens) or surety or appeal bonds, or to secure indemnity, performance or other similar bonds;</w:t>
      </w:r>
    </w:p>
    <w:p>
      <w:pPr>
        <w:spacing w:after="0" w:line="183" w:lineRule="exact"/>
        <w:rPr>
          <w:rFonts w:ascii="Arial" w:cs="Arial" w:eastAsia="Arial" w:hAnsi="Arial"/>
          <w:sz w:val="21"/>
          <w:szCs w:val="21"/>
          <w:color w:val="auto"/>
        </w:rPr>
      </w:pPr>
    </w:p>
    <w:p>
      <w:pPr>
        <w:jc w:val="both"/>
        <w:ind w:left="1880" w:firstLine="796"/>
        <w:spacing w:after="0" w:line="266" w:lineRule="auto"/>
        <w:tabs>
          <w:tab w:leader="none" w:pos="3975" w:val="left"/>
        </w:tabs>
        <w:numPr>
          <w:ilvl w:val="1"/>
          <w:numId w:val="26"/>
        </w:numPr>
        <w:rPr>
          <w:rFonts w:ascii="Arial" w:cs="Arial" w:eastAsia="Arial" w:hAnsi="Arial"/>
          <w:sz w:val="22"/>
          <w:szCs w:val="22"/>
          <w:color w:val="auto"/>
        </w:rPr>
      </w:pPr>
      <w:r>
        <w:rPr>
          <w:rFonts w:ascii="Arial" w:cs="Arial" w:eastAsia="Arial" w:hAnsi="Arial"/>
          <w:sz w:val="22"/>
          <w:szCs w:val="22"/>
          <w:color w:val="auto"/>
        </w:rPr>
        <w:t>Liens on Equipment or software or other intellectual property constituting purchase money Liens and Liens in connection with capital leases securing Indebtedness permitted in clause (iii) of “Permitted Indebtedness”;</w:t>
      </w:r>
    </w:p>
    <w:p>
      <w:pPr>
        <w:spacing w:after="0" w:line="184" w:lineRule="exact"/>
        <w:rPr>
          <w:rFonts w:ascii="Arial" w:cs="Arial" w:eastAsia="Arial" w:hAnsi="Arial"/>
          <w:sz w:val="22"/>
          <w:szCs w:val="22"/>
          <w:color w:val="auto"/>
        </w:rPr>
      </w:pPr>
    </w:p>
    <w:p>
      <w:pPr>
        <w:ind w:left="3980" w:hanging="1357"/>
        <w:spacing w:after="0"/>
        <w:tabs>
          <w:tab w:leader="none" w:pos="3980" w:val="left"/>
        </w:tabs>
        <w:numPr>
          <w:ilvl w:val="3"/>
          <w:numId w:val="26"/>
        </w:numPr>
        <w:rPr>
          <w:rFonts w:ascii="Arial" w:cs="Arial" w:eastAsia="Arial" w:hAnsi="Arial"/>
          <w:sz w:val="22"/>
          <w:szCs w:val="22"/>
          <w:color w:val="auto"/>
        </w:rPr>
      </w:pPr>
      <w:r>
        <w:rPr>
          <w:rFonts w:ascii="Arial" w:cs="Arial" w:eastAsia="Arial" w:hAnsi="Arial"/>
          <w:sz w:val="22"/>
          <w:szCs w:val="22"/>
          <w:color w:val="auto"/>
        </w:rPr>
        <w:t>Liens incurred in connection with Subordinated Indebtedness;</w:t>
      </w:r>
    </w:p>
    <w:p>
      <w:pPr>
        <w:spacing w:after="0" w:line="233" w:lineRule="exact"/>
        <w:rPr>
          <w:rFonts w:ascii="Arial" w:cs="Arial" w:eastAsia="Arial" w:hAnsi="Arial"/>
          <w:sz w:val="22"/>
          <w:szCs w:val="22"/>
          <w:color w:val="auto"/>
        </w:rPr>
      </w:pPr>
    </w:p>
    <w:p>
      <w:pPr>
        <w:ind w:left="1880" w:firstLine="848"/>
        <w:spacing w:after="0" w:line="358" w:lineRule="auto"/>
        <w:tabs>
          <w:tab w:leader="none" w:pos="3975" w:val="left"/>
        </w:tabs>
        <w:numPr>
          <w:ilvl w:val="2"/>
          <w:numId w:val="26"/>
        </w:numPr>
        <w:rPr>
          <w:rFonts w:ascii="Arial" w:cs="Arial" w:eastAsia="Arial" w:hAnsi="Arial"/>
          <w:sz w:val="19"/>
          <w:szCs w:val="19"/>
          <w:color w:val="auto"/>
        </w:rPr>
      </w:pPr>
      <w:r>
        <w:rPr>
          <w:rFonts w:ascii="Arial" w:cs="Arial" w:eastAsia="Arial" w:hAnsi="Arial"/>
          <w:sz w:val="19"/>
          <w:szCs w:val="19"/>
          <w:color w:val="auto"/>
        </w:rPr>
        <w:t>leasehold interests in leases or subleases and licenses and sublicenses granted in the ordinary course of business and not interfering in any material respect with the business of the licensor;</w:t>
      </w:r>
    </w:p>
    <w:p>
      <w:pPr>
        <w:spacing w:after="0" w:line="104" w:lineRule="exact"/>
        <w:rPr>
          <w:rFonts w:ascii="Arial" w:cs="Arial" w:eastAsia="Arial" w:hAnsi="Arial"/>
          <w:sz w:val="19"/>
          <w:szCs w:val="19"/>
          <w:color w:val="auto"/>
        </w:rPr>
      </w:pPr>
    </w:p>
    <w:p>
      <w:pPr>
        <w:ind w:left="1880" w:firstLine="901"/>
        <w:spacing w:after="0" w:line="301" w:lineRule="auto"/>
        <w:tabs>
          <w:tab w:leader="none" w:pos="3975" w:val="left"/>
        </w:tabs>
        <w:numPr>
          <w:ilvl w:val="2"/>
          <w:numId w:val="26"/>
        </w:numPr>
        <w:rPr>
          <w:rFonts w:ascii="Arial" w:cs="Arial" w:eastAsia="Arial" w:hAnsi="Arial"/>
          <w:sz w:val="21"/>
          <w:szCs w:val="21"/>
          <w:color w:val="auto"/>
        </w:rPr>
      </w:pPr>
      <w:r>
        <w:rPr>
          <w:rFonts w:ascii="Arial" w:cs="Arial" w:eastAsia="Arial" w:hAnsi="Arial"/>
          <w:sz w:val="21"/>
          <w:szCs w:val="21"/>
          <w:color w:val="auto"/>
        </w:rPr>
        <w:t>Liens in favor of customs and revenue authorities arising as a matter of law to secure payment of custom duties that are promptly paid on or before the date they become due;</w:t>
      </w:r>
    </w:p>
    <w:p>
      <w:pPr>
        <w:spacing w:after="0" w:line="150" w:lineRule="exact"/>
        <w:rPr>
          <w:rFonts w:ascii="Arial" w:cs="Arial" w:eastAsia="Arial" w:hAnsi="Arial"/>
          <w:sz w:val="21"/>
          <w:szCs w:val="21"/>
          <w:color w:val="auto"/>
        </w:rPr>
      </w:pPr>
    </w:p>
    <w:p>
      <w:pPr>
        <w:jc w:val="both"/>
        <w:ind w:left="1880" w:right="20" w:firstLine="848"/>
        <w:spacing w:after="0" w:line="266" w:lineRule="auto"/>
        <w:tabs>
          <w:tab w:leader="none" w:pos="3975" w:val="left"/>
        </w:tabs>
        <w:numPr>
          <w:ilvl w:val="2"/>
          <w:numId w:val="26"/>
        </w:numPr>
        <w:rPr>
          <w:rFonts w:ascii="Arial" w:cs="Arial" w:eastAsia="Arial" w:hAnsi="Arial"/>
          <w:sz w:val="22"/>
          <w:szCs w:val="22"/>
          <w:color w:val="auto"/>
        </w:rPr>
      </w:pPr>
      <w:r>
        <w:rPr>
          <w:rFonts w:ascii="Arial" w:cs="Arial" w:eastAsia="Arial" w:hAnsi="Arial"/>
          <w:sz w:val="22"/>
          <w:szCs w:val="22"/>
          <w:color w:val="auto"/>
        </w:rPr>
        <w:t>Liens on insurance proceeds securing the payment of financed insurance premiums that are promptly paid on or before the date they become due (provided that such Liens extend only to such insurance proceeds and not to any other property or assets);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ind w:left="1880" w:firstLine="796"/>
        <w:spacing w:after="0" w:line="301" w:lineRule="auto"/>
        <w:tabs>
          <w:tab w:leader="none" w:pos="3975" w:val="left"/>
        </w:tabs>
        <w:numPr>
          <w:ilvl w:val="0"/>
          <w:numId w:val="27"/>
        </w:numPr>
        <w:rPr>
          <w:rFonts w:ascii="Arial" w:cs="Arial" w:eastAsia="Arial" w:hAnsi="Arial"/>
          <w:sz w:val="21"/>
          <w:szCs w:val="21"/>
          <w:color w:val="auto"/>
        </w:rPr>
      </w:pPr>
      <w:r>
        <w:rPr>
          <w:rFonts w:ascii="Arial" w:cs="Arial" w:eastAsia="Arial" w:hAnsi="Arial"/>
          <w:sz w:val="21"/>
          <w:szCs w:val="21"/>
          <w:color w:val="auto"/>
        </w:rPr>
        <w:t>statutory and common law rights of set-off and other similar rights as to deposits of cash and securities in favor of banks, other depository institutions and brokerage firms;</w:t>
      </w:r>
    </w:p>
    <w:p>
      <w:pPr>
        <w:spacing w:after="0" w:line="150" w:lineRule="exact"/>
        <w:rPr>
          <w:rFonts w:ascii="Arial" w:cs="Arial" w:eastAsia="Arial" w:hAnsi="Arial"/>
          <w:sz w:val="21"/>
          <w:szCs w:val="21"/>
          <w:color w:val="auto"/>
        </w:rPr>
      </w:pPr>
    </w:p>
    <w:p>
      <w:pPr>
        <w:jc w:val="both"/>
        <w:ind w:left="1880" w:firstLine="743"/>
        <w:spacing w:after="0" w:line="266" w:lineRule="auto"/>
        <w:tabs>
          <w:tab w:leader="none" w:pos="3975" w:val="left"/>
        </w:tabs>
        <w:numPr>
          <w:ilvl w:val="0"/>
          <w:numId w:val="27"/>
        </w:numPr>
        <w:rPr>
          <w:rFonts w:ascii="Arial" w:cs="Arial" w:eastAsia="Arial" w:hAnsi="Arial"/>
          <w:sz w:val="22"/>
          <w:szCs w:val="22"/>
          <w:color w:val="auto"/>
        </w:rPr>
      </w:pPr>
      <w:r>
        <w:rPr>
          <w:rFonts w:ascii="Arial" w:cs="Arial" w:eastAsia="Arial" w:hAnsi="Arial"/>
          <w:sz w:val="22"/>
          <w:szCs w:val="22"/>
          <w:color w:val="auto"/>
        </w:rPr>
        <w:t>easements, zoning restrictions, rights-of-way and similar encumbrances on real property imposed by law or arising in the ordinary course of business so long as they do not materially impair the value or marketability of the related property;</w:t>
      </w:r>
    </w:p>
    <w:p>
      <w:pPr>
        <w:spacing w:after="0" w:line="184" w:lineRule="exact"/>
        <w:rPr>
          <w:rFonts w:ascii="Arial" w:cs="Arial" w:eastAsia="Arial" w:hAnsi="Arial"/>
          <w:sz w:val="22"/>
          <w:szCs w:val="22"/>
          <w:color w:val="auto"/>
        </w:rPr>
      </w:pPr>
    </w:p>
    <w:p>
      <w:pPr>
        <w:jc w:val="both"/>
        <w:ind w:left="1880" w:firstLine="753"/>
        <w:spacing w:after="0" w:line="317" w:lineRule="auto"/>
        <w:tabs>
          <w:tab w:leader="none" w:pos="3975" w:val="left"/>
        </w:tabs>
        <w:numPr>
          <w:ilvl w:val="0"/>
          <w:numId w:val="27"/>
        </w:numPr>
        <w:rPr>
          <w:rFonts w:ascii="Arial" w:cs="Arial" w:eastAsia="Arial" w:hAnsi="Arial"/>
          <w:sz w:val="19"/>
          <w:szCs w:val="19"/>
          <w:color w:val="auto"/>
        </w:rPr>
      </w:pPr>
      <w:r>
        <w:rPr>
          <w:rFonts w:ascii="Arial" w:cs="Arial" w:eastAsia="Arial" w:hAnsi="Arial"/>
          <w:sz w:val="19"/>
          <w:szCs w:val="19"/>
          <w:color w:val="auto"/>
        </w:rPr>
        <w:t>(A) Without duplication of any Indebtedness incurred pursuant to clause (vii) of the definition of Permitted Indebtedness, Liens on Cash securing obligations permitted under clause (vii) of the definition of Permitted Indebtedness, and (B) security deposits in connection with real property leases, the combination of (A) and (B) in an aggregate amount not to exceed $3,000,000 at any time;</w:t>
      </w:r>
    </w:p>
    <w:p>
      <w:pPr>
        <w:spacing w:after="0" w:line="141" w:lineRule="exact"/>
        <w:rPr>
          <w:rFonts w:ascii="Arial" w:cs="Arial" w:eastAsia="Arial" w:hAnsi="Arial"/>
          <w:sz w:val="19"/>
          <w:szCs w:val="19"/>
          <w:color w:val="auto"/>
        </w:rPr>
      </w:pPr>
    </w:p>
    <w:p>
      <w:pPr>
        <w:jc w:val="both"/>
        <w:ind w:left="1880" w:firstLine="806"/>
        <w:spacing w:after="0" w:line="262" w:lineRule="auto"/>
        <w:tabs>
          <w:tab w:leader="none" w:pos="3975" w:val="left"/>
        </w:tabs>
        <w:numPr>
          <w:ilvl w:val="0"/>
          <w:numId w:val="27"/>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by Borrower or any of its Subsidiaries in connection with any letter of intent or purchase agreement that constitutes a Permitted Acquisition in an aggregate amount not to exceed five percent (5%) of the aggregate purchase consideration paid in connection thereto;</w:t>
      </w:r>
    </w:p>
    <w:p>
      <w:pPr>
        <w:spacing w:after="0" w:line="191" w:lineRule="exact"/>
        <w:rPr>
          <w:rFonts w:ascii="Arial" w:cs="Arial" w:eastAsia="Arial" w:hAnsi="Arial"/>
          <w:sz w:val="22"/>
          <w:szCs w:val="22"/>
          <w:color w:val="auto"/>
        </w:rPr>
      </w:pPr>
    </w:p>
    <w:p>
      <w:pPr>
        <w:ind w:left="1880" w:right="20" w:firstLine="753"/>
        <w:spacing w:after="0" w:line="301" w:lineRule="auto"/>
        <w:tabs>
          <w:tab w:leader="none" w:pos="3975" w:val="left"/>
        </w:tabs>
        <w:numPr>
          <w:ilvl w:val="0"/>
          <w:numId w:val="27"/>
        </w:numPr>
        <w:rPr>
          <w:rFonts w:ascii="Arial" w:cs="Arial" w:eastAsia="Arial" w:hAnsi="Arial"/>
          <w:sz w:val="21"/>
          <w:szCs w:val="21"/>
          <w:color w:val="auto"/>
        </w:rPr>
      </w:pPr>
      <w:r>
        <w:rPr>
          <w:rFonts w:ascii="Arial" w:cs="Arial" w:eastAsia="Arial" w:hAnsi="Arial"/>
          <w:sz w:val="21"/>
          <w:szCs w:val="21"/>
          <w:color w:val="auto"/>
        </w:rPr>
        <w:t>Liens solely on the royalty interests purchased pursuant to a Permitted Royalty Transaction and proceeds thereof and Intellectual Property being financed by such facility;</w:t>
      </w:r>
    </w:p>
    <w:p>
      <w:pPr>
        <w:spacing w:after="0" w:line="150" w:lineRule="exact"/>
        <w:rPr>
          <w:rFonts w:ascii="Arial" w:cs="Arial" w:eastAsia="Arial" w:hAnsi="Arial"/>
          <w:sz w:val="21"/>
          <w:szCs w:val="21"/>
          <w:color w:val="auto"/>
        </w:rPr>
      </w:pPr>
    </w:p>
    <w:p>
      <w:pPr>
        <w:ind w:left="3980" w:hanging="1399"/>
        <w:spacing w:after="0"/>
        <w:tabs>
          <w:tab w:leader="none" w:pos="3980" w:val="left"/>
        </w:tabs>
        <w:numPr>
          <w:ilvl w:val="1"/>
          <w:numId w:val="27"/>
        </w:numPr>
        <w:rPr>
          <w:rFonts w:ascii="Arial" w:cs="Arial" w:eastAsia="Arial" w:hAnsi="Arial"/>
          <w:sz w:val="22"/>
          <w:szCs w:val="22"/>
          <w:color w:val="auto"/>
        </w:rPr>
      </w:pPr>
      <w:r>
        <w:rPr>
          <w:rFonts w:ascii="Arial" w:cs="Arial" w:eastAsia="Arial" w:hAnsi="Arial"/>
          <w:sz w:val="22"/>
          <w:szCs w:val="22"/>
          <w:color w:val="auto"/>
        </w:rPr>
        <w:t>Licenses that qualify as Permitted Transfers; and</w:t>
      </w:r>
    </w:p>
    <w:p>
      <w:pPr>
        <w:spacing w:after="0" w:line="233" w:lineRule="exact"/>
        <w:rPr>
          <w:rFonts w:ascii="Arial" w:cs="Arial" w:eastAsia="Arial" w:hAnsi="Arial"/>
          <w:sz w:val="22"/>
          <w:szCs w:val="22"/>
          <w:color w:val="auto"/>
        </w:rPr>
      </w:pPr>
    </w:p>
    <w:p>
      <w:pPr>
        <w:jc w:val="both"/>
        <w:ind w:left="1880" w:firstLine="648"/>
        <w:spacing w:after="0" w:line="261" w:lineRule="auto"/>
        <w:tabs>
          <w:tab w:leader="none" w:pos="3975" w:val="left"/>
        </w:tabs>
        <w:numPr>
          <w:ilvl w:val="1"/>
          <w:numId w:val="27"/>
        </w:numPr>
        <w:rPr>
          <w:rFonts w:ascii="Arial" w:cs="Arial" w:eastAsia="Arial" w:hAnsi="Arial"/>
          <w:sz w:val="22"/>
          <w:szCs w:val="22"/>
          <w:color w:val="auto"/>
        </w:rPr>
      </w:pPr>
      <w:r>
        <w:rPr>
          <w:rFonts w:ascii="Arial" w:cs="Arial" w:eastAsia="Arial" w:hAnsi="Arial"/>
          <w:sz w:val="22"/>
          <w:szCs w:val="22"/>
          <w:color w:val="auto"/>
        </w:rPr>
        <w:t>Liens incurred in connection with the extension, renewal or refinancing of the Indebtedness secured by Liens of the type described in clauses (i) through (xvii) above; provided, that any extension, renewal or replacement Lien shall be limited to the property encumbered by the existing Lien and the principal amount of the Indebtedness being extended, renewed or refinanced (as may have been reduced by any payment thereon) does not increase.</w:t>
      </w:r>
    </w:p>
    <w:p>
      <w:pPr>
        <w:spacing w:after="0" w:line="190" w:lineRule="exact"/>
        <w:rPr>
          <w:sz w:val="20"/>
          <w:szCs w:val="20"/>
          <w:color w:val="auto"/>
        </w:rPr>
      </w:pPr>
    </w:p>
    <w:p>
      <w:pPr>
        <w:jc w:val="both"/>
        <w:ind w:firstLine="1497"/>
        <w:spacing w:after="0" w:line="259" w:lineRule="auto"/>
        <w:rPr>
          <w:sz w:val="20"/>
          <w:szCs w:val="20"/>
          <w:color w:val="auto"/>
        </w:rPr>
      </w:pPr>
      <w:r>
        <w:rPr>
          <w:rFonts w:ascii="Arial" w:cs="Arial" w:eastAsia="Arial" w:hAnsi="Arial"/>
          <w:sz w:val="22"/>
          <w:szCs w:val="22"/>
          <w:color w:val="auto"/>
        </w:rPr>
        <w:t>“Permitted Royalty Transaction” means any synthetic royalty participations (and not royalty purchases or buyouts) with respect to any of AXS-05, AXS-07, AXS-12, AXS-14 and/or any other proprietary assets of the Borrower whereby Borrower receives upfront unrestricted (including, not subject to any redemption, clawback, escrow or similar encumbrance or restriction) net cash proceeds of at least $100,000,000 in exchange for rights to participation payments based on net sales of AXS-05, AXS-07, AXS-12, AXS-14 and/or any other proprietary assets of the Borrower in an amount not to exceed 7.5% of net sales, and on terms (including without limitation, that any security granted in connection with such Permitted Royalty Transaction is limited solely to the respective Intellectual Property being financed by such facility) and with a purchaser satisfactory to Agent.</w:t>
      </w:r>
    </w:p>
    <w:p>
      <w:pPr>
        <w:spacing w:after="0" w:line="19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“Permitted Transfers” means:</w:t>
      </w:r>
    </w:p>
    <w:p>
      <w:pPr>
        <w:spacing w:after="0" w:line="233" w:lineRule="exact"/>
        <w:rPr>
          <w:sz w:val="20"/>
          <w:szCs w:val="20"/>
          <w:color w:val="auto"/>
        </w:rPr>
      </w:pPr>
    </w:p>
    <w:p>
      <w:pPr>
        <w:ind w:left="3980" w:hanging="1157"/>
        <w:spacing w:after="0"/>
        <w:tabs>
          <w:tab w:leader="none" w:pos="3980" w:val="left"/>
        </w:tabs>
        <w:numPr>
          <w:ilvl w:val="0"/>
          <w:numId w:val="28"/>
        </w:numPr>
        <w:rPr>
          <w:rFonts w:ascii="Arial" w:cs="Arial" w:eastAsia="Arial" w:hAnsi="Arial"/>
          <w:sz w:val="22"/>
          <w:szCs w:val="22"/>
          <w:color w:val="auto"/>
        </w:rPr>
      </w:pPr>
      <w:r>
        <w:rPr>
          <w:rFonts w:ascii="Arial" w:cs="Arial" w:eastAsia="Arial" w:hAnsi="Arial"/>
          <w:sz w:val="22"/>
          <w:szCs w:val="22"/>
          <w:color w:val="auto"/>
        </w:rPr>
        <w:t>sales of Inventory in the ordinary course of business,</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9" w:name="page110"/>
    <w:bookmarkEnd w:id="109"/>
    <w:p>
      <w:pPr>
        <w:jc w:val="both"/>
        <w:ind w:left="1880" w:firstLine="891"/>
        <w:spacing w:after="0" w:line="297" w:lineRule="auto"/>
        <w:tabs>
          <w:tab w:leader="none" w:pos="3975" w:val="left"/>
        </w:tabs>
        <w:numPr>
          <w:ilvl w:val="1"/>
          <w:numId w:val="29"/>
        </w:numPr>
        <w:rPr>
          <w:rFonts w:ascii="Arial" w:cs="Arial" w:eastAsia="Arial" w:hAnsi="Arial"/>
          <w:sz w:val="19"/>
          <w:szCs w:val="19"/>
          <w:color w:val="auto"/>
        </w:rPr>
      </w:pPr>
      <w:r>
        <w:rPr>
          <w:rFonts w:ascii="Arial" w:cs="Arial" w:eastAsia="Arial" w:hAnsi="Arial"/>
          <w:sz w:val="19"/>
          <w:szCs w:val="19"/>
          <w:color w:val="auto"/>
        </w:rPr>
        <w:t>(A) licenses and similar arrangements for the use of Intellectual Property in the ordinary course of business that could not result in a legal transfer of title of the licensed property that are non-exclusive or may be exclusive in respects other than territory or may be exclusive as to territory but only as to discreet geographical areas outside of the United States of America in the ordinary course; and</w:t>
      </w:r>
    </w:p>
    <w:p>
      <w:pPr>
        <w:spacing w:after="0" w:line="2" w:lineRule="exact"/>
        <w:rPr>
          <w:rFonts w:ascii="Arial" w:cs="Arial" w:eastAsia="Arial" w:hAnsi="Arial"/>
          <w:sz w:val="19"/>
          <w:szCs w:val="19"/>
          <w:color w:val="auto"/>
        </w:rPr>
      </w:pPr>
    </w:p>
    <w:p>
      <w:pPr>
        <w:jc w:val="both"/>
        <w:ind w:left="1880"/>
        <w:spacing w:after="0" w:line="261" w:lineRule="auto"/>
        <w:tabs>
          <w:tab w:leader="none" w:pos="2294"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abandonment, permitted lapse, cancellation, termination and/or cessation of any immaterial Company IP that is, in the reasonable judgment of the Borrower, no longer economically practicable, commercially desirable to maintain or useful, in each case, in the conduct of business of the Borrower and its Subsidiaries taken as a whole,</w:t>
      </w:r>
    </w:p>
    <w:p>
      <w:pPr>
        <w:spacing w:after="0" w:line="191" w:lineRule="exact"/>
        <w:rPr>
          <w:rFonts w:ascii="Arial" w:cs="Arial" w:eastAsia="Arial" w:hAnsi="Arial"/>
          <w:sz w:val="22"/>
          <w:szCs w:val="22"/>
          <w:color w:val="auto"/>
        </w:rPr>
      </w:pPr>
    </w:p>
    <w:p>
      <w:pPr>
        <w:ind w:left="1880" w:right="20" w:firstLine="838"/>
        <w:spacing w:after="0" w:line="276" w:lineRule="auto"/>
        <w:tabs>
          <w:tab w:leader="none" w:pos="3975" w:val="left"/>
        </w:tabs>
        <w:numPr>
          <w:ilvl w:val="1"/>
          <w:numId w:val="30"/>
        </w:numPr>
        <w:rPr>
          <w:rFonts w:ascii="Arial" w:cs="Arial" w:eastAsia="Arial" w:hAnsi="Arial"/>
          <w:sz w:val="22"/>
          <w:szCs w:val="22"/>
          <w:color w:val="auto"/>
        </w:rPr>
      </w:pPr>
      <w:r>
        <w:rPr>
          <w:rFonts w:ascii="Arial" w:cs="Arial" w:eastAsia="Arial" w:hAnsi="Arial"/>
          <w:sz w:val="22"/>
          <w:szCs w:val="22"/>
          <w:color w:val="auto"/>
        </w:rPr>
        <w:t>dispositions of worn-out, obsolete or surplus Equipment at fair market value in the ordinary course of business,</w:t>
      </w:r>
    </w:p>
    <w:p>
      <w:pPr>
        <w:spacing w:after="0" w:line="174" w:lineRule="exact"/>
        <w:rPr>
          <w:rFonts w:ascii="Arial" w:cs="Arial" w:eastAsia="Arial" w:hAnsi="Arial"/>
          <w:sz w:val="22"/>
          <w:szCs w:val="22"/>
          <w:color w:val="auto"/>
        </w:rPr>
      </w:pPr>
    </w:p>
    <w:p>
      <w:pPr>
        <w:ind w:left="3980" w:hanging="1252"/>
        <w:spacing w:after="0"/>
        <w:tabs>
          <w:tab w:leader="none" w:pos="3980" w:val="left"/>
        </w:tabs>
        <w:numPr>
          <w:ilvl w:val="1"/>
          <w:numId w:val="30"/>
        </w:numPr>
        <w:rPr>
          <w:rFonts w:ascii="Arial" w:cs="Arial" w:eastAsia="Arial" w:hAnsi="Arial"/>
          <w:sz w:val="19"/>
          <w:szCs w:val="19"/>
          <w:color w:val="auto"/>
        </w:rPr>
      </w:pPr>
      <w:r>
        <w:rPr>
          <w:rFonts w:ascii="Arial" w:cs="Arial" w:eastAsia="Arial" w:hAnsi="Arial"/>
          <w:sz w:val="19"/>
          <w:szCs w:val="19"/>
          <w:color w:val="auto"/>
        </w:rPr>
        <w:t>to the extent constituting Transfers, Permitted Liens and Permitted Investments,</w:t>
      </w:r>
    </w:p>
    <w:p>
      <w:pPr>
        <w:spacing w:after="0" w:line="267" w:lineRule="exact"/>
        <w:rPr>
          <w:rFonts w:ascii="Arial" w:cs="Arial" w:eastAsia="Arial" w:hAnsi="Arial"/>
          <w:sz w:val="19"/>
          <w:szCs w:val="19"/>
          <w:color w:val="auto"/>
        </w:rPr>
      </w:pPr>
    </w:p>
    <w:p>
      <w:pPr>
        <w:ind w:left="3980" w:hanging="1199"/>
        <w:spacing w:after="0"/>
        <w:tabs>
          <w:tab w:leader="none" w:pos="3980" w:val="left"/>
        </w:tabs>
        <w:numPr>
          <w:ilvl w:val="1"/>
          <w:numId w:val="30"/>
        </w:numPr>
        <w:rPr>
          <w:rFonts w:ascii="Arial" w:cs="Arial" w:eastAsia="Arial" w:hAnsi="Arial"/>
          <w:sz w:val="22"/>
          <w:szCs w:val="22"/>
          <w:color w:val="auto"/>
        </w:rPr>
      </w:pPr>
      <w:r>
        <w:rPr>
          <w:rFonts w:ascii="Arial" w:cs="Arial" w:eastAsia="Arial" w:hAnsi="Arial"/>
          <w:sz w:val="22"/>
          <w:szCs w:val="22"/>
          <w:color w:val="auto"/>
        </w:rPr>
        <w:t>Permitted Royalty Transactions,</w:t>
      </w:r>
    </w:p>
    <w:p>
      <w:pPr>
        <w:spacing w:after="0" w:line="233" w:lineRule="exact"/>
        <w:rPr>
          <w:rFonts w:ascii="Arial" w:cs="Arial" w:eastAsia="Arial" w:hAnsi="Arial"/>
          <w:sz w:val="22"/>
          <w:szCs w:val="22"/>
          <w:color w:val="auto"/>
        </w:rPr>
      </w:pPr>
    </w:p>
    <w:p>
      <w:pPr>
        <w:jc w:val="both"/>
        <w:ind w:left="1880" w:firstLine="848"/>
        <w:spacing w:after="0" w:line="266" w:lineRule="auto"/>
        <w:tabs>
          <w:tab w:leader="none" w:pos="3975" w:val="left"/>
        </w:tabs>
        <w:numPr>
          <w:ilvl w:val="1"/>
          <w:numId w:val="30"/>
        </w:numPr>
        <w:rPr>
          <w:rFonts w:ascii="Arial" w:cs="Arial" w:eastAsia="Arial" w:hAnsi="Arial"/>
          <w:sz w:val="22"/>
          <w:szCs w:val="22"/>
          <w:color w:val="auto"/>
        </w:rPr>
      </w:pPr>
      <w:r>
        <w:rPr>
          <w:rFonts w:ascii="Arial" w:cs="Arial" w:eastAsia="Arial" w:hAnsi="Arial"/>
          <w:sz w:val="22"/>
          <w:szCs w:val="22"/>
          <w:color w:val="auto"/>
        </w:rPr>
        <w:t>the disposition of any Permitted Convertible Debt, any Hedge Agreement or in connection with any Permitted Bond Hedge Transaction or Permitted Warrant Transaction, in each case as permitted hereunder,</w:t>
      </w:r>
    </w:p>
    <w:p>
      <w:pPr>
        <w:spacing w:after="0" w:line="184" w:lineRule="exact"/>
        <w:rPr>
          <w:rFonts w:ascii="Arial" w:cs="Arial" w:eastAsia="Arial" w:hAnsi="Arial"/>
          <w:sz w:val="22"/>
          <w:szCs w:val="22"/>
          <w:color w:val="auto"/>
        </w:rPr>
      </w:pPr>
    </w:p>
    <w:p>
      <w:pPr>
        <w:ind w:left="1880" w:right="20" w:firstLine="796"/>
        <w:spacing w:after="0" w:line="276" w:lineRule="auto"/>
        <w:tabs>
          <w:tab w:leader="none" w:pos="3975" w:val="left"/>
        </w:tabs>
        <w:numPr>
          <w:ilvl w:val="2"/>
          <w:numId w:val="30"/>
        </w:numPr>
        <w:rPr>
          <w:rFonts w:ascii="Arial" w:cs="Arial" w:eastAsia="Arial" w:hAnsi="Arial"/>
          <w:sz w:val="22"/>
          <w:szCs w:val="22"/>
          <w:color w:val="auto"/>
        </w:rPr>
      </w:pPr>
      <w:r>
        <w:rPr>
          <w:rFonts w:ascii="Arial" w:cs="Arial" w:eastAsia="Arial" w:hAnsi="Arial"/>
          <w:sz w:val="22"/>
          <w:szCs w:val="22"/>
          <w:color w:val="auto"/>
        </w:rPr>
        <w:t>the use or transfer of Cash in a manner that is not prohibited by the terms of this Agreement or the other Loan Documents and in the ordinary course of business,</w:t>
      </w:r>
    </w:p>
    <w:p>
      <w:pPr>
        <w:spacing w:after="0" w:line="174" w:lineRule="exact"/>
        <w:rPr>
          <w:rFonts w:ascii="Arial" w:cs="Arial" w:eastAsia="Arial" w:hAnsi="Arial"/>
          <w:sz w:val="22"/>
          <w:szCs w:val="22"/>
          <w:color w:val="auto"/>
        </w:rPr>
      </w:pPr>
    </w:p>
    <w:p>
      <w:pPr>
        <w:jc w:val="both"/>
        <w:ind w:left="1880" w:firstLine="743"/>
        <w:spacing w:after="0" w:line="260" w:lineRule="auto"/>
        <w:tabs>
          <w:tab w:leader="none" w:pos="3975" w:val="left"/>
        </w:tabs>
        <w:numPr>
          <w:ilvl w:val="2"/>
          <w:numId w:val="30"/>
        </w:numPr>
        <w:rPr>
          <w:rFonts w:ascii="Arial" w:cs="Arial" w:eastAsia="Arial" w:hAnsi="Arial"/>
          <w:sz w:val="22"/>
          <w:szCs w:val="22"/>
          <w:color w:val="auto"/>
        </w:rPr>
      </w:pPr>
      <w:r>
        <w:rPr>
          <w:rFonts w:ascii="Arial" w:cs="Arial" w:eastAsia="Arial" w:hAnsi="Arial"/>
          <w:sz w:val="22"/>
          <w:szCs w:val="22"/>
          <w:color w:val="auto"/>
        </w:rPr>
        <w:t>transfers by and among the Borrower and any of its Subsidiaries (other than Permitted Investments); provided that (a)(x) such transfers are in the ordinary course of business and (y) with respect to any transfers to an Excluded Subsidiary, such transfers do not involve any transfer of any Intellectual Property and are in an aggregate amount not to exceed $500,000 in any fiscal year or (b) such Subsidiary has entered into a Joinder Agreement and such other documents as shall reasonably be required by Agent, and</w:t>
      </w:r>
    </w:p>
    <w:p>
      <w:pPr>
        <w:spacing w:after="0" w:line="191" w:lineRule="exact"/>
        <w:rPr>
          <w:rFonts w:ascii="Arial" w:cs="Arial" w:eastAsia="Arial" w:hAnsi="Arial"/>
          <w:sz w:val="22"/>
          <w:szCs w:val="22"/>
          <w:color w:val="auto"/>
        </w:rPr>
      </w:pPr>
    </w:p>
    <w:p>
      <w:pPr>
        <w:ind w:left="1880" w:firstLine="848"/>
        <w:spacing w:after="0" w:line="276" w:lineRule="auto"/>
        <w:tabs>
          <w:tab w:leader="none" w:pos="3975" w:val="left"/>
        </w:tabs>
        <w:numPr>
          <w:ilvl w:val="2"/>
          <w:numId w:val="30"/>
        </w:numPr>
        <w:rPr>
          <w:rFonts w:ascii="Arial" w:cs="Arial" w:eastAsia="Arial" w:hAnsi="Arial"/>
          <w:sz w:val="22"/>
          <w:szCs w:val="22"/>
          <w:color w:val="auto"/>
        </w:rPr>
      </w:pPr>
      <w:r>
        <w:rPr>
          <w:rFonts w:ascii="Arial" w:cs="Arial" w:eastAsia="Arial" w:hAnsi="Arial"/>
          <w:sz w:val="22"/>
          <w:szCs w:val="22"/>
          <w:color w:val="auto"/>
        </w:rPr>
        <w:t>other transfers of assets having a fair market value of not more than $500,000 in the aggregate in any fiscal year.</w:t>
      </w:r>
    </w:p>
    <w:p>
      <w:pPr>
        <w:spacing w:after="0" w:line="174" w:lineRule="exact"/>
        <w:rPr>
          <w:sz w:val="20"/>
          <w:szCs w:val="20"/>
          <w:color w:val="auto"/>
        </w:rPr>
      </w:pPr>
    </w:p>
    <w:p>
      <w:pPr>
        <w:jc w:val="both"/>
        <w:ind w:firstLine="1497"/>
        <w:spacing w:after="0" w:line="306" w:lineRule="auto"/>
        <w:rPr>
          <w:sz w:val="20"/>
          <w:szCs w:val="20"/>
          <w:color w:val="auto"/>
        </w:rPr>
      </w:pPr>
      <w:r>
        <w:rPr>
          <w:rFonts w:ascii="Arial" w:cs="Arial" w:eastAsia="Arial" w:hAnsi="Arial"/>
          <w:sz w:val="19"/>
          <w:szCs w:val="19"/>
          <w:color w:val="auto"/>
        </w:rPr>
        <w:t>“Permitted Warrant Transaction” means any call option, warrant or right to purchase (or substantively equivalent derivative transaction) relating to Common Stock (or other securities or property following a merger event or other change of the Common Stock) and/or cash (in an amount determined by reference to the price of such Common Stock) sold by Borrower substantially concurrently with any purchase by Borrower of a related Permitted Bond Hedge Transaction and as may be amended in accordance with its terms; provided that (x) that the terms, conditions and covenants of each such call option transaction are customary for agreements of such type, as determined in good faith by the board of directors of the Borrower or a committee thereof and (y) such call option transaction would be classified as an equity instrument in accordance with GAAP.</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0" w:name="page111"/>
    <w:bookmarkEnd w:id="110"/>
    <w:p>
      <w:pPr>
        <w:jc w:val="both"/>
        <w:ind w:firstLine="1497"/>
        <w:spacing w:after="0" w:line="276" w:lineRule="auto"/>
        <w:rPr>
          <w:sz w:val="20"/>
          <w:szCs w:val="20"/>
          <w:color w:val="auto"/>
        </w:rPr>
      </w:pPr>
      <w:r>
        <w:rPr>
          <w:rFonts w:ascii="Arial" w:cs="Arial" w:eastAsia="Arial" w:hAnsi="Arial"/>
          <w:sz w:val="22"/>
          <w:szCs w:val="22"/>
          <w:color w:val="auto"/>
        </w:rPr>
        <w:t>“Person” means any individual, sole proprietorship, partnership, joint venture, trust, unincorporated organization, association, corporation, limited liability company, institution, other entity or government.</w:t>
      </w:r>
    </w:p>
    <w:p>
      <w:pPr>
        <w:spacing w:after="0" w:line="17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“Pledge Agreement” means the Pledge Agreement dated as of the Closing Date between Borrower and Agent, as the same may from time to time be amended, restated, modified or otherwise supplemented.</w:t>
      </w:r>
    </w:p>
    <w:p>
      <w:pPr>
        <w:spacing w:after="0" w:line="174" w:lineRule="exact"/>
        <w:rPr>
          <w:sz w:val="20"/>
          <w:szCs w:val="20"/>
          <w:color w:val="auto"/>
        </w:rPr>
      </w:pPr>
    </w:p>
    <w:p>
      <w:pPr>
        <w:jc w:val="both"/>
        <w:ind w:firstLine="1497"/>
        <w:spacing w:after="0" w:line="272" w:lineRule="auto"/>
        <w:rPr>
          <w:sz w:val="20"/>
          <w:szCs w:val="20"/>
          <w:color w:val="auto"/>
        </w:rPr>
      </w:pPr>
      <w:r>
        <w:rPr>
          <w:rFonts w:ascii="Arial" w:cs="Arial" w:eastAsia="Arial" w:hAnsi="Arial"/>
          <w:sz w:val="21"/>
          <w:szCs w:val="21"/>
          <w:color w:val="auto"/>
        </w:rPr>
        <w:t>“Public Health Laws” means all Requirements of Law relating to the procurement, development, clinical and non-clinical evaluation, product approval or licensure, manufacture, production, analysis, distribution, dispensing,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the regulations promulgated by the FDA at Title 21 of the Code of Federal Regulations and all applicable regulations promulgated by the National Institutes of Health (“NIH”) and codified at Title 42 of the Code of Federal Regulations, and guidance, compliance, guides, and other policies issued by the FDA, the NIH and other comparable governmental authorities.</w:t>
      </w:r>
    </w:p>
    <w:p>
      <w:pPr>
        <w:spacing w:after="0" w:line="183"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“Qualified Cash” means the amount of Borrower’s Cash held in accounts subject to an Account Control Agreement in favor of Agent.</w:t>
      </w:r>
    </w:p>
    <w:p>
      <w:pPr>
        <w:spacing w:after="0" w:line="174" w:lineRule="exact"/>
        <w:rPr>
          <w:sz w:val="20"/>
          <w:szCs w:val="20"/>
          <w:color w:val="auto"/>
        </w:rPr>
      </w:pPr>
    </w:p>
    <w:p>
      <w:pPr>
        <w:jc w:val="both"/>
        <w:ind w:right="20" w:firstLine="1497"/>
        <w:spacing w:after="0" w:line="276" w:lineRule="auto"/>
        <w:rPr>
          <w:sz w:val="20"/>
          <w:szCs w:val="20"/>
          <w:color w:val="auto"/>
        </w:rPr>
      </w:pPr>
      <w:r>
        <w:rPr>
          <w:rFonts w:ascii="Arial" w:cs="Arial" w:eastAsia="Arial" w:hAnsi="Arial"/>
          <w:sz w:val="22"/>
          <w:szCs w:val="22"/>
          <w:color w:val="auto"/>
        </w:rPr>
        <w:t>“Qualified Cash A/P Amount” means the amount of Borrower’s accounts payable under GAAP not paid after the 180th day following the invoice for such account payable.</w:t>
      </w:r>
    </w:p>
    <w:p>
      <w:pPr>
        <w:spacing w:after="0" w:line="174"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“Receivables” means (i) all of Borrower’s Accounts, Instruments, Documents, Chattel Paper, Supporting Obligations, letters of credit, proceeds of any letter of credit, and Letter of Credit Rights, and (ii) all customer lists, software, and business records related thereto.</w:t>
      </w:r>
    </w:p>
    <w:p>
      <w:pPr>
        <w:spacing w:after="0" w:line="185" w:lineRule="exact"/>
        <w:rPr>
          <w:sz w:val="20"/>
          <w:szCs w:val="20"/>
          <w:color w:val="auto"/>
        </w:rPr>
      </w:pPr>
    </w:p>
    <w:p>
      <w:pPr>
        <w:jc w:val="both"/>
        <w:ind w:firstLine="1497"/>
        <w:spacing w:after="0" w:line="317" w:lineRule="auto"/>
        <w:rPr>
          <w:sz w:val="20"/>
          <w:szCs w:val="20"/>
          <w:color w:val="auto"/>
        </w:rPr>
      </w:pPr>
      <w:r>
        <w:rPr>
          <w:rFonts w:ascii="Arial" w:cs="Arial" w:eastAsia="Arial" w:hAnsi="Arial"/>
          <w:sz w:val="19"/>
          <w:szCs w:val="19"/>
          <w:color w:val="auto"/>
        </w:rPr>
        <w:t>“Redemption Conditions” means, with respect to any payment of cash in respect of the principal amount of any Permitted Convertible Debt, satisfaction of each of the following events: (a) no Default or Event of Default shall exist or result therefrom, and (b) both immediately before and at all times after such redemption, Borrower’s Qualified Cash shall be no less than 150% of the outstanding principal amount of the Secured Obligations plus the Qualified Cash A/P Amount.</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“Register” has the meaning specified in Section 11.7.</w:t>
      </w:r>
    </w:p>
    <w:p>
      <w:pPr>
        <w:spacing w:after="0" w:line="233"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2"/>
          <w:szCs w:val="22"/>
          <w:color w:val="auto"/>
        </w:rPr>
        <w:t>“Registrations” shall mean authorizations, approvals, licenses, permits, certificates, registrations, listings, certificates, or exemptions of or issued by any governmental authority (including marketing approvals, investigational new drug applications, product recertifications, drug manufacturing establishment registration and product listing, pricing and reimbursement approvals, labeling approvals or their foreign equivalent) that are required for the research, development, manufacture, commercialization, distribution, marketing, storage, transportation, pricing, governmental authority reimbursement, use and sale of Borrower Products.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1" w:name="page112"/>
    <w:bookmarkEnd w:id="111"/>
    <w:p>
      <w:pPr>
        <w:jc w:val="both"/>
        <w:ind w:firstLine="1497"/>
        <w:spacing w:after="0" w:line="317" w:lineRule="auto"/>
        <w:rPr>
          <w:sz w:val="20"/>
          <w:szCs w:val="20"/>
          <w:color w:val="auto"/>
        </w:rPr>
      </w:pPr>
      <w:r>
        <w:rPr>
          <w:rFonts w:ascii="Arial" w:cs="Arial" w:eastAsia="Arial" w:hAnsi="Arial"/>
          <w:sz w:val="19"/>
          <w:szCs w:val="19"/>
          <w:color w:val="auto"/>
        </w:rPr>
        <w:t>“Regulatory Action” means an administrative or regulatory enforcement action, proceeding or investigation, warning letter, untitled letter, Form 483 or similar inspectional observations, other notice of violation letter, recall, seizure, Section 305 notice or other similar written communication, or consent decree, issued or required by the FDA or under the Public Health Laws, the NIH or a comparable governmental authority in any other regulatory jurisdiction.</w:t>
      </w:r>
    </w:p>
    <w:p>
      <w:pPr>
        <w:spacing w:after="0" w:line="142" w:lineRule="exact"/>
        <w:rPr>
          <w:sz w:val="20"/>
          <w:szCs w:val="20"/>
          <w:color w:val="auto"/>
        </w:rPr>
      </w:pPr>
    </w:p>
    <w:p>
      <w:pPr>
        <w:jc w:val="both"/>
        <w:ind w:right="20" w:firstLine="1497"/>
        <w:spacing w:after="0" w:line="276" w:lineRule="auto"/>
        <w:rPr>
          <w:sz w:val="20"/>
          <w:szCs w:val="20"/>
          <w:color w:val="auto"/>
        </w:rPr>
      </w:pPr>
      <w:r>
        <w:rPr>
          <w:rFonts w:ascii="Arial" w:cs="Arial" w:eastAsia="Arial" w:hAnsi="Arial"/>
          <w:sz w:val="22"/>
          <w:szCs w:val="22"/>
          <w:color w:val="auto"/>
        </w:rPr>
        <w:t>“Required Lenders” means at any time, the holders of more than 50% of the sum of the aggregate unpaid principal amount of the Term Loans then outstanding.</w:t>
      </w:r>
    </w:p>
    <w:p>
      <w:pPr>
        <w:spacing w:after="0" w:line="174" w:lineRule="exact"/>
        <w:rPr>
          <w:sz w:val="20"/>
          <w:szCs w:val="20"/>
          <w:color w:val="auto"/>
        </w:rPr>
      </w:pPr>
    </w:p>
    <w:p>
      <w:pPr>
        <w:jc w:val="both"/>
        <w:ind w:firstLine="1497"/>
        <w:spacing w:after="0" w:line="260" w:lineRule="auto"/>
        <w:rPr>
          <w:sz w:val="20"/>
          <w:szCs w:val="20"/>
          <w:color w:val="auto"/>
        </w:rPr>
      </w:pPr>
      <w:r>
        <w:rPr>
          <w:rFonts w:ascii="Arial" w:cs="Arial" w:eastAsia="Arial" w:hAnsi="Arial"/>
          <w:sz w:val="22"/>
          <w:szCs w:val="22"/>
          <w:color w:val="auto"/>
        </w:rPr>
        <w:t>“Requirements of Law”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92" w:lineRule="exact"/>
        <w:rPr>
          <w:sz w:val="20"/>
          <w:szCs w:val="20"/>
          <w:color w:val="auto"/>
        </w:rPr>
      </w:pPr>
    </w:p>
    <w:p>
      <w:pPr>
        <w:jc w:val="both"/>
        <w:ind w:firstLine="1497"/>
        <w:spacing w:after="0" w:line="261" w:lineRule="auto"/>
        <w:rPr>
          <w:sz w:val="20"/>
          <w:szCs w:val="20"/>
          <w:color w:val="auto"/>
        </w:rPr>
      </w:pPr>
      <w:r>
        <w:rPr>
          <w:rFonts w:ascii="Arial" w:cs="Arial" w:eastAsia="Arial" w:hAnsi="Arial"/>
          <w:sz w:val="22"/>
          <w:szCs w:val="22"/>
          <w:color w:val="auto"/>
        </w:rPr>
        <w:t>“Restricted License” means any Material Agreement with respect to which Borrower is the licensee (other than over-the-counter software and software that is commercially available to the public) (a) that prohibits or otherwise restricts Borrower from granting a security interest in Borrower’s interest in such Material Agreement or any other property, or (b) for which a default under or termination of could reasonably be expected to interfere in any material respect with the Agent’s right to sell any Collateral.</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“Sanctioned Country” means, at any time, a country or territory which is the subject or target of any Sanctions.</w:t>
      </w:r>
    </w:p>
    <w:p>
      <w:pPr>
        <w:spacing w:after="0" w:line="268" w:lineRule="exact"/>
        <w:rPr>
          <w:sz w:val="20"/>
          <w:szCs w:val="20"/>
          <w:color w:val="auto"/>
        </w:rPr>
      </w:pPr>
    </w:p>
    <w:p>
      <w:pPr>
        <w:jc w:val="both"/>
        <w:ind w:firstLine="1497"/>
        <w:spacing w:after="0" w:line="279" w:lineRule="auto"/>
        <w:rPr>
          <w:sz w:val="20"/>
          <w:szCs w:val="20"/>
          <w:color w:val="auto"/>
        </w:rPr>
      </w:pPr>
      <w:r>
        <w:rPr>
          <w:rFonts w:ascii="Arial" w:cs="Arial" w:eastAsia="Arial" w:hAnsi="Arial"/>
          <w:sz w:val="21"/>
          <w:szCs w:val="21"/>
          <w:color w:val="auto"/>
        </w:rPr>
        <w:t>“Sanctioned Person” means, at any time, (a) any Person listed in any Sanctions-related list of designated Persons maintained by the Office of Foreign Assets Control of the U.S. Department of the Treasury or the U.S. Department of State, or by the United Nations Security Council, the European Union or any EU member state, (b) any Person operating, organized or resident in a Sanctioned Country or (c) any Person controlled by any such Person.</w:t>
      </w:r>
    </w:p>
    <w:p>
      <w:pPr>
        <w:spacing w:after="0" w:line="173"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“Sanctions”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or Her Majesty’s Treasury of the United Kingdom.</w:t>
      </w:r>
    </w:p>
    <w:p>
      <w:pPr>
        <w:spacing w:after="0" w:line="191"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“Second Interest Only Extension Conditions” shall mean satisfaction of each of the following events: (a) no default or Event of Default shall have occurred and be continuing; (b) the AXS-05 Milestone has been achieved; and (c) the AXS-07 Milestone has been achieved on or prior to April 30, 2026.</w:t>
      </w:r>
    </w:p>
    <w:p>
      <w:pPr>
        <w:spacing w:after="0" w:line="185"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“Secured Obligations” means Borrower’s obligations under this Agreement and any Loan Document (other than the Warrant), including any obligation to pay any amount now owing or later arising.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2" w:name="page113"/>
    <w:bookmarkEnd w:id="112"/>
    <w:p>
      <w:pPr>
        <w:jc w:val="both"/>
        <w:ind w:firstLine="1497"/>
        <w:spacing w:after="0" w:line="266" w:lineRule="auto"/>
        <w:rPr>
          <w:sz w:val="20"/>
          <w:szCs w:val="20"/>
          <w:color w:val="auto"/>
        </w:rPr>
      </w:pPr>
      <w:r>
        <w:rPr>
          <w:rFonts w:ascii="Arial" w:cs="Arial" w:eastAsia="Arial" w:hAnsi="Arial"/>
          <w:sz w:val="22"/>
          <w:szCs w:val="22"/>
          <w:color w:val="auto"/>
        </w:rPr>
        <w:t>“Subordinated Indebtedness” means Indebtedness subordinated to the Secured Obligations in amounts and on terms and conditions satisfactory to Agent in its sole discretion and subject to a subordination agreement in form and substance satisfactory to Agent in its sole discretion.</w:t>
      </w:r>
    </w:p>
    <w:p>
      <w:pPr>
        <w:spacing w:after="0" w:line="185" w:lineRule="exact"/>
        <w:rPr>
          <w:sz w:val="20"/>
          <w:szCs w:val="20"/>
          <w:color w:val="auto"/>
        </w:rPr>
      </w:pPr>
    </w:p>
    <w:p>
      <w:pPr>
        <w:jc w:val="both"/>
        <w:ind w:firstLine="1497"/>
        <w:spacing w:after="0" w:line="300" w:lineRule="auto"/>
        <w:rPr>
          <w:sz w:val="20"/>
          <w:szCs w:val="20"/>
          <w:color w:val="auto"/>
        </w:rPr>
      </w:pPr>
      <w:r>
        <w:rPr>
          <w:rFonts w:ascii="Arial" w:cs="Arial" w:eastAsia="Arial" w:hAnsi="Arial"/>
          <w:sz w:val="19"/>
          <w:szCs w:val="19"/>
          <w:color w:val="auto"/>
        </w:rPr>
        <w:t>“Subsequent Financing” means the closing of any equity financing which becomes effective after the Closing Date in which Borrower receives net cash proceeds in excess of $25,000,000 from the sale and issuance of its Equity Interests for Cash primarily for capital raising purposes and that is broadly marketed to multiple investors, which shall not include any Permitted Convertible Debt offering (or any Permitted Bond Hedge Transaction or Permitted Warrant Transaction) or any issuance or sale by Borrower of its Equity Interests (i) pursuant to benefit plans or arrangements, including under Borrower’s equity incentive plans (whether currently in effect or adopted by Borrower after the Closing Date) or otherwise as equity compensation, (ii) as dividends or distributions or upon stock splits, recapitalizations or similar transactions, (iii) pursuant to a merger, consolidation, acquisition, strategic alliance or similar business combination or acquisition, (iv) to banks, funds, equipment or real property lessors or other financial institutions pursuant to a non-convertible debt financing, equipment lease, loan or credit arrangement or commercial leasing transaction entered into for primarily non-equity financing purposes, (v) in connection with strategic transactions, including (A) joint ventures, manufacturing, marketing, OEM, sponsored research, collaboration or distribution arrangements or (B) technology transfer or development arrangements, (vi) securities issued or issuable to suppliers or third party service providers in connection with the provision of goods or services, (vii) in an at-the-market (ATM) offering, and (viii) securities issued in connection with options, warrants, convertible securities or other arrangement in existence on the Closing Date or issued in transactions excluded from the definition of Subsequent Financing pursuant to clause (i) through (vii) above; provided, however, that, if Borrower or its agents attempts to “wall-cross” the Lender or its assignee or nominee in conjunction with any Subsequent Financing and the Lender or its assignee or nominee declines to be “wall-crossed,” then the issuance and sale of such equity securities shall not be considered a Subsequent Financing hereunder.</w:t>
      </w:r>
    </w:p>
    <w:p>
      <w:pPr>
        <w:spacing w:after="0" w:line="160"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“Subsidiary” means an entity, whether a corporation, partnership, limited liability company, joint venture or otherwise, in which Borrower owns or controls 50% or more of the outstanding voting securities, including each entity listed on Schedule 1 hereto.</w:t>
      </w:r>
    </w:p>
    <w:p>
      <w:pPr>
        <w:spacing w:after="0" w:line="185"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19"/>
          <w:szCs w:val="19"/>
          <w:color w:val="auto"/>
        </w:rPr>
        <w:t>“T3M Net Product Revenue” means Borrower’s net product revenue (as determined in accordance with GAAP) solely from the sale of AXS-05, AXS-07, AXS-12, AXS-14 and any other proprietary assets of the Borrower (which may include royalty, profit sharing, or sales-based milestone revenue recognized in accordance with GAAP, but which shall not include any upfront or non-sales-based milestone payments under business development or licensing transactions), measured on a trailing three-month basis as of the date of the most recently delivered monthly financial statement in accordance with Section 7.1(a).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(iv) set-offs and counterclaims, and (v) any other similar and customary deductions that are typically deducted from gross revenue and not included in net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3" w:name="page114"/>
    <w:bookmarkEnd w:id="113"/>
    <w:p>
      <w:pPr>
        <w:jc w:val="both"/>
        <w:spacing w:after="0" w:line="276" w:lineRule="auto"/>
        <w:rPr>
          <w:sz w:val="20"/>
          <w:szCs w:val="20"/>
          <w:color w:val="auto"/>
        </w:rPr>
      </w:pPr>
      <w:r>
        <w:rPr>
          <w:rFonts w:ascii="Arial" w:cs="Arial" w:eastAsia="Arial" w:hAnsi="Arial"/>
          <w:sz w:val="22"/>
          <w:szCs w:val="22"/>
          <w:color w:val="auto"/>
        </w:rPr>
        <w:t>revenue in accordance with GAAP. Notwithstanding anything to the contrary herein, T3M Net Product Revenue shall not include any royalty payments associated with a Permitted Royalty Transaction or otherwise.</w:t>
      </w:r>
    </w:p>
    <w:p>
      <w:pPr>
        <w:spacing w:after="0" w:line="174" w:lineRule="exact"/>
        <w:rPr>
          <w:sz w:val="20"/>
          <w:szCs w:val="20"/>
          <w:color w:val="auto"/>
        </w:rPr>
      </w:pPr>
    </w:p>
    <w:p>
      <w:pPr>
        <w:jc w:val="both"/>
        <w:ind w:firstLine="1497"/>
        <w:spacing w:after="0" w:line="303" w:lineRule="auto"/>
        <w:rPr>
          <w:sz w:val="20"/>
          <w:szCs w:val="20"/>
          <w:color w:val="auto"/>
        </w:rPr>
      </w:pPr>
      <w:r>
        <w:rPr>
          <w:rFonts w:ascii="Arial" w:cs="Arial" w:eastAsia="Arial" w:hAnsi="Arial"/>
          <w:sz w:val="19"/>
          <w:szCs w:val="19"/>
          <w:color w:val="auto"/>
        </w:rPr>
        <w:t>“T6M Net Product Revenue” means Borrower’s net product revenue (as determined in accordance with GAAP) solely from the sale of AXS-05 and AXS-07 (which may include royalty, profit sharing, or sales-based milestone revenue recognized in accordance with GAAP, but which shall not include any upfront or non-sales-based milestone payments under business development or licensing transactions), measured on a trailing six-month basis as of the date of the most recently quarterly financial statement filed with its most recent 10-Q filing. For the avoidance of doubt, net product revenue shall not include any of the following to the extent not recognizable as revenue in accordance with GAAP (i) trade, quantity and cash discounts allowed by Borrower, (ii) discounts, refunds, rebates, charge backs, retroactive price adjustment and any other allowances which effectively reduce net selling price, (iii) product returns and allowances, (iv) allowances for shipping or other distribution expenses, (iv) set-offs and counterclaims, and (v) any other similar and customary deductions that are typically deducted from gross revenue and not included in net revenue in accordance with GAAP.</w:t>
      </w:r>
    </w:p>
    <w:p>
      <w:pPr>
        <w:spacing w:after="0" w:line="158"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“Taxes”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5"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“Term Commitment” means as to any Lender, the obligation of such Lender, if any, to make a Term Loan Advance to the Borrower in a principal amount not to exceed the amount set forth under the heading “Term Commitment” opposite such Lender’s name on Schedule 1.1.</w:t>
      </w:r>
    </w:p>
    <w:p>
      <w:pPr>
        <w:spacing w:after="0" w:line="185"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“Term Loan Advance” means each Tranche 1 Advance, Tranche 2 Advance, Tranche 3 Advance, Tranche 4 Advance, Tranche 5 Advance and any other Term Loan funds advanced under this Agreement.</w:t>
      </w:r>
    </w:p>
    <w:p>
      <w:pPr>
        <w:spacing w:after="0" w:line="174"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“Term Loan Cash Interest Rate” means for any day a per annum rate of interest equal to the greater of either (i) the prime rate as reported in The Wall Street Journal plus 5.70%, and (ii) 8.95%.</w:t>
      </w:r>
    </w:p>
    <w:p>
      <w:pPr>
        <w:spacing w:after="0" w:line="174" w:lineRule="exact"/>
        <w:rPr>
          <w:sz w:val="20"/>
          <w:szCs w:val="20"/>
          <w:color w:val="auto"/>
        </w:rPr>
      </w:pPr>
    </w:p>
    <w:p>
      <w:pPr>
        <w:jc w:val="both"/>
        <w:ind w:firstLine="1497"/>
        <w:spacing w:after="0" w:line="262" w:lineRule="auto"/>
        <w:rPr>
          <w:sz w:val="20"/>
          <w:szCs w:val="20"/>
          <w:color w:val="auto"/>
        </w:rPr>
      </w:pPr>
      <w:r>
        <w:rPr>
          <w:rFonts w:ascii="Arial" w:cs="Arial" w:eastAsia="Arial" w:hAnsi="Arial"/>
          <w:sz w:val="22"/>
          <w:szCs w:val="22"/>
          <w:color w:val="auto"/>
        </w:rPr>
        <w:t>“Term Loan Maturity Date” means October 1, 2026; provided however, if on or within five (5) Business Days of the third anniversary of the First Amendment Closing Date the Maturity Extension Conditions are satisfied, then, October 1, 2027; provided further that if such day is not a Business Day, the Term Loan Maturity Date shall be the immediately preceding Business Day.</w:t>
      </w:r>
    </w:p>
    <w:p>
      <w:pPr>
        <w:spacing w:after="0" w:line="191" w:lineRule="exact"/>
        <w:rPr>
          <w:sz w:val="20"/>
          <w:szCs w:val="20"/>
          <w:color w:val="auto"/>
        </w:rPr>
      </w:pPr>
    </w:p>
    <w:p>
      <w:pPr>
        <w:jc w:val="both"/>
        <w:ind w:firstLine="1497"/>
        <w:spacing w:after="0" w:line="358" w:lineRule="auto"/>
        <w:rPr>
          <w:sz w:val="20"/>
          <w:szCs w:val="20"/>
          <w:color w:val="auto"/>
        </w:rPr>
      </w:pPr>
      <w:r>
        <w:rPr>
          <w:rFonts w:ascii="Arial" w:cs="Arial" w:eastAsia="Arial" w:hAnsi="Arial"/>
          <w:sz w:val="19"/>
          <w:szCs w:val="19"/>
          <w:color w:val="auto"/>
        </w:rPr>
        <w:t>“Trademark License” means any written agreement granting any right to use any Trademark or Trademark registration, now owned or hereafter acquired by Borrower or in which Borrower now holds or hereafter acquires any interest.</w:t>
      </w:r>
    </w:p>
    <w:p>
      <w:pPr>
        <w:spacing w:after="0" w:line="104" w:lineRule="exact"/>
        <w:rPr>
          <w:sz w:val="20"/>
          <w:szCs w:val="20"/>
          <w:color w:val="auto"/>
        </w:rPr>
      </w:pPr>
    </w:p>
    <w:p>
      <w:pPr>
        <w:jc w:val="both"/>
        <w:ind w:firstLine="1497"/>
        <w:spacing w:after="0" w:line="327" w:lineRule="auto"/>
        <w:rPr>
          <w:sz w:val="20"/>
          <w:szCs w:val="20"/>
          <w:color w:val="auto"/>
        </w:rPr>
      </w:pPr>
      <w:r>
        <w:rPr>
          <w:rFonts w:ascii="Arial" w:cs="Arial" w:eastAsia="Arial" w:hAnsi="Arial"/>
          <w:sz w:val="19"/>
          <w:szCs w:val="19"/>
          <w:color w:val="auto"/>
        </w:rPr>
        <w:t>“Trademarks” means all trademarks (registered, common law or otherwise) and any applications in connection therewith, including registrations, recordings and applications in the United States Patent and Trademark Office or in any similar office or agency of the United States of America, any State thereof or any other country or any political subdivision thereof.</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4" w:name="page115"/>
    <w:bookmarkEnd w:id="114"/>
    <w:p>
      <w:pPr>
        <w:jc w:val="both"/>
        <w:ind w:firstLine="1497"/>
        <w:spacing w:after="0" w:line="266" w:lineRule="auto"/>
        <w:rPr>
          <w:sz w:val="20"/>
          <w:szCs w:val="20"/>
          <w:color w:val="auto"/>
        </w:rPr>
      </w:pPr>
      <w:r>
        <w:rPr>
          <w:rFonts w:ascii="Arial" w:cs="Arial" w:eastAsia="Arial" w:hAnsi="Arial"/>
          <w:sz w:val="22"/>
          <w:szCs w:val="22"/>
          <w:color w:val="auto"/>
        </w:rPr>
        <w:t>“Tranche 1A Commitment” means as to any Lender, the obligation of such Lender, if any, to make a Term Loan Advance to Borrowers in a principal amount not to exceed the amount set forth under the heading “Tranche 1A Term Commitment” opposite such Lender’s name on Schedule 1.1.</w:t>
      </w:r>
    </w:p>
    <w:p>
      <w:pPr>
        <w:spacing w:after="0" w:line="185" w:lineRule="exact"/>
        <w:rPr>
          <w:sz w:val="20"/>
          <w:szCs w:val="20"/>
          <w:color w:val="auto"/>
        </w:rPr>
      </w:pPr>
    </w:p>
    <w:p>
      <w:pPr>
        <w:jc w:val="both"/>
        <w:ind w:firstLine="1497"/>
        <w:spacing w:after="0" w:line="266" w:lineRule="auto"/>
        <w:rPr>
          <w:sz w:val="20"/>
          <w:szCs w:val="20"/>
          <w:color w:val="auto"/>
        </w:rPr>
      </w:pPr>
      <w:r>
        <w:rPr>
          <w:rFonts w:ascii="Arial" w:cs="Arial" w:eastAsia="Arial" w:hAnsi="Arial"/>
          <w:sz w:val="22"/>
          <w:szCs w:val="22"/>
          <w:color w:val="auto"/>
        </w:rPr>
        <w:t>“Tranche 1B Commitment” means as to any Lender, the obligation of such Lender, if any, to make a Term Loan Advance to Borrowers in a principal amount not to exceed the amount set forth under the heading “Tranche 1B Term Commitment” opposite such Lender’s name on Schedule 1.1.</w:t>
      </w:r>
    </w:p>
    <w:p>
      <w:pPr>
        <w:spacing w:after="0" w:line="185" w:lineRule="exact"/>
        <w:rPr>
          <w:sz w:val="20"/>
          <w:szCs w:val="20"/>
          <w:color w:val="auto"/>
        </w:rPr>
      </w:pPr>
    </w:p>
    <w:p>
      <w:pPr>
        <w:jc w:val="both"/>
        <w:ind w:firstLine="1497"/>
        <w:spacing w:after="0" w:line="317" w:lineRule="auto"/>
        <w:rPr>
          <w:sz w:val="20"/>
          <w:szCs w:val="20"/>
          <w:color w:val="auto"/>
        </w:rPr>
      </w:pPr>
      <w:r>
        <w:rPr>
          <w:rFonts w:ascii="Arial" w:cs="Arial" w:eastAsia="Arial" w:hAnsi="Arial"/>
          <w:sz w:val="19"/>
          <w:szCs w:val="19"/>
          <w:color w:val="auto"/>
        </w:rPr>
        <w:t>“Tranche 2B Draw Period” means the period beginning on the AXS-05 Milestone Date and ending on, as of the applicable date of determination, (A) if the full amount of the Tranche 2A Advances have not been drawn, the earlier of (x) 181 days following the AXS-05 Milestone Date and (y) December 31, 2022 and (B) if the full amount of the Tranche 2A Advances have been drawn, the earlier of (x) 365 days following the AXS-05 Milestone Date and (y) December 31, 2022.</w:t>
      </w:r>
    </w:p>
    <w:p>
      <w:pPr>
        <w:spacing w:after="0" w:line="142" w:lineRule="exact"/>
        <w:rPr>
          <w:sz w:val="20"/>
          <w:szCs w:val="20"/>
          <w:color w:val="auto"/>
        </w:rPr>
      </w:pPr>
    </w:p>
    <w:p>
      <w:pPr>
        <w:ind w:right="20" w:firstLine="1678"/>
        <w:spacing w:after="0" w:line="276" w:lineRule="auto"/>
        <w:tabs>
          <w:tab w:leader="none" w:pos="27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“Tranche 2 Facility Charge” means three-quarter percent (0.75%) of the Tranche 2 Advances funded, which is payable to the Lenders in accordance with Section 4.2(d).</w:t>
      </w:r>
    </w:p>
    <w:p>
      <w:pPr>
        <w:spacing w:after="0" w:line="174" w:lineRule="exact"/>
        <w:rPr>
          <w:rFonts w:ascii="Arial" w:cs="Arial" w:eastAsia="Arial" w:hAnsi="Arial"/>
          <w:sz w:val="22"/>
          <w:szCs w:val="22"/>
          <w:color w:val="auto"/>
        </w:rPr>
      </w:pPr>
    </w:p>
    <w:p>
      <w:pPr>
        <w:ind w:right="20" w:firstLine="1678"/>
        <w:spacing w:after="0" w:line="276" w:lineRule="auto"/>
        <w:tabs>
          <w:tab w:leader="none" w:pos="27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“Tranche 3 Facility Charge” means three-quarter percent (0.75%) of the Tranche 3 Advances funded, which is payable to the Lenders in accordance with Section 4.2(e).</w:t>
      </w:r>
    </w:p>
    <w:p>
      <w:pPr>
        <w:spacing w:after="0" w:line="174" w:lineRule="exact"/>
        <w:rPr>
          <w:rFonts w:ascii="Arial" w:cs="Arial" w:eastAsia="Arial" w:hAnsi="Arial"/>
          <w:sz w:val="22"/>
          <w:szCs w:val="22"/>
          <w:color w:val="auto"/>
        </w:rPr>
      </w:pPr>
    </w:p>
    <w:p>
      <w:pPr>
        <w:jc w:val="both"/>
        <w:ind w:right="20" w:firstLine="1678"/>
        <w:spacing w:after="0" w:line="327" w:lineRule="auto"/>
        <w:tabs>
          <w:tab w:leader="none" w:pos="2793" w:val="left"/>
        </w:tabs>
        <w:numPr>
          <w:ilvl w:val="0"/>
          <w:numId w:val="31"/>
        </w:numPr>
        <w:rPr>
          <w:rFonts w:ascii="Arial" w:cs="Arial" w:eastAsia="Arial" w:hAnsi="Arial"/>
          <w:sz w:val="19"/>
          <w:szCs w:val="19"/>
          <w:color w:val="auto"/>
        </w:rPr>
      </w:pPr>
      <w:r>
        <w:rPr>
          <w:rFonts w:ascii="Arial" w:cs="Arial" w:eastAsia="Arial" w:hAnsi="Arial"/>
          <w:sz w:val="19"/>
          <w:szCs w:val="19"/>
          <w:color w:val="auto"/>
        </w:rPr>
        <w:t>“Tranche 4 Draw Conditions” means (i) Borrower’s achievement of the AXS-05 Milestone or the AXS-07 Milestone and (ii) both before and after giving effect to any such Tranche 4 Advance, (a) the Net Product Revenue Ratio shall be no greater than 4.00:1.00 and (b) no Default or Event of Default shall have occurred and be continuing.</w:t>
      </w:r>
    </w:p>
    <w:p>
      <w:pPr>
        <w:spacing w:after="0" w:line="132" w:lineRule="exact"/>
        <w:rPr>
          <w:rFonts w:ascii="Arial" w:cs="Arial" w:eastAsia="Arial" w:hAnsi="Arial"/>
          <w:sz w:val="19"/>
          <w:szCs w:val="19"/>
          <w:color w:val="auto"/>
        </w:rPr>
      </w:pPr>
    </w:p>
    <w:p>
      <w:pPr>
        <w:ind w:right="20" w:firstLine="1678"/>
        <w:spacing w:after="0" w:line="276" w:lineRule="auto"/>
        <w:tabs>
          <w:tab w:leader="none" w:pos="27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“Tranche 4 Facility Charge” means one percent (1.00%) of the Tranche 4 Advances funded, which is payable to the Lenders in accordance with Section 4.2(f).</w:t>
      </w:r>
    </w:p>
    <w:p>
      <w:pPr>
        <w:spacing w:after="0" w:line="174" w:lineRule="exact"/>
        <w:rPr>
          <w:rFonts w:ascii="Arial" w:cs="Arial" w:eastAsia="Arial" w:hAnsi="Arial"/>
          <w:sz w:val="22"/>
          <w:szCs w:val="22"/>
          <w:color w:val="auto"/>
        </w:rPr>
      </w:pPr>
    </w:p>
    <w:p>
      <w:pPr>
        <w:ind w:right="20" w:firstLine="1678"/>
        <w:spacing w:after="0" w:line="276" w:lineRule="auto"/>
        <w:tabs>
          <w:tab w:leader="none" w:pos="2793" w:val="left"/>
        </w:tabs>
        <w:numPr>
          <w:ilvl w:val="0"/>
          <w:numId w:val="31"/>
        </w:numPr>
        <w:rPr>
          <w:rFonts w:ascii="Arial" w:cs="Arial" w:eastAsia="Arial" w:hAnsi="Arial"/>
          <w:sz w:val="22"/>
          <w:szCs w:val="22"/>
          <w:color w:val="auto"/>
        </w:rPr>
      </w:pPr>
      <w:r>
        <w:rPr>
          <w:rFonts w:ascii="Arial" w:cs="Arial" w:eastAsia="Arial" w:hAnsi="Arial"/>
          <w:sz w:val="22"/>
          <w:szCs w:val="22"/>
          <w:color w:val="auto"/>
        </w:rPr>
        <w:t>“Tranche 5 Facility Charge” means one percent (1.00%) of the Tranche 5 Advances funded, which is payable to the Lenders in accordance with Section 4.2(g).</w:t>
      </w:r>
    </w:p>
    <w:p>
      <w:pPr>
        <w:spacing w:after="0" w:line="174" w:lineRule="exact"/>
        <w:rPr>
          <w:sz w:val="20"/>
          <w:szCs w:val="20"/>
          <w:color w:val="auto"/>
        </w:rPr>
      </w:pPr>
    </w:p>
    <w:p>
      <w:pPr>
        <w:jc w:val="both"/>
        <w:ind w:firstLine="1497"/>
        <w:spacing w:after="0" w:line="308" w:lineRule="auto"/>
        <w:rPr>
          <w:sz w:val="20"/>
          <w:szCs w:val="20"/>
          <w:color w:val="auto"/>
        </w:rPr>
      </w:pPr>
      <w:r>
        <w:rPr>
          <w:rFonts w:ascii="Arial" w:cs="Arial" w:eastAsia="Arial" w:hAnsi="Arial"/>
          <w:sz w:val="19"/>
          <w:szCs w:val="19"/>
          <w:color w:val="auto"/>
        </w:rPr>
        <w:t>“UCC” means the Uniform Commercial Code as the same is, from time to time, in effect in the State of California; provided, that in the event that, by reason of mandatory provisions of law, any or all of the attachment, perfection or priority of, or remedies with respect to, Agent’s Lien on any Collateral is governed by the Uniform Commercial Code as the same is, from time to time, in effect in a jurisdiction other than the State of California, then the term “UCC” shall mean the Uniform Commercial Code as in effect, from time to time, in such other jurisdiction solely for purposes of the provisions thereof relating to such attachment, perfection, priority or remedies and for purposes of definitions related to such provisions.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“U.S. Person” means any Person that is a “United States person” as defined in Section 7701(a)(30) of the Code.</w:t>
      </w:r>
    </w:p>
    <w:p>
      <w:pPr>
        <w:spacing w:after="0" w:line="268" w:lineRule="exact"/>
        <w:rPr>
          <w:sz w:val="20"/>
          <w:szCs w:val="20"/>
          <w:color w:val="auto"/>
        </w:rPr>
      </w:pPr>
    </w:p>
    <w:p>
      <w:pPr>
        <w:jc w:val="both"/>
        <w:ind w:firstLine="1497"/>
        <w:spacing w:after="0" w:line="276" w:lineRule="auto"/>
        <w:rPr>
          <w:sz w:val="20"/>
          <w:szCs w:val="20"/>
          <w:color w:val="auto"/>
        </w:rPr>
      </w:pPr>
      <w:r>
        <w:rPr>
          <w:rFonts w:ascii="Arial" w:cs="Arial" w:eastAsia="Arial" w:hAnsi="Arial"/>
          <w:sz w:val="22"/>
          <w:szCs w:val="22"/>
          <w:color w:val="auto"/>
        </w:rPr>
        <w:t>“Warrant” means any warrant entered into in connection with the Loan, as may be amended, restated or modified from time to time.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5" w:name="page116"/>
    <w:bookmarkEnd w:id="115"/>
    <w:p>
      <w:pPr>
        <w:spacing w:after="0"/>
        <w:rPr>
          <w:sz w:val="20"/>
          <w:szCs w:val="20"/>
          <w:color w:val="auto"/>
        </w:rPr>
      </w:pPr>
      <w:r>
        <w:rPr>
          <w:rFonts w:ascii="Arial" w:cs="Arial" w:eastAsia="Arial" w:hAnsi="Arial"/>
          <w:sz w:val="22"/>
          <w:szCs w:val="22"/>
          <w:color w:val="auto"/>
        </w:rPr>
        <w:t>b.  The following terms are defined in the Sections or subsections referenced opposite such terms:</w:t>
      </w:r>
    </w:p>
    <w:p>
      <w:pPr>
        <w:spacing w:after="0" w:line="241" w:lineRule="exact"/>
        <w:rPr>
          <w:sz w:val="20"/>
          <w:szCs w:val="20"/>
          <w:color w:val="auto"/>
        </w:rPr>
      </w:pPr>
    </w:p>
    <w:tbl>
      <w:tblPr>
        <w:tblLayout w:type="fixed"/>
        <w:tblInd w:w="2550" w:type="dxa"/>
        <w:tblCellMar>
          <w:top w:w="0" w:type="dxa"/>
          <w:left w:w="0" w:type="dxa"/>
          <w:bottom w:w="0" w:type="dxa"/>
          <w:right w:w="0" w:type="dxa"/>
        </w:tblCellMar>
      </w:tblPr>
      <w:tr>
        <w:trPr>
          <w:trHeight w:val="311"/>
        </w:trPr>
        <w:tc>
          <w:tcPr>
            <w:tcW w:w="3260" w:type="dxa"/>
            <w:vAlign w:val="bottom"/>
            <w:tcBorders>
              <w:left w:val="single" w:sz="8" w:color="auto"/>
              <w:right w:val="single" w:sz="8" w:color="auto"/>
            </w:tcBorders>
            <w:shd w:val="clear" w:color="auto" w:fill="000000"/>
          </w:tcPr>
          <w:p>
            <w:pPr>
              <w:ind w:left="100"/>
              <w:spacing w:after="0"/>
              <w:rPr>
                <w:sz w:val="20"/>
                <w:szCs w:val="20"/>
                <w:color w:val="auto"/>
              </w:rPr>
            </w:pPr>
            <w:r>
              <w:rPr>
                <w:rFonts w:ascii="Arial" w:cs="Arial" w:eastAsia="Arial" w:hAnsi="Arial"/>
                <w:sz w:val="22"/>
                <w:szCs w:val="22"/>
                <w:b w:val="1"/>
                <w:bCs w:val="1"/>
                <w:color w:val="FFFFFF"/>
              </w:rPr>
              <w:t>Defined Term</w:t>
            </w:r>
          </w:p>
        </w:tc>
        <w:tc>
          <w:tcPr>
            <w:tcW w:w="2920" w:type="dxa"/>
            <w:vAlign w:val="bottom"/>
            <w:tcBorders>
              <w:right w:val="single" w:sz="8" w:color="auto"/>
            </w:tcBorders>
            <w:shd w:val="clear" w:color="auto" w:fill="000000"/>
          </w:tcPr>
          <w:p>
            <w:pPr>
              <w:ind w:left="80"/>
              <w:spacing w:after="0"/>
              <w:rPr>
                <w:sz w:val="20"/>
                <w:szCs w:val="20"/>
                <w:color w:val="auto"/>
              </w:rPr>
            </w:pPr>
            <w:r>
              <w:rPr>
                <w:rFonts w:ascii="Arial" w:cs="Arial" w:eastAsia="Arial" w:hAnsi="Arial"/>
                <w:sz w:val="22"/>
                <w:szCs w:val="22"/>
                <w:b w:val="1"/>
                <w:bCs w:val="1"/>
                <w:color w:val="FFFFFF"/>
              </w:rPr>
              <w:t>Section</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Agent</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Preamble</w:t>
            </w:r>
          </w:p>
        </w:tc>
      </w:tr>
      <w:tr>
        <w:trPr>
          <w:trHeight w:val="291"/>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Assignee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11.14</w:t>
            </w:r>
          </w:p>
        </w:tc>
      </w:tr>
      <w:tr>
        <w:trPr>
          <w:trHeight w:val="291"/>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Borrower</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Preamble</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Claims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11.11</w:t>
            </w:r>
          </w:p>
        </w:tc>
      </w:tr>
      <w:tr>
        <w:trPr>
          <w:trHeight w:val="291"/>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Collateral</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3.1</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Confidential Information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11.13</w:t>
            </w:r>
          </w:p>
        </w:tc>
      </w:tr>
      <w:tr>
        <w:trPr>
          <w:trHeight w:val="291"/>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Current Company IP</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5.10(a)</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End of Term Charge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2.6</w:t>
            </w:r>
          </w:p>
        </w:tc>
      </w:tr>
      <w:tr>
        <w:trPr>
          <w:trHeight w:val="291"/>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Event of Default</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9</w:t>
            </w:r>
          </w:p>
        </w:tc>
      </w:tr>
      <w:tr>
        <w:trPr>
          <w:trHeight w:val="291"/>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w w:val="97"/>
              </w:rPr>
              <w:t>Extension End of Term Charge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2.6</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Financial Statements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7.1</w:t>
            </w:r>
          </w:p>
        </w:tc>
      </w:tr>
      <w:tr>
        <w:trPr>
          <w:trHeight w:val="291"/>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Indemnified Person</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6.3</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Lenders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Preamble</w:t>
            </w:r>
          </w:p>
        </w:tc>
      </w:tr>
      <w:tr>
        <w:trPr>
          <w:trHeight w:val="291"/>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Liabilities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6.3</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Maximum Rate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2.3</w:t>
            </w:r>
          </w:p>
        </w:tc>
      </w:tr>
      <w:tr>
        <w:trPr>
          <w:trHeight w:val="291"/>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Open Source License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5.10(p)</w:t>
            </w:r>
          </w:p>
        </w:tc>
      </w:tr>
      <w:tr>
        <w:trPr>
          <w:trHeight w:val="291"/>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Original End of Term Charge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2.6</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Participant Register</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11.8</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Prepayment Charge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2.5</w:t>
            </w:r>
          </w:p>
        </w:tc>
      </w:tr>
      <w:tr>
        <w:trPr>
          <w:trHeight w:val="291"/>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Publicity Materials</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11.19</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Register</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11.7</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Rights to Payment</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3.1</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Specified Disputes</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5.10(g)</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Third Party IP</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5.10(i)</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Tranche 1A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2.2(a)(i)</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Tranche 1B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2.2(a)(ii)</w:t>
            </w:r>
          </w:p>
        </w:tc>
      </w:tr>
      <w:tr>
        <w:trPr>
          <w:trHeight w:val="291"/>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Tranche 1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2.2(a)(ii)</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Tranche 2A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2.2(a)(iii)</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Tranche 2B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2.2(a)(iii)</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Tranche 2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2.2(a)(iii)</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Tranche 3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2.2(a)(iv)</w:t>
            </w:r>
          </w:p>
        </w:tc>
      </w:tr>
      <w:tr>
        <w:trPr>
          <w:trHeight w:val="290"/>
        </w:trPr>
        <w:tc>
          <w:tcPr>
            <w:tcW w:w="3260" w:type="dxa"/>
            <w:vAlign w:val="bottom"/>
            <w:tcBorders>
              <w:left w:val="single" w:sz="8" w:color="666666"/>
              <w:bottom w:val="single" w:sz="8" w:color="666666"/>
              <w:right w:val="single" w:sz="8" w:color="666666"/>
            </w:tcBorders>
          </w:tcPr>
          <w:p>
            <w:pPr>
              <w:ind w:left="100"/>
              <w:spacing w:after="0"/>
              <w:rPr>
                <w:sz w:val="20"/>
                <w:szCs w:val="20"/>
                <w:color w:val="auto"/>
              </w:rPr>
            </w:pPr>
            <w:r>
              <w:rPr>
                <w:rFonts w:ascii="Arial" w:cs="Arial" w:eastAsia="Arial" w:hAnsi="Arial"/>
                <w:sz w:val="22"/>
                <w:szCs w:val="22"/>
                <w:b w:val="1"/>
                <w:bCs w:val="1"/>
                <w:color w:val="auto"/>
              </w:rPr>
              <w:t>Tranche 4 Advance</w:t>
            </w:r>
          </w:p>
        </w:tc>
        <w:tc>
          <w:tcPr>
            <w:tcW w:w="2920" w:type="dxa"/>
            <w:vAlign w:val="bottom"/>
            <w:tcBorders>
              <w:bottom w:val="single" w:sz="8" w:color="666666"/>
              <w:right w:val="single" w:sz="8" w:color="666666"/>
            </w:tcBorders>
          </w:tcPr>
          <w:p>
            <w:pPr>
              <w:ind w:left="80"/>
              <w:spacing w:after="0"/>
              <w:rPr>
                <w:sz w:val="20"/>
                <w:szCs w:val="20"/>
                <w:color w:val="auto"/>
              </w:rPr>
            </w:pPr>
            <w:r>
              <w:rPr>
                <w:rFonts w:ascii="Arial" w:cs="Arial" w:eastAsia="Arial" w:hAnsi="Arial"/>
                <w:sz w:val="22"/>
                <w:szCs w:val="22"/>
                <w:color w:val="auto"/>
              </w:rPr>
              <w:t>2.2(a)(v)</w:t>
            </w:r>
          </w:p>
        </w:tc>
      </w:tr>
      <w:tr>
        <w:trPr>
          <w:trHeight w:val="290"/>
        </w:trPr>
        <w:tc>
          <w:tcPr>
            <w:tcW w:w="3260" w:type="dxa"/>
            <w:vAlign w:val="bottom"/>
            <w:tcBorders>
              <w:left w:val="single" w:sz="8" w:color="666666"/>
              <w:bottom w:val="single" w:sz="8" w:color="666666"/>
              <w:right w:val="single" w:sz="8" w:color="666666"/>
            </w:tcBorders>
            <w:shd w:val="clear" w:color="auto" w:fill="CCCCCC"/>
          </w:tcPr>
          <w:p>
            <w:pPr>
              <w:ind w:left="100"/>
              <w:spacing w:after="0"/>
              <w:rPr>
                <w:sz w:val="20"/>
                <w:szCs w:val="20"/>
                <w:color w:val="auto"/>
              </w:rPr>
            </w:pPr>
            <w:r>
              <w:rPr>
                <w:rFonts w:ascii="Arial" w:cs="Arial" w:eastAsia="Arial" w:hAnsi="Arial"/>
                <w:sz w:val="22"/>
                <w:szCs w:val="22"/>
                <w:b w:val="1"/>
                <w:bCs w:val="1"/>
                <w:color w:val="auto"/>
              </w:rPr>
              <w:t>Tranche 5 Advance</w:t>
            </w:r>
          </w:p>
        </w:tc>
        <w:tc>
          <w:tcPr>
            <w:tcW w:w="2920" w:type="dxa"/>
            <w:vAlign w:val="bottom"/>
            <w:tcBorders>
              <w:bottom w:val="single" w:sz="8" w:color="666666"/>
              <w:right w:val="single" w:sz="8" w:color="666666"/>
            </w:tcBorders>
            <w:shd w:val="clear" w:color="auto" w:fill="CCCCCC"/>
          </w:tcPr>
          <w:p>
            <w:pPr>
              <w:ind w:left="80"/>
              <w:spacing w:after="0"/>
              <w:rPr>
                <w:sz w:val="20"/>
                <w:szCs w:val="20"/>
                <w:color w:val="auto"/>
              </w:rPr>
            </w:pPr>
            <w:r>
              <w:rPr>
                <w:rFonts w:ascii="Arial" w:cs="Arial" w:eastAsia="Arial" w:hAnsi="Arial"/>
                <w:sz w:val="22"/>
                <w:szCs w:val="22"/>
                <w:color w:val="auto"/>
              </w:rPr>
              <w:t>2.2(a)(vi)</w:t>
            </w:r>
          </w:p>
        </w:tc>
      </w:tr>
    </w:tbl>
    <w:p>
      <w:pPr>
        <w:spacing w:after="0" w:line="200" w:lineRule="exact"/>
        <w:rPr>
          <w:sz w:val="20"/>
          <w:szCs w:val="20"/>
          <w:color w:val="auto"/>
        </w:rPr>
      </w:pPr>
    </w:p>
    <w:p>
      <w:pPr>
        <w:spacing w:after="0" w:line="278" w:lineRule="exact"/>
        <w:rPr>
          <w:sz w:val="20"/>
          <w:szCs w:val="20"/>
          <w:color w:val="auto"/>
        </w:rPr>
      </w:pPr>
    </w:p>
    <w:p>
      <w:pPr>
        <w:jc w:val="both"/>
        <w:ind w:left="340" w:hanging="332"/>
        <w:spacing w:after="0" w:line="266" w:lineRule="auto"/>
        <w:tabs>
          <w:tab w:leader="none" w:pos="340" w:val="left"/>
        </w:tabs>
        <w:numPr>
          <w:ilvl w:val="0"/>
          <w:numId w:val="32"/>
        </w:numPr>
        <w:rPr>
          <w:rFonts w:ascii="Arial" w:cs="Arial" w:eastAsia="Arial" w:hAnsi="Arial"/>
          <w:sz w:val="22"/>
          <w:szCs w:val="22"/>
          <w:color w:val="auto"/>
        </w:rPr>
      </w:pPr>
      <w:r>
        <w:rPr>
          <w:rFonts w:ascii="Arial" w:cs="Arial" w:eastAsia="Arial" w:hAnsi="Arial"/>
          <w:sz w:val="22"/>
          <w:szCs w:val="22"/>
          <w:color w:val="auto"/>
        </w:rPr>
        <w:t>Unless otherwise specified, all references in this Agreement or any Annex or Schedule hereto to a “Section,” “subsection,” “Exhibit,” “Annex,” or “Schedule” shall refer to the corresponding Section, subsection, Exhibit, Annex, or Schedule in or to this Agreement.</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6" w:name="page117"/>
    <w:bookmarkEnd w:id="116"/>
    <w:p>
      <w:pPr>
        <w:jc w:val="both"/>
        <w:ind w:left="340"/>
        <w:spacing w:after="0" w:line="299" w:lineRule="auto"/>
        <w:rPr>
          <w:sz w:val="20"/>
          <w:szCs w:val="20"/>
          <w:color w:val="auto"/>
        </w:rPr>
      </w:pPr>
      <w:r>
        <w:rPr>
          <w:rFonts w:ascii="Arial" w:cs="Arial" w:eastAsia="Arial" w:hAnsi="Arial"/>
          <w:sz w:val="19"/>
          <w:szCs w:val="19"/>
          <w:color w:val="auto"/>
        </w:rPr>
        <w:t>Unless otherwise specifically provided herein, any accounting term used in this Agreement or the other Loan Documents shall have the meaning customarily given such term in accordance with GAAP, and all financial computations hereunder shall be computed in accordance with GAAP, consistently applied; provided that if at any time any change in GAAP would affect the computation of any financial covenant or ratio or requirement set forth in any Loan Document, and either Borrower or Agent shall so request, Borrower, Agent and the Lenders shall negotiate in good faith to amend such ratio or requirement to preserve the original intent thereof in light of such change in GAAP; provided, further, that, until so amended, (a) such ratio or requirement shall continue to be computed in accordance with GAAP prior to such change therein and (b) Borrower shall provide Agent financial statements and other documents required under this Agreement or as reasonably requested hereunder setting forth a reconciliation between calculations of such ratio covenant or requirement made before and after giving effect to such change in GAAP. Notwithstanding the foregoing, any obligations of a Person that are or would have been treated as operating leases for purposes of GAAP prior to the issuance by the Financial Accounting Standards Board on February 25, 2016 of an Accounting Standards Update (the “ASU”) shall continue to be accounted for as operating leases for purposes of all financial definitions, calculations and covenants for purpose of this Agreement (whether or not such operating lease obligations were in effect on such date) notwithstanding the fact that such obligations are required in accordance with the ASU (on a prospective or retroactive basis or otherwise) to be treated as capitalized lease obligations in accordance with GAAP (other than for purposes of the delivery of financial statements prepared in accordance with GAAP). Unless otherwise defined herein or in the other Loan Documents, terms that are used herein or in the other Loan Documents and defined in the UCC shall have the meanings given to them in the UCC.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Equity Interests at such time.</w:t>
      </w:r>
    </w:p>
    <w:p>
      <w:pPr>
        <w:spacing w:after="0" w:line="200" w:lineRule="exact"/>
        <w:rPr>
          <w:sz w:val="20"/>
          <w:szCs w:val="20"/>
          <w:color w:val="auto"/>
        </w:rPr>
      </w:pPr>
    </w:p>
    <w:p>
      <w:pPr>
        <w:spacing w:after="0" w:line="238" w:lineRule="exact"/>
        <w:rPr>
          <w:sz w:val="20"/>
          <w:szCs w:val="20"/>
          <w:color w:val="auto"/>
        </w:rPr>
      </w:pPr>
    </w:p>
    <w:p>
      <w:pPr>
        <w:jc w:val="both"/>
        <w:ind w:left="340" w:hanging="332"/>
        <w:spacing w:after="0" w:line="305" w:lineRule="auto"/>
        <w:tabs>
          <w:tab w:leader="none" w:pos="340" w:val="left"/>
        </w:tabs>
        <w:numPr>
          <w:ilvl w:val="0"/>
          <w:numId w:val="3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or any other Loan Document, all terms of an accounting or financial nature used herein shall be construed, and all computations of amounts and ratios referred to herein shall be made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 For the avoidance of doubt, and without limitation of the foregoing, Permitted Convertible Debt shall at all times be valued at the full stated principal amount thereof and shall not include any reduction or appreciation in value of the shares deliverable upon conversion thereof.</w:t>
      </w:r>
    </w:p>
    <w:p>
      <w:pPr>
        <w:spacing w:after="0" w:line="154" w:lineRule="exact"/>
        <w:rPr>
          <w:rFonts w:ascii="Arial" w:cs="Arial" w:eastAsia="Arial" w:hAnsi="Arial"/>
          <w:sz w:val="19"/>
          <w:szCs w:val="19"/>
          <w:color w:val="auto"/>
        </w:rPr>
      </w:pPr>
    </w:p>
    <w:p>
      <w:pPr>
        <w:ind w:left="1460" w:hanging="329"/>
        <w:spacing w:after="0"/>
        <w:tabs>
          <w:tab w:leader="none" w:pos="1460" w:val="left"/>
        </w:tabs>
        <w:numPr>
          <w:ilvl w:val="1"/>
          <w:numId w:val="33"/>
        </w:numPr>
        <w:rPr>
          <w:rFonts w:ascii="Arial" w:cs="Arial" w:eastAsia="Arial" w:hAnsi="Arial"/>
          <w:sz w:val="22"/>
          <w:szCs w:val="22"/>
          <w:color w:val="auto"/>
        </w:rPr>
      </w:pPr>
      <w:r>
        <w:rPr>
          <w:rFonts w:ascii="Arial" w:cs="Arial" w:eastAsia="Arial" w:hAnsi="Arial"/>
          <w:sz w:val="22"/>
          <w:szCs w:val="22"/>
          <w:color w:val="auto"/>
        </w:rPr>
        <w:t>THE LOAN</w:t>
      </w:r>
    </w:p>
    <w:p>
      <w:pPr>
        <w:spacing w:after="0" w:line="233" w:lineRule="exact"/>
        <w:rPr>
          <w:sz w:val="20"/>
          <w:szCs w:val="20"/>
          <w:color w:val="auto"/>
        </w:rPr>
      </w:pPr>
    </w:p>
    <w:p>
      <w:pPr>
        <w:ind w:left="1880"/>
        <w:spacing w:after="0"/>
        <w:tabs>
          <w:tab w:leader="none" w:pos="218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[Reserved]</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7" w:name="page118"/>
    <w:bookmarkEnd w:id="117"/>
    <w:p>
      <w:pPr>
        <w:ind w:left="2200" w:hanging="320"/>
        <w:spacing w:after="0"/>
        <w:tabs>
          <w:tab w:leader="none" w:pos="22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Term Loan.</w:t>
      </w:r>
    </w:p>
    <w:p>
      <w:pPr>
        <w:spacing w:after="0" w:line="233" w:lineRule="exact"/>
        <w:rPr>
          <w:rFonts w:ascii="Arial" w:cs="Arial" w:eastAsia="Arial" w:hAnsi="Arial"/>
          <w:sz w:val="22"/>
          <w:szCs w:val="22"/>
          <w:color w:val="auto"/>
        </w:rPr>
      </w:pPr>
    </w:p>
    <w:p>
      <w:pPr>
        <w:ind w:left="2980" w:hanging="278"/>
        <w:spacing w:after="0"/>
        <w:tabs>
          <w:tab w:leader="none" w:pos="2980" w:val="left"/>
        </w:tabs>
        <w:numPr>
          <w:ilvl w:val="1"/>
          <w:numId w:val="34"/>
        </w:numPr>
        <w:rPr>
          <w:rFonts w:ascii="Arial" w:cs="Arial" w:eastAsia="Arial" w:hAnsi="Arial"/>
          <w:sz w:val="22"/>
          <w:szCs w:val="22"/>
          <w:color w:val="auto"/>
        </w:rPr>
      </w:pPr>
      <w:r>
        <w:rPr>
          <w:rFonts w:ascii="Arial" w:cs="Arial" w:eastAsia="Arial" w:hAnsi="Arial"/>
          <w:sz w:val="22"/>
          <w:szCs w:val="22"/>
          <w:color w:val="auto"/>
        </w:rPr>
        <w:t>Advances.</w:t>
      </w:r>
    </w:p>
    <w:p>
      <w:pPr>
        <w:spacing w:after="0" w:line="233" w:lineRule="exact"/>
        <w:rPr>
          <w:rFonts w:ascii="Arial" w:cs="Arial" w:eastAsia="Arial" w:hAnsi="Arial"/>
          <w:sz w:val="22"/>
          <w:szCs w:val="22"/>
          <w:color w:val="auto"/>
        </w:rPr>
      </w:pPr>
    </w:p>
    <w:p>
      <w:pPr>
        <w:jc w:val="both"/>
        <w:ind w:left="3700" w:hanging="322"/>
        <w:spacing w:after="0" w:line="279" w:lineRule="auto"/>
        <w:tabs>
          <w:tab w:leader="none" w:pos="3700" w:val="left"/>
        </w:tabs>
        <w:numPr>
          <w:ilvl w:val="2"/>
          <w:numId w:val="34"/>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the Lenders will severally (and not jointly) make in an amount not to exceed their respective Tranche 1A Commitments, and Borrower agrees to draw, a Term Loan Advance of Fifty Million Dollars ($50,000,000) on the Closing Date (the “Tranche 1A Advance”).</w:t>
      </w:r>
    </w:p>
    <w:p>
      <w:pPr>
        <w:spacing w:after="0" w:line="173" w:lineRule="exact"/>
        <w:rPr>
          <w:rFonts w:ascii="Arial" w:cs="Arial" w:eastAsia="Arial" w:hAnsi="Arial"/>
          <w:sz w:val="21"/>
          <w:szCs w:val="21"/>
          <w:color w:val="auto"/>
        </w:rPr>
      </w:pPr>
    </w:p>
    <w:p>
      <w:pPr>
        <w:jc w:val="both"/>
        <w:ind w:left="3700" w:hanging="322"/>
        <w:spacing w:after="0" w:line="303" w:lineRule="auto"/>
        <w:tabs>
          <w:tab w:leader="none" w:pos="3700" w:val="left"/>
        </w:tabs>
        <w:numPr>
          <w:ilvl w:val="2"/>
          <w:numId w:val="34"/>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beginning on the Closing Date and continuing through September 15, 2021, Borrower may request and the Lenders will severally (and not jointly) make, in an amount not to exceed their respective Tranche 1B Commitments, additional Term Loan Advances in an aggregate principal amount of up to Ten Million Dollars ($10,000,000)</w:t>
      </w:r>
      <w:r>
        <w:rPr>
          <w:rFonts w:ascii="Arial" w:cs="Arial" w:eastAsia="Arial" w:hAnsi="Arial"/>
          <w:sz w:val="19"/>
          <w:szCs w:val="19"/>
          <w:b w:val="1"/>
          <w:bCs w:val="1"/>
          <w:i w:val="1"/>
          <w:iCs w:val="1"/>
          <w:color w:val="auto"/>
        </w:rPr>
        <w:t>,</w:t>
      </w:r>
      <w:r>
        <w:rPr>
          <w:rFonts w:ascii="Arial" w:cs="Arial" w:eastAsia="Arial" w:hAnsi="Arial"/>
          <w:sz w:val="19"/>
          <w:szCs w:val="19"/>
          <w:color w:val="auto"/>
        </w:rPr>
        <w:t xml:space="preserve"> in minimum increments of Five Million Dollars ($5,000,000) (each, a “Tranche 1B Advance” and together with the Tranche 1A Advance, each a “Tranche 1 Advance”), other than the last Term Loan Advance under the Tranche 1B Commitment which may be less than Five Million Dollars ($5,000,000). For the avoidance of doubt, no Tranche 1B Advances were made as of September 15, 2021, and the Tranche 1B Commitments have expired as of the First Amendment Closing Date.</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jc w:val="both"/>
        <w:ind w:left="3700" w:hanging="322"/>
        <w:spacing w:after="0" w:line="303" w:lineRule="auto"/>
        <w:tabs>
          <w:tab w:leader="none" w:pos="3700" w:val="left"/>
        </w:tabs>
        <w:numPr>
          <w:ilvl w:val="2"/>
          <w:numId w:val="34"/>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(A) beginning on the AXS-05 Milestone Date and continuing through the earlier of (x) 90 days following the AXS-05 Milestone Date and (y) December 31, 2022, Borrower may request and the Lenders shall severally (and not jointly) make additional Term Loan Advances in an aggregate principal amount of up to Fifty Million Dollars ($50,000,000), in minimum increments of Five Million Dollars ($5,000,000) (each, a “Tranche 2A Advance”) and (B) during the Tranche 2B Draw Period, Borrower may request and the Lenders shall severally (and not jointly) make additional Term Loan Advances in an aggregate principal amount of up to Fifty Million Dollars ($50,000,000), in minimum increments of Five Million Dollars ($5,000,000) (each, a “Tranche 2B Advance” and</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8" w:name="page119"/>
    <w:bookmarkEnd w:id="118"/>
    <w:p>
      <w:pPr>
        <w:ind w:left="3700"/>
        <w:spacing w:after="0"/>
        <w:rPr>
          <w:sz w:val="20"/>
          <w:szCs w:val="20"/>
          <w:color w:val="auto"/>
        </w:rPr>
      </w:pPr>
      <w:r>
        <w:rPr>
          <w:rFonts w:ascii="Arial" w:cs="Arial" w:eastAsia="Arial" w:hAnsi="Arial"/>
          <w:sz w:val="22"/>
          <w:szCs w:val="22"/>
          <w:color w:val="auto"/>
        </w:rPr>
        <w:t>together with the Tranche 2A Advance, each a “Tranche 2 Advance”).</w:t>
      </w:r>
    </w:p>
    <w:p>
      <w:pPr>
        <w:spacing w:after="0" w:line="233" w:lineRule="exact"/>
        <w:rPr>
          <w:sz w:val="20"/>
          <w:szCs w:val="20"/>
          <w:color w:val="auto"/>
        </w:rPr>
      </w:pPr>
    </w:p>
    <w:p>
      <w:pPr>
        <w:jc w:val="both"/>
        <w:ind w:left="3700" w:hanging="322"/>
        <w:spacing w:after="0" w:line="308" w:lineRule="auto"/>
        <w:tabs>
          <w:tab w:leader="none" w:pos="3700" w:val="left"/>
        </w:tabs>
        <w:numPr>
          <w:ilvl w:val="1"/>
          <w:numId w:val="35"/>
        </w:numPr>
        <w:rPr>
          <w:rFonts w:ascii="Arial" w:cs="Arial" w:eastAsia="Arial" w:hAnsi="Arial"/>
          <w:sz w:val="19"/>
          <w:szCs w:val="19"/>
          <w:color w:val="auto"/>
        </w:rPr>
      </w:pPr>
      <w:r>
        <w:rPr>
          <w:rFonts w:ascii="Arial" w:cs="Arial" w:eastAsia="Arial" w:hAnsi="Arial"/>
          <w:sz w:val="19"/>
          <w:szCs w:val="19"/>
          <w:color w:val="auto"/>
        </w:rPr>
        <w:t>Subject to the terms and conditions of this Agreement, beginning on the AXS-07 Milestone Date and continuing through the earlier of (x) 181 days following the AXS-07 Milestone Date and (y) June 30, 2023, Borrower may request and the Lenders shall severally (and not jointly) make additional Term Loan Advances in an aggregate principal amount of up to Twenty Million Dollars ($20,000,000), in minimum increments of Five Million Dollars ($5,000,000) (each, a “Tranche 3 Advance”).</w:t>
      </w:r>
    </w:p>
    <w:p>
      <w:pPr>
        <w:spacing w:after="0" w:line="153" w:lineRule="exact"/>
        <w:rPr>
          <w:rFonts w:ascii="Arial" w:cs="Arial" w:eastAsia="Arial" w:hAnsi="Arial"/>
          <w:sz w:val="19"/>
          <w:szCs w:val="19"/>
          <w:color w:val="auto"/>
        </w:rPr>
      </w:pPr>
    </w:p>
    <w:p>
      <w:pPr>
        <w:jc w:val="both"/>
        <w:ind w:left="3700" w:hanging="322"/>
        <w:spacing w:after="0" w:line="260" w:lineRule="auto"/>
        <w:tabs>
          <w:tab w:leader="none" w:pos="37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and subject to the satisfaction of Tranche 4 Draw Conditions, beginning on January 1, 2022 and continuing through December 31, 2024, Borrower may request additional Term Loan Advances in an aggregate principal amount of up to Fifty Five Million Dollars ($55,000,000), in minimum increments of Five Million Dollars ($5,000,000) (each, a “Tranche 4 Advance”).</w:t>
      </w:r>
    </w:p>
    <w:p>
      <w:pPr>
        <w:spacing w:after="0" w:line="191" w:lineRule="exact"/>
        <w:rPr>
          <w:rFonts w:ascii="Arial" w:cs="Arial" w:eastAsia="Arial" w:hAnsi="Arial"/>
          <w:sz w:val="22"/>
          <w:szCs w:val="22"/>
          <w:color w:val="auto"/>
        </w:rPr>
      </w:pPr>
    </w:p>
    <w:p>
      <w:pPr>
        <w:jc w:val="both"/>
        <w:ind w:left="3700" w:hanging="322"/>
        <w:spacing w:after="0" w:line="260" w:lineRule="auto"/>
        <w:tabs>
          <w:tab w:leader="none" w:pos="37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and conditioned on approval by the Lenders’ investment committee in its sole and unfettered discretion, on or before December 31, 2025, Borrower may request additional Term Loan Advances in an aggregate principal amount of up to Seventy Five Million Dollars ($75,000,000), in minimum increments of Ten Million Dollars ($10,000,000) (each, a “Tranche 5 Advance”).</w:t>
      </w:r>
    </w:p>
    <w:p>
      <w:pPr>
        <w:spacing w:after="0" w:line="191" w:lineRule="exact"/>
        <w:rPr>
          <w:rFonts w:ascii="Arial" w:cs="Arial" w:eastAsia="Arial" w:hAnsi="Arial"/>
          <w:sz w:val="22"/>
          <w:szCs w:val="22"/>
          <w:color w:val="auto"/>
        </w:rPr>
      </w:pPr>
    </w:p>
    <w:p>
      <w:pPr>
        <w:ind w:left="3700" w:hanging="322"/>
        <w:spacing w:after="0" w:line="276" w:lineRule="auto"/>
        <w:tabs>
          <w:tab w:leader="none" w:pos="3700"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aggregate outstanding Term Loan Advances may be up to the Maximum Term Loan Amount.</w:t>
      </w:r>
    </w:p>
    <w:p>
      <w:pPr>
        <w:spacing w:after="0" w:line="174" w:lineRule="exact"/>
        <w:rPr>
          <w:rFonts w:ascii="Arial" w:cs="Arial" w:eastAsia="Arial" w:hAnsi="Arial"/>
          <w:sz w:val="22"/>
          <w:szCs w:val="22"/>
          <w:color w:val="auto"/>
        </w:rPr>
      </w:pPr>
    </w:p>
    <w:p>
      <w:pPr>
        <w:jc w:val="both"/>
        <w:ind w:left="2980" w:hanging="338"/>
        <w:spacing w:after="0" w:line="274" w:lineRule="auto"/>
        <w:tabs>
          <w:tab w:leader="none" w:pos="3034" w:val="left"/>
        </w:tabs>
        <w:numPr>
          <w:ilvl w:val="0"/>
          <w:numId w:val="36"/>
        </w:numPr>
        <w:rPr>
          <w:rFonts w:ascii="Arial" w:cs="Arial" w:eastAsia="Arial" w:hAnsi="Arial"/>
          <w:sz w:val="21"/>
          <w:szCs w:val="21"/>
          <w:color w:val="auto"/>
        </w:rPr>
      </w:pPr>
      <w:r>
        <w:rPr>
          <w:rFonts w:ascii="Arial" w:cs="Arial" w:eastAsia="Arial" w:hAnsi="Arial"/>
          <w:sz w:val="21"/>
          <w:szCs w:val="21"/>
          <w:color w:val="auto"/>
        </w:rPr>
        <w:t>Advance Request. To obtain a Term Loan Advance, Borrower shall complete, sign and deliver an Advance Request (at least one (1) Business Day before the Closing Date and at least five (5) Business Days before each Advance Date other than the Closing Date) to Agent. The Lenders shall fund the Term Loan Advance in the manner requested by the Advance Request provided that each of the conditions precedent to such Term Loan Advance is satisfied as of the requested Advance Date.</w:t>
      </w:r>
    </w:p>
    <w:p>
      <w:pPr>
        <w:spacing w:after="0" w:line="181" w:lineRule="exact"/>
        <w:rPr>
          <w:rFonts w:ascii="Arial" w:cs="Arial" w:eastAsia="Arial" w:hAnsi="Arial"/>
          <w:sz w:val="21"/>
          <w:szCs w:val="21"/>
          <w:color w:val="auto"/>
        </w:rPr>
      </w:pPr>
    </w:p>
    <w:p>
      <w:pPr>
        <w:ind w:left="2980" w:hanging="398"/>
        <w:spacing w:after="0"/>
        <w:tabs>
          <w:tab w:leader="none" w:pos="29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Interest.</w:t>
      </w:r>
    </w:p>
    <w:p>
      <w:pPr>
        <w:spacing w:after="0" w:line="233" w:lineRule="exact"/>
        <w:rPr>
          <w:rFonts w:ascii="Arial" w:cs="Arial" w:eastAsia="Arial" w:hAnsi="Arial"/>
          <w:sz w:val="22"/>
          <w:szCs w:val="22"/>
          <w:color w:val="auto"/>
        </w:rPr>
      </w:pPr>
    </w:p>
    <w:p>
      <w:pPr>
        <w:ind w:left="3700" w:hanging="322"/>
        <w:spacing w:after="0" w:line="276" w:lineRule="auto"/>
        <w:tabs>
          <w:tab w:leader="none" w:pos="3700" w:val="left"/>
        </w:tabs>
        <w:numPr>
          <w:ilvl w:val="1"/>
          <w:numId w:val="36"/>
        </w:numPr>
        <w:rPr>
          <w:rFonts w:ascii="Arial" w:cs="Arial" w:eastAsia="Arial" w:hAnsi="Arial"/>
          <w:sz w:val="22"/>
          <w:szCs w:val="22"/>
          <w:color w:val="auto"/>
        </w:rPr>
      </w:pPr>
      <w:r>
        <w:rPr>
          <w:rFonts w:ascii="Arial" w:cs="Arial" w:eastAsia="Arial" w:hAnsi="Arial"/>
          <w:sz w:val="22"/>
          <w:szCs w:val="22"/>
          <w:color w:val="auto"/>
        </w:rPr>
        <w:t>Term Loan Cash Interest Rate. The principal balance of each Term Loan Advance shall bear interest thereon from</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19" w:name="page120"/>
    <w:bookmarkEnd w:id="119"/>
    <w:p>
      <w:pPr>
        <w:jc w:val="both"/>
        <w:ind w:left="3700"/>
        <w:spacing w:after="0" w:line="262" w:lineRule="auto"/>
        <w:rPr>
          <w:sz w:val="20"/>
          <w:szCs w:val="20"/>
          <w:color w:val="auto"/>
        </w:rPr>
      </w:pPr>
      <w:r>
        <w:rPr>
          <w:rFonts w:ascii="Arial" w:cs="Arial" w:eastAsia="Arial" w:hAnsi="Arial"/>
          <w:sz w:val="22"/>
          <w:szCs w:val="22"/>
          <w:color w:val="auto"/>
        </w:rPr>
        <w:t>such Advance Date at the Term Loan Cash Interest Rate based on a year consisting of 360 days, with interest computed daily based on the actual number of days elapsed. The Term Loan Cash Interest Rate will float and change on the day the prime rate changes from time to time.</w:t>
      </w:r>
    </w:p>
    <w:p>
      <w:pPr>
        <w:spacing w:after="0" w:line="191" w:lineRule="exact"/>
        <w:rPr>
          <w:sz w:val="20"/>
          <w:szCs w:val="20"/>
          <w:color w:val="auto"/>
        </w:rPr>
      </w:pPr>
    </w:p>
    <w:p>
      <w:pPr>
        <w:ind w:left="3700" w:hanging="322"/>
        <w:spacing w:after="0"/>
        <w:tabs>
          <w:tab w:leader="none" w:pos="37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left="3700" w:hanging="322"/>
        <w:spacing w:after="0"/>
        <w:tabs>
          <w:tab w:leader="none" w:pos="37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2980" w:hanging="372"/>
        <w:spacing w:after="0" w:line="299" w:lineRule="auto"/>
        <w:tabs>
          <w:tab w:leader="none" w:pos="2980" w:val="left"/>
        </w:tabs>
        <w:numPr>
          <w:ilvl w:val="0"/>
          <w:numId w:val="38"/>
        </w:numPr>
        <w:rPr>
          <w:rFonts w:ascii="Arial" w:cs="Arial" w:eastAsia="Arial" w:hAnsi="Arial"/>
          <w:sz w:val="19"/>
          <w:szCs w:val="19"/>
          <w:color w:val="auto"/>
        </w:rPr>
      </w:pPr>
      <w:r>
        <w:rPr>
          <w:rFonts w:ascii="Arial" w:cs="Arial" w:eastAsia="Arial" w:hAnsi="Arial"/>
          <w:sz w:val="19"/>
          <w:szCs w:val="19"/>
          <w:color w:val="auto"/>
        </w:rPr>
        <w:t>Payment. Borrower will pay interest on each Term Loan Advance on the first Business Day of each month, beginning the month after the Advance Date (each an “Interest Payment Date”). Borrower shall repay the aggregate Term Loan principal balance that is outstanding on the day immediately preceding the Amortization Date, in equal monthly installments of principal and interest (mortgage style) beginning on the Amortization Date and continuing on the first Business Day of each month thereafter until the Secured Obligations (other than any inchoate indemnity obligations and any other obligations which, by their terms, are to survive the termination of this Agreement) are repaid; provided, that if the Term Loan Cash Interest Rate is adjusted in accordance with its terms, the amount of each subsequent monthly installment shall be recalculated so that the remaining payments shall be equal monthly installments of principal and interest beginning on the first Business Day of the month following such recalculation and continuing on the first Business Day of each month thereafter until the Secured Obligations (other than any inchoate indemnity obligations and any other obligations which, by their terms, are to survive the termination of this Agreement) are repaid in full. The entire Term Loan principal balance and all accrued but unpaid interest hereunder, shall be due and payable on the Term Loan Maturity Date. Borrower shall make all payments under this Agreement without setoff, recoupment or deduction and regardless of any counterclaim or defense. If a payment hereunder becomes due and payable on a day that is not a Business Day, the due date thereof shall be the immediately preceding Business Day. The Lenders will initiate debit entries to the Borrower’s account as authorized on the ACH Authorization (i) on each payment date of all periodic obligations payable to the Lenders under each Term Loan Advance and (ii) reasonable, documented, out-of-pocket legal fees and costs incurred by Agent or the Lenders in connection with Section 11.12 of this Agreement; provided that, with respect to clause (i) above, in the event that the Lenders or Agent informs Borrower that the Lenders will not initiate a debit entry to Borrower’s account for a certain amount of the periodic obligations due on a specific payment date, Borrower shall pay to the Lenders such amount of periodic</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0" w:name="page121"/>
    <w:bookmarkEnd w:id="120"/>
    <w:p>
      <w:pPr>
        <w:jc w:val="both"/>
        <w:ind w:left="2980"/>
        <w:spacing w:after="0" w:line="271" w:lineRule="auto"/>
        <w:rPr>
          <w:sz w:val="20"/>
          <w:szCs w:val="20"/>
          <w:color w:val="auto"/>
        </w:rPr>
      </w:pPr>
      <w:r>
        <w:rPr>
          <w:rFonts w:ascii="Arial" w:cs="Arial" w:eastAsia="Arial" w:hAnsi="Arial"/>
          <w:sz w:val="21"/>
          <w:szCs w:val="21"/>
          <w:color w:val="auto"/>
        </w:rPr>
        <w:t>obligations in full in immediately available funds on such payment date; provided, further, that, with respect to clause (i) above, if the Lenders or Agent informs Borrower that the Lenders will not initiate a debit entry as described above later than the date that is three (3) Business Days prior to such payment date, Borrower shall pay to the Lenders such amount of periodic obligations in full in immediately available funds on the date that is three (3) Business Days after the date on which the Lenders or Agent notifies Borrower of such; provided, further, that, with respect to clause (ii) above, in the event that the Lenders or Agent informs Borrower that the Lenders will not initiate a debit entry to Borrower’s account for certain amount of such reasonable, documented out-of-pocket legal fees and costs incurred by Agent or the Lenders, Borrower shall pay to the Lenders such amount in full in immediately available funds within three (3) Business Days.</w:t>
      </w:r>
    </w:p>
    <w:p>
      <w:pPr>
        <w:spacing w:after="0" w:line="187" w:lineRule="exact"/>
        <w:rPr>
          <w:sz w:val="20"/>
          <w:szCs w:val="20"/>
          <w:color w:val="auto"/>
        </w:rPr>
      </w:pPr>
    </w:p>
    <w:p>
      <w:pPr>
        <w:jc w:val="both"/>
        <w:ind w:left="2200" w:hanging="320"/>
        <w:spacing w:after="0" w:line="302" w:lineRule="auto"/>
        <w:tabs>
          <w:tab w:leader="none" w:pos="22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Maximum Interest. Notwithstanding any provision in this Agreement or any other Loan Document, it is the parties’ intent not to contract for, charge or receive interest at a rate that is greater than the maximum rate permissible by law that a court of competent jurisdiction shall deem applicable hereto (which under the laws of the State of California shall be deemed to be the laws relating to permissible rates of interest on commercial loans) (the “Maximum Rate”). If a court of competent jurisdiction shall finally determine that Borrower has actually paid to the Lenders an amount of interest in excess of the amount that would have been payable if all of the Secured Obligations had at all times borne interest at the Maximum Rate, then such excess interest actually paid by Borrower shall be applied as follows: first, to the payment of the Secured Obligations consisting of the outstanding principal; second, after all principal is repaid, to the payment of the Lenders’ accrued interest, costs, expenses, professional fees and any other Secured Obligations; and third, after all Secured Obligations are repaid, the excess (if any) shall be refunded to Borrower.</w:t>
      </w:r>
    </w:p>
    <w:p>
      <w:pPr>
        <w:spacing w:after="0" w:line="156" w:lineRule="exact"/>
        <w:rPr>
          <w:rFonts w:ascii="Arial" w:cs="Arial" w:eastAsia="Arial" w:hAnsi="Arial"/>
          <w:sz w:val="19"/>
          <w:szCs w:val="19"/>
          <w:color w:val="auto"/>
        </w:rPr>
      </w:pPr>
    </w:p>
    <w:p>
      <w:pPr>
        <w:jc w:val="both"/>
        <w:ind w:left="2200" w:hanging="320"/>
        <w:spacing w:after="0" w:line="304" w:lineRule="auto"/>
        <w:tabs>
          <w:tab w:leader="none" w:pos="2200" w:val="left"/>
        </w:tabs>
        <w:numPr>
          <w:ilvl w:val="0"/>
          <w:numId w:val="39"/>
        </w:numPr>
        <w:rPr>
          <w:rFonts w:ascii="Arial" w:cs="Arial" w:eastAsia="Arial" w:hAnsi="Arial"/>
          <w:sz w:val="19"/>
          <w:szCs w:val="19"/>
          <w:color w:val="auto"/>
        </w:rPr>
      </w:pPr>
      <w:r>
        <w:rPr>
          <w:rFonts w:ascii="Arial" w:cs="Arial" w:eastAsia="Arial" w:hAnsi="Arial"/>
          <w:sz w:val="19"/>
          <w:szCs w:val="19"/>
          <w:color w:val="auto"/>
        </w:rPr>
        <w:t>Default Interest. In the event any payment is not paid on the scheduled payment date (or promptly following resolution of an ACH Failure (and in no event later than three (3) Business Days of the scheduled payment date); provided that such late payment is due to an ACH Failure), an amount equal to five percent (5%) of the past due amount shall be payable on demand. In addition, upon the occurrence and during the continuation of an Event of Default hereunder, all Secured Obligations, including principal, interest, compounded interest, and professional fees, shall bear interest at a rate per annum equal to the rate set forth in Section 2.2(c) plus five percent (5%) per annum. In the event any interest is not paid when due hereunder, delinquent interest shall be added to principal and shall bear interest on interest, compounded at the rate set forth in Section 2.2(c) or Section 2.4, as applicable.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1" w:name="page122"/>
    <w:bookmarkEnd w:id="121"/>
    <w:p>
      <w:pPr>
        <w:jc w:val="both"/>
        <w:ind w:left="2200" w:hanging="320"/>
        <w:spacing w:after="0" w:line="298" w:lineRule="auto"/>
        <w:tabs>
          <w:tab w:leader="none" w:pos="2200" w:val="left"/>
        </w:tabs>
        <w:numPr>
          <w:ilvl w:val="0"/>
          <w:numId w:val="40"/>
        </w:numPr>
        <w:rPr>
          <w:rFonts w:ascii="Arial" w:cs="Arial" w:eastAsia="Arial" w:hAnsi="Arial"/>
          <w:sz w:val="19"/>
          <w:szCs w:val="19"/>
          <w:color w:val="auto"/>
        </w:rPr>
      </w:pPr>
      <w:r>
        <w:rPr>
          <w:rFonts w:ascii="Arial" w:cs="Arial" w:eastAsia="Arial" w:hAnsi="Arial"/>
          <w:sz w:val="19"/>
          <w:szCs w:val="19"/>
          <w:color w:val="auto"/>
        </w:rPr>
        <w:t>Prepayment. At its option, upon at least seven (7) Business Days prior written notice to Agent (or such shorter notice period as agreed by Agent in its sole discretion), Borrower may at any time and from time to time, prepay all or a portion of the outstanding Advances by paying the entire principal balance, or such portion thereof in minimum increments of Five Million Dollars ($5,000,000), all accrued and unpaid interest thereon, together with a prepayment charge equal to the following percentage of the Advance amount being prepaid: with respect to each Advance, if such Advance amounts are prepaid in any of the first twelve (12) months following the First Amendment Closing Date, 2.0%; on or after the date that is twelve (12) months following the First Amendment Closing Date but prior to twenty four (24) months following the First Amendment Closing Date, 1.5%; and on or after the date that is twenty four (24) months following the First Amendment Closing Date but prior to thirty six (36) months following the First Amendment Closing Date, 1.0% (each, a “Prepayment Charge”). If at any time Borrower elects to make a prepayment, and at such time, there are outstanding Advances under multiple Tranches, the Prepayment Charge shall be determined by applying the amount of such prepayment in the following order: first, to the outstanding principal amount (and accrued but unpaid interest thereon) of Advances outstanding under the Tranche with the latest initial funding date; second, to the outstanding principal amount (and accrued but unpaid interest thereon) of Advances outstanding under the Tranche with the next latest initial funding date and so on until the entire principal balance of all Advances made hereunder (and all accrued but unpaid interest thereon) is paid in full. Borrower agrees that the Prepayment Charge is a reasonable calculation of the Lenders’ lost profits in view of the difficulties and impracticality of determining actual damages resulting from an early repayment of the Advances. Borrower shall prepay the outstanding amount of all principal and accrued interest through the prepayment date and the Prepayment Charge, if any, upon the occurrence of a Change in Control or any other prepayment hereunder. Notwithstanding the foregoing, Agent and the Lenders agree to waive the Prepayment Charge if Agent and the Lenders (in their sole and absolute discretion) agree in writing to refinance the Advances prior to the Term Loan Maturity Date. Any amounts paid under this Section shall be applied by Agent to the then unpaid amount of any Secured Obligations (including principal and interest) in such order and priority as Agent may choose in its sole discretion. For the avoidance of doubt, if a payment hereunder becomes due and payable on a day that is not a Business Day, the due date thereof shall be the immediately preceding Business Day. Notwithstanding anything to the contrary contained in this Agreement, so long as Borrower provided notice to the Agent no less than seven (7) Business Days prior to the proposed prepayment date, Borrower may rescind any notice of prepayment if such prepayment would have resulted from a refinancing of all or a portion of the Term Loan Advances, which refinancing shall not be consummated or shall otherwise be delayed.</w:t>
      </w:r>
    </w:p>
    <w:p>
      <w:pPr>
        <w:spacing w:after="0" w:line="173" w:lineRule="exact"/>
        <w:rPr>
          <w:rFonts w:ascii="Arial" w:cs="Arial" w:eastAsia="Arial" w:hAnsi="Arial"/>
          <w:sz w:val="19"/>
          <w:szCs w:val="19"/>
          <w:color w:val="auto"/>
        </w:rPr>
      </w:pPr>
    </w:p>
    <w:p>
      <w:pPr>
        <w:ind w:left="2200" w:hanging="320"/>
        <w:spacing w:after="0"/>
        <w:tabs>
          <w:tab w:leader="none" w:pos="22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End of Term Charge.</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2" w:name="page123"/>
    <w:bookmarkEnd w:id="122"/>
    <w:p>
      <w:pPr>
        <w:jc w:val="both"/>
        <w:ind w:left="2980" w:hanging="278"/>
        <w:spacing w:after="0" w:line="261" w:lineRule="auto"/>
        <w:tabs>
          <w:tab w:leader="none" w:pos="2980" w:val="left"/>
        </w:tabs>
        <w:numPr>
          <w:ilvl w:val="1"/>
          <w:numId w:val="41"/>
        </w:numPr>
        <w:rPr>
          <w:rFonts w:ascii="Arial" w:cs="Arial" w:eastAsia="Arial" w:hAnsi="Arial"/>
          <w:sz w:val="22"/>
          <w:szCs w:val="22"/>
          <w:color w:val="auto"/>
        </w:rPr>
      </w:pPr>
      <w:r>
        <w:rPr>
          <w:rFonts w:ascii="Arial" w:cs="Arial" w:eastAsia="Arial" w:hAnsi="Arial"/>
          <w:sz w:val="22"/>
          <w:szCs w:val="22"/>
          <w:color w:val="auto"/>
        </w:rPr>
        <w:t>On any date that Borrower partially prepays the outstanding Secured Obligations pursuant to Section 2.5, Borrower shall pay the Lenders (x) with respect to any repayment of any Tranche 1 Advances, a charge of 4.85% of the principal amount of such Term Loan Advances being repaid and (y) for all other Advances repaid, a charge of 4.50% of the principal amount of such Term Loan Advances being repaid.</w:t>
      </w:r>
    </w:p>
    <w:p>
      <w:pPr>
        <w:spacing w:after="0" w:line="190" w:lineRule="exact"/>
        <w:rPr>
          <w:rFonts w:ascii="Arial" w:cs="Arial" w:eastAsia="Arial" w:hAnsi="Arial"/>
          <w:sz w:val="22"/>
          <w:szCs w:val="22"/>
          <w:color w:val="auto"/>
        </w:rPr>
      </w:pPr>
    </w:p>
    <w:p>
      <w:pPr>
        <w:jc w:val="both"/>
        <w:ind w:left="2980" w:hanging="338"/>
        <w:spacing w:after="0" w:line="272" w:lineRule="auto"/>
        <w:tabs>
          <w:tab w:leader="none" w:pos="2980" w:val="left"/>
        </w:tabs>
        <w:numPr>
          <w:ilvl w:val="1"/>
          <w:numId w:val="41"/>
        </w:numPr>
        <w:rPr>
          <w:rFonts w:ascii="Arial" w:cs="Arial" w:eastAsia="Arial" w:hAnsi="Arial"/>
          <w:sz w:val="21"/>
          <w:szCs w:val="21"/>
          <w:color w:val="auto"/>
        </w:rPr>
      </w:pPr>
      <w:r>
        <w:rPr>
          <w:rFonts w:ascii="Arial" w:cs="Arial" w:eastAsia="Arial" w:hAnsi="Arial"/>
          <w:sz w:val="21"/>
          <w:szCs w:val="21"/>
          <w:color w:val="auto"/>
        </w:rPr>
        <w:t>On the earliest to occur of (i) October 1, 2026,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and amortization payments), Borrower shall pay the Lenders a charge equal to (x) Two Million Nine Hundred and Ten Thousand Dollars ($2,910,000), plus (y) 4.50% of the aggregate amount of all Term Loan Advances (other than Tranche 1 Advances) funded, minus (z) the aggregate amount of payments made pursuant to Section 2.6(a) (the “Original End of Term Charge”).</w:t>
      </w:r>
    </w:p>
    <w:p>
      <w:pPr>
        <w:spacing w:after="0" w:line="182" w:lineRule="exact"/>
        <w:rPr>
          <w:rFonts w:ascii="Arial" w:cs="Arial" w:eastAsia="Arial" w:hAnsi="Arial"/>
          <w:sz w:val="21"/>
          <w:szCs w:val="21"/>
          <w:color w:val="auto"/>
        </w:rPr>
      </w:pPr>
    </w:p>
    <w:p>
      <w:pPr>
        <w:jc w:val="both"/>
        <w:ind w:left="2980" w:hanging="398"/>
        <w:spacing w:after="0" w:line="271" w:lineRule="auto"/>
        <w:tabs>
          <w:tab w:leader="none" w:pos="2980" w:val="left"/>
        </w:tabs>
        <w:numPr>
          <w:ilvl w:val="1"/>
          <w:numId w:val="41"/>
        </w:numPr>
        <w:rPr>
          <w:rFonts w:ascii="Arial" w:cs="Arial" w:eastAsia="Arial" w:hAnsi="Arial"/>
          <w:sz w:val="21"/>
          <w:szCs w:val="21"/>
          <w:color w:val="auto"/>
        </w:rPr>
      </w:pPr>
      <w:r>
        <w:rPr>
          <w:rFonts w:ascii="Arial" w:cs="Arial" w:eastAsia="Arial" w:hAnsi="Arial"/>
          <w:sz w:val="21"/>
          <w:szCs w:val="21"/>
          <w:color w:val="auto"/>
        </w:rPr>
        <w:t>If the Maturity Extension Conditions are satisfied, on the earliest to occur of (i) October 1, 2027, (ii) the date that Borrower prepays the outstanding Secured Obligations (other than any inchoate indemnity obligations and any other obligations which, by their terms, are to survive the termination of this Agreement) in full, or (iii) the date that the Secured Obligations become due and payable in full (other than regularly scheduled interest and amortization payments), Borrower shall pay the Lenders an additional charge equal to 1.50% of the aggregate amount of all Term Loan Advances outstanding as of the date on which the Maturity Extension Conditions are satisfied (the “Extension End of Term Charge”, collectively with any charge made pursuant to Section 2.6(a) and the Original End of Term Charge, the “End of Term Charge”).</w:t>
      </w:r>
    </w:p>
    <w:p>
      <w:pPr>
        <w:spacing w:after="0" w:line="189" w:lineRule="exact"/>
        <w:rPr>
          <w:rFonts w:ascii="Arial" w:cs="Arial" w:eastAsia="Arial" w:hAnsi="Arial"/>
          <w:sz w:val="21"/>
          <w:szCs w:val="21"/>
          <w:color w:val="auto"/>
        </w:rPr>
      </w:pPr>
    </w:p>
    <w:p>
      <w:pPr>
        <w:jc w:val="both"/>
        <w:ind w:left="2980" w:hanging="372"/>
        <w:spacing w:after="0" w:line="276" w:lineRule="auto"/>
        <w:tabs>
          <w:tab w:leader="none" w:pos="2980" w:val="left"/>
        </w:tabs>
        <w:numPr>
          <w:ilvl w:val="1"/>
          <w:numId w:val="41"/>
        </w:numPr>
        <w:rPr>
          <w:rFonts w:ascii="Arial" w:cs="Arial" w:eastAsia="Arial" w:hAnsi="Arial"/>
          <w:sz w:val="21"/>
          <w:szCs w:val="21"/>
          <w:color w:val="auto"/>
        </w:rPr>
      </w:pPr>
      <w:r>
        <w:rPr>
          <w:rFonts w:ascii="Arial" w:cs="Arial" w:eastAsia="Arial" w:hAnsi="Arial"/>
          <w:sz w:val="21"/>
          <w:szCs w:val="21"/>
          <w:color w:val="auto"/>
        </w:rPr>
        <w:t>Notwithstanding the required payment date of such End of Term Charge, the applicable pro rata portion of the End of Term Charge shall be deemed earned by the Lenders as of each date a Term Loan Advance is made. For the avoidance of doubt, if a payment hereunder becomes due and payable on a day that is not a Business Day, the due date thereof shall be the immediately preceding Business Day.</w:t>
      </w:r>
    </w:p>
    <w:p>
      <w:pPr>
        <w:spacing w:after="0" w:line="177" w:lineRule="exact"/>
        <w:rPr>
          <w:rFonts w:ascii="Arial" w:cs="Arial" w:eastAsia="Arial" w:hAnsi="Arial"/>
          <w:sz w:val="21"/>
          <w:szCs w:val="21"/>
          <w:color w:val="auto"/>
        </w:rPr>
      </w:pPr>
    </w:p>
    <w:p>
      <w:pPr>
        <w:ind w:left="2200" w:hanging="320"/>
        <w:spacing w:after="0" w:line="358" w:lineRule="auto"/>
        <w:tabs>
          <w:tab w:leader="none" w:pos="2200" w:val="left"/>
        </w:tabs>
        <w:numPr>
          <w:ilvl w:val="0"/>
          <w:numId w:val="42"/>
        </w:numPr>
        <w:rPr>
          <w:rFonts w:ascii="Arial" w:cs="Arial" w:eastAsia="Arial" w:hAnsi="Arial"/>
          <w:sz w:val="19"/>
          <w:szCs w:val="19"/>
          <w:color w:val="auto"/>
        </w:rPr>
      </w:pPr>
      <w:r>
        <w:rPr>
          <w:rFonts w:ascii="Arial" w:cs="Arial" w:eastAsia="Arial" w:hAnsi="Arial"/>
          <w:sz w:val="19"/>
          <w:szCs w:val="19"/>
          <w:color w:val="auto"/>
        </w:rPr>
        <w:t>Pro Rata Treatment. Each payment (including prepayment) on account of any fee and any reduction of the Term Loans shall be made pro rata according to the Term Commitments of the relevant Lender.</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3" w:name="page124"/>
    <w:bookmarkEnd w:id="123"/>
    <w:p>
      <w:pPr>
        <w:ind w:left="2200" w:hanging="320"/>
        <w:spacing w:after="0" w:line="276" w:lineRule="auto"/>
        <w:tabs>
          <w:tab w:leader="none" w:pos="2200" w:val="left"/>
        </w:tabs>
        <w:numPr>
          <w:ilvl w:val="1"/>
          <w:numId w:val="43"/>
        </w:numPr>
        <w:rPr>
          <w:rFonts w:ascii="Arial" w:cs="Arial" w:eastAsia="Arial" w:hAnsi="Arial"/>
          <w:sz w:val="22"/>
          <w:szCs w:val="22"/>
          <w:color w:val="auto"/>
        </w:rPr>
      </w:pPr>
      <w:r>
        <w:rPr>
          <w:rFonts w:ascii="Arial" w:cs="Arial" w:eastAsia="Arial" w:hAnsi="Arial"/>
          <w:sz w:val="22"/>
          <w:szCs w:val="22"/>
          <w:color w:val="auto"/>
        </w:rPr>
        <w:t>Taxes; Increased Costs. The Borrower, the Agent and the Lenders each hereby agree to the terms and conditions set forth on Addendum 1 attached hereto.</w:t>
      </w:r>
    </w:p>
    <w:p>
      <w:pPr>
        <w:spacing w:after="0" w:line="174" w:lineRule="exact"/>
        <w:rPr>
          <w:rFonts w:ascii="Arial" w:cs="Arial" w:eastAsia="Arial" w:hAnsi="Arial"/>
          <w:sz w:val="22"/>
          <w:szCs w:val="22"/>
          <w:color w:val="auto"/>
        </w:rPr>
      </w:pPr>
    </w:p>
    <w:p>
      <w:pPr>
        <w:jc w:val="both"/>
        <w:ind w:left="2200" w:hanging="320"/>
        <w:spacing w:after="0" w:line="299" w:lineRule="auto"/>
        <w:tabs>
          <w:tab w:leader="none" w:pos="2200" w:val="left"/>
        </w:tabs>
        <w:numPr>
          <w:ilvl w:val="1"/>
          <w:numId w:val="43"/>
        </w:numPr>
        <w:rPr>
          <w:rFonts w:ascii="Arial" w:cs="Arial" w:eastAsia="Arial" w:hAnsi="Arial"/>
          <w:sz w:val="19"/>
          <w:szCs w:val="19"/>
          <w:color w:val="auto"/>
        </w:rPr>
      </w:pPr>
      <w:r>
        <w:rPr>
          <w:rFonts w:ascii="Arial" w:cs="Arial" w:eastAsia="Arial" w:hAnsi="Arial"/>
          <w:sz w:val="19"/>
          <w:szCs w:val="19"/>
          <w:color w:val="auto"/>
        </w:rPr>
        <w:t>Treatment of Prepayment Charge and End of Term Charge. Borrower agrees that any Prepayment Charge and any End of Term Charge payable shall be presumed to be the liquidated damages sustained by each Lender as the result of the early termination, and Borrower agrees that it is reasonable under the circumstances currently existing and existing as of the Closing Date and the First Amendment Closing Date. The Prepayment Charge and the End of Term Charge shall also be payable in the event the Secured Obligations (and/or this Agreement) are satisfied or released by foreclosure (whether by power of judicial proceeding), deed in lieu of foreclosure, or by any other means. Borrower expressly waives (to the fullest extent it may lawfully do so) the provisions of any present or future statute or law that prohibits or may prohibit the collection of the foregoing Prepayment Charge and End of Term Charge in connection with any such acceleration. Borrower agrees (to the fullest extent that each may lawfully do so): (a) each of the Prepayment Charge and the End of Term Charge is reasonable and is the product of an arm’s length transaction between sophisticated business people, ably represented by counsel; (b) each of the Prepayment Charge and the End of Term Charge shall be payable notwithstanding the then prevailing market rates at the time payment is made; (c) there has been a course of conduct between the Lenders and Borrower giving specific consideration in this transaction for such agreement to pay the Prepayment Charge and the End of Term Charge as a charge (and not interest) in the event of prepayment or acceleration; (d) Borrower shall be estopped from claiming differently than as agreed to in this paragraph. Borrower expressly acknowledges that their agreement to pay each of the Prepayment Charge and the End of Term Charge to the Lenders as herein described was on the Closing Date and the First Amendment Closing Date and continues to be a material inducement to the Lenders to provide the Term Loans.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328" w:lineRule="exact"/>
        <w:rPr>
          <w:rFonts w:ascii="Arial" w:cs="Arial" w:eastAsia="Arial" w:hAnsi="Arial"/>
          <w:sz w:val="19"/>
          <w:szCs w:val="19"/>
          <w:color w:val="auto"/>
        </w:rPr>
      </w:pPr>
    </w:p>
    <w:p>
      <w:pPr>
        <w:ind w:left="1460" w:hanging="329"/>
        <w:spacing w:after="0"/>
        <w:tabs>
          <w:tab w:leader="none" w:pos="1460" w:val="left"/>
        </w:tabs>
        <w:numPr>
          <w:ilvl w:val="0"/>
          <w:numId w:val="44"/>
        </w:numPr>
        <w:rPr>
          <w:rFonts w:ascii="Arial" w:cs="Arial" w:eastAsia="Arial" w:hAnsi="Arial"/>
          <w:sz w:val="22"/>
          <w:szCs w:val="22"/>
          <w:color w:val="auto"/>
        </w:rPr>
      </w:pPr>
      <w:r>
        <w:rPr>
          <w:rFonts w:ascii="Arial" w:cs="Arial" w:eastAsia="Arial" w:hAnsi="Arial"/>
          <w:sz w:val="22"/>
          <w:szCs w:val="22"/>
          <w:color w:val="auto"/>
        </w:rPr>
        <w:t>SECURITY INTEREST</w:t>
      </w:r>
    </w:p>
    <w:p>
      <w:pPr>
        <w:spacing w:after="0" w:line="233" w:lineRule="exact"/>
        <w:rPr>
          <w:rFonts w:ascii="Arial" w:cs="Arial" w:eastAsia="Arial" w:hAnsi="Arial"/>
          <w:sz w:val="22"/>
          <w:szCs w:val="22"/>
          <w:color w:val="auto"/>
        </w:rPr>
      </w:pPr>
    </w:p>
    <w:p>
      <w:pPr>
        <w:jc w:val="both"/>
        <w:ind w:left="2200" w:hanging="320"/>
        <w:spacing w:after="0" w:line="259" w:lineRule="auto"/>
        <w:tabs>
          <w:tab w:leader="none" w:pos="2200" w:val="left"/>
        </w:tabs>
        <w:numPr>
          <w:ilvl w:val="1"/>
          <w:numId w:val="44"/>
        </w:numPr>
        <w:rPr>
          <w:rFonts w:ascii="Arial" w:cs="Arial" w:eastAsia="Arial" w:hAnsi="Arial"/>
          <w:sz w:val="22"/>
          <w:szCs w:val="22"/>
          <w:color w:val="auto"/>
        </w:rPr>
      </w:pPr>
      <w:r>
        <w:rPr>
          <w:rFonts w:ascii="Arial" w:cs="Arial" w:eastAsia="Arial" w:hAnsi="Arial"/>
          <w:sz w:val="22"/>
          <w:szCs w:val="22"/>
          <w:color w:val="auto"/>
        </w:rPr>
        <w:t>As security for the prompt and complete payment when due (whether on the payment dates or otherwise) of all the Secured Obligations, Borrower grants to Agent a security interest in all of Borrower’s right, title, and interest in, to and under all of Borrower’s personal property and other assets including without limitation the following (except as set forth herein) whether now owned or hereafter acquired (collectively, the “Collateral”): (a) Receivables; (b) Equipment; (c) Fixtures; (d) General Intangibles; (e) Inventory; (f) Investment Property; (g) Deposit Accounts; (h) Cash; (i) Goods; (j) the Antecip License Agreement and all proceeds thereof; and all other tangible and intangible personal property of Borrower whether now</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4" w:name="page125"/>
    <w:bookmarkEnd w:id="124"/>
    <w:p>
      <w:pPr>
        <w:jc w:val="both"/>
        <w:ind w:left="2200"/>
        <w:spacing w:after="0" w:line="317" w:lineRule="auto"/>
        <w:rPr>
          <w:sz w:val="20"/>
          <w:szCs w:val="20"/>
          <w:color w:val="auto"/>
        </w:rPr>
      </w:pPr>
      <w:r>
        <w:rPr>
          <w:rFonts w:ascii="Arial" w:cs="Arial" w:eastAsia="Arial" w:hAnsi="Arial"/>
          <w:sz w:val="19"/>
          <w:szCs w:val="19"/>
          <w:color w:val="auto"/>
        </w:rPr>
        <w:t>or hereafter owned or existing, leased, consigned by or to, or acquired by, Borrower and wherever located, and any of Borrower’s property in the possession or under the control of Agent; and, to the extent not otherwise included, all Proceeds of each of the foregoing and all accessions to, substitutions and replacements for, and rents, profits and products of each of the foregoing.</w:t>
      </w:r>
    </w:p>
    <w:p>
      <w:pPr>
        <w:spacing w:after="0" w:line="142" w:lineRule="exact"/>
        <w:rPr>
          <w:sz w:val="20"/>
          <w:szCs w:val="20"/>
          <w:color w:val="auto"/>
        </w:rPr>
      </w:pPr>
    </w:p>
    <w:p>
      <w:pPr>
        <w:jc w:val="both"/>
        <w:ind w:left="2200" w:hanging="320"/>
        <w:spacing w:after="0" w:line="299" w:lineRule="auto"/>
        <w:tabs>
          <w:tab w:leader="none" w:pos="2200" w:val="left"/>
        </w:tabs>
        <w:numPr>
          <w:ilvl w:val="0"/>
          <w:numId w:val="45"/>
        </w:numPr>
        <w:rPr>
          <w:rFonts w:ascii="Arial" w:cs="Arial" w:eastAsia="Arial" w:hAnsi="Arial"/>
          <w:sz w:val="19"/>
          <w:szCs w:val="19"/>
          <w:color w:val="auto"/>
        </w:rPr>
      </w:pPr>
      <w:r>
        <w:rPr>
          <w:rFonts w:ascii="Arial" w:cs="Arial" w:eastAsia="Arial" w:hAnsi="Arial"/>
          <w:sz w:val="19"/>
          <w:szCs w:val="19"/>
          <w:color w:val="auto"/>
        </w:rPr>
        <w:t>Notwithstanding the broad grant of the security interest set forth in Section 3.1, above, the Collateral shall not include (collectively, the “Excluded Property”) (a) any “intent to use” trademarks at all times prior to the first use thereof, whether by the actual use thereof in commerce, the recording of a statement of use with the United States Patent and Trademark Office or otherwise, provided, that upon submission and acceptance by the United States Patent and Trademark Office of an amendment to allege use of an intent-to-use trademark application pursuant to 15 U.S.C. Section 1060(a) (or any successor provision) such intent-to-use application shall constitute Collateral, (b) non-assignable property, licenses or contracts, which by their terms require the consent of the licensor thereof or another party (but only to the extent such prohibition on transfer is enforceable under applicable law, including, without limitation, Sections 9406, 9407 and 9408 of the UCC), (c) any particular asset if the pledge thereof or the security interest therein is prohibited or restricted by applicable law, rule or regulation (including any requirement to obtain the consent of any governmental authority, regulatory authority or third party), provided that the foregoing exclusion of this clause (c) shall in no way be construed (1) to apply to the extent that any described prohibition or restriction is unenforceable under Section 9406, 9407 or 9408 of the UCC or other applicable law or (2) to apply to the extent that any consent or waiver has been obtained, or is hereafter obtained, that would permit the Agent’s security interest or Lien notwithstanding the prohibition or restriction on the pledge of such asset, (d) any Excluded Accounts, including cash pledged pursuant to Permitted Liens and any Deposit Account, securities account, commodities account or other account to the extent solely and exclusively used to hold any cash pledged as a Permitted Lien, and (e) Equipment and software (and the products and proceeds thereof) subject to Permitted Liens of the type described in clause (vii) of the definition of Permitted Liens, but only to the extent and for so long as the agreements under which the equipment is financed prohibit granting a security interest therein to Lender.</w:t>
      </w:r>
    </w:p>
    <w:p>
      <w:pPr>
        <w:spacing w:after="0" w:line="200" w:lineRule="exact"/>
        <w:rPr>
          <w:rFonts w:ascii="Arial" w:cs="Arial" w:eastAsia="Arial" w:hAnsi="Arial"/>
          <w:sz w:val="19"/>
          <w:szCs w:val="19"/>
          <w:color w:val="auto"/>
        </w:rPr>
      </w:pPr>
    </w:p>
    <w:p>
      <w:pPr>
        <w:spacing w:after="0" w:line="237" w:lineRule="exact"/>
        <w:rPr>
          <w:rFonts w:ascii="Arial" w:cs="Arial" w:eastAsia="Arial" w:hAnsi="Arial"/>
          <w:sz w:val="19"/>
          <w:szCs w:val="19"/>
          <w:color w:val="auto"/>
        </w:rPr>
      </w:pPr>
    </w:p>
    <w:p>
      <w:pPr>
        <w:jc w:val="both"/>
        <w:ind w:left="2200" w:hanging="320"/>
        <w:spacing w:after="0" w:line="260" w:lineRule="auto"/>
        <w:tabs>
          <w:tab w:leader="none" w:pos="22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Upon termination of this Agreement and repayment if full of all Secured Obligations (other than any inchoate indemnity obligations and any other obligations which, by their terms, are to survive the termination of this Agreement), all security interest in the Collateral granted under this Agreement shall terminate and all rights on the Collateral shall revert to Borrower. Agent shall execute such documents and take such other steps as are reasonably necessary for Borrower to accomplish the foregoing, all at Borrower’s sole cost and expense.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5" w:name="page126"/>
    <w:bookmarkEnd w:id="125"/>
    <w:p>
      <w:pPr>
        <w:ind w:left="1140"/>
        <w:spacing w:after="0"/>
        <w:rPr>
          <w:sz w:val="20"/>
          <w:szCs w:val="20"/>
          <w:color w:val="auto"/>
        </w:rPr>
      </w:pPr>
      <w:r>
        <w:rPr>
          <w:rFonts w:ascii="Arial" w:cs="Arial" w:eastAsia="Arial" w:hAnsi="Arial"/>
          <w:sz w:val="22"/>
          <w:szCs w:val="22"/>
          <w:color w:val="auto"/>
        </w:rPr>
        <w:t>4.  CONDITIONS PRECEDENT TO LOAN</w:t>
      </w:r>
    </w:p>
    <w:p>
      <w:pPr>
        <w:spacing w:after="0" w:line="233" w:lineRule="exact"/>
        <w:rPr>
          <w:sz w:val="20"/>
          <w:szCs w:val="20"/>
          <w:color w:val="auto"/>
        </w:rPr>
      </w:pPr>
    </w:p>
    <w:p>
      <w:pPr>
        <w:ind w:firstLine="749"/>
        <w:spacing w:after="0" w:line="276" w:lineRule="auto"/>
        <w:rPr>
          <w:sz w:val="20"/>
          <w:szCs w:val="20"/>
          <w:color w:val="auto"/>
        </w:rPr>
      </w:pPr>
      <w:r>
        <w:rPr>
          <w:rFonts w:ascii="Arial" w:cs="Arial" w:eastAsia="Arial" w:hAnsi="Arial"/>
          <w:sz w:val="22"/>
          <w:szCs w:val="22"/>
          <w:color w:val="auto"/>
        </w:rPr>
        <w:t>The obligations of the Lenders to make the Loan hereunder are subject to the satisfaction by Borrower of the following conditions:</w:t>
      </w:r>
    </w:p>
    <w:p>
      <w:pPr>
        <w:spacing w:after="0" w:line="174" w:lineRule="exact"/>
        <w:rPr>
          <w:sz w:val="20"/>
          <w:szCs w:val="20"/>
          <w:color w:val="auto"/>
        </w:rPr>
      </w:pPr>
    </w:p>
    <w:p>
      <w:pPr>
        <w:ind w:left="2200" w:hanging="320"/>
        <w:spacing w:after="0"/>
        <w:tabs>
          <w:tab w:leader="none" w:pos="2200" w:val="left"/>
        </w:tabs>
        <w:numPr>
          <w:ilvl w:val="0"/>
          <w:numId w:val="46"/>
        </w:numPr>
        <w:rPr>
          <w:rFonts w:ascii="Arial" w:cs="Arial" w:eastAsia="Arial" w:hAnsi="Arial"/>
          <w:sz w:val="19"/>
          <w:szCs w:val="19"/>
          <w:color w:val="auto"/>
        </w:rPr>
      </w:pPr>
      <w:r>
        <w:rPr>
          <w:rFonts w:ascii="Arial" w:cs="Arial" w:eastAsia="Arial" w:hAnsi="Arial"/>
          <w:sz w:val="19"/>
          <w:szCs w:val="19"/>
          <w:color w:val="auto"/>
        </w:rPr>
        <w:t>Initial Advance. On or prior to the Closing Date, Borrower shall have delivered to Agent the following:</w:t>
      </w:r>
    </w:p>
    <w:p>
      <w:pPr>
        <w:spacing w:after="0" w:line="267" w:lineRule="exact"/>
        <w:rPr>
          <w:rFonts w:ascii="Arial" w:cs="Arial" w:eastAsia="Arial" w:hAnsi="Arial"/>
          <w:sz w:val="19"/>
          <w:szCs w:val="19"/>
          <w:color w:val="auto"/>
        </w:rPr>
      </w:pPr>
    </w:p>
    <w:p>
      <w:pPr>
        <w:jc w:val="both"/>
        <w:ind w:left="2980" w:hanging="278"/>
        <w:spacing w:after="0" w:line="261" w:lineRule="auto"/>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executed copies of the Loan Documents (other than the Warrant, which shall be an original), Account Control Agreements, and all other documents and instruments reasonably required by Agent to effectuate the transactions contemplated hereby or to create and perfect the Liens of Agent with respect to all Collateral, in all cases in form and substance reasonably acceptable to Agent;</w:t>
      </w:r>
    </w:p>
    <w:p>
      <w:pPr>
        <w:spacing w:after="0" w:line="190" w:lineRule="exact"/>
        <w:rPr>
          <w:rFonts w:ascii="Arial" w:cs="Arial" w:eastAsia="Arial" w:hAnsi="Arial"/>
          <w:sz w:val="22"/>
          <w:szCs w:val="22"/>
          <w:color w:val="auto"/>
        </w:rPr>
      </w:pPr>
    </w:p>
    <w:p>
      <w:pPr>
        <w:ind w:left="2980" w:hanging="338"/>
        <w:spacing w:after="0"/>
        <w:tabs>
          <w:tab w:leader="none" w:pos="2980" w:val="left"/>
        </w:tabs>
        <w:numPr>
          <w:ilvl w:val="1"/>
          <w:numId w:val="46"/>
        </w:numPr>
        <w:rPr>
          <w:rFonts w:ascii="Arial" w:cs="Arial" w:eastAsia="Arial" w:hAnsi="Arial"/>
          <w:sz w:val="19"/>
          <w:szCs w:val="19"/>
          <w:color w:val="auto"/>
        </w:rPr>
      </w:pPr>
      <w:r>
        <w:rPr>
          <w:rFonts w:ascii="Arial" w:cs="Arial" w:eastAsia="Arial" w:hAnsi="Arial"/>
          <w:sz w:val="19"/>
          <w:szCs w:val="19"/>
          <w:color w:val="auto"/>
        </w:rPr>
        <w:t>a legal opinion of Borrower’s counsel in form and substance reasonably acceptable to Agent,</w:t>
      </w:r>
    </w:p>
    <w:p>
      <w:pPr>
        <w:spacing w:after="0" w:line="267" w:lineRule="exact"/>
        <w:rPr>
          <w:rFonts w:ascii="Arial" w:cs="Arial" w:eastAsia="Arial" w:hAnsi="Arial"/>
          <w:sz w:val="19"/>
          <w:szCs w:val="19"/>
          <w:color w:val="auto"/>
        </w:rPr>
      </w:pPr>
    </w:p>
    <w:p>
      <w:pPr>
        <w:jc w:val="both"/>
        <w:ind w:left="2980" w:hanging="398"/>
        <w:spacing w:after="0" w:line="266" w:lineRule="auto"/>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certified copy of resolutions of Borrower’s board of directors evidencing approval of (i) the Loan and other transactions evidenced by the Loan Documents; and (ii) the Warrant and transactions evidenced thereby;</w:t>
      </w:r>
    </w:p>
    <w:p>
      <w:pPr>
        <w:spacing w:after="0" w:line="184" w:lineRule="exact"/>
        <w:rPr>
          <w:rFonts w:ascii="Arial" w:cs="Arial" w:eastAsia="Arial" w:hAnsi="Arial"/>
          <w:sz w:val="22"/>
          <w:szCs w:val="22"/>
          <w:color w:val="auto"/>
        </w:rPr>
      </w:pPr>
    </w:p>
    <w:p>
      <w:pPr>
        <w:ind w:left="2980" w:right="20" w:hanging="372"/>
        <w:spacing w:after="0" w:line="276" w:lineRule="auto"/>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certified copies of the Certificate of Incorporation and the Bylaws, as amended through the Closing Date, of Borrower;</w:t>
      </w:r>
    </w:p>
    <w:p>
      <w:pPr>
        <w:spacing w:after="0" w:line="174" w:lineRule="exact"/>
        <w:rPr>
          <w:rFonts w:ascii="Arial" w:cs="Arial" w:eastAsia="Arial" w:hAnsi="Arial"/>
          <w:sz w:val="22"/>
          <w:szCs w:val="22"/>
          <w:color w:val="auto"/>
        </w:rPr>
      </w:pPr>
    </w:p>
    <w:p>
      <w:pPr>
        <w:jc w:val="both"/>
        <w:ind w:left="2980" w:hanging="312"/>
        <w:spacing w:after="0" w:line="266" w:lineRule="auto"/>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 certificate of good standing for Borrower from its state of incorporation and similar certificates from all other jurisdictions in which it does business and where the failure to be qualified could have a Material Adverse Effect;</w:t>
      </w:r>
    </w:p>
    <w:p>
      <w:pPr>
        <w:spacing w:after="0" w:line="184" w:lineRule="exact"/>
        <w:rPr>
          <w:rFonts w:ascii="Arial" w:cs="Arial" w:eastAsia="Arial" w:hAnsi="Arial"/>
          <w:sz w:val="22"/>
          <w:szCs w:val="22"/>
          <w:color w:val="auto"/>
        </w:rPr>
      </w:pPr>
    </w:p>
    <w:p>
      <w:pPr>
        <w:jc w:val="both"/>
        <w:ind w:left="2980" w:hanging="386"/>
        <w:spacing w:after="0" w:line="266" w:lineRule="auto"/>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payment of the Due Diligence Fee, Initial Facility Charge and reimbursement of Agent’s and the Lenders’ current expenses reimbursable pursuant to this Agreement, which amounts may be deducted from the initial Advance;</w:t>
      </w:r>
    </w:p>
    <w:p>
      <w:pPr>
        <w:spacing w:after="0" w:line="184" w:lineRule="exact"/>
        <w:rPr>
          <w:rFonts w:ascii="Arial" w:cs="Arial" w:eastAsia="Arial" w:hAnsi="Arial"/>
          <w:sz w:val="22"/>
          <w:szCs w:val="22"/>
          <w:color w:val="auto"/>
        </w:rPr>
      </w:pPr>
    </w:p>
    <w:p>
      <w:pPr>
        <w:ind w:left="2980" w:hanging="446"/>
        <w:spacing w:after="0"/>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all certificates of insurance and copies of each insurance policy required hereunder;</w:t>
      </w:r>
    </w:p>
    <w:p>
      <w:pPr>
        <w:spacing w:after="0" w:line="233" w:lineRule="exact"/>
        <w:rPr>
          <w:rFonts w:ascii="Arial" w:cs="Arial" w:eastAsia="Arial" w:hAnsi="Arial"/>
          <w:sz w:val="22"/>
          <w:szCs w:val="22"/>
          <w:color w:val="auto"/>
        </w:rPr>
      </w:pPr>
    </w:p>
    <w:p>
      <w:pPr>
        <w:ind w:left="2980" w:hanging="506"/>
        <w:spacing w:after="0"/>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executed copy of the Antecip Direct Agreement; and</w:t>
      </w:r>
    </w:p>
    <w:p>
      <w:pPr>
        <w:spacing w:after="0" w:line="233" w:lineRule="exact"/>
        <w:rPr>
          <w:rFonts w:ascii="Arial" w:cs="Arial" w:eastAsia="Arial" w:hAnsi="Arial"/>
          <w:sz w:val="22"/>
          <w:szCs w:val="22"/>
          <w:color w:val="auto"/>
        </w:rPr>
      </w:pPr>
    </w:p>
    <w:p>
      <w:pPr>
        <w:ind w:left="2980" w:hanging="386"/>
        <w:spacing w:after="0"/>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such other documents as Agent may reasonably request.</w:t>
      </w:r>
    </w:p>
    <w:p>
      <w:pPr>
        <w:spacing w:after="0" w:line="233" w:lineRule="exact"/>
        <w:rPr>
          <w:rFonts w:ascii="Arial" w:cs="Arial" w:eastAsia="Arial" w:hAnsi="Arial"/>
          <w:sz w:val="22"/>
          <w:szCs w:val="22"/>
          <w:color w:val="auto"/>
        </w:rPr>
      </w:pPr>
    </w:p>
    <w:p>
      <w:pPr>
        <w:ind w:left="2200" w:hanging="320"/>
        <w:spacing w:after="0"/>
        <w:tabs>
          <w:tab w:leader="none" w:pos="2200" w:val="left"/>
        </w:tabs>
        <w:numPr>
          <w:ilvl w:val="0"/>
          <w:numId w:val="46"/>
        </w:numPr>
        <w:rPr>
          <w:rFonts w:ascii="Arial" w:cs="Arial" w:eastAsia="Arial" w:hAnsi="Arial"/>
          <w:sz w:val="22"/>
          <w:szCs w:val="22"/>
          <w:color w:val="auto"/>
        </w:rPr>
      </w:pPr>
      <w:r>
        <w:rPr>
          <w:rFonts w:ascii="Arial" w:cs="Arial" w:eastAsia="Arial" w:hAnsi="Arial"/>
          <w:sz w:val="22"/>
          <w:szCs w:val="22"/>
          <w:color w:val="auto"/>
        </w:rPr>
        <w:t>All Advances. On each Advance Date:</w:t>
      </w:r>
    </w:p>
    <w:p>
      <w:pPr>
        <w:spacing w:after="0" w:line="233" w:lineRule="exact"/>
        <w:rPr>
          <w:rFonts w:ascii="Arial" w:cs="Arial" w:eastAsia="Arial" w:hAnsi="Arial"/>
          <w:sz w:val="22"/>
          <w:szCs w:val="22"/>
          <w:color w:val="auto"/>
        </w:rPr>
      </w:pPr>
    </w:p>
    <w:p>
      <w:pPr>
        <w:ind w:left="2980" w:hanging="278"/>
        <w:spacing w:after="0" w:line="276" w:lineRule="auto"/>
        <w:tabs>
          <w:tab w:leader="none" w:pos="2980" w:val="left"/>
        </w:tabs>
        <w:numPr>
          <w:ilvl w:val="1"/>
          <w:numId w:val="46"/>
        </w:numPr>
        <w:rPr>
          <w:rFonts w:ascii="Arial" w:cs="Arial" w:eastAsia="Arial" w:hAnsi="Arial"/>
          <w:sz w:val="22"/>
          <w:szCs w:val="22"/>
          <w:color w:val="auto"/>
        </w:rPr>
      </w:pPr>
      <w:r>
        <w:rPr>
          <w:rFonts w:ascii="Arial" w:cs="Arial" w:eastAsia="Arial" w:hAnsi="Arial"/>
          <w:sz w:val="22"/>
          <w:szCs w:val="22"/>
          <w:color w:val="auto"/>
        </w:rPr>
        <w:t>Agent shall have received (i) an Advance Request for the relevant Advance as required by Section 2.2(b), each duly executed by</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6" w:name="page127"/>
    <w:bookmarkEnd w:id="126"/>
    <w:p>
      <w:pPr>
        <w:ind w:left="2980"/>
        <w:spacing w:after="0" w:line="276" w:lineRule="auto"/>
        <w:rPr>
          <w:sz w:val="20"/>
          <w:szCs w:val="20"/>
          <w:color w:val="auto"/>
        </w:rPr>
      </w:pPr>
      <w:r>
        <w:rPr>
          <w:rFonts w:ascii="Arial" w:cs="Arial" w:eastAsia="Arial" w:hAnsi="Arial"/>
          <w:sz w:val="22"/>
          <w:szCs w:val="22"/>
          <w:color w:val="auto"/>
        </w:rPr>
        <w:t>Borrower’s Chief Executive Officer or Chief Financial Officer, and (ii) any other documents Agent may reasonably request.</w:t>
      </w:r>
    </w:p>
    <w:p>
      <w:pPr>
        <w:spacing w:after="0" w:line="174" w:lineRule="exact"/>
        <w:rPr>
          <w:sz w:val="20"/>
          <w:szCs w:val="20"/>
          <w:color w:val="auto"/>
        </w:rPr>
      </w:pPr>
    </w:p>
    <w:p>
      <w:pPr>
        <w:jc w:val="both"/>
        <w:ind w:left="2980" w:hanging="338"/>
        <w:spacing w:after="0" w:line="262" w:lineRule="auto"/>
        <w:tabs>
          <w:tab w:leader="none" w:pos="29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The representations and warranties set forth in this Agreement shall be true and correct in all material respects on and as of the Advance Date with the same effect as though made on and as of such date, except to the extent such representations and warranties expressly relate to an earlier date.</w:t>
      </w:r>
    </w:p>
    <w:p>
      <w:pPr>
        <w:spacing w:after="0" w:line="191" w:lineRule="exact"/>
        <w:rPr>
          <w:rFonts w:ascii="Arial" w:cs="Arial" w:eastAsia="Arial" w:hAnsi="Arial"/>
          <w:sz w:val="22"/>
          <w:szCs w:val="22"/>
          <w:color w:val="auto"/>
        </w:rPr>
      </w:pPr>
    </w:p>
    <w:p>
      <w:pPr>
        <w:jc w:val="both"/>
        <w:ind w:left="2980" w:hanging="398"/>
        <w:spacing w:after="0" w:line="327" w:lineRule="auto"/>
        <w:tabs>
          <w:tab w:leader="none" w:pos="2980" w:val="left"/>
        </w:tabs>
        <w:numPr>
          <w:ilvl w:val="1"/>
          <w:numId w:val="47"/>
        </w:numPr>
        <w:rPr>
          <w:rFonts w:ascii="Arial" w:cs="Arial" w:eastAsia="Arial" w:hAnsi="Arial"/>
          <w:sz w:val="19"/>
          <w:szCs w:val="19"/>
          <w:color w:val="auto"/>
        </w:rPr>
      </w:pPr>
      <w:r>
        <w:rPr>
          <w:rFonts w:ascii="Arial" w:cs="Arial" w:eastAsia="Arial" w:hAnsi="Arial"/>
          <w:sz w:val="19"/>
          <w:szCs w:val="19"/>
          <w:color w:val="auto"/>
        </w:rPr>
        <w:t>Borrower shall be in compliance with all the terms and provisions set forth herein and in each other Loan Document on its part to be observed or performed, and at the time of and immediately after such Advance no Event of Default shall have occurred and be continuing.</w:t>
      </w:r>
    </w:p>
    <w:p>
      <w:pPr>
        <w:spacing w:after="0" w:line="132" w:lineRule="exact"/>
        <w:rPr>
          <w:rFonts w:ascii="Arial" w:cs="Arial" w:eastAsia="Arial" w:hAnsi="Arial"/>
          <w:sz w:val="19"/>
          <w:szCs w:val="19"/>
          <w:color w:val="auto"/>
        </w:rPr>
      </w:pPr>
    </w:p>
    <w:p>
      <w:pPr>
        <w:ind w:left="2980" w:right="20" w:hanging="372"/>
        <w:spacing w:after="0" w:line="276" w:lineRule="auto"/>
        <w:tabs>
          <w:tab w:leader="none" w:pos="29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 respect to any Tranche 2 Advance, the Borrower shall have paid the Tranche 2 Facility Charge.</w:t>
      </w:r>
    </w:p>
    <w:p>
      <w:pPr>
        <w:spacing w:after="0" w:line="174" w:lineRule="exact"/>
        <w:rPr>
          <w:rFonts w:ascii="Arial" w:cs="Arial" w:eastAsia="Arial" w:hAnsi="Arial"/>
          <w:sz w:val="22"/>
          <w:szCs w:val="22"/>
          <w:color w:val="auto"/>
        </w:rPr>
      </w:pPr>
    </w:p>
    <w:p>
      <w:pPr>
        <w:ind w:left="2980" w:right="20" w:hanging="312"/>
        <w:spacing w:after="0" w:line="276" w:lineRule="auto"/>
        <w:tabs>
          <w:tab w:leader="none" w:pos="29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 respect to any Tranche 3 Advance, the Borrower shall have paid the Tranche 3 Facility Charge.</w:t>
      </w:r>
    </w:p>
    <w:p>
      <w:pPr>
        <w:spacing w:after="0" w:line="174" w:lineRule="exact"/>
        <w:rPr>
          <w:rFonts w:ascii="Arial" w:cs="Arial" w:eastAsia="Arial" w:hAnsi="Arial"/>
          <w:sz w:val="22"/>
          <w:szCs w:val="22"/>
          <w:color w:val="auto"/>
        </w:rPr>
      </w:pPr>
    </w:p>
    <w:p>
      <w:pPr>
        <w:ind w:left="2980" w:right="20" w:hanging="386"/>
        <w:spacing w:after="0" w:line="276" w:lineRule="auto"/>
        <w:tabs>
          <w:tab w:leader="none" w:pos="29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 respect to any Tranche 4 Advance, the Borrower shall have paid the Tranche 4 Facility Charge.</w:t>
      </w:r>
    </w:p>
    <w:p>
      <w:pPr>
        <w:spacing w:after="0" w:line="174" w:lineRule="exact"/>
        <w:rPr>
          <w:rFonts w:ascii="Arial" w:cs="Arial" w:eastAsia="Arial" w:hAnsi="Arial"/>
          <w:sz w:val="22"/>
          <w:szCs w:val="22"/>
          <w:color w:val="auto"/>
        </w:rPr>
      </w:pPr>
    </w:p>
    <w:p>
      <w:pPr>
        <w:ind w:left="2980" w:right="20" w:hanging="446"/>
        <w:spacing w:after="0" w:line="276" w:lineRule="auto"/>
        <w:tabs>
          <w:tab w:leader="none" w:pos="2980" w:val="left"/>
        </w:tabs>
        <w:numPr>
          <w:ilvl w:val="1"/>
          <w:numId w:val="47"/>
        </w:numPr>
        <w:rPr>
          <w:rFonts w:ascii="Arial" w:cs="Arial" w:eastAsia="Arial" w:hAnsi="Arial"/>
          <w:sz w:val="22"/>
          <w:szCs w:val="22"/>
          <w:color w:val="auto"/>
        </w:rPr>
      </w:pPr>
      <w:r>
        <w:rPr>
          <w:rFonts w:ascii="Arial" w:cs="Arial" w:eastAsia="Arial" w:hAnsi="Arial"/>
          <w:sz w:val="22"/>
          <w:szCs w:val="22"/>
          <w:color w:val="auto"/>
        </w:rPr>
        <w:t>with respect to any Tranche 5 Advance, the Borrower shall have paid the Tranche 5 Facility Charge.</w:t>
      </w:r>
    </w:p>
    <w:p>
      <w:pPr>
        <w:spacing w:after="0" w:line="174" w:lineRule="exact"/>
        <w:rPr>
          <w:rFonts w:ascii="Arial" w:cs="Arial" w:eastAsia="Arial" w:hAnsi="Arial"/>
          <w:sz w:val="22"/>
          <w:szCs w:val="22"/>
          <w:color w:val="auto"/>
        </w:rPr>
      </w:pPr>
    </w:p>
    <w:p>
      <w:pPr>
        <w:jc w:val="both"/>
        <w:ind w:left="2980" w:hanging="506"/>
        <w:spacing w:after="0" w:line="284" w:lineRule="auto"/>
        <w:tabs>
          <w:tab w:leader="none" w:pos="29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Prior to the funding of any Tranche 4 Advance, Borrower shall deliver to Agent a calculation detailing the Net Product Revenue Ratio and demonstrating compliance with the Tranche 4 Draw Conditions in form and substance reasonably acceptable to Agent.</w:t>
      </w:r>
    </w:p>
    <w:p>
      <w:pPr>
        <w:spacing w:after="0" w:line="168" w:lineRule="exact"/>
        <w:rPr>
          <w:rFonts w:ascii="Arial" w:cs="Arial" w:eastAsia="Arial" w:hAnsi="Arial"/>
          <w:sz w:val="21"/>
          <w:szCs w:val="21"/>
          <w:color w:val="auto"/>
        </w:rPr>
      </w:pPr>
    </w:p>
    <w:p>
      <w:pPr>
        <w:jc w:val="both"/>
        <w:ind w:left="2980" w:hanging="386"/>
        <w:spacing w:after="0" w:line="284" w:lineRule="auto"/>
        <w:tabs>
          <w:tab w:leader="none" w:pos="2980" w:val="left"/>
        </w:tabs>
        <w:numPr>
          <w:ilvl w:val="1"/>
          <w:numId w:val="47"/>
        </w:numPr>
        <w:rPr>
          <w:rFonts w:ascii="Arial" w:cs="Arial" w:eastAsia="Arial" w:hAnsi="Arial"/>
          <w:sz w:val="21"/>
          <w:szCs w:val="21"/>
          <w:color w:val="auto"/>
        </w:rPr>
      </w:pPr>
      <w:r>
        <w:rPr>
          <w:rFonts w:ascii="Arial" w:cs="Arial" w:eastAsia="Arial" w:hAnsi="Arial"/>
          <w:sz w:val="21"/>
          <w:szCs w:val="21"/>
          <w:color w:val="auto"/>
        </w:rPr>
        <w:t>Each Advance Request shall be deemed to constitute a representation and warranty by Borrower on the relevant Advance Date as to the matters specified in paragraphs (b) and (c) of this Section 4.2 and as to the matters set forth in the Advance Request.</w:t>
      </w:r>
    </w:p>
    <w:p>
      <w:pPr>
        <w:spacing w:after="0" w:line="168" w:lineRule="exact"/>
        <w:rPr>
          <w:rFonts w:ascii="Arial" w:cs="Arial" w:eastAsia="Arial" w:hAnsi="Arial"/>
          <w:sz w:val="21"/>
          <w:szCs w:val="21"/>
          <w:color w:val="auto"/>
        </w:rPr>
      </w:pPr>
    </w:p>
    <w:p>
      <w:pPr>
        <w:jc w:val="both"/>
        <w:ind w:left="2200" w:hanging="320"/>
        <w:spacing w:after="0" w:line="262" w:lineRule="auto"/>
        <w:tabs>
          <w:tab w:leader="none" w:pos="2200" w:val="left"/>
        </w:tabs>
        <w:numPr>
          <w:ilvl w:val="0"/>
          <w:numId w:val="48"/>
        </w:numPr>
        <w:rPr>
          <w:rFonts w:ascii="Arial" w:cs="Arial" w:eastAsia="Arial" w:hAnsi="Arial"/>
          <w:sz w:val="22"/>
          <w:szCs w:val="22"/>
          <w:color w:val="auto"/>
        </w:rPr>
      </w:pPr>
      <w:r>
        <w:rPr>
          <w:rFonts w:ascii="Arial" w:cs="Arial" w:eastAsia="Arial" w:hAnsi="Arial"/>
          <w:sz w:val="22"/>
          <w:szCs w:val="22"/>
          <w:color w:val="auto"/>
        </w:rPr>
        <w:t>No Default. As of the Closing Date and each Advance Date, (i) no fact or condition exists that could (or could, with the passage of time, the giving of notice, or both) constitute an Event of Default and (ii) no event that has had or could reasonably be expected to have a Material Adverse Effect has occurred and is continuing.</w:t>
      </w:r>
    </w:p>
    <w:p>
      <w:pPr>
        <w:spacing w:after="0" w:line="191" w:lineRule="exact"/>
        <w:rPr>
          <w:sz w:val="20"/>
          <w:szCs w:val="20"/>
          <w:color w:val="auto"/>
        </w:rPr>
      </w:pPr>
    </w:p>
    <w:p>
      <w:pPr>
        <w:ind w:left="180" w:right="40" w:hanging="161"/>
        <w:spacing w:after="0" w:line="262" w:lineRule="auto"/>
        <w:rPr>
          <w:sz w:val="20"/>
          <w:szCs w:val="20"/>
          <w:color w:val="auto"/>
        </w:rPr>
      </w:pPr>
      <w:r>
        <w:rPr>
          <w:rFonts w:ascii="Arial" w:cs="Arial" w:eastAsia="Arial" w:hAnsi="Arial"/>
          <w:sz w:val="22"/>
          <w:szCs w:val="22"/>
          <w:color w:val="auto"/>
        </w:rPr>
        <w:t>5.Post-Close Obligations. Notwithstanding any provision herein or in any other Loan Document to the contrary, to the extent not actually delivered on or prior to the Closing Date, Borrower shall deliver to Agent (or its designated attorney or representative), within two (2) Business Days after the Closing Date, an Account Control Agreement for Borrower’s accounts (other than Excluded Accounts) maintained with Silicon Valley Bank.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7" w:name="page128"/>
    <w:bookmarkEnd w:id="127"/>
    <w:p>
      <w:pPr>
        <w:ind w:left="760" w:right="4240" w:firstLine="371"/>
        <w:spacing w:after="0" w:line="461" w:lineRule="auto"/>
        <w:tabs>
          <w:tab w:leader="none" w:pos="1458" w:val="left"/>
        </w:tabs>
        <w:numPr>
          <w:ilvl w:val="0"/>
          <w:numId w:val="49"/>
        </w:numPr>
        <w:rPr>
          <w:rFonts w:ascii="Arial" w:cs="Arial" w:eastAsia="Arial" w:hAnsi="Arial"/>
          <w:sz w:val="22"/>
          <w:szCs w:val="22"/>
          <w:color w:val="auto"/>
        </w:rPr>
      </w:pPr>
      <w:r>
        <w:rPr>
          <w:rFonts w:ascii="Arial" w:cs="Arial" w:eastAsia="Arial" w:hAnsi="Arial"/>
          <w:sz w:val="22"/>
          <w:szCs w:val="22"/>
          <w:color w:val="auto"/>
        </w:rPr>
        <w:t>REPRESENTATIONS AND WARRANTIES OF BORROWER Borrower represents and warrants that:</w:t>
      </w:r>
    </w:p>
    <w:p>
      <w:pPr>
        <w:jc w:val="both"/>
        <w:ind w:left="2200" w:hanging="320"/>
        <w:spacing w:after="0" w:line="273" w:lineRule="auto"/>
        <w:tabs>
          <w:tab w:leader="none" w:pos="2200" w:val="left"/>
        </w:tabs>
        <w:numPr>
          <w:ilvl w:val="1"/>
          <w:numId w:val="49"/>
        </w:numPr>
        <w:rPr>
          <w:rFonts w:ascii="Arial" w:cs="Arial" w:eastAsia="Arial" w:hAnsi="Arial"/>
          <w:sz w:val="21"/>
          <w:szCs w:val="21"/>
          <w:color w:val="auto"/>
        </w:rPr>
      </w:pPr>
      <w:r>
        <w:rPr>
          <w:rFonts w:ascii="Arial" w:cs="Arial" w:eastAsia="Arial" w:hAnsi="Arial"/>
          <w:sz w:val="21"/>
          <w:szCs w:val="21"/>
          <w:color w:val="auto"/>
        </w:rPr>
        <w:t>Corporate Status. Borrower is a corporation duly organized, legally existing and in good standing under the laws of its state of incorporation, and is duly qualified as a foreign corporation in all jurisdictions in which the nature of its business or location of its properties require such qualifications and where the failure to be qualified could reasonably be expected to have a Material Adverse Effect. Borrower’s present name, former names (if any), locations, place of formation, tax identification number, organizational identification number and other information are correctly set forth in Exhibit B, as may be updated by Borrower in a written notice (including any Compliance Certificate) provided to Agent after the Closing Date.</w:t>
      </w:r>
    </w:p>
    <w:p>
      <w:pPr>
        <w:spacing w:after="0" w:line="178" w:lineRule="exact"/>
        <w:rPr>
          <w:rFonts w:ascii="Arial" w:cs="Arial" w:eastAsia="Arial" w:hAnsi="Arial"/>
          <w:sz w:val="21"/>
          <w:szCs w:val="21"/>
          <w:color w:val="auto"/>
        </w:rPr>
      </w:pPr>
    </w:p>
    <w:p>
      <w:pPr>
        <w:jc w:val="both"/>
        <w:ind w:left="2200" w:hanging="320"/>
        <w:spacing w:after="0" w:line="266" w:lineRule="auto"/>
        <w:tabs>
          <w:tab w:leader="none" w:pos="22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Collateral. Borrower owns the Collateral, free of all Liens, except for Permitted Liens. Borrower has the power and authority to grant to Agent a Lien in the Collateral as security for the Secured Obligations.</w:t>
      </w:r>
    </w:p>
    <w:p>
      <w:pPr>
        <w:spacing w:after="0" w:line="184" w:lineRule="exact"/>
        <w:rPr>
          <w:rFonts w:ascii="Arial" w:cs="Arial" w:eastAsia="Arial" w:hAnsi="Arial"/>
          <w:sz w:val="22"/>
          <w:szCs w:val="22"/>
          <w:color w:val="auto"/>
        </w:rPr>
      </w:pPr>
    </w:p>
    <w:p>
      <w:pPr>
        <w:jc w:val="both"/>
        <w:ind w:left="2200" w:hanging="320"/>
        <w:spacing w:after="0" w:line="258" w:lineRule="auto"/>
        <w:tabs>
          <w:tab w:leader="none" w:pos="22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Consents. Borrower’s execution, delivery and performance of this Agreement and all other Loan Documents, and Borrower’s execution of the Warrant, (i) have been duly authorized by all necessary corporate action of Borrower, (ii) will not result in the creation or imposition of any Lien upon the Collateral, other than Permitted Liens and the Liens created by this Agreement and the other Loan Documents, (iii) do not violate any provisions of Borrower’s Certificate or Articles of Incorporation (as applicable), bylaws, or any, law, regulation, order, injunction, judgment, decree or writ to which Borrower is subject and (iv) except as described on Schedule 5.3, do not violate any material contract or agreement or require the consent or approval of any other Person which has not already been obtained. The individual or individuals executing the Loan Documents and the Warrant are duly authorized to do so.</w:t>
      </w:r>
    </w:p>
    <w:p>
      <w:pPr>
        <w:spacing w:after="0" w:line="196" w:lineRule="exact"/>
        <w:rPr>
          <w:rFonts w:ascii="Arial" w:cs="Arial" w:eastAsia="Arial" w:hAnsi="Arial"/>
          <w:sz w:val="22"/>
          <w:szCs w:val="22"/>
          <w:color w:val="auto"/>
        </w:rPr>
      </w:pPr>
    </w:p>
    <w:p>
      <w:pPr>
        <w:jc w:val="both"/>
        <w:ind w:left="2200" w:hanging="320"/>
        <w:spacing w:after="0" w:line="266" w:lineRule="auto"/>
        <w:tabs>
          <w:tab w:leader="none" w:pos="22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Material Adverse Effect. No event that has had or could reasonably be expected to have a Material Adverse Effect has occurred and is continuing. Borrower is not aware of any event likely to occur that is reasonably expected to result in a Material Adverse Effect.</w:t>
      </w:r>
    </w:p>
    <w:p>
      <w:pPr>
        <w:spacing w:after="0" w:line="184" w:lineRule="exact"/>
        <w:rPr>
          <w:rFonts w:ascii="Arial" w:cs="Arial" w:eastAsia="Arial" w:hAnsi="Arial"/>
          <w:sz w:val="22"/>
          <w:szCs w:val="22"/>
          <w:color w:val="auto"/>
        </w:rPr>
      </w:pPr>
    </w:p>
    <w:p>
      <w:pPr>
        <w:jc w:val="both"/>
        <w:ind w:left="2200" w:hanging="320"/>
        <w:spacing w:after="0" w:line="262" w:lineRule="auto"/>
        <w:tabs>
          <w:tab w:leader="none" w:pos="22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Actions Before Governmental Authorities. There are no actions, suits or proceedings at law or in equity or by or before any governmental authority now pending or, to the knowledge of Borrower, threatened in writing against Borrower or its property, that is reasonably expected to result in a Material Adverse Effect.</w:t>
      </w:r>
    </w:p>
    <w:p>
      <w:pPr>
        <w:spacing w:after="0" w:line="191" w:lineRule="exact"/>
        <w:rPr>
          <w:rFonts w:ascii="Arial" w:cs="Arial" w:eastAsia="Arial" w:hAnsi="Arial"/>
          <w:sz w:val="22"/>
          <w:szCs w:val="22"/>
          <w:color w:val="auto"/>
        </w:rPr>
      </w:pPr>
    </w:p>
    <w:p>
      <w:pPr>
        <w:jc w:val="both"/>
        <w:ind w:left="2200" w:hanging="320"/>
        <w:spacing w:after="0" w:line="266" w:lineRule="auto"/>
        <w:tabs>
          <w:tab w:leader="none" w:pos="2200" w:val="left"/>
        </w:tabs>
        <w:numPr>
          <w:ilvl w:val="1"/>
          <w:numId w:val="49"/>
        </w:numPr>
        <w:rPr>
          <w:rFonts w:ascii="Arial" w:cs="Arial" w:eastAsia="Arial" w:hAnsi="Arial"/>
          <w:sz w:val="22"/>
          <w:szCs w:val="22"/>
          <w:color w:val="auto"/>
        </w:rPr>
      </w:pPr>
      <w:r>
        <w:rPr>
          <w:rFonts w:ascii="Arial" w:cs="Arial" w:eastAsia="Arial" w:hAnsi="Arial"/>
          <w:sz w:val="22"/>
          <w:szCs w:val="22"/>
          <w:color w:val="auto"/>
        </w:rPr>
        <w:t>Laws. Neither Borrower nor any of its Subsidiaries is in violation of any law, rule or regulation, or in default with respect to any judgment, writ, injunction or decree of any governmental authority, where such violation or</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8" w:name="page129"/>
    <w:bookmarkEnd w:id="128"/>
    <w:p>
      <w:pPr>
        <w:jc w:val="both"/>
        <w:ind w:left="2200"/>
        <w:spacing w:after="0" w:line="279" w:lineRule="auto"/>
        <w:rPr>
          <w:sz w:val="20"/>
          <w:szCs w:val="20"/>
          <w:color w:val="auto"/>
        </w:rPr>
      </w:pPr>
      <w:r>
        <w:rPr>
          <w:rFonts w:ascii="Arial" w:cs="Arial" w:eastAsia="Arial" w:hAnsi="Arial"/>
          <w:sz w:val="21"/>
          <w:szCs w:val="21"/>
          <w:color w:val="auto"/>
        </w:rPr>
        <w:t>default is reasonably expected to result in a Material Adverse Effect. Borrower is not in default in any manner under any provision of any agreement or instrument evidencing (i) material Indebtedness, or any other Material Agreement to which it is a party or by which it is bound or (ii) any other agreement which default is reasonably expected to result in a Material Adverse Effect.</w:t>
      </w:r>
    </w:p>
    <w:p>
      <w:pPr>
        <w:spacing w:after="0" w:line="173" w:lineRule="exact"/>
        <w:rPr>
          <w:sz w:val="20"/>
          <w:szCs w:val="20"/>
          <w:color w:val="auto"/>
        </w:rPr>
      </w:pPr>
    </w:p>
    <w:p>
      <w:pPr>
        <w:jc w:val="both"/>
        <w:ind w:left="560" w:firstLine="936"/>
        <w:spacing w:after="0" w:line="271" w:lineRule="auto"/>
        <w:rPr>
          <w:sz w:val="20"/>
          <w:szCs w:val="20"/>
          <w:color w:val="auto"/>
        </w:rPr>
      </w:pPr>
      <w:r>
        <w:rPr>
          <w:rFonts w:ascii="Arial" w:cs="Arial" w:eastAsia="Arial" w:hAnsi="Arial"/>
          <w:sz w:val="21"/>
          <w:szCs w:val="21"/>
          <w:color w:val="auto"/>
        </w:rPr>
        <w:t>Neither Borrower nor any of its Subsidiaries is an “investment company” or a company “controlled” by an “investment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4" w:lineRule="exact"/>
        <w:rPr>
          <w:sz w:val="20"/>
          <w:szCs w:val="20"/>
          <w:color w:val="auto"/>
        </w:rPr>
      </w:pPr>
    </w:p>
    <w:p>
      <w:pPr>
        <w:jc w:val="both"/>
        <w:ind w:left="560" w:firstLine="936"/>
        <w:spacing w:after="0" w:line="301" w:lineRule="auto"/>
        <w:rPr>
          <w:sz w:val="20"/>
          <w:szCs w:val="20"/>
          <w:color w:val="auto"/>
        </w:rPr>
      </w:pPr>
      <w:r>
        <w:rPr>
          <w:rFonts w:ascii="Arial" w:cs="Arial" w:eastAsia="Arial" w:hAnsi="Arial"/>
          <w:sz w:val="19"/>
          <w:szCs w:val="19"/>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 None of the funds to be provided under this Agreement will be used, directly or indirectly, (a) for any activities in violation of any applicable anti-money laundering, economic sanctions and anti-bribery laws and regulations laws and regulations or (b) for any payment to any governmental official or employee, political party, official of a political party, candidate for political office, or anyone else acting in an official capacity, in order to obtain, retain or direct business or obtain any improper advantage, in violation of the United States Foreign Corrupt Practices Act of 1977, as amended.</w:t>
      </w:r>
    </w:p>
    <w:p>
      <w:pPr>
        <w:spacing w:after="0" w:line="160" w:lineRule="exact"/>
        <w:rPr>
          <w:sz w:val="20"/>
          <w:szCs w:val="20"/>
          <w:color w:val="auto"/>
        </w:rPr>
      </w:pPr>
    </w:p>
    <w:p>
      <w:pPr>
        <w:jc w:val="both"/>
        <w:ind w:left="2200" w:hanging="320"/>
        <w:spacing w:after="0" w:line="327" w:lineRule="auto"/>
        <w:tabs>
          <w:tab w:leader="none" w:pos="2200" w:val="left"/>
        </w:tabs>
        <w:numPr>
          <w:ilvl w:val="0"/>
          <w:numId w:val="50"/>
        </w:numPr>
        <w:rPr>
          <w:rFonts w:ascii="Arial" w:cs="Arial" w:eastAsia="Arial" w:hAnsi="Arial"/>
          <w:sz w:val="19"/>
          <w:szCs w:val="19"/>
          <w:color w:val="auto"/>
        </w:rPr>
      </w:pPr>
      <w:r>
        <w:rPr>
          <w:rFonts w:ascii="Arial" w:cs="Arial" w:eastAsia="Arial" w:hAnsi="Arial"/>
          <w:sz w:val="19"/>
          <w:szCs w:val="19"/>
          <w:color w:val="auto"/>
        </w:rPr>
        <w:t>Information Correct and Current. No information, report, Advance Request, financial statement, exhibit or schedule furnished, by or on behalf of Borrower to Agent in connection with any Loan Document or included therein or delivered pursuant thereto contained, or, when taken as a whole,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29" w:name="page130"/>
    <w:bookmarkEnd w:id="129"/>
    <w:p>
      <w:pPr>
        <w:jc w:val="both"/>
        <w:ind w:left="2200"/>
        <w:spacing w:after="0" w:line="303" w:lineRule="auto"/>
        <w:rPr>
          <w:sz w:val="20"/>
          <w:szCs w:val="20"/>
          <w:color w:val="auto"/>
        </w:rPr>
      </w:pPr>
      <w:r>
        <w:rPr>
          <w:rFonts w:ascii="Arial" w:cs="Arial" w:eastAsia="Arial" w:hAnsi="Arial"/>
          <w:sz w:val="19"/>
          <w:szCs w:val="19"/>
          <w:color w:val="auto"/>
        </w:rPr>
        <w:t>contains any material misstatement of fact or, when taken together with all other such information or documents, omitted or omits to state any material fact necessary to make the statements therein, in the light of the circumstances under which they were, are or will be made, not materially misleading at the time such statement was made or deemed made. Additionally, any and all financial or business projections provided by Borrower to Agent, whether prior to or after the Closing Date, shall be (i) provided in good faith and based on the most current data and information available to Borrower and subject to normal year-end adjustments, and (ii) the most current of such projections provided to Borrower’s board of directors (it being understood that such projections are subject to significant uncertainties and contingencies, many of which are beyond the control of Borrower, that no assurance is given that any particular projections will be realized, that actual results may differ).</w:t>
      </w:r>
    </w:p>
    <w:p>
      <w:pPr>
        <w:spacing w:after="0" w:line="158" w:lineRule="exact"/>
        <w:rPr>
          <w:sz w:val="20"/>
          <w:szCs w:val="20"/>
          <w:color w:val="auto"/>
        </w:rPr>
      </w:pPr>
    </w:p>
    <w:p>
      <w:pPr>
        <w:jc w:val="both"/>
        <w:ind w:left="2200" w:hanging="320"/>
        <w:spacing w:after="0" w:line="258" w:lineRule="auto"/>
        <w:tabs>
          <w:tab w:leader="none" w:pos="22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Tax Matters. Except as described on Schedule 5.8, (a) Borrower and its Subsidiaries have filed all federal and state income Tax returns and other material Tax returns that they are required to file, (b) Borrower and its Subsidiaries have duly paid all federal and state income Taxes and other material Taxes or installments thereof that they are required to pay, except Taxes being contested in good faith by appropriate proceedings and for which Borrower and its Subsidiaries maintain adequate reserves in accordance with GAAP, and (c) to the best of Borrower’s knowledge, no proposed or pending Tax assessments, deficiencies, audits or other proceedings with respect to Borrower or any Subsidiary have had, or could reasonably be expected to have, individually or in the aggregate, a Material Adverse Effect.</w:t>
      </w:r>
    </w:p>
    <w:p>
      <w:pPr>
        <w:spacing w:after="0" w:line="198" w:lineRule="exact"/>
        <w:rPr>
          <w:rFonts w:ascii="Arial" w:cs="Arial" w:eastAsia="Arial" w:hAnsi="Arial"/>
          <w:sz w:val="22"/>
          <w:szCs w:val="22"/>
          <w:color w:val="auto"/>
        </w:rPr>
      </w:pPr>
    </w:p>
    <w:p>
      <w:pPr>
        <w:jc w:val="both"/>
        <w:ind w:left="2200" w:hanging="320"/>
        <w:spacing w:after="0" w:line="301" w:lineRule="auto"/>
        <w:tabs>
          <w:tab w:leader="none" w:pos="2200" w:val="left"/>
        </w:tabs>
        <w:numPr>
          <w:ilvl w:val="0"/>
          <w:numId w:val="51"/>
        </w:numPr>
        <w:rPr>
          <w:rFonts w:ascii="Arial" w:cs="Arial" w:eastAsia="Arial" w:hAnsi="Arial"/>
          <w:sz w:val="19"/>
          <w:szCs w:val="19"/>
          <w:color w:val="auto"/>
        </w:rPr>
      </w:pPr>
      <w:r>
        <w:rPr>
          <w:rFonts w:ascii="Arial" w:cs="Arial" w:eastAsia="Arial" w:hAnsi="Arial"/>
          <w:sz w:val="19"/>
          <w:szCs w:val="19"/>
          <w:color w:val="auto"/>
        </w:rPr>
        <w:t>Intellectual Property Claims. Borrower is the sole owner of, or otherwise has the right to use, the Intellectual Property material to Borrower’s business. Except as described on Schedule 5.9 and as may be updated by Borrower in a written notice provided from time to time after the Closing Date, (i) each of the material Copyrights, Trademarks and Patents (other than patent applications) is valid and enforceable, (ii) no material part of the Intellectual Property has been judged invalid or unenforceable, in whole or in part, and (iii) except as set forth in the most recently delivered Compliance Certificate in accordance with Section 7.1(d), no claim has been made to Borrower in writing that any material part of the Intellectual Property violates the rights of any third party. Exhibit C (and as may be updated by Borrower in a written notice provided from time to time after the Closing Date) is a true, correct and complete list of each of Borrower’s registered Patents and filed Patent applications, registered Trademarks, registered Copyrights, and Material Agreements under which Borrower licenses Intellectual Property from third parties (other than shrink-wrap software licenses, licenses that are commercially available to the public, open source licenses, licenses disclosed in writing to Agent as required under this Agreement and immaterial Intellectual Property licensed to</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0" w:name="page131"/>
    <w:bookmarkEnd w:id="130"/>
    <w:p>
      <w:pPr>
        <w:jc w:val="both"/>
        <w:ind w:left="2200"/>
        <w:spacing w:after="0" w:line="260" w:lineRule="auto"/>
        <w:rPr>
          <w:sz w:val="20"/>
          <w:szCs w:val="20"/>
          <w:color w:val="auto"/>
        </w:rPr>
      </w:pPr>
      <w:r>
        <w:rPr>
          <w:rFonts w:ascii="Arial" w:cs="Arial" w:eastAsia="Arial" w:hAnsi="Arial"/>
          <w:sz w:val="22"/>
          <w:szCs w:val="22"/>
          <w:color w:val="auto"/>
        </w:rPr>
        <w:t>Borrower in the ordinary course of business), together with application or registration numbers, as applicable, owned by Borrower or any Subsidiary, in each case as of the Closing Date. Borrower is not in material breach of, nor has Borrower failed to perform any material obligations under, any of the foregoing contracts, licenses or agreements and, to Borrower’s knowledge, no third party to any such contract, license or agreement is in material breach thereof or has failed to perform any material obligations thereunder.</w:t>
      </w:r>
    </w:p>
    <w:p>
      <w:pPr>
        <w:spacing w:after="0" w:line="192" w:lineRule="exact"/>
        <w:rPr>
          <w:sz w:val="20"/>
          <w:szCs w:val="20"/>
          <w:color w:val="auto"/>
        </w:rPr>
      </w:pPr>
    </w:p>
    <w:p>
      <w:pPr>
        <w:ind w:left="2200" w:hanging="320"/>
        <w:spacing w:after="0"/>
        <w:tabs>
          <w:tab w:leader="none" w:pos="2200" w:val="left"/>
        </w:tabs>
        <w:numPr>
          <w:ilvl w:val="1"/>
          <w:numId w:val="52"/>
        </w:numPr>
        <w:rPr>
          <w:rFonts w:ascii="Arial" w:cs="Arial" w:eastAsia="Arial" w:hAnsi="Arial"/>
          <w:sz w:val="22"/>
          <w:szCs w:val="22"/>
          <w:color w:val="auto"/>
        </w:rPr>
      </w:pPr>
      <w:r>
        <w:rPr>
          <w:rFonts w:ascii="Arial" w:cs="Arial" w:eastAsia="Arial" w:hAnsi="Arial"/>
          <w:sz w:val="22"/>
          <w:szCs w:val="22"/>
          <w:color w:val="auto"/>
        </w:rPr>
        <w:t>Intellectual Property.</w:t>
      </w:r>
    </w:p>
    <w:p>
      <w:pPr>
        <w:spacing w:after="0" w:line="233" w:lineRule="exact"/>
        <w:rPr>
          <w:rFonts w:ascii="Arial" w:cs="Arial" w:eastAsia="Arial" w:hAnsi="Arial"/>
          <w:sz w:val="22"/>
          <w:szCs w:val="22"/>
          <w:color w:val="auto"/>
        </w:rPr>
      </w:pPr>
    </w:p>
    <w:p>
      <w:pPr>
        <w:jc w:val="both"/>
        <w:ind w:firstLine="1678"/>
        <w:spacing w:after="0" w:line="299" w:lineRule="auto"/>
        <w:tabs>
          <w:tab w:leader="none" w:pos="2793" w:val="left"/>
        </w:tabs>
        <w:numPr>
          <w:ilvl w:val="0"/>
          <w:numId w:val="53"/>
        </w:numPr>
        <w:rPr>
          <w:rFonts w:ascii="Arial" w:cs="Arial" w:eastAsia="Arial" w:hAnsi="Arial"/>
          <w:sz w:val="16"/>
          <w:szCs w:val="16"/>
          <w:color w:val="auto"/>
        </w:rPr>
      </w:pPr>
      <w:r>
        <w:rPr>
          <w:rFonts w:ascii="Arial" w:cs="Arial" w:eastAsia="Arial" w:hAnsi="Arial"/>
          <w:sz w:val="19"/>
          <w:szCs w:val="19"/>
          <w:color w:val="auto"/>
        </w:rPr>
        <w:t>A true, correct and complete list of each pending, registered, issued or in-licensed Intellectual Property that, individually or taken together with any other such Intellectual Property, is material to the business of Borrower and its Subsidiaries, taken as a whole, relating to the research, development, manufacture, production, use, commercialization, marketing, importing, storage, transport, offer for sale, distribution or sale of the Borrower Products, and is owned or co-owned by or exclusively or non-exclusively licensed to the Borrower or any of its Subsidiaries (collectively, the “Current Company IP”), including its name/title, current owner or co-owners (including ownership interest), registration, patent or application number, and registration or application date, issued or filed in the United States, is set forth on Schedule 5.10(a). Except as set forth on Schedule 5.10(a), (i) (A) each item of owned Current Company IP is valid, subsisting and (other than with respect to Patent applications)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and (ii) (A) each such item of Current Company IP which is licensed from another Person is valid, subsisting and enforceable and no such item of Current Company IP has lapsed, expired, been cancelled or invalidated, or become abandoned or unenforceable, and (B) no written notice has been received challenging the inventorship or ownership, or relating to any lapse, expiration, invalidation, abandonment or unenforceability, of any such item of Current Company IP. To the knowledge of Borrower, there are no published patents, patent applications, articles or prior art references that would reasonably be expected to materially adversely affect the exploitation of the Borrower Products. Except as set forth on Schedule 5.10(a), (x) each Person who has or has had any rights in or to owned Current Company IP or any trade secrets owned by the Borrower or any of its Subsidiaries, including each inventor named on the Patents within such owned Current Company IP filed by the Borrower or any of its Subsidiaries, and has executed an agreement assigning his, her or its entire right, title and interest in and to such owned Current Company IP and such trade secrets, and the inventions, improvements, ideas, discoveries, writings, works of authorship, information and other intellectual property embodied, described or claimed therein, to the stated owner thereof, and (y) no such Person has any contractual or other obligation that would preclude or conflict with such assignment or the exploitation of the Borrower Products or entitle such Person to ongoing payments.</w:t>
      </w:r>
    </w:p>
    <w:p>
      <w:pPr>
        <w:spacing w:after="0" w:line="200" w:lineRule="exact"/>
        <w:rPr>
          <w:rFonts w:ascii="Arial" w:cs="Arial" w:eastAsia="Arial" w:hAnsi="Arial"/>
          <w:sz w:val="16"/>
          <w:szCs w:val="16"/>
          <w:color w:val="auto"/>
        </w:rPr>
      </w:pPr>
    </w:p>
    <w:p>
      <w:pPr>
        <w:spacing w:after="0" w:line="235" w:lineRule="exact"/>
        <w:rPr>
          <w:rFonts w:ascii="Arial" w:cs="Arial" w:eastAsia="Arial" w:hAnsi="Arial"/>
          <w:sz w:val="16"/>
          <w:szCs w:val="16"/>
          <w:color w:val="auto"/>
        </w:rPr>
      </w:pPr>
    </w:p>
    <w:p>
      <w:pPr>
        <w:jc w:val="both"/>
        <w:ind w:firstLine="1678"/>
        <w:spacing w:after="0" w:line="266" w:lineRule="auto"/>
        <w:tabs>
          <w:tab w:leader="none" w:pos="2862" w:val="left"/>
        </w:tabs>
        <w:numPr>
          <w:ilvl w:val="0"/>
          <w:numId w:val="53"/>
        </w:numPr>
        <w:rPr>
          <w:rFonts w:ascii="Arial" w:cs="Arial" w:eastAsia="Arial" w:hAnsi="Arial"/>
          <w:sz w:val="18"/>
          <w:szCs w:val="18"/>
          <w:color w:val="auto"/>
        </w:rPr>
      </w:pPr>
      <w:r>
        <w:rPr>
          <w:rFonts w:ascii="Arial" w:cs="Arial" w:eastAsia="Arial" w:hAnsi="Arial"/>
          <w:sz w:val="22"/>
          <w:szCs w:val="22"/>
          <w:color w:val="auto"/>
        </w:rPr>
        <w:t>(i) The Borrower or any of its Subsidiaries possesses valid title to the Current Company IP for which it is listed as the owner or co-owner, as applicable, on Schedule 5.10(a); and (ii) there are no Liens on any Current Company IP.</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1" w:name="page132"/>
    <w:bookmarkEnd w:id="131"/>
    <w:p>
      <w:pPr>
        <w:jc w:val="both"/>
        <w:ind w:firstLine="1678"/>
        <w:spacing w:after="0" w:line="274" w:lineRule="auto"/>
        <w:tabs>
          <w:tab w:leader="none" w:pos="2793" w:val="left"/>
        </w:tabs>
        <w:numPr>
          <w:ilvl w:val="1"/>
          <w:numId w:val="54"/>
        </w:numPr>
        <w:rPr>
          <w:rFonts w:ascii="Arial" w:cs="Arial" w:eastAsia="Arial" w:hAnsi="Arial"/>
          <w:sz w:val="17"/>
          <w:szCs w:val="17"/>
          <w:color w:val="auto"/>
        </w:rPr>
      </w:pPr>
      <w:r>
        <w:rPr>
          <w:rFonts w:ascii="Arial" w:cs="Arial" w:eastAsia="Arial" w:hAnsi="Arial"/>
          <w:sz w:val="21"/>
          <w:szCs w:val="21"/>
          <w:color w:val="auto"/>
        </w:rPr>
        <w:t>There are no maintenance, annuity or renewal fees that are currently overdue beyond their allotted grace period for any of the Current Company IP which is owned by or exclusively licensed to the Borrower or any of its Subsidiaries, nor have any applications or registrations therefor lapsed or become abandoned, been cancelled or expired. There are no maintenance, annuity or renewal fees that are currently overdue beyond their allotted grace period for any of the Current Company IP which is non-exclusively licensed to the Borrower or any of its Subsidiaries, nor have any applications or registrations therefor lapsed or become abandoned, been cancelled or expired.</w:t>
      </w:r>
    </w:p>
    <w:p>
      <w:pPr>
        <w:spacing w:after="0" w:line="181" w:lineRule="exact"/>
        <w:rPr>
          <w:rFonts w:ascii="Arial" w:cs="Arial" w:eastAsia="Arial" w:hAnsi="Arial"/>
          <w:sz w:val="17"/>
          <w:szCs w:val="17"/>
          <w:color w:val="auto"/>
        </w:rPr>
      </w:pPr>
    </w:p>
    <w:p>
      <w:pPr>
        <w:jc w:val="both"/>
        <w:ind w:firstLine="1678"/>
        <w:spacing w:after="0" w:line="304" w:lineRule="auto"/>
        <w:tabs>
          <w:tab w:leader="none" w:pos="2793" w:val="left"/>
        </w:tabs>
        <w:numPr>
          <w:ilvl w:val="1"/>
          <w:numId w:val="54"/>
        </w:numPr>
        <w:rPr>
          <w:rFonts w:ascii="Arial" w:cs="Arial" w:eastAsia="Arial" w:hAnsi="Arial"/>
          <w:sz w:val="16"/>
          <w:szCs w:val="16"/>
          <w:color w:val="auto"/>
        </w:rPr>
      </w:pPr>
      <w:r>
        <w:rPr>
          <w:rFonts w:ascii="Arial" w:cs="Arial" w:eastAsia="Arial" w:hAnsi="Arial"/>
          <w:sz w:val="19"/>
          <w:szCs w:val="19"/>
          <w:color w:val="auto"/>
        </w:rPr>
        <w:t>There are no unpaid fees or royalties under any Material Agreements that have become due, or are expected to become overdue. Each Material Agreement is in full force and effect and is legal, valid, binding, and enforceable in accordance with its respective terms, except as may be limited by bankruptcy, insolvency, reorganization, moratorium or similar laws relating to or limiting creditors’ rights generally or by equitable principles relating to enforceability. Except as set forth on Schedule 5.10(d), neither Borrower nor any of its Subsidiaries, as applicable, is in breach of or default in any manner that could reasonably be expected to materially affect the Borrower Products under any Material Agreement to which it is a party or may otherwise be bound, and no circumstances or grounds exist that would give rise to a claim of breach or right of rescission, termination, non-renewal, revision or amendment of any of the Material Agreements, including the execution, delivery and performance of this Agreement and the other Loan Documents.</w:t>
      </w:r>
    </w:p>
    <w:p>
      <w:pPr>
        <w:spacing w:after="0" w:line="155" w:lineRule="exact"/>
        <w:rPr>
          <w:rFonts w:ascii="Arial" w:cs="Arial" w:eastAsia="Arial" w:hAnsi="Arial"/>
          <w:sz w:val="16"/>
          <w:szCs w:val="16"/>
          <w:color w:val="auto"/>
        </w:rPr>
      </w:pPr>
    </w:p>
    <w:p>
      <w:pPr>
        <w:jc w:val="both"/>
        <w:ind w:firstLine="1678"/>
        <w:spacing w:after="0" w:line="327" w:lineRule="auto"/>
        <w:tabs>
          <w:tab w:leader="none" w:pos="2793" w:val="left"/>
        </w:tabs>
        <w:numPr>
          <w:ilvl w:val="1"/>
          <w:numId w:val="54"/>
        </w:numPr>
        <w:rPr>
          <w:rFonts w:ascii="Arial" w:cs="Arial" w:eastAsia="Arial" w:hAnsi="Arial"/>
          <w:sz w:val="16"/>
          <w:szCs w:val="16"/>
          <w:color w:val="auto"/>
        </w:rPr>
      </w:pPr>
      <w:r>
        <w:rPr>
          <w:rFonts w:ascii="Arial" w:cs="Arial" w:eastAsia="Arial" w:hAnsi="Arial"/>
          <w:sz w:val="19"/>
          <w:szCs w:val="19"/>
          <w:color w:val="auto"/>
        </w:rPr>
        <w:t>No payments by the Borrower or any of its Subsidiaries are due to any other Person in respect of the Current Company IP, other than pursuant to the Material Agreements and those fees payable to patent offices in connection with the prosecution and maintenance of the Current Company IP, any applicable taxes and associated attorney fees.</w:t>
      </w:r>
    </w:p>
    <w:p>
      <w:pPr>
        <w:spacing w:after="0" w:line="132" w:lineRule="exact"/>
        <w:rPr>
          <w:rFonts w:ascii="Arial" w:cs="Arial" w:eastAsia="Arial" w:hAnsi="Arial"/>
          <w:sz w:val="16"/>
          <w:szCs w:val="16"/>
          <w:color w:val="auto"/>
        </w:rPr>
      </w:pPr>
    </w:p>
    <w:p>
      <w:pPr>
        <w:jc w:val="both"/>
        <w:ind w:firstLine="1678"/>
        <w:spacing w:after="0" w:line="298" w:lineRule="auto"/>
        <w:tabs>
          <w:tab w:leader="none" w:pos="2793" w:val="left"/>
        </w:tabs>
        <w:numPr>
          <w:ilvl w:val="1"/>
          <w:numId w:val="54"/>
        </w:numPr>
        <w:rPr>
          <w:rFonts w:ascii="Arial" w:cs="Arial" w:eastAsia="Arial" w:hAnsi="Arial"/>
          <w:sz w:val="16"/>
          <w:szCs w:val="16"/>
          <w:color w:val="auto"/>
        </w:rPr>
      </w:pPr>
      <w:r>
        <w:rPr>
          <w:rFonts w:ascii="Arial" w:cs="Arial" w:eastAsia="Arial" w:hAnsi="Arial"/>
          <w:sz w:val="19"/>
          <w:szCs w:val="19"/>
          <w:color w:val="auto"/>
        </w:rPr>
        <w:t>Neither the Borrower nor any of its Subsidiaries has undertaken or omitted to undertake any acts, and no circumstance or grounds exist that would invalidate or reduce, in whole or in part, the enforceability or scope of (i) the Current Company IP in any manner that could reasonably be expected to materially adversely affect the Borrower Products, or</w:t>
      </w:r>
    </w:p>
    <w:p>
      <w:pPr>
        <w:jc w:val="both"/>
        <w:ind w:firstLine="8"/>
        <w:spacing w:after="0" w:line="264" w:lineRule="auto"/>
        <w:tabs>
          <w:tab w:leader="none" w:pos="324" w:val="left"/>
        </w:tabs>
        <w:numPr>
          <w:ilvl w:val="0"/>
          <w:numId w:val="55"/>
        </w:numPr>
        <w:rPr>
          <w:rFonts w:ascii="Arial" w:cs="Arial" w:eastAsia="Arial" w:hAnsi="Arial"/>
          <w:sz w:val="22"/>
          <w:szCs w:val="22"/>
          <w:color w:val="auto"/>
        </w:rPr>
      </w:pPr>
      <w:r>
        <w:rPr>
          <w:rFonts w:ascii="Arial" w:cs="Arial" w:eastAsia="Arial" w:hAnsi="Arial"/>
          <w:sz w:val="22"/>
          <w:szCs w:val="22"/>
          <w:color w:val="auto"/>
        </w:rPr>
        <w:t>in the case of Current Company IP owned or co-owned or exclusively or non-exclusively licensed by the Borrower or any of its Subsidiaries, except as set forth on Schedule 5.10(f), the Borrower’s or Subsidiary’s entitlement to own or license and exploit such Current Company IP.</w:t>
      </w:r>
    </w:p>
    <w:p>
      <w:pPr>
        <w:spacing w:after="0" w:line="186" w:lineRule="exact"/>
        <w:rPr>
          <w:rFonts w:ascii="Arial" w:cs="Arial" w:eastAsia="Arial" w:hAnsi="Arial"/>
          <w:sz w:val="22"/>
          <w:szCs w:val="22"/>
          <w:color w:val="auto"/>
        </w:rPr>
      </w:pPr>
    </w:p>
    <w:p>
      <w:pPr>
        <w:jc w:val="both"/>
        <w:ind w:firstLine="1678"/>
        <w:spacing w:after="0" w:line="304" w:lineRule="auto"/>
        <w:tabs>
          <w:tab w:leader="none" w:pos="2793" w:val="left"/>
        </w:tabs>
        <w:numPr>
          <w:ilvl w:val="1"/>
          <w:numId w:val="55"/>
        </w:numPr>
        <w:rPr>
          <w:rFonts w:ascii="Arial" w:cs="Arial" w:eastAsia="Arial" w:hAnsi="Arial"/>
          <w:sz w:val="16"/>
          <w:szCs w:val="16"/>
          <w:color w:val="auto"/>
        </w:rPr>
      </w:pPr>
      <w:r>
        <w:rPr>
          <w:rFonts w:ascii="Arial" w:cs="Arial" w:eastAsia="Arial" w:hAnsi="Arial"/>
          <w:sz w:val="19"/>
          <w:szCs w:val="19"/>
          <w:color w:val="auto"/>
        </w:rPr>
        <w:t>Except as described on Schedule 5.9 or in the most recently delivered Compliance Certificate in accordance with Section 7.1(d), there is no requested, filed pending, decided or settled opposition, interference proceeding, reissue proceeding, reexamination proceeding, inter-partes review proceeding, post-grant review proceeding, cancellation proceeding, injunction, litigation, paragraph IV patent certification or lawsuit under the Hatch-Waxman Act, hearing, investigation, complaint, arbitration, mediation, demand, International Trade Commission investigation, decree, or any other dispute, disagreement, or claim, in each case alleged in writing to Borrower or any of its Subsidiaries (collectively referred to hereinafter as “Specified Disputes”), nor to the knowledge of Borrower, has any such Specified Dispute been threatened in writing, in each case challenging the legality, validity, enforceability or ownership of any Current Company IP, in each case that would have a material adverse effect on the Borrower Products.</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2" w:name="page133"/>
    <w:bookmarkEnd w:id="132"/>
    <w:p>
      <w:pPr>
        <w:jc w:val="both"/>
        <w:ind w:firstLine="1678"/>
        <w:spacing w:after="0" w:line="266" w:lineRule="auto"/>
        <w:tabs>
          <w:tab w:leader="none" w:pos="2793" w:val="left"/>
        </w:tabs>
        <w:numPr>
          <w:ilvl w:val="0"/>
          <w:numId w:val="56"/>
        </w:numPr>
        <w:rPr>
          <w:rFonts w:ascii="Arial" w:cs="Arial" w:eastAsia="Arial" w:hAnsi="Arial"/>
          <w:sz w:val="18"/>
          <w:szCs w:val="18"/>
          <w:color w:val="auto"/>
        </w:rPr>
      </w:pPr>
      <w:r>
        <w:rPr>
          <w:rFonts w:ascii="Arial" w:cs="Arial" w:eastAsia="Arial" w:hAnsi="Arial"/>
          <w:sz w:val="22"/>
          <w:szCs w:val="22"/>
          <w:color w:val="auto"/>
        </w:rPr>
        <w:t>In each case where an issued Patent within the Current Company IP is owned or co-owned by the Borrower or any of its Subsidiaries by assignment, the assignment has been duly recorded with the U.S. Patent and Trademark Office.</w:t>
      </w:r>
    </w:p>
    <w:p>
      <w:pPr>
        <w:spacing w:after="0" w:line="184" w:lineRule="exact"/>
        <w:rPr>
          <w:rFonts w:ascii="Arial" w:cs="Arial" w:eastAsia="Arial" w:hAnsi="Arial"/>
          <w:sz w:val="18"/>
          <w:szCs w:val="18"/>
          <w:color w:val="auto"/>
        </w:rPr>
      </w:pPr>
    </w:p>
    <w:p>
      <w:pPr>
        <w:jc w:val="both"/>
        <w:ind w:firstLine="1678"/>
        <w:spacing w:after="0" w:line="274" w:lineRule="auto"/>
        <w:tabs>
          <w:tab w:leader="none" w:pos="2793" w:val="left"/>
        </w:tabs>
        <w:numPr>
          <w:ilvl w:val="0"/>
          <w:numId w:val="56"/>
        </w:numPr>
        <w:rPr>
          <w:rFonts w:ascii="Arial" w:cs="Arial" w:eastAsia="Arial" w:hAnsi="Arial"/>
          <w:sz w:val="17"/>
          <w:szCs w:val="17"/>
          <w:color w:val="auto"/>
        </w:rPr>
      </w:pPr>
      <w:r>
        <w:rPr>
          <w:rFonts w:ascii="Arial" w:cs="Arial" w:eastAsia="Arial" w:hAnsi="Arial"/>
          <w:sz w:val="21"/>
          <w:szCs w:val="21"/>
          <w:color w:val="auto"/>
        </w:rPr>
        <w:t>Except as set forth on Schedule 5.10(i) there are no pending or, to the knowledge of Borrower, threatened claims against Borrower or any of its Subsidiaries alleging (i) that any research, development, manufacture, production, use, commercialization, marketing, importing, storage, transport, offer for sale, distribution or sale of the Borrower Products in the United States infringes or violates (or in the past infringed or violated) the rights of any third parties in or to any Intellectual Property (“Third Party IP”) or constitutes a misappropriation of (or in the past constituted a misappropriation of) any Third Party IP, or (ii) that any Current Company IP is invalid or unenforceable.</w:t>
      </w:r>
    </w:p>
    <w:p>
      <w:pPr>
        <w:spacing w:after="0" w:line="181" w:lineRule="exact"/>
        <w:rPr>
          <w:rFonts w:ascii="Arial" w:cs="Arial" w:eastAsia="Arial" w:hAnsi="Arial"/>
          <w:sz w:val="17"/>
          <w:szCs w:val="17"/>
          <w:color w:val="auto"/>
        </w:rPr>
      </w:pPr>
    </w:p>
    <w:p>
      <w:pPr>
        <w:jc w:val="both"/>
        <w:ind w:firstLine="1678"/>
        <w:spacing w:after="0" w:line="261" w:lineRule="auto"/>
        <w:tabs>
          <w:tab w:leader="none" w:pos="2793" w:val="left"/>
        </w:tabs>
        <w:numPr>
          <w:ilvl w:val="0"/>
          <w:numId w:val="56"/>
        </w:numPr>
        <w:rPr>
          <w:rFonts w:ascii="Arial" w:cs="Arial" w:eastAsia="Arial" w:hAnsi="Arial"/>
          <w:sz w:val="18"/>
          <w:szCs w:val="18"/>
          <w:color w:val="auto"/>
        </w:rPr>
      </w:pPr>
      <w:r>
        <w:rPr>
          <w:rFonts w:ascii="Arial" w:cs="Arial" w:eastAsia="Arial" w:hAnsi="Arial"/>
          <w:sz w:val="22"/>
          <w:szCs w:val="22"/>
          <w:color w:val="auto"/>
        </w:rPr>
        <w:t>Except as set forth on Schedule 5.10(j), the manufacture, production, use, commercialization, marketing, importing, storage, transport, offer for sale, distribution or sale of the Borrower Products does not, to the knowledge of Borrower, infringe or violate (or in the past infringed or violated) any issued or registered Third Party IP (including any issued Patent within the Third Party IP) or constitute a misappropriation of (or in the past constituted a misappropriation of) any Third Party IP.</w:t>
      </w:r>
    </w:p>
    <w:p>
      <w:pPr>
        <w:spacing w:after="0" w:line="190" w:lineRule="exact"/>
        <w:rPr>
          <w:rFonts w:ascii="Arial" w:cs="Arial" w:eastAsia="Arial" w:hAnsi="Arial"/>
          <w:sz w:val="18"/>
          <w:szCs w:val="18"/>
          <w:color w:val="auto"/>
        </w:rPr>
      </w:pPr>
    </w:p>
    <w:p>
      <w:pPr>
        <w:jc w:val="both"/>
        <w:ind w:firstLine="1678"/>
        <w:spacing w:after="0" w:line="276" w:lineRule="auto"/>
        <w:tabs>
          <w:tab w:leader="none" w:pos="2793" w:val="left"/>
        </w:tabs>
        <w:numPr>
          <w:ilvl w:val="0"/>
          <w:numId w:val="56"/>
        </w:numPr>
        <w:rPr>
          <w:rFonts w:ascii="Arial" w:cs="Arial" w:eastAsia="Arial" w:hAnsi="Arial"/>
          <w:sz w:val="17"/>
          <w:szCs w:val="17"/>
          <w:color w:val="auto"/>
        </w:rPr>
      </w:pPr>
      <w:r>
        <w:rPr>
          <w:rFonts w:ascii="Arial" w:cs="Arial" w:eastAsia="Arial" w:hAnsi="Arial"/>
          <w:sz w:val="21"/>
          <w:szCs w:val="21"/>
          <w:color w:val="auto"/>
        </w:rPr>
        <w:t>Except as set forth on Schedule 5.10(k), there are no settlements, covenants not to sue, consents, judgments, orders or similar obligations which: (i) restrict the rights of the Borrower or any of its Subsidiaries to use any Intellectual Property relating to the research, development, manufacture, production, use, commercialization, marketing, importing, storage, transport, offer for sale, distribution or sale of the Borrower Products (in order to accommodate any Third Party IP or otherwise), or (ii) permit any third parties to use any Company IP.</w:t>
      </w:r>
    </w:p>
    <w:p>
      <w:pPr>
        <w:spacing w:after="0" w:line="177" w:lineRule="exact"/>
        <w:rPr>
          <w:rFonts w:ascii="Arial" w:cs="Arial" w:eastAsia="Arial" w:hAnsi="Arial"/>
          <w:sz w:val="17"/>
          <w:szCs w:val="17"/>
          <w:color w:val="auto"/>
        </w:rPr>
      </w:pPr>
    </w:p>
    <w:p>
      <w:pPr>
        <w:jc w:val="both"/>
        <w:ind w:firstLine="1678"/>
        <w:spacing w:after="0" w:line="284" w:lineRule="auto"/>
        <w:tabs>
          <w:tab w:leader="none" w:pos="2793" w:val="left"/>
        </w:tabs>
        <w:numPr>
          <w:ilvl w:val="0"/>
          <w:numId w:val="56"/>
        </w:numPr>
        <w:rPr>
          <w:rFonts w:ascii="Arial" w:cs="Arial" w:eastAsia="Arial" w:hAnsi="Arial"/>
          <w:sz w:val="17"/>
          <w:szCs w:val="17"/>
          <w:color w:val="auto"/>
        </w:rPr>
      </w:pPr>
      <w:r>
        <w:rPr>
          <w:rFonts w:ascii="Arial" w:cs="Arial" w:eastAsia="Arial" w:hAnsi="Arial"/>
          <w:sz w:val="21"/>
          <w:szCs w:val="21"/>
          <w:color w:val="auto"/>
        </w:rPr>
        <w:t>Except as set forth on Schedule 5.10(l), to the knowledge of Borrower (i) there is no, nor has there been any, infringement or violation by any Person of any of the Company IP or the rights therein, and (ii) there is no, nor has there been any, misappropriation by any Person of any of the Company IP or the subject matter thereof.</w:t>
      </w:r>
    </w:p>
    <w:p>
      <w:pPr>
        <w:spacing w:after="0" w:line="168" w:lineRule="exact"/>
        <w:rPr>
          <w:rFonts w:ascii="Arial" w:cs="Arial" w:eastAsia="Arial" w:hAnsi="Arial"/>
          <w:sz w:val="17"/>
          <w:szCs w:val="17"/>
          <w:color w:val="auto"/>
        </w:rPr>
      </w:pPr>
    </w:p>
    <w:p>
      <w:pPr>
        <w:jc w:val="both"/>
        <w:ind w:firstLine="1678"/>
        <w:spacing w:after="0" w:line="261" w:lineRule="auto"/>
        <w:tabs>
          <w:tab w:leader="none" w:pos="2793" w:val="left"/>
        </w:tabs>
        <w:numPr>
          <w:ilvl w:val="0"/>
          <w:numId w:val="56"/>
        </w:numPr>
        <w:rPr>
          <w:rFonts w:ascii="Arial" w:cs="Arial" w:eastAsia="Arial" w:hAnsi="Arial"/>
          <w:sz w:val="18"/>
          <w:szCs w:val="18"/>
          <w:color w:val="auto"/>
        </w:rPr>
      </w:pPr>
      <w:r>
        <w:rPr>
          <w:rFonts w:ascii="Arial" w:cs="Arial" w:eastAsia="Arial" w:hAnsi="Arial"/>
          <w:sz w:val="22"/>
          <w:szCs w:val="22"/>
          <w:color w:val="auto"/>
        </w:rPr>
        <w:t>The Borrower and each of its Subsidiaries has taken all commercially reasonable measures customary in the biopharmaceutical industry to protect the confidentiality and value of all trade secrets owned by the Borrower or any of its Subsidiaries or used or held for use by the Borrower or any of its Subsidiaries, in each case relating to the research, development, manufacture, production, use, commercialization, marketing, importing, storage, transport, offer for sale, distribution or sale of the Borrower Products.</w:t>
      </w:r>
    </w:p>
    <w:p>
      <w:pPr>
        <w:spacing w:after="0" w:line="190" w:lineRule="exact"/>
        <w:rPr>
          <w:rFonts w:ascii="Arial" w:cs="Arial" w:eastAsia="Arial" w:hAnsi="Arial"/>
          <w:sz w:val="18"/>
          <w:szCs w:val="18"/>
          <w:color w:val="auto"/>
        </w:rPr>
      </w:pPr>
    </w:p>
    <w:p>
      <w:pPr>
        <w:jc w:val="both"/>
        <w:ind w:firstLine="1678"/>
        <w:spacing w:after="0" w:line="327" w:lineRule="auto"/>
        <w:tabs>
          <w:tab w:leader="none" w:pos="2793" w:val="left"/>
        </w:tabs>
        <w:numPr>
          <w:ilvl w:val="0"/>
          <w:numId w:val="56"/>
        </w:numPr>
        <w:rPr>
          <w:rFonts w:ascii="Arial" w:cs="Arial" w:eastAsia="Arial" w:hAnsi="Arial"/>
          <w:sz w:val="16"/>
          <w:szCs w:val="16"/>
          <w:color w:val="auto"/>
        </w:rPr>
      </w:pPr>
      <w:r>
        <w:rPr>
          <w:rFonts w:ascii="Arial" w:cs="Arial" w:eastAsia="Arial" w:hAnsi="Arial"/>
          <w:sz w:val="19"/>
          <w:szCs w:val="19"/>
          <w:color w:val="auto"/>
        </w:rPr>
        <w:t>Except as set forth on Schedule 5.10(n), at the time of any shipment of Borrower Product in the United States occurring prior to the Closing Date, the units thereof so shipped complied with their relevant specifications and were manufactured in all material respects in accordance with current FDA Good Manufacturing Practices.</w:t>
      </w:r>
    </w:p>
    <w:p>
      <w:pPr>
        <w:spacing w:after="0" w:line="132" w:lineRule="exact"/>
        <w:rPr>
          <w:rFonts w:ascii="Arial" w:cs="Arial" w:eastAsia="Arial" w:hAnsi="Arial"/>
          <w:sz w:val="16"/>
          <w:szCs w:val="16"/>
          <w:color w:val="auto"/>
        </w:rPr>
      </w:pPr>
    </w:p>
    <w:p>
      <w:pPr>
        <w:jc w:val="both"/>
        <w:ind w:firstLine="1678"/>
        <w:spacing w:after="0" w:line="266" w:lineRule="auto"/>
        <w:tabs>
          <w:tab w:leader="none" w:pos="2793" w:val="left"/>
        </w:tabs>
        <w:numPr>
          <w:ilvl w:val="0"/>
          <w:numId w:val="56"/>
        </w:numPr>
        <w:rPr>
          <w:rFonts w:ascii="Arial" w:cs="Arial" w:eastAsia="Arial" w:hAnsi="Arial"/>
          <w:sz w:val="18"/>
          <w:szCs w:val="18"/>
          <w:color w:val="auto"/>
        </w:rPr>
      </w:pPr>
      <w:r>
        <w:rPr>
          <w:rFonts w:ascii="Arial" w:cs="Arial" w:eastAsia="Arial" w:hAnsi="Arial"/>
          <w:sz w:val="22"/>
          <w:szCs w:val="22"/>
          <w:color w:val="auto"/>
        </w:rPr>
        <w:t>Except as described on Schedule 5.10(o), Borrower has all material rights with respect to Intellectual Property necessary or material in the operation or conduct of Borrower’s business as currently conducted and proposed to be conducted by Borrower. Without limiting the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3" w:name="page134"/>
    <w:bookmarkEnd w:id="133"/>
    <w:p>
      <w:pPr>
        <w:jc w:val="both"/>
        <w:spacing w:after="0" w:line="303" w:lineRule="auto"/>
        <w:rPr>
          <w:sz w:val="20"/>
          <w:szCs w:val="20"/>
          <w:color w:val="auto"/>
        </w:rPr>
      </w:pPr>
      <w:r>
        <w:rPr>
          <w:rFonts w:ascii="Arial" w:cs="Arial" w:eastAsia="Arial" w:hAnsi="Arial"/>
          <w:sz w:val="19"/>
          <w:szCs w:val="19"/>
          <w:color w:val="auto"/>
        </w:rPr>
        <w:t>generality of the foregoing, and in the case of Licenses, except for restrictions that are unenforceable under Division 9 of the UCC, Borrower has the right, to the extent required to operate Borrower’s business, to freely transfer, license or assign Intellectual Property necessary or material in the operation or conduct of Borrower’s business as currently conducted and proposed to be conducted by Borrower, without condition, restriction or payment of any kind (other than license payments in the ordinary course of business) to any third party, and Borrower owns or has the right to use, pursuant to valid licenses, all software development tools, library functions, compilers and all other third-party software and other items that are material to Borrower’s business and used in the design, development, promotion, sale, license, manufacture, import, export, use or distribution of Borrower Products that are material to Borrower’s business except customary covenants in inbound license agreements and equipment leases where Borrower is the licensee or lessee. Except as has been disclosed in the Perfection Certificate or pursuant to Section 7.1(d), Borrower is not a party to, nor is it bound by, any Restricted License.</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No material software or other materials used by Borrower or any of its Subsidiaries (or used in any Borrower Products or any Subsidiaries’ products) are subject to an open-source or similar license (including but not limited to the General Public License, Lesser General Public License, Mozilla Public License, or Affero License) (collectively, “Open Source Licenses”) in a manner that would cause such software or other materials to have to be (i) distributed to third parties at no charge or a minimal charge (royalty-free basis); (ii) licensed to third parties to modify, make derivative works based on, decompile, disassemble, or reverse engineer; or (iii) used in a manner that does could require disclosure or distribution in source code form.</w:t>
      </w:r>
    </w:p>
    <w:p>
      <w:pPr>
        <w:spacing w:after="0" w:line="2" w:lineRule="exact"/>
        <w:rPr>
          <w:sz w:val="20"/>
          <w:szCs w:val="20"/>
          <w:color w:val="auto"/>
        </w:rPr>
      </w:pPr>
    </w:p>
    <w:p>
      <w:pPr>
        <w:jc w:val="both"/>
        <w:ind w:left="2200" w:hanging="320"/>
        <w:spacing w:after="0" w:line="300" w:lineRule="auto"/>
        <w:tabs>
          <w:tab w:leader="none" w:pos="2200" w:val="left"/>
        </w:tabs>
        <w:numPr>
          <w:ilvl w:val="0"/>
          <w:numId w:val="57"/>
        </w:numPr>
        <w:rPr>
          <w:rFonts w:ascii="Arial" w:cs="Arial" w:eastAsia="Arial" w:hAnsi="Arial"/>
          <w:sz w:val="19"/>
          <w:szCs w:val="19"/>
          <w:color w:val="auto"/>
        </w:rPr>
      </w:pPr>
      <w:r>
        <w:rPr>
          <w:rFonts w:ascii="Arial" w:cs="Arial" w:eastAsia="Arial" w:hAnsi="Arial"/>
          <w:sz w:val="19"/>
          <w:szCs w:val="19"/>
          <w:color w:val="auto"/>
        </w:rPr>
        <w:t>Borrower Products. Except as described on Schedule 5.11 or in the most recently delivered Compliance Certificate in accordance with Section 7.1(d), no material Intellectual Property owned by Borrower or Borrower Product has been or is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 could reasonably be expected to affect the validity, use or enforceability thereof. Except as described in the most recently delivered Compliance Certificate in accordance with Section 7.1(d),there is no decree, order, judgment, agreement, stipulation, arbitral award or other provision entered into in connection with any litigation or proceeding that obligates Borrower to grant licenses or ownership interest in any future Intellectual Property related to the operation or conduct of the business of Borrower or Borrower Products. Except as described in the most recently delivered Compliance Certificate in accordance with Section 7.1(d), Borrower has not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nor, to Borrower’s knowledge, is there a</w:t>
      </w:r>
    </w:p>
    <w:p>
      <w:pPr>
        <w:spacing w:after="0" w:line="200" w:lineRule="exact"/>
        <w:rPr>
          <w:sz w:val="20"/>
          <w:szCs w:val="20"/>
          <w:color w:val="auto"/>
        </w:rPr>
      </w:pPr>
    </w:p>
    <w:p>
      <w:pPr>
        <w:spacing w:after="0" w:line="2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4" w:name="page135"/>
    <w:bookmarkEnd w:id="134"/>
    <w:p>
      <w:pPr>
        <w:jc w:val="both"/>
        <w:ind w:left="2200"/>
        <w:spacing w:after="0" w:line="266" w:lineRule="auto"/>
        <w:rPr>
          <w:sz w:val="20"/>
          <w:szCs w:val="20"/>
          <w:color w:val="auto"/>
        </w:rPr>
      </w:pPr>
      <w:r>
        <w:rPr>
          <w:rFonts w:ascii="Arial" w:cs="Arial" w:eastAsia="Arial" w:hAnsi="Arial"/>
          <w:sz w:val="22"/>
          <w:szCs w:val="22"/>
          <w:color w:val="auto"/>
        </w:rPr>
        <w:t>reasonable basis for any such claim. Neither Borrower’s use of its Intellectual Property material to Borrower’s business nor the production and sale of Borrower Products material to Borrower’s business infringes the Intellectual Property or other rights of others.</w:t>
      </w:r>
    </w:p>
    <w:p>
      <w:pPr>
        <w:spacing w:after="0" w:line="185" w:lineRule="exact"/>
        <w:rPr>
          <w:sz w:val="20"/>
          <w:szCs w:val="20"/>
          <w:color w:val="auto"/>
        </w:rPr>
      </w:pPr>
    </w:p>
    <w:p>
      <w:pPr>
        <w:jc w:val="both"/>
        <w:ind w:left="2200" w:hanging="320"/>
        <w:spacing w:after="0" w:line="259" w:lineRule="auto"/>
        <w:tabs>
          <w:tab w:leader="none" w:pos="22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Financial Accounts. Exhibit D, as may be updated by the Borrower in a written notice provided to Agent after the Closing Date, is a true, correct and complete list of (a) all banks and other financial institutions at which Borrower or any Subsidiary maintains Deposit Accounts and (b) all institutions at which Borrower or any Subsidiary maintains an account holding Investment Property, and such exhibit correctly identifies the name, address and telephone number of each bank or other institution, the name in which the account is held, a description of the purpose of the account, and the complete account number therefor.</w:t>
      </w:r>
    </w:p>
    <w:p>
      <w:pPr>
        <w:spacing w:after="0" w:line="195" w:lineRule="exact"/>
        <w:rPr>
          <w:rFonts w:ascii="Arial" w:cs="Arial" w:eastAsia="Arial" w:hAnsi="Arial"/>
          <w:sz w:val="22"/>
          <w:szCs w:val="22"/>
          <w:color w:val="auto"/>
        </w:rPr>
      </w:pPr>
    </w:p>
    <w:p>
      <w:pPr>
        <w:jc w:val="both"/>
        <w:ind w:left="2200" w:hanging="320"/>
        <w:spacing w:after="0" w:line="266" w:lineRule="auto"/>
        <w:tabs>
          <w:tab w:leader="none" w:pos="22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Employee Loans. Except for Permitted Investments, Borrower has no outstanding loans to any employee, officer or director of the Borrower nor has Borrower guaranteed the payment of any loan made to an employee, officer or director of the Borrower by a third party.</w:t>
      </w:r>
    </w:p>
    <w:p>
      <w:pPr>
        <w:spacing w:after="0" w:line="184" w:lineRule="exact"/>
        <w:rPr>
          <w:rFonts w:ascii="Arial" w:cs="Arial" w:eastAsia="Arial" w:hAnsi="Arial"/>
          <w:sz w:val="22"/>
          <w:szCs w:val="22"/>
          <w:color w:val="auto"/>
        </w:rPr>
      </w:pPr>
    </w:p>
    <w:p>
      <w:pPr>
        <w:jc w:val="both"/>
        <w:ind w:left="2200" w:hanging="320"/>
        <w:spacing w:after="0" w:line="261" w:lineRule="auto"/>
        <w:tabs>
          <w:tab w:leader="none" w:pos="2200" w:val="left"/>
        </w:tabs>
        <w:numPr>
          <w:ilvl w:val="1"/>
          <w:numId w:val="58"/>
        </w:numPr>
        <w:rPr>
          <w:rFonts w:ascii="Arial" w:cs="Arial" w:eastAsia="Arial" w:hAnsi="Arial"/>
          <w:sz w:val="22"/>
          <w:szCs w:val="22"/>
          <w:color w:val="auto"/>
        </w:rPr>
      </w:pPr>
      <w:r>
        <w:rPr>
          <w:rFonts w:ascii="Arial" w:cs="Arial" w:eastAsia="Arial" w:hAnsi="Arial"/>
          <w:sz w:val="22"/>
          <w:szCs w:val="22"/>
          <w:color w:val="auto"/>
        </w:rPr>
        <w:t>Capitalization and Subsidiaries. Borrower’s capitalization as of the Closing Date is set forth on Schedule 5.14 annexed hereto. Borrower does not own any stock, partnership interest or other securities of any Person, except for Permitted Investments. Attached as Schedule 5.14, as may be updated by Borrower in a written notice provided after the Closing Date, is a true, correct and complete list of each Subsidiary.</w:t>
      </w:r>
    </w:p>
    <w:p>
      <w:pPr>
        <w:spacing w:after="0" w:line="190" w:lineRule="exact"/>
        <w:rPr>
          <w:rFonts w:ascii="Arial" w:cs="Arial" w:eastAsia="Arial" w:hAnsi="Arial"/>
          <w:sz w:val="22"/>
          <w:szCs w:val="22"/>
          <w:color w:val="auto"/>
        </w:rPr>
      </w:pPr>
    </w:p>
    <w:p>
      <w:pPr>
        <w:ind w:left="1460" w:hanging="329"/>
        <w:spacing w:after="0"/>
        <w:tabs>
          <w:tab w:leader="none" w:pos="1460" w:val="left"/>
        </w:tabs>
        <w:numPr>
          <w:ilvl w:val="0"/>
          <w:numId w:val="59"/>
        </w:numPr>
        <w:rPr>
          <w:rFonts w:ascii="Arial" w:cs="Arial" w:eastAsia="Arial" w:hAnsi="Arial"/>
          <w:sz w:val="22"/>
          <w:szCs w:val="22"/>
          <w:color w:val="auto"/>
        </w:rPr>
      </w:pPr>
      <w:r>
        <w:rPr>
          <w:rFonts w:ascii="Arial" w:cs="Arial" w:eastAsia="Arial" w:hAnsi="Arial"/>
          <w:sz w:val="22"/>
          <w:szCs w:val="22"/>
          <w:color w:val="auto"/>
        </w:rPr>
        <w:t>INSURANCE; INDEMNIFICATION</w:t>
      </w:r>
    </w:p>
    <w:p>
      <w:pPr>
        <w:spacing w:after="0" w:line="233" w:lineRule="exact"/>
        <w:rPr>
          <w:rFonts w:ascii="Arial" w:cs="Arial" w:eastAsia="Arial" w:hAnsi="Arial"/>
          <w:sz w:val="22"/>
          <w:szCs w:val="22"/>
          <w:color w:val="auto"/>
        </w:rPr>
      </w:pPr>
    </w:p>
    <w:p>
      <w:pPr>
        <w:jc w:val="both"/>
        <w:ind w:left="2200" w:hanging="320"/>
        <w:spacing w:after="0" w:line="301" w:lineRule="auto"/>
        <w:tabs>
          <w:tab w:leader="none" w:pos="2200" w:val="left"/>
        </w:tabs>
        <w:numPr>
          <w:ilvl w:val="1"/>
          <w:numId w:val="59"/>
        </w:numPr>
        <w:rPr>
          <w:rFonts w:ascii="Arial" w:cs="Arial" w:eastAsia="Arial" w:hAnsi="Arial"/>
          <w:sz w:val="19"/>
          <w:szCs w:val="19"/>
          <w:color w:val="auto"/>
        </w:rPr>
      </w:pPr>
      <w:r>
        <w:rPr>
          <w:rFonts w:ascii="Arial" w:cs="Arial" w:eastAsia="Arial" w:hAnsi="Arial"/>
          <w:sz w:val="19"/>
          <w:szCs w:val="19"/>
          <w:color w:val="auto"/>
        </w:rPr>
        <w:t>Coverage. Borrower shall cause to be carried and maintained commercial general liability insurance, on an occurrence form, against risks customarily insured against in Borrower’s line of business. Such risks shall include the risks of bodily injury, including death, property damage, personal injury, advertising injury, and contractual liability per the terms of the indemnification agreement found in Section 6.3. Borrower must maintain a minimum of $2,000,000 of commercial general liability insurance for each occurrence. Borrower has and agrees to maintain a minimum of $2,000,000 of directors’ and officers’ insurance for each occurrence and $5,000,000 in the aggregate. So long as there are any Secured Obligations (other than inchoate indemnity obligations and other obligations which are expressly stated to survive termination of this Agreement) outstanding, Borrower shall also cause to be carried and maintained insurance upon the Collateral, insuring against all risks of physical loss or damage howsoever caused, in an amount not less than the full replacement cost of the Collateral; provided that such insurance may be subject to standard exceptions and deductibles. If Borrower fails to obtain the insurance called for by this Section 6.1 or fails to pay any premium thereon or fails to pay any other amount which</w:t>
      </w:r>
    </w:p>
    <w:p>
      <w:pPr>
        <w:spacing w:after="0" w:line="200" w:lineRule="exact"/>
        <w:rPr>
          <w:sz w:val="20"/>
          <w:szCs w:val="20"/>
          <w:color w:val="auto"/>
        </w:rPr>
      </w:pPr>
    </w:p>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5" w:name="page136"/>
    <w:bookmarkEnd w:id="135"/>
    <w:p>
      <w:pPr>
        <w:jc w:val="both"/>
        <w:ind w:left="2200"/>
        <w:spacing w:after="0" w:line="273" w:lineRule="auto"/>
        <w:rPr>
          <w:sz w:val="20"/>
          <w:szCs w:val="20"/>
          <w:color w:val="auto"/>
        </w:rPr>
      </w:pPr>
      <w:r>
        <w:rPr>
          <w:rFonts w:ascii="Arial" w:cs="Arial" w:eastAsia="Arial" w:hAnsi="Arial"/>
          <w:sz w:val="21"/>
          <w:szCs w:val="21"/>
          <w:color w:val="auto"/>
        </w:rPr>
        <w:t>Borrower is obligated to pay under this Agreement or any other Loan Document or which may be required to preserve the Collateral, Agent may obtain such insurance or make such payment, and all amounts so paid by Agent are immediately due and payable, bearing interest at the then highest rate applicable to the Secured Obligations, and secured by the Collateral. Agent will make reasonable efforts to provide Borrower with notice of Agent obtaining such insurance at the time it is obtained or within a reasonable time thereafter. No payments by Agent are deemed an agreement to make similar payments in the future or Agent’s waiver of any Event of Default.</w:t>
      </w:r>
    </w:p>
    <w:p>
      <w:pPr>
        <w:spacing w:after="0" w:line="183" w:lineRule="exact"/>
        <w:rPr>
          <w:sz w:val="20"/>
          <w:szCs w:val="20"/>
          <w:color w:val="auto"/>
        </w:rPr>
      </w:pPr>
    </w:p>
    <w:p>
      <w:pPr>
        <w:jc w:val="both"/>
        <w:ind w:left="2200" w:hanging="320"/>
        <w:spacing w:after="0" w:line="270" w:lineRule="auto"/>
        <w:tabs>
          <w:tab w:leader="none" w:pos="22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Certificates. Borrower shall deliver to Agent certificates of insurance that evidence Borrower’s compliance with its insurance obligations in Section 6.1 and the obligations contained in this Section 6.2. Borrower’s insurance certificate shall state Agent (shown as “Hercules Capital, Inc., as Agent”) is an additional insured for commercial general liability, a lenders loss payable for all risk property damage insurance, subject to the insurer’s approval, and a lenders loss payable for property insurance and additional insured for liability insurance for any future insurance that Borrower may acquire from such insurer. Attached to the certificates of insurance will be additional insured endorsements for liability and lender’s loss payable endorsements for all risk property damage insurance. All certificates of insurance will provide for a minimum of thirty (30) days advance written notice to Agent of cancellation (other than cancellation for non-payment of premiums, for which ten (10) days’ advance written notice shall be sufficient) or any other change adverse to Agent’s interests. Any failure of Agent to scrutinize such insurance certificates for compliance is not a waiver of any of Agent’s rights, all of which are reserved. Borrower shall provide Agent with copies of each insurance policy, and upon entering or amending any insurance policy required hereunder, Borrower shall provide Agent with copies of such policies and shall promptly deliver to Agent updated insurance certificates with respect to such policies.</w:t>
      </w:r>
    </w:p>
    <w:p>
      <w:pPr>
        <w:spacing w:after="0" w:line="189" w:lineRule="exact"/>
        <w:rPr>
          <w:rFonts w:ascii="Arial" w:cs="Arial" w:eastAsia="Arial" w:hAnsi="Arial"/>
          <w:sz w:val="21"/>
          <w:szCs w:val="21"/>
          <w:color w:val="auto"/>
        </w:rPr>
      </w:pPr>
    </w:p>
    <w:p>
      <w:pPr>
        <w:jc w:val="both"/>
        <w:ind w:left="2200" w:hanging="320"/>
        <w:spacing w:after="0" w:line="271" w:lineRule="auto"/>
        <w:tabs>
          <w:tab w:leader="none" w:pos="2200" w:val="left"/>
        </w:tabs>
        <w:numPr>
          <w:ilvl w:val="0"/>
          <w:numId w:val="60"/>
        </w:numPr>
        <w:rPr>
          <w:rFonts w:ascii="Arial" w:cs="Arial" w:eastAsia="Arial" w:hAnsi="Arial"/>
          <w:sz w:val="21"/>
          <w:szCs w:val="21"/>
          <w:color w:val="auto"/>
        </w:rPr>
      </w:pPr>
      <w:r>
        <w:rPr>
          <w:rFonts w:ascii="Arial" w:cs="Arial" w:eastAsia="Arial" w:hAnsi="Arial"/>
          <w:sz w:val="21"/>
          <w:szCs w:val="21"/>
          <w:color w:val="auto"/>
        </w:rPr>
        <w:t>Indemnity. Borrower agrees to indemnify and hold Agent, the Lenders and their officers, directors, employees, agents, in-house attorneys, representatives and shareholders (each, an “Indemnified Person”) harmless from and against any and all claims, costs, expenses, damages and liabilities (including such claims, costs, expenses, damages and liabilities based on liability in tort, including strict liability in tort), including reasonable, documented, out-of-pocket attorneys’ fees and disbursements and other costs of investigation or defense (including those incurred upon any appeal) (collectively, “Liabilities”), that may be instituted or asserted against or incurred by such Indemnified Person as the result of credit having been extended, suspended or terminated under this Agreement and the other Loan Documents or the administration of such credit, or in connection with or arising out of the transactions contemplated hereunder and thereunder, or any actions or failures to act in connection therewith, or arising out of the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6" w:name="page137"/>
    <w:bookmarkEnd w:id="136"/>
    <w:p>
      <w:pPr>
        <w:jc w:val="both"/>
        <w:ind w:left="2200"/>
        <w:spacing w:after="0" w:line="306" w:lineRule="auto"/>
        <w:rPr>
          <w:sz w:val="20"/>
          <w:szCs w:val="20"/>
          <w:color w:val="auto"/>
        </w:rPr>
      </w:pPr>
      <w:r>
        <w:rPr>
          <w:rFonts w:ascii="Arial" w:cs="Arial" w:eastAsia="Arial" w:hAnsi="Arial"/>
          <w:sz w:val="19"/>
          <w:szCs w:val="19"/>
          <w:color w:val="auto"/>
        </w:rPr>
        <w:t>disposition or utilization of the Collateral, excluding in all cases Liabilities to the extent resulting solely from any Indemnified Person’s gross negligence or willful misconduct. This Section 6.3 shall not apply with respect to Taxes other than any Taxes that represent losses, claims, damages, etc. arising from any non-Tax claim. In no event shall any Indemnified Person be liable on any theory of liability for any special, indirect, consequential or punitive damages (including any loss of profits, business or anticipated savings). This Section 6.3 shall survive the repayment of indebtedness under, and otherwise shall survive the expiration or other termination of, this Agreement.</w:t>
      </w:r>
    </w:p>
    <w:p>
      <w:pPr>
        <w:spacing w:after="0" w:line="156" w:lineRule="exact"/>
        <w:rPr>
          <w:sz w:val="20"/>
          <w:szCs w:val="20"/>
          <w:color w:val="auto"/>
        </w:rPr>
      </w:pPr>
    </w:p>
    <w:p>
      <w:pPr>
        <w:ind w:left="760" w:right="6860" w:firstLine="371"/>
        <w:spacing w:after="0" w:line="533" w:lineRule="auto"/>
        <w:tabs>
          <w:tab w:leader="none" w:pos="1458" w:val="left"/>
        </w:tabs>
        <w:numPr>
          <w:ilvl w:val="0"/>
          <w:numId w:val="61"/>
        </w:numPr>
        <w:rPr>
          <w:rFonts w:ascii="Arial" w:cs="Arial" w:eastAsia="Arial" w:hAnsi="Arial"/>
          <w:sz w:val="19"/>
          <w:szCs w:val="19"/>
          <w:color w:val="auto"/>
        </w:rPr>
      </w:pPr>
      <w:r>
        <w:rPr>
          <w:rFonts w:ascii="Arial" w:cs="Arial" w:eastAsia="Arial" w:hAnsi="Arial"/>
          <w:sz w:val="19"/>
          <w:szCs w:val="19"/>
          <w:color w:val="auto"/>
        </w:rPr>
        <w:t>COVENANTS OF BORROWER Borrower agrees as follows:</w:t>
      </w:r>
    </w:p>
    <w:p>
      <w:pPr>
        <w:spacing w:after="0" w:line="1" w:lineRule="exact"/>
        <w:rPr>
          <w:rFonts w:ascii="Arial" w:cs="Arial" w:eastAsia="Arial" w:hAnsi="Arial"/>
          <w:sz w:val="19"/>
          <w:szCs w:val="19"/>
          <w:color w:val="auto"/>
        </w:rPr>
      </w:pPr>
    </w:p>
    <w:p>
      <w:pPr>
        <w:ind w:left="2200" w:hanging="320"/>
        <w:spacing w:after="0" w:line="276" w:lineRule="auto"/>
        <w:tabs>
          <w:tab w:leader="none" w:pos="2200" w:val="left"/>
        </w:tabs>
        <w:numPr>
          <w:ilvl w:val="1"/>
          <w:numId w:val="61"/>
        </w:numPr>
        <w:rPr>
          <w:rFonts w:ascii="Arial" w:cs="Arial" w:eastAsia="Arial" w:hAnsi="Arial"/>
          <w:sz w:val="22"/>
          <w:szCs w:val="22"/>
          <w:color w:val="auto"/>
        </w:rPr>
      </w:pPr>
      <w:r>
        <w:rPr>
          <w:rFonts w:ascii="Arial" w:cs="Arial" w:eastAsia="Arial" w:hAnsi="Arial"/>
          <w:sz w:val="22"/>
          <w:szCs w:val="22"/>
          <w:color w:val="auto"/>
        </w:rPr>
        <w:t>Financial Reports. Borrower shall furnish to Agent the financial statements and reports listed hereinafter (the “Financial Statements”):</w:t>
      </w:r>
    </w:p>
    <w:p>
      <w:pPr>
        <w:spacing w:after="0" w:line="174" w:lineRule="exact"/>
        <w:rPr>
          <w:rFonts w:ascii="Arial" w:cs="Arial" w:eastAsia="Arial" w:hAnsi="Arial"/>
          <w:sz w:val="22"/>
          <w:szCs w:val="22"/>
          <w:color w:val="auto"/>
        </w:rPr>
      </w:pPr>
    </w:p>
    <w:p>
      <w:pPr>
        <w:jc w:val="both"/>
        <w:ind w:left="2980" w:hanging="278"/>
        <w:spacing w:after="0" w:line="302" w:lineRule="auto"/>
        <w:tabs>
          <w:tab w:leader="none" w:pos="2980" w:val="left"/>
        </w:tabs>
        <w:numPr>
          <w:ilvl w:val="2"/>
          <w:numId w:val="61"/>
        </w:numPr>
        <w:rPr>
          <w:rFonts w:ascii="Arial" w:cs="Arial" w:eastAsia="Arial" w:hAnsi="Arial"/>
          <w:sz w:val="19"/>
          <w:szCs w:val="19"/>
          <w:color w:val="auto"/>
        </w:rPr>
      </w:pPr>
      <w:r>
        <w:rPr>
          <w:rFonts w:ascii="Arial" w:cs="Arial" w:eastAsia="Arial" w:hAnsi="Arial"/>
          <w:sz w:val="19"/>
          <w:szCs w:val="19"/>
          <w:color w:val="auto"/>
        </w:rPr>
        <w:t>as soon as practicable (and in any event within thirty (30) days) unless extended by Agent in connection with quarter-end closes) after the end of each month, unaudited interim and year-to-date financial statements as of the end of such month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all certified by Borrower’s Chief Executive Officer or Chief Financial Officer to the effect that they have been prepared in accordance with GAAP, except (i) for the absence of footnotes, (ii) that they are subject to normal year-end adjustments, and (iii) they do not contain certain non-cash items that are customarily included in quarterly and annual financial statements;</w:t>
      </w:r>
    </w:p>
    <w:p>
      <w:pPr>
        <w:spacing w:after="0" w:line="161" w:lineRule="exact"/>
        <w:rPr>
          <w:rFonts w:ascii="Arial" w:cs="Arial" w:eastAsia="Arial" w:hAnsi="Arial"/>
          <w:sz w:val="19"/>
          <w:szCs w:val="19"/>
          <w:color w:val="auto"/>
        </w:rPr>
      </w:pPr>
    </w:p>
    <w:p>
      <w:pPr>
        <w:jc w:val="both"/>
        <w:ind w:left="2980" w:hanging="338"/>
        <w:spacing w:after="0" w:line="305" w:lineRule="auto"/>
        <w:tabs>
          <w:tab w:leader="none" w:pos="2980" w:val="left"/>
        </w:tabs>
        <w:numPr>
          <w:ilvl w:val="2"/>
          <w:numId w:val="61"/>
        </w:numPr>
        <w:rPr>
          <w:rFonts w:ascii="Arial" w:cs="Arial" w:eastAsia="Arial" w:hAnsi="Arial"/>
          <w:sz w:val="19"/>
          <w:szCs w:val="19"/>
          <w:color w:val="auto"/>
        </w:rPr>
      </w:pPr>
      <w:r>
        <w:rPr>
          <w:rFonts w:ascii="Arial" w:cs="Arial" w:eastAsia="Arial" w:hAnsi="Arial"/>
          <w:sz w:val="19"/>
          <w:szCs w:val="19"/>
          <w:color w:val="auto"/>
        </w:rPr>
        <w:t>as soon as practicable (and in any event within forty-five (45) days) after the end of each calendar quarter, unaudited interim and year-to-date financial statements as of the end of such calendar quarter (prepared on a consolidated and consolidating basis, if applicable), including balance sheet and related statements of income and cash flows accompanied by a report detailing any material contingencies (including the commencement of any material litigation by or against Borrower) or any other occurrence that could reasonably be expected to have a Material Adverse Effect, certified by Borrower’s Chief Executive Officer or Chief Financial Officer to the effect that they have been prepared in accordance with GAAP, except (i) for</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7" w:name="page138"/>
    <w:bookmarkEnd w:id="137"/>
    <w:p>
      <w:pPr>
        <w:ind w:left="2980"/>
        <w:spacing w:after="0"/>
        <w:rPr>
          <w:sz w:val="20"/>
          <w:szCs w:val="20"/>
          <w:color w:val="auto"/>
        </w:rPr>
      </w:pPr>
      <w:r>
        <w:rPr>
          <w:rFonts w:ascii="Arial" w:cs="Arial" w:eastAsia="Arial" w:hAnsi="Arial"/>
          <w:sz w:val="21"/>
          <w:szCs w:val="21"/>
          <w:color w:val="auto"/>
        </w:rPr>
        <w:t>the absence of footnotes, and (ii) that they are subject to normal year-end adjustments;</w:t>
      </w:r>
    </w:p>
    <w:p>
      <w:pPr>
        <w:spacing w:after="0" w:line="245" w:lineRule="exact"/>
        <w:rPr>
          <w:sz w:val="20"/>
          <w:szCs w:val="20"/>
          <w:color w:val="auto"/>
        </w:rPr>
      </w:pPr>
    </w:p>
    <w:p>
      <w:pPr>
        <w:jc w:val="both"/>
        <w:ind w:left="2980" w:hanging="398"/>
        <w:spacing w:after="0" w:line="273" w:lineRule="auto"/>
        <w:tabs>
          <w:tab w:leader="none" w:pos="2980" w:val="left"/>
        </w:tabs>
        <w:numPr>
          <w:ilvl w:val="0"/>
          <w:numId w:val="62"/>
        </w:numPr>
        <w:rPr>
          <w:rFonts w:ascii="Arial" w:cs="Arial" w:eastAsia="Arial" w:hAnsi="Arial"/>
          <w:sz w:val="21"/>
          <w:szCs w:val="21"/>
          <w:color w:val="auto"/>
        </w:rPr>
      </w:pPr>
      <w:r>
        <w:rPr>
          <w:rFonts w:ascii="Arial" w:cs="Arial" w:eastAsia="Arial" w:hAnsi="Arial"/>
          <w:sz w:val="21"/>
          <w:szCs w:val="21"/>
          <w:color w:val="auto"/>
        </w:rPr>
        <w:t>as soon as practicable (and in any event within ninety (90) days) after the end of each fiscal year, unqualified audited financial statements as of the end of such year (prepared on a consolidated and consolidating basis, if applicable), including balance sheet and related statements of income and cash flows, and setting forth in comparative form the corresponding figures for the preceding fiscal year, certified by a firm of independent certified public accountants selected by Borrower and reasonably acceptable to Agent, accompanied by any management report from such accountants;</w:t>
      </w:r>
    </w:p>
    <w:p>
      <w:pPr>
        <w:spacing w:after="0" w:line="183" w:lineRule="exact"/>
        <w:rPr>
          <w:rFonts w:ascii="Arial" w:cs="Arial" w:eastAsia="Arial" w:hAnsi="Arial"/>
          <w:sz w:val="21"/>
          <w:szCs w:val="21"/>
          <w:color w:val="auto"/>
        </w:rPr>
      </w:pPr>
    </w:p>
    <w:p>
      <w:pPr>
        <w:jc w:val="both"/>
        <w:ind w:left="2980" w:hanging="372"/>
        <w:spacing w:after="0" w:line="266" w:lineRule="auto"/>
        <w:tabs>
          <w:tab w:leader="none" w:pos="3051" w:val="left"/>
        </w:tabs>
        <w:numPr>
          <w:ilvl w:val="0"/>
          <w:numId w:val="62"/>
        </w:numPr>
        <w:rPr>
          <w:rFonts w:ascii="Arial" w:cs="Arial" w:eastAsia="Arial" w:hAnsi="Arial"/>
          <w:sz w:val="22"/>
          <w:szCs w:val="22"/>
          <w:color w:val="auto"/>
        </w:rPr>
      </w:pPr>
      <w:r>
        <w:rPr>
          <w:rFonts w:ascii="Arial" w:cs="Arial" w:eastAsia="Arial" w:hAnsi="Arial"/>
          <w:sz w:val="22"/>
          <w:szCs w:val="22"/>
          <w:color w:val="auto"/>
        </w:rPr>
        <w:t>as soon as practicable (and in any event within thirty (30) days unless extended by Agent in connection with quarter-end closes) after the end of each month, a Compliance Certificate in the form of Exhibit E;</w:t>
      </w:r>
    </w:p>
    <w:p>
      <w:pPr>
        <w:spacing w:after="0" w:line="184" w:lineRule="exact"/>
        <w:rPr>
          <w:rFonts w:ascii="Arial" w:cs="Arial" w:eastAsia="Arial" w:hAnsi="Arial"/>
          <w:sz w:val="22"/>
          <w:szCs w:val="22"/>
          <w:color w:val="auto"/>
        </w:rPr>
      </w:pPr>
    </w:p>
    <w:p>
      <w:pPr>
        <w:jc w:val="both"/>
        <w:ind w:left="2980" w:hanging="312"/>
        <w:spacing w:after="0" w:line="266" w:lineRule="auto"/>
        <w:tabs>
          <w:tab w:leader="none" w:pos="2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as soon as practicable (and in any event within thirty (30) days unless extended by Agent in connection with quarter-end closes) after the end of each month, a report showing agings of accounts receivable and accounts payable;</w:t>
      </w:r>
    </w:p>
    <w:p>
      <w:pPr>
        <w:spacing w:after="0" w:line="184" w:lineRule="exact"/>
        <w:rPr>
          <w:rFonts w:ascii="Arial" w:cs="Arial" w:eastAsia="Arial" w:hAnsi="Arial"/>
          <w:sz w:val="22"/>
          <w:szCs w:val="22"/>
          <w:color w:val="auto"/>
        </w:rPr>
      </w:pPr>
    </w:p>
    <w:p>
      <w:pPr>
        <w:jc w:val="both"/>
        <w:ind w:left="2980" w:hanging="386"/>
        <w:spacing w:after="0" w:line="260" w:lineRule="auto"/>
        <w:tabs>
          <w:tab w:leader="none" w:pos="2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promptly and in any event within 5 days after the sending or filing thereof, as the case may be, copies of any proxy statements, financial statements or reports that Borrower has made generally available to holders of its Common Stock and copies of any regular, periodic and special reports or registration statements that Borrower files with the Securities and Exchange Commission or any governmental authority that may be substituted therefor, or any national securities exchange;</w:t>
      </w:r>
    </w:p>
    <w:p>
      <w:pPr>
        <w:spacing w:after="0" w:line="191" w:lineRule="exact"/>
        <w:rPr>
          <w:rFonts w:ascii="Arial" w:cs="Arial" w:eastAsia="Arial" w:hAnsi="Arial"/>
          <w:sz w:val="22"/>
          <w:szCs w:val="22"/>
          <w:color w:val="auto"/>
        </w:rPr>
      </w:pPr>
    </w:p>
    <w:p>
      <w:pPr>
        <w:ind w:left="2980" w:hanging="446"/>
        <w:spacing w:after="0"/>
        <w:tabs>
          <w:tab w:leader="none" w:pos="2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jc w:val="both"/>
        <w:ind w:left="2980" w:hanging="506"/>
        <w:spacing w:after="0" w:line="262" w:lineRule="auto"/>
        <w:tabs>
          <w:tab w:leader="none" w:pos="2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financial and business projections promptly following their approval by Borrower’s board of directors, and in any event, within sixty (60) days after the end of Borrower’s fiscal year, as well as budgets, operating plans and other financial information reasonably requested by Agent; and</w:t>
      </w:r>
    </w:p>
    <w:p>
      <w:pPr>
        <w:spacing w:after="0" w:line="191" w:lineRule="exact"/>
        <w:rPr>
          <w:rFonts w:ascii="Arial" w:cs="Arial" w:eastAsia="Arial" w:hAnsi="Arial"/>
          <w:sz w:val="22"/>
          <w:szCs w:val="22"/>
          <w:color w:val="auto"/>
        </w:rPr>
      </w:pPr>
    </w:p>
    <w:p>
      <w:pPr>
        <w:jc w:val="both"/>
        <w:ind w:left="2980" w:hanging="386"/>
        <w:spacing w:after="0" w:line="262" w:lineRule="auto"/>
        <w:tabs>
          <w:tab w:leader="none" w:pos="29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 xml:space="preserve">prompt notice if Borrower or any Subsidiary has knowledge that Borrower, or any Subsidiary or Affiliate of Borrower, is listed on the OFAC Lists or (a) is convicted on, (b) pleads </w:t>
      </w:r>
      <w:r>
        <w:rPr>
          <w:rFonts w:ascii="Arial" w:cs="Arial" w:eastAsia="Arial" w:hAnsi="Arial"/>
          <w:sz w:val="22"/>
          <w:szCs w:val="22"/>
          <w:i w:val="1"/>
          <w:iCs w:val="1"/>
          <w:color w:val="auto"/>
        </w:rPr>
        <w:t>nolo</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contendere </w:t>
      </w:r>
      <w:r>
        <w:rPr>
          <w:rFonts w:ascii="Arial" w:cs="Arial" w:eastAsia="Arial" w:hAnsi="Arial"/>
          <w:sz w:val="22"/>
          <w:szCs w:val="22"/>
          <w:color w:val="auto"/>
        </w:rPr>
        <w:t>to, (c) is indicted on, or (d) is arraigned and held over on charges involving money</w:t>
      </w:r>
      <w:r>
        <w:rPr>
          <w:rFonts w:ascii="Arial" w:cs="Arial" w:eastAsia="Arial" w:hAnsi="Arial"/>
          <w:sz w:val="22"/>
          <w:szCs w:val="22"/>
          <w:i w:val="1"/>
          <w:iCs w:val="1"/>
          <w:color w:val="auto"/>
        </w:rPr>
        <w:t xml:space="preserve"> </w:t>
      </w:r>
      <w:r>
        <w:rPr>
          <w:rFonts w:ascii="Arial" w:cs="Arial" w:eastAsia="Arial" w:hAnsi="Arial"/>
          <w:sz w:val="22"/>
          <w:szCs w:val="22"/>
          <w:color w:val="auto"/>
        </w:rPr>
        <w:t>laundering or predicate crimes to money laundering.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8" w:name="page139"/>
    <w:bookmarkEnd w:id="138"/>
    <w:p>
      <w:pPr>
        <w:jc w:val="both"/>
        <w:ind w:left="580"/>
        <w:spacing w:after="0" w:line="257" w:lineRule="auto"/>
        <w:rPr>
          <w:sz w:val="20"/>
          <w:szCs w:val="20"/>
          <w:color w:val="auto"/>
        </w:rPr>
      </w:pPr>
      <w:r>
        <w:rPr>
          <w:rFonts w:ascii="Arial" w:cs="Arial" w:eastAsia="Arial" w:hAnsi="Arial"/>
          <w:sz w:val="22"/>
          <w:szCs w:val="22"/>
          <w:color w:val="auto"/>
        </w:rPr>
        <w:t>Borrower shall not (without the consent of Agent, such consent not to be unreasonably withheld or delayed), make any change in its (a) accounting policies or reporting practices, except as required by GAAP or (b) fiscal years or fiscal quarters, unless Borrower shall have notified Agent in writing within thirty (30) days in advance of such change. The fiscal year of Borrower shall end on December 31.</w:t>
      </w:r>
    </w:p>
    <w:p>
      <w:pPr>
        <w:spacing w:after="0" w:line="1" w:lineRule="exact"/>
        <w:rPr>
          <w:sz w:val="20"/>
          <w:szCs w:val="20"/>
          <w:color w:val="auto"/>
        </w:rPr>
      </w:pPr>
    </w:p>
    <w:p>
      <w:pPr>
        <w:jc w:val="both"/>
        <w:ind w:left="580"/>
        <w:spacing w:after="0" w:line="277" w:lineRule="auto"/>
        <w:rPr>
          <w:sz w:val="20"/>
          <w:szCs w:val="20"/>
          <w:color w:val="auto"/>
        </w:rPr>
      </w:pPr>
      <w:r>
        <w:rPr>
          <w:rFonts w:ascii="Arial" w:cs="Arial" w:eastAsia="Arial" w:hAnsi="Arial"/>
          <w:sz w:val="21"/>
          <w:szCs w:val="21"/>
          <w:color w:val="auto"/>
        </w:rPr>
        <w:t>The executed Compliance Certificate, and all Financial Statements required to be delivered pursuant to clauses (a), (b), (c) and (d) shall be sent via e-mail to financialstatements@htgc.com with a copy to legal@htgc.com and mdutra@htgc.com provided, that if e-mail is not available or sending such Financial Statements via e-mail is not possible, they shall be faxed to Agent at: (650) 473-9194, attention Account Manager: Axsome Therapeutics, Inc.</w:t>
      </w:r>
    </w:p>
    <w:p>
      <w:pPr>
        <w:spacing w:after="0" w:line="69" w:lineRule="exact"/>
        <w:rPr>
          <w:sz w:val="20"/>
          <w:szCs w:val="20"/>
          <w:color w:val="auto"/>
        </w:rPr>
      </w:pPr>
    </w:p>
    <w:p>
      <w:pPr>
        <w:jc w:val="both"/>
        <w:ind w:left="580"/>
        <w:spacing w:after="0" w:line="262" w:lineRule="auto"/>
        <w:rPr>
          <w:sz w:val="20"/>
          <w:szCs w:val="20"/>
          <w:color w:val="auto"/>
        </w:rPr>
      </w:pPr>
      <w:r>
        <w:rPr>
          <w:rFonts w:ascii="Arial" w:cs="Arial" w:eastAsia="Arial" w:hAnsi="Arial"/>
          <w:sz w:val="22"/>
          <w:szCs w:val="22"/>
          <w:color w:val="auto"/>
        </w:rPr>
        <w:t>Notwithstanding the foregoing, documents required to be delivered under Sections 7.1(a), (b), (c) or (f) pursuant to the terms hereof (to the extent any such documents are included in materials otherwise filed with the SEC) may be delivered electronically and if so delivered, shall be deemed to have been delivered on the date on which Borrower emails a link thereto to Agent.</w:t>
      </w:r>
    </w:p>
    <w:p>
      <w:pPr>
        <w:spacing w:after="0" w:line="83" w:lineRule="exact"/>
        <w:rPr>
          <w:sz w:val="20"/>
          <w:szCs w:val="20"/>
          <w:color w:val="auto"/>
        </w:rPr>
      </w:pPr>
    </w:p>
    <w:p>
      <w:pPr>
        <w:jc w:val="both"/>
        <w:ind w:left="2200" w:hanging="320"/>
        <w:spacing w:after="0" w:line="301" w:lineRule="auto"/>
        <w:tabs>
          <w:tab w:leader="none" w:pos="2200" w:val="left"/>
        </w:tabs>
        <w:numPr>
          <w:ilvl w:val="0"/>
          <w:numId w:val="63"/>
        </w:numPr>
        <w:rPr>
          <w:rFonts w:ascii="Arial" w:cs="Arial" w:eastAsia="Arial" w:hAnsi="Arial"/>
          <w:sz w:val="19"/>
          <w:szCs w:val="19"/>
          <w:color w:val="auto"/>
        </w:rPr>
      </w:pPr>
      <w:r>
        <w:rPr>
          <w:rFonts w:ascii="Arial" w:cs="Arial" w:eastAsia="Arial" w:hAnsi="Arial"/>
          <w:sz w:val="19"/>
          <w:szCs w:val="19"/>
          <w:color w:val="auto"/>
        </w:rPr>
        <w:t>Management Rights. Borrower shall permit any representative that Agent or the Lenders authorizes, including its attorneys and accountants, to inspect the Collateral and examine and make copies and abstracts of the books of account and records of Borrower at reasonable times and upon reasonable notice during normal business hours; provided, however, that so long as no Event of Default has occurred and is continuing, such examinations shall be limited to no more often than twice per fiscal year. In addition, any such representative shall have the right to meet with management and officers of Borrower to discuss such books of account and records in connection with such examinations. In addition, Agent or the Lenders shall be entitled at reasonable times and intervals to consult with and advise the management and officers of Borrower concerning significant business issues affecting Borrower. Such consultations shall not unreasonably interfere with Borrower’s business operations. The parties intend that the rights granted Agent and the Lenders shall constitute “management rights” within the meaning of 29 C.F.R. Section 2510.3- 101(d)(3)(ii), but that any advice, recommendations or participation by Agent or the Lenders with respect to any business issues shall not be deemed to give Agent or the Lenders, nor be deemed an exercise by Agent or the Lenders of, control over Borrower’s management or policies.</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2200" w:hanging="320"/>
        <w:spacing w:after="0" w:line="273" w:lineRule="auto"/>
        <w:tabs>
          <w:tab w:leader="none" w:pos="2200" w:val="left"/>
        </w:tabs>
        <w:numPr>
          <w:ilvl w:val="0"/>
          <w:numId w:val="63"/>
        </w:numPr>
        <w:rPr>
          <w:rFonts w:ascii="Arial" w:cs="Arial" w:eastAsia="Arial" w:hAnsi="Arial"/>
          <w:sz w:val="21"/>
          <w:szCs w:val="21"/>
          <w:color w:val="auto"/>
        </w:rPr>
      </w:pPr>
      <w:r>
        <w:rPr>
          <w:rFonts w:ascii="Arial" w:cs="Arial" w:eastAsia="Arial" w:hAnsi="Arial"/>
          <w:sz w:val="21"/>
          <w:szCs w:val="21"/>
          <w:color w:val="auto"/>
        </w:rPr>
        <w:t>Further Assurances. Borrower shall from time to time following Agent’s written request execute, deliver and file, alone or with Agent, any financing statements, security agreements, collateral assignments, notices, control agreements, or other documents to perfect, give the highest priority to Agent’s Lien on the Collateral (subject to Permitted Liens) or otherwise evidence Agent’s rights herein. Borrower shall from time to time procure any instruments or documents as may be reasonably requested by Agent, and take all further action that may be necessary, or that Agent may reasonably request, to perfect and protect the Liens granted hereby and</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39" w:name="page140"/>
    <w:bookmarkEnd w:id="139"/>
    <w:p>
      <w:pPr>
        <w:jc w:val="both"/>
        <w:ind w:left="2200"/>
        <w:spacing w:after="0" w:line="273" w:lineRule="auto"/>
        <w:rPr>
          <w:sz w:val="20"/>
          <w:szCs w:val="20"/>
          <w:color w:val="auto"/>
        </w:rPr>
      </w:pPr>
      <w:r>
        <w:rPr>
          <w:rFonts w:ascii="Arial" w:cs="Arial" w:eastAsia="Arial" w:hAnsi="Arial"/>
          <w:sz w:val="21"/>
          <w:szCs w:val="21"/>
          <w:color w:val="auto"/>
        </w:rPr>
        <w:t>thereby. In addition, and for such purposes only, Borrower hereby authorizes Agent to execute and deliver on behalf of Borrower and to file such financing statements (including an indication that the financing statement covers “all assets or all personal property” of Borrower in accordance with Section 9-504 of the UCC), collateral assignments, notices, control agreements, security agreements and other documents without the signature of Borrower either in Agent’s name or in the name of Agent as agent and attorney-in-fact for Borrower. Borrower shall protect and defend Borrower’s title to the Collateral and Agent’s Lien thereon against all Persons claiming any interest adverse to Borrower or Agent other than Permitted Liens.</w:t>
      </w:r>
    </w:p>
    <w:p>
      <w:pPr>
        <w:spacing w:after="0" w:line="179" w:lineRule="exact"/>
        <w:rPr>
          <w:sz w:val="20"/>
          <w:szCs w:val="20"/>
          <w:color w:val="auto"/>
        </w:rPr>
      </w:pPr>
    </w:p>
    <w:p>
      <w:pPr>
        <w:jc w:val="both"/>
        <w:ind w:left="2200" w:hanging="320"/>
        <w:spacing w:after="0" w:line="271" w:lineRule="auto"/>
        <w:tabs>
          <w:tab w:leader="none" w:pos="2200" w:val="left"/>
        </w:tabs>
        <w:numPr>
          <w:ilvl w:val="0"/>
          <w:numId w:val="64"/>
        </w:numPr>
        <w:rPr>
          <w:rFonts w:ascii="Arial" w:cs="Arial" w:eastAsia="Arial" w:hAnsi="Arial"/>
          <w:sz w:val="21"/>
          <w:szCs w:val="21"/>
          <w:color w:val="auto"/>
        </w:rPr>
      </w:pPr>
      <w:r>
        <w:rPr>
          <w:rFonts w:ascii="Arial" w:cs="Arial" w:eastAsia="Arial" w:hAnsi="Arial"/>
          <w:sz w:val="21"/>
          <w:szCs w:val="21"/>
          <w:color w:val="auto"/>
        </w:rPr>
        <w:t>Indebtedness. Borrower shall not create, incur, assume, guarantee or be or remain liable with respect to any Indebtedness, or permit any Subsidiary so to do, other than Permitted Indebtedness, or prepay any Indebtedness or take any actions which impose on Borrower an obligation to prepay any Indebtedness, except for (a) the conversion of Indebtedness into equity securities and the payment of cash in lieu of fractional shares in connection with such conversion, (b) payment and prepayment of purchase money Indebtedness and capital leases pursuant to its then applicable payment schedule, (c) prepayment by any Subsidiary of (i) inter-company Indebtedness owed by such Subsidiary to any Borrower, or (ii) if such Subsidiary is not a Borrower, intercompany Indebtedness owed by such Subsidiary to another Subsidiary that is not a Borrower or (d) as otherwise permitted hereunder or approved in writing by Agent.</w:t>
      </w:r>
    </w:p>
    <w:p>
      <w:pPr>
        <w:spacing w:after="0" w:line="189" w:lineRule="exact"/>
        <w:rPr>
          <w:sz w:val="20"/>
          <w:szCs w:val="20"/>
          <w:color w:val="auto"/>
        </w:rPr>
      </w:pPr>
    </w:p>
    <w:p>
      <w:pPr>
        <w:jc w:val="both"/>
        <w:ind w:left="660"/>
        <w:spacing w:after="0" w:line="270" w:lineRule="auto"/>
        <w:rPr>
          <w:sz w:val="20"/>
          <w:szCs w:val="20"/>
          <w:color w:val="auto"/>
        </w:rPr>
      </w:pPr>
      <w:r>
        <w:rPr>
          <w:rFonts w:ascii="Arial" w:cs="Arial" w:eastAsia="Arial" w:hAnsi="Arial"/>
          <w:sz w:val="21"/>
          <w:szCs w:val="21"/>
          <w:color w:val="auto"/>
        </w:rPr>
        <w:t xml:space="preserve">Notwithstanding anything to the contrary in the foregoing, the issuance of, performance of obligations under (including any payments of interest), and conversion, exchange, exercise, repurchase, redemption (including, for the avoidance of doubt, a required repurchase in connection with the redemption of Permitted Convertible Debt upon satisfaction of a condition related to the stock price of the Common Stock), settlement or early termination or cancellation of (whether in whole or in part and including by netting or set-off) (in each case, whether in cash, Common Stock, following a merger event or other change of the Common Stock, other securities or property), or the satisfaction of any condition that would permit or require any of the foregoing, any Permitted Convertible Debt shall not constitute a prepayment of Indebtedness by Borrower for the purposes of this Section 7.4;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principal payments in cash (other than cash in lieu of fractional shares) shall only be allowed if the Redemption Conditions are satisfied in respect of such payment and at all times after such payment;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Permitted Bond Hedge Transactions relating to such Permitted Convertible Debt (including, for the avoidance of doubt, the case where there is no Bond Hedge</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0" w:name="page141"/>
    <w:bookmarkEnd w:id="140"/>
    <w:p>
      <w:pPr>
        <w:jc w:val="both"/>
        <w:ind w:left="660"/>
        <w:spacing w:after="0" w:line="276" w:lineRule="auto"/>
        <w:rPr>
          <w:sz w:val="20"/>
          <w:szCs w:val="20"/>
          <w:color w:val="auto"/>
        </w:rPr>
      </w:pPr>
      <w:r>
        <w:rPr>
          <w:rFonts w:ascii="Arial" w:cs="Arial" w:eastAsia="Arial" w:hAnsi="Arial"/>
          <w:sz w:val="22"/>
          <w:szCs w:val="22"/>
          <w:color w:val="auto"/>
        </w:rPr>
        <w:t>Transaction relating to such Permitted Convertible Debt), the payment of such excess cash shall not be permitted by the preceding sentence.</w:t>
      </w:r>
    </w:p>
    <w:p>
      <w:pPr>
        <w:spacing w:after="0" w:line="174" w:lineRule="exact"/>
        <w:rPr>
          <w:sz w:val="20"/>
          <w:szCs w:val="20"/>
          <w:color w:val="auto"/>
        </w:rPr>
      </w:pPr>
    </w:p>
    <w:p>
      <w:pPr>
        <w:jc w:val="both"/>
        <w:ind w:left="660"/>
        <w:spacing w:after="0" w:line="303" w:lineRule="auto"/>
        <w:rPr>
          <w:sz w:val="20"/>
          <w:szCs w:val="20"/>
          <w:color w:val="auto"/>
        </w:rPr>
      </w:pPr>
      <w:r>
        <w:rPr>
          <w:rFonts w:ascii="Arial" w:cs="Arial" w:eastAsia="Arial" w:hAnsi="Arial"/>
          <w:sz w:val="19"/>
          <w:szCs w:val="19"/>
          <w:color w:val="auto"/>
        </w:rPr>
        <w:t>Notwithstanding the foregoing, Borrower may repurchase, exchange or induce the conversion of Permitted Convertible Debt by delivery of shares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58" w:lineRule="exact"/>
        <w:rPr>
          <w:sz w:val="20"/>
          <w:szCs w:val="20"/>
          <w:color w:val="auto"/>
        </w:rPr>
      </w:pPr>
    </w:p>
    <w:p>
      <w:pPr>
        <w:jc w:val="both"/>
        <w:ind w:left="2200" w:hanging="320"/>
        <w:spacing w:after="0" w:line="300" w:lineRule="auto"/>
        <w:tabs>
          <w:tab w:leader="none" w:pos="2200" w:val="left"/>
        </w:tabs>
        <w:numPr>
          <w:ilvl w:val="0"/>
          <w:numId w:val="65"/>
        </w:numPr>
        <w:rPr>
          <w:rFonts w:ascii="Arial" w:cs="Arial" w:eastAsia="Arial" w:hAnsi="Arial"/>
          <w:sz w:val="19"/>
          <w:szCs w:val="19"/>
          <w:color w:val="auto"/>
        </w:rPr>
      </w:pPr>
      <w:r>
        <w:rPr>
          <w:rFonts w:ascii="Arial" w:cs="Arial" w:eastAsia="Arial" w:hAnsi="Arial"/>
          <w:sz w:val="19"/>
          <w:szCs w:val="19"/>
          <w:color w:val="auto"/>
        </w:rPr>
        <w:t>Collateral. Borrower shall at all times keep the Collateral and all other property and assets used in Borrower’s business or in which Borrower now or hereafter holds any interest free and clear from any legal process or Liens whatsoever (except for Permitted Liens), and shall give Agent prompt written notice of any legal process affecting the Collateral, such other property and assets, or any Liens thereon, provided however, that the Collateral and such other property and assets may be subject to Permitted Liens . Borrower shall not enter into or suffer to exist or become effective any agreement that prohibits or limits the ability of any Borrower to create, incur, assume or suffer to exist any Lien upon any of its property (including Intellectual Property),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and (c) customary restrictions on the assignment of leases, licenses and other agreements. Borrower shall cause its Subsidiaries to protect and defend such Subsidiary’s title to its assets from and against all Persons claiming any interest adverse to such Subsidiary, and Borrower shall cause its Subsidiaries at all times to keep such Subsidiary’s property and assets free and clear from any legal process or Liens whatsoever (except for Permitted Liens), and shall give Agent prompt written notice of any legal process affecting such Subsidiary’s assets.</w:t>
      </w:r>
    </w:p>
    <w:p>
      <w:pPr>
        <w:spacing w:after="0" w:line="163" w:lineRule="exact"/>
        <w:rPr>
          <w:rFonts w:ascii="Arial" w:cs="Arial" w:eastAsia="Arial" w:hAnsi="Arial"/>
          <w:sz w:val="19"/>
          <w:szCs w:val="19"/>
          <w:color w:val="auto"/>
        </w:rPr>
      </w:pPr>
    </w:p>
    <w:p>
      <w:pPr>
        <w:ind w:left="2200" w:hanging="320"/>
        <w:spacing w:after="0" w:line="301" w:lineRule="auto"/>
        <w:tabs>
          <w:tab w:leader="none" w:pos="2200" w:val="left"/>
        </w:tabs>
        <w:numPr>
          <w:ilvl w:val="0"/>
          <w:numId w:val="65"/>
        </w:numPr>
        <w:rPr>
          <w:rFonts w:ascii="Arial" w:cs="Arial" w:eastAsia="Arial" w:hAnsi="Arial"/>
          <w:sz w:val="21"/>
          <w:szCs w:val="21"/>
          <w:color w:val="auto"/>
        </w:rPr>
      </w:pPr>
      <w:r>
        <w:rPr>
          <w:rFonts w:ascii="Arial" w:cs="Arial" w:eastAsia="Arial" w:hAnsi="Arial"/>
          <w:sz w:val="21"/>
          <w:szCs w:val="21"/>
          <w:color w:val="auto"/>
        </w:rPr>
        <w:t>Investments. Borrower shall not directly or indirectly acquire or own, or make any Investment in or to any Person, or permit any of its Subsidiaries to do so, other than Permitted Investments.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1" w:name="page142"/>
    <w:bookmarkEnd w:id="141"/>
    <w:p>
      <w:pPr>
        <w:jc w:val="both"/>
        <w:ind w:left="660"/>
        <w:spacing w:after="0" w:line="301" w:lineRule="auto"/>
        <w:rPr>
          <w:sz w:val="20"/>
          <w:szCs w:val="20"/>
          <w:color w:val="auto"/>
        </w:rPr>
      </w:pPr>
      <w:r>
        <w:rPr>
          <w:rFonts w:ascii="Arial" w:cs="Arial" w:eastAsia="Arial" w:hAnsi="Arial"/>
          <w:sz w:val="19"/>
          <w:szCs w:val="19"/>
          <w:color w:val="auto"/>
        </w:rPr>
        <w:t>Notwithstanding the foregoing, and for the avoidance of doubt, this Section 7.6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200" w:lineRule="exact"/>
        <w:rPr>
          <w:sz w:val="20"/>
          <w:szCs w:val="20"/>
          <w:color w:val="auto"/>
        </w:rPr>
      </w:pPr>
    </w:p>
    <w:p>
      <w:pPr>
        <w:spacing w:after="0" w:line="230" w:lineRule="exact"/>
        <w:rPr>
          <w:sz w:val="20"/>
          <w:szCs w:val="20"/>
          <w:color w:val="auto"/>
        </w:rPr>
      </w:pPr>
    </w:p>
    <w:p>
      <w:pPr>
        <w:jc w:val="both"/>
        <w:ind w:left="660"/>
        <w:spacing w:after="0" w:line="303" w:lineRule="auto"/>
        <w:rPr>
          <w:sz w:val="20"/>
          <w:szCs w:val="20"/>
          <w:color w:val="auto"/>
        </w:rPr>
      </w:pPr>
      <w:r>
        <w:rPr>
          <w:rFonts w:ascii="Arial" w:cs="Arial" w:eastAsia="Arial" w:hAnsi="Arial"/>
          <w:sz w:val="19"/>
          <w:szCs w:val="19"/>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 Warrant Transactions, if any, corresponding to such Permitted Convertible Debt that are so repurchased, exchanged or converted.</w:t>
      </w:r>
    </w:p>
    <w:p>
      <w:pPr>
        <w:spacing w:after="0" w:line="158" w:lineRule="exact"/>
        <w:rPr>
          <w:sz w:val="20"/>
          <w:szCs w:val="20"/>
          <w:color w:val="auto"/>
        </w:rPr>
      </w:pPr>
    </w:p>
    <w:p>
      <w:pPr>
        <w:jc w:val="both"/>
        <w:ind w:left="2200" w:hanging="320"/>
        <w:spacing w:after="0" w:line="305" w:lineRule="auto"/>
        <w:tabs>
          <w:tab w:leader="none" w:pos="2200" w:val="left"/>
        </w:tabs>
        <w:numPr>
          <w:ilvl w:val="0"/>
          <w:numId w:val="66"/>
        </w:numPr>
        <w:rPr>
          <w:rFonts w:ascii="Arial" w:cs="Arial" w:eastAsia="Arial" w:hAnsi="Arial"/>
          <w:sz w:val="19"/>
          <w:szCs w:val="19"/>
          <w:color w:val="auto"/>
        </w:rPr>
      </w:pPr>
      <w:r>
        <w:rPr>
          <w:rFonts w:ascii="Arial" w:cs="Arial" w:eastAsia="Arial" w:hAnsi="Arial"/>
          <w:sz w:val="19"/>
          <w:szCs w:val="19"/>
          <w:color w:val="auto"/>
        </w:rPr>
        <w:t>Distributions. Borrower shall not, and shall not allow any Subsidiary to, (a) repurchase or redeem any class of stock or other Equity Interest other than pursuant to employee, director or consultant repurchase plans or other similar agreements that are Permitted Investments or the conversion of any of its convertible securities pursuant to the terms of such convertible securities; provided, however, in each case the repurchase or redemption price does not exceed the original consideration paid for such stock or Equity Interest unless required by the terms of such agreement or plan, or pursuant to a public repurchase of securities in compliance with the requirements of SEC Rule 10b-18, or (b) declare or pay any cash dividend or make any other cash distribution on any class of stock or other Equity</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2" w:name="page143"/>
    <w:bookmarkEnd w:id="142"/>
    <w:p>
      <w:pPr>
        <w:jc w:val="both"/>
        <w:ind w:left="2200"/>
        <w:spacing w:after="0" w:line="304" w:lineRule="auto"/>
        <w:rPr>
          <w:sz w:val="20"/>
          <w:szCs w:val="20"/>
          <w:color w:val="auto"/>
        </w:rPr>
      </w:pPr>
      <w:r>
        <w:rPr>
          <w:rFonts w:ascii="Arial" w:cs="Arial" w:eastAsia="Arial" w:hAnsi="Arial"/>
          <w:sz w:val="19"/>
          <w:szCs w:val="19"/>
          <w:color w:val="auto"/>
        </w:rPr>
        <w:t>Interest, except that a Subsidiary may pay dividends or make other distributions to Borrower or any Subsidiary of Borrower, or (c) except for Permitted Investments, lend money to any employees, officers or directors or guarantee the payment of any such loans granted by a third party in excess of $100,000 in the aggregate or (d) waive, release or forgive any Indebtedness owed by any employees, officers or directors in excess of $100,000 in the aggregate other than cancellation of Indebtedness in connection with the repurchase of Equity Interests permitted under clause (a) above. Notwithstanding the foregoing, Borrower may redeem or repurchase stock and other Equity Interests and may declare and pay dividends and make distributions in any amount, so long as the Redemption Conditions (as applied to such redemption, repurchase, dividend or distribution) are satisfied.</w:t>
      </w:r>
    </w:p>
    <w:p>
      <w:pPr>
        <w:spacing w:after="0" w:line="155" w:lineRule="exact"/>
        <w:rPr>
          <w:sz w:val="20"/>
          <w:szCs w:val="20"/>
          <w:color w:val="auto"/>
        </w:rPr>
      </w:pPr>
    </w:p>
    <w:p>
      <w:pPr>
        <w:jc w:val="both"/>
        <w:ind w:left="660"/>
        <w:spacing w:after="0" w:line="301" w:lineRule="auto"/>
        <w:rPr>
          <w:sz w:val="20"/>
          <w:szCs w:val="20"/>
          <w:color w:val="auto"/>
        </w:rPr>
      </w:pPr>
      <w:r>
        <w:rPr>
          <w:rFonts w:ascii="Arial" w:cs="Arial" w:eastAsia="Arial" w:hAnsi="Arial"/>
          <w:sz w:val="19"/>
          <w:szCs w:val="19"/>
          <w:color w:val="auto"/>
        </w:rPr>
        <w:t>Notwithstanding the foregoing, and for the avoidance of doubt, this Section 7.7 shall not prohibit the conversion by holders of (including any payment upon conversion, whether in cash, Common Stock or a combination thereof), or required payment of any principal or premium on (including, for the avoidance of doubt, in respect of a required repurchase in connection with the redemption of Permitted Convertible Debt upon satisfaction of a condition related to the stock price of the Common Stock) or required payment of any interest with respect to, any Permitted Convertible Debt in each case, in accordance with the terms of the indenture governing such Permitted Convertible Debt; provided that principal payments in cash (other than cash in lieu of fractional shares) shall only be allowed if the Redemption Conditions are satisfied in respect of such payment and at all times after such payment; provided further that, to the extent both (a) the aggregate amount of cash payable upon conversion or payment of any Permitted Convertible Debt (excluding any required payment of interest with respect to such Permitted Convertible Debt and excluding any payment of cash in lieu of a fractional share due upon conversion thereof) exceeds the aggregate principal amount thereof and (b) such conversion or payment does not trigger or correspond to an exercise or early unwind or settlement of a corresponding portion of the Bond Hedge Transactions relating to such Permitted Convertible Debt (including, for the avoidance of doubt, the case where there is no Bond Hedge Transaction relating to such Permitted Convertible Debt), the payment of such excess cash shall not be permitted by the preceding sentence.</w:t>
      </w:r>
    </w:p>
    <w:p>
      <w:pPr>
        <w:spacing w:after="0" w:line="200" w:lineRule="exact"/>
        <w:rPr>
          <w:sz w:val="20"/>
          <w:szCs w:val="20"/>
          <w:color w:val="auto"/>
        </w:rPr>
      </w:pPr>
    </w:p>
    <w:p>
      <w:pPr>
        <w:spacing w:after="0" w:line="230" w:lineRule="exact"/>
        <w:rPr>
          <w:sz w:val="20"/>
          <w:szCs w:val="20"/>
          <w:color w:val="auto"/>
        </w:rPr>
      </w:pPr>
    </w:p>
    <w:p>
      <w:pPr>
        <w:jc w:val="both"/>
        <w:ind w:left="660"/>
        <w:spacing w:after="0" w:line="304" w:lineRule="auto"/>
        <w:rPr>
          <w:sz w:val="20"/>
          <w:szCs w:val="20"/>
          <w:color w:val="auto"/>
        </w:rPr>
      </w:pPr>
      <w:r>
        <w:rPr>
          <w:rFonts w:ascii="Arial" w:cs="Arial" w:eastAsia="Arial" w:hAnsi="Arial"/>
          <w:sz w:val="19"/>
          <w:szCs w:val="19"/>
          <w:color w:val="auto"/>
        </w:rPr>
        <w:t>Notwithstanding the foregoing, Borrower may repurchase, exchange or induce the conversion of Permitted Convertible Debt by delivery of Common Stock and/or a different series of Permitted Convertible Debt and/or by payment of cash (in an amount that does not exceed the proceeds received by Borrower from the substantially concurrent issuance of Common Stock and/or Permitted Convertible Debt plus the net cash proceeds, if any, received by Borrower pursuant to the related exercise or early unwind or termination of the related Permitted Bond Hedge Transactions and Permitted Warrant Transactions, if any, pursuant to the immediately following proviso); provided that, substantially concurrently with, or a commercially reasonable period of time before or after, the related settlement date for the Permitted Convertible Debt that is so repurchased, exchanged or converted, Borrower shall exercise or unwind or terminate early (whether in cash, shares or any combination thereof) the portion of the Permitted Bond Hedge Transactions and Permitted</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3" w:name="page144"/>
    <w:bookmarkEnd w:id="143"/>
    <w:p>
      <w:pPr>
        <w:ind w:left="660"/>
        <w:spacing w:after="0" w:line="276" w:lineRule="auto"/>
        <w:rPr>
          <w:sz w:val="20"/>
          <w:szCs w:val="20"/>
          <w:color w:val="auto"/>
        </w:rPr>
      </w:pPr>
      <w:r>
        <w:rPr>
          <w:rFonts w:ascii="Arial" w:cs="Arial" w:eastAsia="Arial" w:hAnsi="Arial"/>
          <w:sz w:val="22"/>
          <w:szCs w:val="22"/>
          <w:color w:val="auto"/>
        </w:rPr>
        <w:t>Warrant Transactions, if any, corresponding to such Permitted Convertible Debt that are so repurchased, exchanged or converted.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anything to the contrary set forth in this Section 7, and for the avoidance of doubt:</w:t>
      </w:r>
    </w:p>
    <w:p>
      <w:pPr>
        <w:spacing w:after="0" w:line="233" w:lineRule="exact"/>
        <w:rPr>
          <w:sz w:val="20"/>
          <w:szCs w:val="20"/>
          <w:color w:val="auto"/>
        </w:rPr>
      </w:pPr>
    </w:p>
    <w:p>
      <w:pPr>
        <w:ind w:left="3700" w:hanging="322"/>
        <w:spacing w:after="0" w:line="358" w:lineRule="auto"/>
        <w:tabs>
          <w:tab w:leader="none" w:pos="37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Borrower may make any required payment of premium to a counterparty thereunder due in connection with entering into any Permitted Bond Hedge Transaction;</w:t>
      </w:r>
    </w:p>
    <w:p>
      <w:pPr>
        <w:spacing w:after="0" w:line="104" w:lineRule="exact"/>
        <w:rPr>
          <w:rFonts w:ascii="Arial" w:cs="Arial" w:eastAsia="Arial" w:hAnsi="Arial"/>
          <w:sz w:val="19"/>
          <w:szCs w:val="19"/>
          <w:color w:val="auto"/>
        </w:rPr>
      </w:pPr>
    </w:p>
    <w:p>
      <w:pPr>
        <w:jc w:val="both"/>
        <w:ind w:left="3700" w:hanging="322"/>
        <w:spacing w:after="0" w:line="300" w:lineRule="auto"/>
        <w:tabs>
          <w:tab w:leader="none" w:pos="3700" w:val="left"/>
        </w:tabs>
        <w:numPr>
          <w:ilvl w:val="1"/>
          <w:numId w:val="67"/>
        </w:numPr>
        <w:rPr>
          <w:rFonts w:ascii="Arial" w:cs="Arial" w:eastAsia="Arial" w:hAnsi="Arial"/>
          <w:sz w:val="19"/>
          <w:szCs w:val="19"/>
          <w:color w:val="auto"/>
        </w:rPr>
      </w:pPr>
      <w:r>
        <w:rPr>
          <w:rFonts w:ascii="Arial" w:cs="Arial" w:eastAsia="Arial" w:hAnsi="Arial"/>
          <w:sz w:val="19"/>
          <w:szCs w:val="19"/>
          <w:color w:val="auto"/>
        </w:rPr>
        <w:t>Borrower may make any payment in connection with any Permitted Warrant Transaction by (i) delivery of shares of the Borrower’s Common Stock (together with cash in lieu of fractional shares) upon net share settlement thereof, (ii) set-off, netting and/or payment of an early termination payment or other payment thereunder, in each case, in the Borrower’s Common Stock and (iii) solely to the extent the Borrower does not have the option of satisfying such payment obligations through the delivery of shares of the Borrower’s Common Stock or is otherwise required to satisfy such payment obligations in cash, set-off, netting and/or payment of an early termination payment or other payment thereunder, in each case, in cash (it being understood and agreed that any payment made in cash in connection with Permitted Warrant Transactions by set-off, netting and/or payment of an early termination payment or similar payment thereunder, in each case, after using commercially reasonable efforts to satisfy such obligation (or the portion thereof remaining after giving effect to any netting or set-off against termination or similar payments under an applicable Permitted Bond Hedge Transaction) by delivery of shares of the Borrower’s Common Stock shall be deemed to be a payment obligation required to be satisfied in cash); and</w:t>
      </w:r>
    </w:p>
    <w:p>
      <w:pPr>
        <w:spacing w:after="0" w:line="166" w:lineRule="exact"/>
        <w:rPr>
          <w:rFonts w:ascii="Arial" w:cs="Arial" w:eastAsia="Arial" w:hAnsi="Arial"/>
          <w:sz w:val="19"/>
          <w:szCs w:val="19"/>
          <w:color w:val="auto"/>
        </w:rPr>
      </w:pPr>
    </w:p>
    <w:p>
      <w:pPr>
        <w:jc w:val="both"/>
        <w:ind w:left="3700" w:right="660" w:hanging="322"/>
        <w:spacing w:after="0" w:line="266" w:lineRule="auto"/>
        <w:tabs>
          <w:tab w:leader="none" w:pos="3700" w:val="left"/>
        </w:tabs>
        <w:numPr>
          <w:ilvl w:val="1"/>
          <w:numId w:val="67"/>
        </w:numPr>
        <w:rPr>
          <w:rFonts w:ascii="Arial" w:cs="Arial" w:eastAsia="Arial" w:hAnsi="Arial"/>
          <w:sz w:val="22"/>
          <w:szCs w:val="22"/>
          <w:color w:val="auto"/>
        </w:rPr>
      </w:pPr>
      <w:r>
        <w:rPr>
          <w:rFonts w:ascii="Arial" w:cs="Arial" w:eastAsia="Arial" w:hAnsi="Arial"/>
          <w:sz w:val="22"/>
          <w:szCs w:val="22"/>
          <w:color w:val="auto"/>
        </w:rPr>
        <w:t>Borrower may acquire shares or other Equity Interests or cash or a combination thereof under the terms of any Permitted Bond Hedge Transaction or Permitted Warrant Transaction.</w:t>
      </w:r>
    </w:p>
    <w:p>
      <w:pPr>
        <w:spacing w:after="0" w:line="184" w:lineRule="exact"/>
        <w:rPr>
          <w:rFonts w:ascii="Arial" w:cs="Arial" w:eastAsia="Arial" w:hAnsi="Arial"/>
          <w:sz w:val="22"/>
          <w:szCs w:val="22"/>
          <w:color w:val="auto"/>
        </w:rPr>
      </w:pPr>
    </w:p>
    <w:p>
      <w:pPr>
        <w:jc w:val="both"/>
        <w:ind w:left="2200" w:hanging="320"/>
        <w:spacing w:after="0" w:line="266" w:lineRule="auto"/>
        <w:tabs>
          <w:tab w:leader="none" w:pos="22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Transfers. Except for Permitted Transfers, Borrower shall not, and shall not allow any Subsidiary to, voluntarily or involuntarily transfer, sell, lease, license, lend or in any other manner convey any equitable, beneficial or legal interest in any material portion of its assets.</w:t>
      </w:r>
    </w:p>
    <w:p>
      <w:pPr>
        <w:spacing w:after="0" w:line="184" w:lineRule="exact"/>
        <w:rPr>
          <w:rFonts w:ascii="Arial" w:cs="Arial" w:eastAsia="Arial" w:hAnsi="Arial"/>
          <w:sz w:val="22"/>
          <w:szCs w:val="22"/>
          <w:color w:val="auto"/>
        </w:rPr>
      </w:pPr>
    </w:p>
    <w:p>
      <w:pPr>
        <w:jc w:val="both"/>
        <w:ind w:left="2200" w:hanging="320"/>
        <w:spacing w:after="0" w:line="266" w:lineRule="auto"/>
        <w:tabs>
          <w:tab w:leader="none" w:pos="2200" w:val="left"/>
        </w:tabs>
        <w:numPr>
          <w:ilvl w:val="0"/>
          <w:numId w:val="68"/>
        </w:numPr>
        <w:rPr>
          <w:rFonts w:ascii="Arial" w:cs="Arial" w:eastAsia="Arial" w:hAnsi="Arial"/>
          <w:sz w:val="22"/>
          <w:szCs w:val="22"/>
          <w:color w:val="auto"/>
        </w:rPr>
      </w:pPr>
      <w:r>
        <w:rPr>
          <w:rFonts w:ascii="Arial" w:cs="Arial" w:eastAsia="Arial" w:hAnsi="Arial"/>
          <w:sz w:val="22"/>
          <w:szCs w:val="22"/>
          <w:color w:val="auto"/>
        </w:rPr>
        <w:t>Mergers and Consolidations. Except for Permitted Acquisitions, Borrower shall not merge or consolidate, or permit any of its Subsidiaries to merge or consolidate, with or into any other business organization (other than</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4" w:name="page145"/>
    <w:bookmarkEnd w:id="144"/>
    <w:p>
      <w:pPr>
        <w:ind w:left="2200"/>
        <w:spacing w:after="0" w:line="276" w:lineRule="auto"/>
        <w:rPr>
          <w:sz w:val="20"/>
          <w:szCs w:val="20"/>
          <w:color w:val="auto"/>
        </w:rPr>
      </w:pPr>
      <w:r>
        <w:rPr>
          <w:rFonts w:ascii="Arial" w:cs="Arial" w:eastAsia="Arial" w:hAnsi="Arial"/>
          <w:sz w:val="22"/>
          <w:szCs w:val="22"/>
          <w:color w:val="auto"/>
        </w:rPr>
        <w:t>mergers or consolidations of (a) a Subsidiary which is not a Borrower into another Subsidiary or into Borrower or (b) a Borrower into another Borrower).</w:t>
      </w:r>
    </w:p>
    <w:p>
      <w:pPr>
        <w:spacing w:after="0" w:line="174" w:lineRule="exact"/>
        <w:rPr>
          <w:sz w:val="20"/>
          <w:szCs w:val="20"/>
          <w:color w:val="auto"/>
        </w:rPr>
      </w:pPr>
    </w:p>
    <w:p>
      <w:pPr>
        <w:jc w:val="both"/>
        <w:ind w:left="2200" w:hanging="320"/>
        <w:spacing w:after="0" w:line="272" w:lineRule="auto"/>
        <w:tabs>
          <w:tab w:leader="none" w:pos="2200" w:val="left"/>
        </w:tabs>
        <w:numPr>
          <w:ilvl w:val="0"/>
          <w:numId w:val="69"/>
        </w:numPr>
        <w:rPr>
          <w:rFonts w:ascii="Arial" w:cs="Arial" w:eastAsia="Arial" w:hAnsi="Arial"/>
          <w:sz w:val="21"/>
          <w:szCs w:val="21"/>
          <w:color w:val="auto"/>
        </w:rPr>
      </w:pPr>
      <w:r>
        <w:rPr>
          <w:rFonts w:ascii="Arial" w:cs="Arial" w:eastAsia="Arial" w:hAnsi="Arial"/>
          <w:sz w:val="21"/>
          <w:szCs w:val="21"/>
          <w:color w:val="auto"/>
        </w:rPr>
        <w:t>Taxes. Borrower shall, and shall cause each of its Subsidiaries to, pay when due all material Taxes of any nature whatsoever now or hereafter imposed or assessed against Borrower or the Collateral or upon Borrower’s ownership, possession, use, operation or disposition thereof or upon Borrower’s rents, receipts or earnings arising therefrom. Borrower shall, and shall cause each of its Subsidiaries to, accurately file on or before the due date therefor (taking into account proper extensions) all federal and state income Tax returns and other material Tax returns required to be filed. Notwithstanding the foregoing, Borrower and its Subsidiaries may contest, in good faith and by appropriate proceedings diligently conducted, Taxes for which Borrower and its Subsidiaries maintain adequate reserves in accordance with GAAP.</w:t>
      </w:r>
    </w:p>
    <w:p>
      <w:pPr>
        <w:spacing w:after="0" w:line="182" w:lineRule="exact"/>
        <w:rPr>
          <w:rFonts w:ascii="Arial" w:cs="Arial" w:eastAsia="Arial" w:hAnsi="Arial"/>
          <w:sz w:val="21"/>
          <w:szCs w:val="21"/>
          <w:color w:val="auto"/>
        </w:rPr>
      </w:pPr>
    </w:p>
    <w:p>
      <w:pPr>
        <w:jc w:val="both"/>
        <w:ind w:left="2200" w:hanging="320"/>
        <w:spacing w:after="0" w:line="300" w:lineRule="auto"/>
        <w:tabs>
          <w:tab w:leader="none" w:pos="2200" w:val="left"/>
        </w:tabs>
        <w:numPr>
          <w:ilvl w:val="0"/>
          <w:numId w:val="69"/>
        </w:numPr>
        <w:rPr>
          <w:rFonts w:ascii="Arial" w:cs="Arial" w:eastAsia="Arial" w:hAnsi="Arial"/>
          <w:sz w:val="19"/>
          <w:szCs w:val="19"/>
          <w:color w:val="auto"/>
        </w:rPr>
      </w:pPr>
      <w:r>
        <w:rPr>
          <w:rFonts w:ascii="Arial" w:cs="Arial" w:eastAsia="Arial" w:hAnsi="Arial"/>
          <w:sz w:val="19"/>
          <w:szCs w:val="19"/>
          <w:color w:val="auto"/>
        </w:rPr>
        <w:t>Corporate Changes. Neither Borrower nor any Subsidiary shall change its corporate name, legal form or jurisdiction of formation without twenty (20) days’ prior written notice to Agent. Neither Borrower nor any Subsidiary shall suffer a Change in Control. Neither Borrower nor any Subsidiary shall relocate its chief executive office or its principal place of business unless: (i) it has provided prior written notice to Agent; and (ii) such relocation shall be within the continental United States of America. Neither Borrower nor any Subsidiary shall relocate any item of Collateral (other than (u) sales of Inventory in the ordinary course of business and Permitted Transfers, (v) relocations of Equipment and other property having an aggregate value of up to $250,000 in any fiscal year, (w) relocations of Collateral from a location described on Exhibit B to another location described on Exhibit B, (x) locations of mobile equipment, including phones, tablets and computers with employees and consultants in the ordinary course of business, (y) locations where Collateral may be temporarily located for sales, testing or demonstration purposes in the ordinary course of business, (z) locations where biopharmaceutical compounds and therapeutic materials are located in the ordinary course of business in connection with clinical trials and development arrangements) unless (i) it has provided prompt written notice to Agent, (ii) such relocation is within the continental United States of America and, (iii) if such relocation is to a third party bailee, it has delivered a bailee agreement in form and substance reasonably acceptable to Agent.</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jc w:val="both"/>
        <w:ind w:left="2200" w:hanging="320"/>
        <w:spacing w:after="0" w:line="261" w:lineRule="auto"/>
        <w:tabs>
          <w:tab w:leader="none" w:pos="2200" w:val="left"/>
        </w:tabs>
        <w:numPr>
          <w:ilvl w:val="0"/>
          <w:numId w:val="69"/>
        </w:numPr>
        <w:rPr>
          <w:rFonts w:ascii="Arial" w:cs="Arial" w:eastAsia="Arial" w:hAnsi="Arial"/>
          <w:sz w:val="22"/>
          <w:szCs w:val="22"/>
          <w:color w:val="auto"/>
        </w:rPr>
      </w:pPr>
      <w:r>
        <w:rPr>
          <w:rFonts w:ascii="Arial" w:cs="Arial" w:eastAsia="Arial" w:hAnsi="Arial"/>
          <w:sz w:val="22"/>
          <w:szCs w:val="22"/>
          <w:color w:val="auto"/>
        </w:rPr>
        <w:t>Deposit Accounts. Neither Borrower nor any Subsidiary (other than Excluded Subsidiaries) shall maintain any Deposit Accounts, or accounts holding Investment Property, except with respect to which Agent has an Account Control Agreement; provided that no Account Control Agreement shall be required for Excluded Accounts. No Excluded Subsidiary shall maintain any Deposit Accounts, or accounts holding Investment Property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5" w:name="page146"/>
    <w:bookmarkEnd w:id="145"/>
    <w:p>
      <w:pPr>
        <w:ind w:left="2200" w:right="20"/>
        <w:spacing w:after="0" w:line="276" w:lineRule="auto"/>
        <w:rPr>
          <w:sz w:val="20"/>
          <w:szCs w:val="20"/>
          <w:color w:val="auto"/>
        </w:rPr>
      </w:pPr>
      <w:r>
        <w:rPr>
          <w:rFonts w:ascii="Arial" w:cs="Arial" w:eastAsia="Arial" w:hAnsi="Arial"/>
          <w:sz w:val="22"/>
          <w:szCs w:val="22"/>
          <w:color w:val="auto"/>
        </w:rPr>
        <w:t>holding more than Five Hundred Thousand Dollars ($500,000) in the aggregate for all such Accounts of all Excluded Subsidiaries at any time.</w:t>
      </w:r>
    </w:p>
    <w:p>
      <w:pPr>
        <w:spacing w:after="0" w:line="174" w:lineRule="exact"/>
        <w:rPr>
          <w:sz w:val="20"/>
          <w:szCs w:val="20"/>
          <w:color w:val="auto"/>
        </w:rPr>
      </w:pPr>
    </w:p>
    <w:p>
      <w:pPr>
        <w:jc w:val="both"/>
        <w:ind w:left="2200" w:hanging="320"/>
        <w:spacing w:after="0" w:line="306" w:lineRule="auto"/>
        <w:tabs>
          <w:tab w:leader="none" w:pos="22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Borrower shall notify Agent of each Subsidiary formed or acquired subsequent to the Closing Date and, at within 20 days such formation or acquisition (including, without limitation, pursuant to a division), as applicable, unless otherwise approved in writing by Agent in its sole discretion, shall cause any such Subsidiary (other than Excluded Subsidiaries) to execute and deliver to Agent a Joinder Agreement. If at any time, the Excluded Subsidiary Condition is not satisfied, Borrower shall promptly cause one or more Subsidiaries to execute and deliver to Agent a Joinder Agreement such that, after giving effect to such Joinder Agreement, the Excluded Subsidiary Conditions is satisfied.</w:t>
      </w:r>
    </w:p>
    <w:p>
      <w:pPr>
        <w:spacing w:after="0" w:line="156" w:lineRule="exact"/>
        <w:rPr>
          <w:rFonts w:ascii="Arial" w:cs="Arial" w:eastAsia="Arial" w:hAnsi="Arial"/>
          <w:sz w:val="19"/>
          <w:szCs w:val="19"/>
          <w:color w:val="auto"/>
        </w:rPr>
      </w:pPr>
    </w:p>
    <w:p>
      <w:pPr>
        <w:jc w:val="both"/>
        <w:ind w:left="2200" w:hanging="320"/>
        <w:spacing w:after="0" w:line="327" w:lineRule="auto"/>
        <w:tabs>
          <w:tab w:leader="none" w:pos="2200" w:val="left"/>
        </w:tabs>
        <w:numPr>
          <w:ilvl w:val="0"/>
          <w:numId w:val="70"/>
        </w:numPr>
        <w:rPr>
          <w:rFonts w:ascii="Arial" w:cs="Arial" w:eastAsia="Arial" w:hAnsi="Arial"/>
          <w:sz w:val="19"/>
          <w:szCs w:val="19"/>
          <w:color w:val="auto"/>
        </w:rPr>
      </w:pPr>
      <w:r>
        <w:rPr>
          <w:rFonts w:ascii="Arial" w:cs="Arial" w:eastAsia="Arial" w:hAnsi="Arial"/>
          <w:sz w:val="19"/>
          <w:szCs w:val="19"/>
          <w:color w:val="auto"/>
        </w:rPr>
        <w:t>Excluded Subsidiaries. Borrower shall not permit the Excluded Subsidiaries to: (a) have outstanding liabilities in excess of $750,000 in the aggregate at any time, or (b) own any Intellectual Property material to the business of Borrower or Borrower and its Subsidiaries, taken as a whole.</w:t>
      </w:r>
    </w:p>
    <w:p>
      <w:pPr>
        <w:spacing w:after="0" w:line="132" w:lineRule="exact"/>
        <w:rPr>
          <w:rFonts w:ascii="Arial" w:cs="Arial" w:eastAsia="Arial" w:hAnsi="Arial"/>
          <w:sz w:val="19"/>
          <w:szCs w:val="19"/>
          <w:color w:val="auto"/>
        </w:rPr>
      </w:pPr>
    </w:p>
    <w:p>
      <w:pPr>
        <w:ind w:left="2200" w:right="20" w:hanging="320"/>
        <w:spacing w:after="0" w:line="276" w:lineRule="auto"/>
        <w:tabs>
          <w:tab w:leader="none" w:pos="22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Notification of Event of Default. Borrower shall notify Agent immediately of the occurrence of any Event of Default.</w:t>
      </w:r>
    </w:p>
    <w:p>
      <w:pPr>
        <w:spacing w:after="0" w:line="174" w:lineRule="exact"/>
        <w:rPr>
          <w:rFonts w:ascii="Arial" w:cs="Arial" w:eastAsia="Arial" w:hAnsi="Arial"/>
          <w:sz w:val="22"/>
          <w:szCs w:val="22"/>
          <w:color w:val="auto"/>
        </w:rPr>
      </w:pPr>
    </w:p>
    <w:p>
      <w:pPr>
        <w:ind w:left="2200" w:hanging="320"/>
        <w:spacing w:after="0" w:line="276" w:lineRule="auto"/>
        <w:tabs>
          <w:tab w:leader="none" w:pos="2200" w:val="left"/>
        </w:tabs>
        <w:numPr>
          <w:ilvl w:val="0"/>
          <w:numId w:val="70"/>
        </w:numPr>
        <w:rPr>
          <w:rFonts w:ascii="Arial" w:cs="Arial" w:eastAsia="Arial" w:hAnsi="Arial"/>
          <w:sz w:val="22"/>
          <w:szCs w:val="22"/>
          <w:color w:val="auto"/>
        </w:rPr>
      </w:pPr>
      <w:r>
        <w:rPr>
          <w:rFonts w:ascii="Arial" w:cs="Arial" w:eastAsia="Arial" w:hAnsi="Arial"/>
          <w:sz w:val="22"/>
          <w:szCs w:val="22"/>
          <w:color w:val="auto"/>
        </w:rPr>
        <w:t>Regulatory and Product Notices. The Borrower shall promptly (but in any event within three (3) days) after the receipt or occurrence thereof notify Agent of:</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60" w:type="dxa"/>
            <w:vAlign w:val="bottom"/>
          </w:tcPr>
          <w:p>
            <w:pPr>
              <w:ind w:left="2100"/>
              <w:spacing w:after="0"/>
              <w:rPr>
                <w:sz w:val="20"/>
                <w:szCs w:val="20"/>
                <w:color w:val="auto"/>
              </w:rPr>
            </w:pPr>
            <w:r>
              <w:rPr>
                <w:rFonts w:ascii="Arial" w:cs="Arial" w:eastAsia="Arial" w:hAnsi="Arial"/>
                <w:sz w:val="22"/>
                <w:szCs w:val="22"/>
                <w:color w:val="010000"/>
              </w:rPr>
              <w:t>(i)</w:t>
            </w:r>
          </w:p>
        </w:tc>
        <w:tc>
          <w:tcPr>
            <w:tcW w:w="7980" w:type="dxa"/>
            <w:vAlign w:val="bottom"/>
          </w:tcPr>
          <w:p>
            <w:pPr>
              <w:jc w:val="right"/>
              <w:spacing w:after="0"/>
              <w:rPr>
                <w:sz w:val="20"/>
                <w:szCs w:val="20"/>
                <w:color w:val="auto"/>
              </w:rPr>
            </w:pPr>
            <w:r>
              <w:rPr>
                <w:rFonts w:ascii="Arial" w:cs="Arial" w:eastAsia="Arial" w:hAnsi="Arial"/>
                <w:sz w:val="22"/>
                <w:szCs w:val="22"/>
                <w:color w:val="auto"/>
              </w:rPr>
              <w:t>any written notice received by Borrower or its Subsidiaries alleging potential or</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actual violations of any Public Health Law by Borrower or its Subsidiaries,</w:t>
            </w:r>
          </w:p>
        </w:tc>
      </w:tr>
      <w:tr>
        <w:trPr>
          <w:trHeight w:val="482"/>
        </w:trPr>
        <w:tc>
          <w:tcPr>
            <w:tcW w:w="3260" w:type="dxa"/>
            <w:vAlign w:val="bottom"/>
          </w:tcPr>
          <w:p>
            <w:pPr>
              <w:jc w:val="center"/>
              <w:ind w:left="972"/>
              <w:spacing w:after="0"/>
              <w:rPr>
                <w:sz w:val="20"/>
                <w:szCs w:val="20"/>
                <w:color w:val="auto"/>
              </w:rPr>
            </w:pPr>
            <w:r>
              <w:rPr>
                <w:rFonts w:ascii="Arial" w:cs="Arial" w:eastAsia="Arial" w:hAnsi="Arial"/>
                <w:sz w:val="22"/>
                <w:szCs w:val="22"/>
                <w:color w:val="010000"/>
              </w:rPr>
              <w:t>(ii)</w:t>
            </w:r>
          </w:p>
        </w:tc>
        <w:tc>
          <w:tcPr>
            <w:tcW w:w="7980" w:type="dxa"/>
            <w:vAlign w:val="bottom"/>
          </w:tcPr>
          <w:p>
            <w:pPr>
              <w:jc w:val="right"/>
              <w:spacing w:after="0"/>
              <w:rPr>
                <w:sz w:val="20"/>
                <w:szCs w:val="20"/>
                <w:color w:val="auto"/>
              </w:rPr>
            </w:pPr>
            <w:r>
              <w:rPr>
                <w:rFonts w:ascii="Arial" w:cs="Arial" w:eastAsia="Arial" w:hAnsi="Arial"/>
                <w:sz w:val="22"/>
                <w:szCs w:val="22"/>
                <w:color w:val="auto"/>
              </w:rPr>
              <w:t>any written notice that the FDA (or international equivalent) is limiting,</w:t>
            </w:r>
          </w:p>
        </w:tc>
      </w:tr>
      <w:tr>
        <w:trPr>
          <w:trHeight w:val="274"/>
        </w:trPr>
        <w:tc>
          <w:tcPr>
            <w:tcW w:w="11240" w:type="dxa"/>
            <w:vAlign w:val="bottom"/>
            <w:gridSpan w:val="2"/>
          </w:tcPr>
          <w:p>
            <w:pPr>
              <w:spacing w:after="0"/>
              <w:rPr>
                <w:sz w:val="20"/>
                <w:szCs w:val="20"/>
                <w:color w:val="auto"/>
              </w:rPr>
            </w:pPr>
            <w:r>
              <w:rPr>
                <w:rFonts w:ascii="Arial" w:cs="Arial" w:eastAsia="Arial" w:hAnsi="Arial"/>
                <w:sz w:val="22"/>
                <w:szCs w:val="22"/>
                <w:color w:val="auto"/>
              </w:rPr>
              <w:t>suspending or revoking any Registration (including, but not limited to, by the issuance of a clinical hold),</w:t>
            </w:r>
          </w:p>
        </w:tc>
      </w:tr>
      <w:tr>
        <w:trPr>
          <w:trHeight w:val="482"/>
        </w:trPr>
        <w:tc>
          <w:tcPr>
            <w:tcW w:w="3260" w:type="dxa"/>
            <w:vAlign w:val="bottom"/>
          </w:tcPr>
          <w:p>
            <w:pPr>
              <w:jc w:val="center"/>
              <w:ind w:left="952"/>
              <w:spacing w:after="0"/>
              <w:rPr>
                <w:sz w:val="20"/>
                <w:szCs w:val="20"/>
                <w:color w:val="auto"/>
              </w:rPr>
            </w:pPr>
            <w:r>
              <w:rPr>
                <w:rFonts w:ascii="Arial" w:cs="Arial" w:eastAsia="Arial" w:hAnsi="Arial"/>
                <w:sz w:val="22"/>
                <w:szCs w:val="22"/>
                <w:color w:val="010000"/>
              </w:rPr>
              <w:t>(iii)</w:t>
            </w:r>
          </w:p>
        </w:tc>
        <w:tc>
          <w:tcPr>
            <w:tcW w:w="7980" w:type="dxa"/>
            <w:vAlign w:val="bottom"/>
          </w:tcPr>
          <w:p>
            <w:pPr>
              <w:jc w:val="right"/>
              <w:spacing w:after="0"/>
              <w:rPr>
                <w:sz w:val="20"/>
                <w:szCs w:val="20"/>
                <w:color w:val="auto"/>
              </w:rPr>
            </w:pPr>
            <w:r>
              <w:rPr>
                <w:rFonts w:ascii="Arial" w:cs="Arial" w:eastAsia="Arial" w:hAnsi="Arial"/>
                <w:sz w:val="22"/>
                <w:szCs w:val="22"/>
                <w:color w:val="auto"/>
              </w:rPr>
              <w:t>any written notice that Borrower or its Subsidiaries has become subject to any</w:t>
            </w:r>
          </w:p>
        </w:tc>
      </w:tr>
      <w:tr>
        <w:trPr>
          <w:trHeight w:val="274"/>
        </w:trPr>
        <w:tc>
          <w:tcPr>
            <w:tcW w:w="3260" w:type="dxa"/>
            <w:vAlign w:val="bottom"/>
          </w:tcPr>
          <w:p>
            <w:pPr>
              <w:spacing w:after="0"/>
              <w:rPr>
                <w:sz w:val="20"/>
                <w:szCs w:val="20"/>
                <w:color w:val="auto"/>
              </w:rPr>
            </w:pPr>
            <w:r>
              <w:rPr>
                <w:rFonts w:ascii="Arial" w:cs="Arial" w:eastAsia="Arial" w:hAnsi="Arial"/>
                <w:sz w:val="22"/>
                <w:szCs w:val="22"/>
                <w:color w:val="auto"/>
              </w:rPr>
              <w:t>Regulatory Action,</w:t>
            </w:r>
          </w:p>
        </w:tc>
        <w:tc>
          <w:tcPr>
            <w:tcW w:w="7980" w:type="dxa"/>
            <w:vAlign w:val="bottom"/>
          </w:tcPr>
          <w:p>
            <w:pPr>
              <w:spacing w:after="0"/>
              <w:rPr>
                <w:sz w:val="23"/>
                <w:szCs w:val="23"/>
                <w:color w:val="auto"/>
              </w:rPr>
            </w:pPr>
          </w:p>
        </w:tc>
      </w:tr>
      <w:tr>
        <w:trPr>
          <w:trHeight w:val="486"/>
        </w:trPr>
        <w:tc>
          <w:tcPr>
            <w:tcW w:w="3260" w:type="dxa"/>
            <w:vAlign w:val="bottom"/>
          </w:tcPr>
          <w:p>
            <w:pPr>
              <w:jc w:val="center"/>
              <w:ind w:left="952"/>
              <w:spacing w:after="0"/>
              <w:rPr>
                <w:sz w:val="20"/>
                <w:szCs w:val="20"/>
                <w:color w:val="auto"/>
              </w:rPr>
            </w:pPr>
            <w:r>
              <w:rPr>
                <w:rFonts w:ascii="Arial" w:cs="Arial" w:eastAsia="Arial" w:hAnsi="Arial"/>
                <w:sz w:val="22"/>
                <w:szCs w:val="22"/>
                <w:color w:val="010000"/>
              </w:rPr>
              <w:t>(iv)</w:t>
            </w:r>
          </w:p>
        </w:tc>
        <w:tc>
          <w:tcPr>
            <w:tcW w:w="7980" w:type="dxa"/>
            <w:vAlign w:val="bottom"/>
          </w:tcPr>
          <w:p>
            <w:pPr>
              <w:jc w:val="right"/>
              <w:spacing w:after="0"/>
              <w:rPr>
                <w:sz w:val="20"/>
                <w:szCs w:val="20"/>
                <w:color w:val="auto"/>
              </w:rPr>
            </w:pPr>
            <w:r>
              <w:rPr>
                <w:rFonts w:ascii="Arial" w:cs="Arial" w:eastAsia="Arial" w:hAnsi="Arial"/>
                <w:sz w:val="22"/>
                <w:szCs w:val="22"/>
                <w:color w:val="auto"/>
              </w:rPr>
              <w:t>the exclusion or debarment from any governmental healthcare program or</w:t>
            </w:r>
          </w:p>
        </w:tc>
      </w:tr>
    </w:tbl>
    <w:p>
      <w:pPr>
        <w:jc w:val="both"/>
        <w:spacing w:after="0" w:line="272" w:lineRule="auto"/>
        <w:rPr>
          <w:sz w:val="20"/>
          <w:szCs w:val="20"/>
          <w:color w:val="auto"/>
        </w:rPr>
      </w:pPr>
      <w:r>
        <w:rPr>
          <w:rFonts w:ascii="Arial" w:cs="Arial" w:eastAsia="Arial" w:hAnsi="Arial"/>
          <w:sz w:val="22"/>
          <w:szCs w:val="22"/>
          <w:color w:val="auto"/>
        </w:rPr>
        <w:t>debarment or disqualification by FDA (or international equivalent) of Borrower or its Subsidiaries or its or their authorized officers,</w:t>
      </w:r>
    </w:p>
    <w:p>
      <w:pPr>
        <w:spacing w:after="0" w:line="178" w:lineRule="exact"/>
        <w:rPr>
          <w:sz w:val="20"/>
          <w:szCs w:val="20"/>
          <w:color w:val="auto"/>
        </w:rPr>
      </w:pPr>
    </w:p>
    <w:p>
      <w:pPr>
        <w:jc w:val="both"/>
        <w:ind w:firstLine="2045"/>
        <w:spacing w:after="0" w:line="266" w:lineRule="auto"/>
        <w:rPr>
          <w:sz w:val="20"/>
          <w:szCs w:val="20"/>
          <w:color w:val="auto"/>
        </w:rPr>
      </w:pPr>
      <w:r>
        <w:rPr>
          <w:rFonts w:ascii="Arial" w:cs="Arial" w:eastAsia="Arial" w:hAnsi="Arial"/>
          <w:sz w:val="22"/>
          <w:szCs w:val="22"/>
          <w:color w:val="010000"/>
        </w:rPr>
        <w:t xml:space="preserve">(v) </w:t>
      </w:r>
      <w:r>
        <w:rPr>
          <w:rFonts w:ascii="Arial" w:cs="Arial" w:eastAsia="Arial" w:hAnsi="Arial"/>
          <w:sz w:val="22"/>
          <w:szCs w:val="22"/>
          <w:color w:val="000000"/>
        </w:rPr>
        <w:t>any notice that a Borrower or any Subsidiary, or any of their licensees or</w:t>
      </w:r>
      <w:r>
        <w:rPr>
          <w:rFonts w:ascii="Arial" w:cs="Arial" w:eastAsia="Arial" w:hAnsi="Arial"/>
          <w:sz w:val="22"/>
          <w:szCs w:val="22"/>
          <w:color w:val="010000"/>
        </w:rPr>
        <w:t xml:space="preserve"> </w:t>
      </w:r>
      <w:r>
        <w:rPr>
          <w:rFonts w:ascii="Arial" w:cs="Arial" w:eastAsia="Arial" w:hAnsi="Arial"/>
          <w:sz w:val="22"/>
          <w:szCs w:val="22"/>
          <w:color w:val="000000"/>
        </w:rPr>
        <w:t>sublicensees (including licensees or sublicensees under any Material Agreement), is being investigated or is the subject of any allegation of potential or actual violations of any Federal Health Care Program Laws,</w:t>
      </w:r>
    </w:p>
    <w:p>
      <w:pPr>
        <w:spacing w:after="0" w:line="185" w:lineRule="exact"/>
        <w:rPr>
          <w:sz w:val="20"/>
          <w:szCs w:val="20"/>
          <w:color w:val="auto"/>
        </w:rPr>
      </w:pPr>
    </w:p>
    <w:p>
      <w:pPr>
        <w:jc w:val="both"/>
        <w:ind w:firstLine="1997"/>
        <w:spacing w:after="0" w:line="266" w:lineRule="auto"/>
        <w:rPr>
          <w:sz w:val="20"/>
          <w:szCs w:val="20"/>
          <w:color w:val="auto"/>
        </w:rPr>
      </w:pPr>
      <w:r>
        <w:rPr>
          <w:rFonts w:ascii="Arial" w:cs="Arial" w:eastAsia="Arial" w:hAnsi="Arial"/>
          <w:sz w:val="22"/>
          <w:szCs w:val="22"/>
          <w:color w:val="010000"/>
        </w:rPr>
        <w:t xml:space="preserve">(vi) </w:t>
      </w:r>
      <w:r>
        <w:rPr>
          <w:rFonts w:ascii="Arial" w:cs="Arial" w:eastAsia="Arial" w:hAnsi="Arial"/>
          <w:sz w:val="22"/>
          <w:szCs w:val="22"/>
          <w:color w:val="000000"/>
        </w:rPr>
        <w:t>any written notice that any product of Borrower or its Subsidiaries has been</w:t>
      </w:r>
      <w:r>
        <w:rPr>
          <w:rFonts w:ascii="Arial" w:cs="Arial" w:eastAsia="Arial" w:hAnsi="Arial"/>
          <w:sz w:val="22"/>
          <w:szCs w:val="22"/>
          <w:color w:val="010000"/>
        </w:rPr>
        <w:t xml:space="preserve"> </w:t>
      </w:r>
      <w:r>
        <w:rPr>
          <w:rFonts w:ascii="Arial" w:cs="Arial" w:eastAsia="Arial" w:hAnsi="Arial"/>
          <w:sz w:val="22"/>
          <w:szCs w:val="22"/>
          <w:color w:val="000000"/>
        </w:rPr>
        <w:t>seized, withdrawn, recalled, detained, or subject to a suspension of manufacturing, or the commencement of any proceedings in the United States or any other jurisdiction seeking the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6" w:name="page147"/>
    <w:bookmarkEnd w:id="146"/>
    <w:p>
      <w:pPr>
        <w:ind w:right="20"/>
        <w:spacing w:after="0" w:line="276" w:lineRule="auto"/>
        <w:rPr>
          <w:sz w:val="20"/>
          <w:szCs w:val="20"/>
          <w:color w:val="auto"/>
        </w:rPr>
      </w:pPr>
      <w:r>
        <w:rPr>
          <w:rFonts w:ascii="Arial" w:cs="Arial" w:eastAsia="Arial" w:hAnsi="Arial"/>
          <w:sz w:val="22"/>
          <w:szCs w:val="22"/>
          <w:color w:val="auto"/>
        </w:rPr>
        <w:t>withdrawal, recall, suspension, import detention, or seizure of any Borrower Product are pending or threatened in writing against Borrower or its Subsidiaries,</w:t>
      </w:r>
    </w:p>
    <w:p>
      <w:pPr>
        <w:spacing w:after="0" w:line="174" w:lineRule="exact"/>
        <w:rPr>
          <w:sz w:val="20"/>
          <w:szCs w:val="20"/>
          <w:color w:val="auto"/>
        </w:rPr>
      </w:pPr>
    </w:p>
    <w:p>
      <w:pPr>
        <w:ind w:firstLine="1949"/>
        <w:spacing w:after="0" w:line="276" w:lineRule="auto"/>
        <w:rPr>
          <w:sz w:val="20"/>
          <w:szCs w:val="20"/>
          <w:color w:val="auto"/>
        </w:rPr>
      </w:pPr>
      <w:r>
        <w:rPr>
          <w:rFonts w:ascii="Arial" w:cs="Arial" w:eastAsia="Arial" w:hAnsi="Arial"/>
          <w:sz w:val="22"/>
          <w:szCs w:val="22"/>
          <w:color w:val="010000"/>
        </w:rPr>
        <w:t xml:space="preserve">(vii) </w:t>
      </w:r>
      <w:r>
        <w:rPr>
          <w:rFonts w:ascii="Arial" w:cs="Arial" w:eastAsia="Arial" w:hAnsi="Arial"/>
          <w:sz w:val="22"/>
          <w:szCs w:val="22"/>
          <w:color w:val="000000"/>
        </w:rPr>
        <w:t>changing the scope of marketing authorization or the labeling of the products of</w:t>
      </w:r>
      <w:r>
        <w:rPr>
          <w:rFonts w:ascii="Arial" w:cs="Arial" w:eastAsia="Arial" w:hAnsi="Arial"/>
          <w:sz w:val="22"/>
          <w:szCs w:val="22"/>
          <w:color w:val="010000"/>
        </w:rPr>
        <w:t xml:space="preserve"> </w:t>
      </w:r>
      <w:r>
        <w:rPr>
          <w:rFonts w:ascii="Arial" w:cs="Arial" w:eastAsia="Arial" w:hAnsi="Arial"/>
          <w:sz w:val="22"/>
          <w:szCs w:val="22"/>
          <w:color w:val="000000"/>
        </w:rPr>
        <w:t>Borrower and its Subsidiaries under any such Registration, or</w:t>
      </w:r>
    </w:p>
    <w:p>
      <w:pPr>
        <w:sectPr>
          <w:pgSz w:w="11900" w:h="16838" w:orient="portrait"/>
          <w:cols w:equalWidth="0" w:num="1">
            <w:col w:w="11240"/>
          </w:cols>
          <w:pgMar w:left="320" w:top="361" w:right="339" w:bottom="1440" w:gutter="0" w:footer="0" w:header="0"/>
        </w:sectPr>
      </w:pPr>
    </w:p>
    <w:p>
      <w:pPr>
        <w:spacing w:after="0" w:line="174" w:lineRule="exact"/>
        <w:rPr>
          <w:sz w:val="20"/>
          <w:szCs w:val="20"/>
          <w:color w:val="auto"/>
        </w:rPr>
      </w:pPr>
    </w:p>
    <w:p>
      <w:pPr>
        <w:jc w:val="center"/>
        <w:ind w:left="760"/>
        <w:spacing w:after="0"/>
        <w:rPr>
          <w:sz w:val="20"/>
          <w:szCs w:val="20"/>
          <w:color w:val="auto"/>
        </w:rPr>
      </w:pPr>
      <w:r>
        <w:rPr>
          <w:rFonts w:ascii="Arial" w:cs="Arial" w:eastAsia="Arial" w:hAnsi="Arial"/>
          <w:sz w:val="22"/>
          <w:szCs w:val="22"/>
          <w:color w:val="010000"/>
        </w:rPr>
        <w:t>(viii)</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9"/>
          <w:szCs w:val="19"/>
          <w:color w:val="auto"/>
        </w:rPr>
        <w:t>considering or implementing any other such regulatory action,</w:t>
      </w:r>
    </w:p>
    <w:p>
      <w:pPr>
        <w:spacing w:after="0" w:line="234" w:lineRule="exact"/>
        <w:rPr>
          <w:sz w:val="20"/>
          <w:szCs w:val="20"/>
          <w:color w:val="auto"/>
        </w:rPr>
      </w:pPr>
    </w:p>
    <w:p>
      <w:pPr>
        <w:sectPr>
          <w:pgSz w:w="11900" w:h="16838" w:orient="portrait"/>
          <w:cols w:equalWidth="0" w:num="2">
            <w:col w:w="3480" w:space="720"/>
            <w:col w:w="7040"/>
          </w:cols>
          <w:pgMar w:left="320" w:top="361" w:right="339" w:bottom="1440" w:gutter="0" w:footer="0" w:header="0"/>
          <w:type w:val="continuous"/>
        </w:sectPr>
      </w:pPr>
    </w:p>
    <w:p>
      <w:pPr>
        <w:spacing w:after="0" w:line="33"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except, in each case of (i) through (viii) above, where such action would not reasonably be expected to have, either individually or in the aggregate, Material Regulatory Liabilities.</w:t>
      </w:r>
    </w:p>
    <w:p>
      <w:pPr>
        <w:spacing w:after="0" w:line="174" w:lineRule="exact"/>
        <w:rPr>
          <w:sz w:val="20"/>
          <w:szCs w:val="20"/>
          <w:color w:val="auto"/>
        </w:rPr>
      </w:pPr>
    </w:p>
    <w:p>
      <w:pPr>
        <w:jc w:val="both"/>
        <w:ind w:left="2200" w:hanging="320"/>
        <w:spacing w:after="0" w:line="262" w:lineRule="auto"/>
        <w:tabs>
          <w:tab w:leader="none" w:pos="22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Use of Proceeds. Borrower agrees that the proceeds of the Loans shall be used solely to refinance existing indebtedness, to pay related fees and expenses in connection with this Agreement and for working capital and general corporate purposes. The proceeds of the Loans will not be used in violation of Anti-Corruption Laws or applicable Sanctions.</w:t>
      </w:r>
    </w:p>
    <w:p>
      <w:pPr>
        <w:spacing w:after="0" w:line="191" w:lineRule="exact"/>
        <w:rPr>
          <w:rFonts w:ascii="Arial" w:cs="Arial" w:eastAsia="Arial" w:hAnsi="Arial"/>
          <w:sz w:val="22"/>
          <w:szCs w:val="22"/>
          <w:color w:val="auto"/>
        </w:rPr>
      </w:pPr>
    </w:p>
    <w:p>
      <w:pPr>
        <w:jc w:val="both"/>
        <w:ind w:left="2200" w:hanging="320"/>
        <w:spacing w:after="0" w:line="327" w:lineRule="auto"/>
        <w:tabs>
          <w:tab w:leader="none" w:pos="22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Material Agreement. The Borrower shall not, without the consent of the Agent, materially amend or terminate the Antecip License Agreement. The Borrower shall give prompt written notice to the Agent of entering into a Material Agreement or materially amending or terminating a Material Agreement.</w:t>
      </w:r>
    </w:p>
    <w:p>
      <w:pPr>
        <w:spacing w:after="0" w:line="132" w:lineRule="exact"/>
        <w:rPr>
          <w:rFonts w:ascii="Arial" w:cs="Arial" w:eastAsia="Arial" w:hAnsi="Arial"/>
          <w:sz w:val="19"/>
          <w:szCs w:val="19"/>
          <w:color w:val="auto"/>
        </w:rPr>
      </w:pPr>
    </w:p>
    <w:p>
      <w:pPr>
        <w:ind w:left="2200" w:hanging="320"/>
        <w:spacing w:after="0"/>
        <w:tabs>
          <w:tab w:leader="none" w:pos="2200" w:val="left"/>
        </w:tabs>
        <w:numPr>
          <w:ilvl w:val="0"/>
          <w:numId w:val="71"/>
        </w:numPr>
        <w:rPr>
          <w:rFonts w:ascii="Arial" w:cs="Arial" w:eastAsia="Arial" w:hAnsi="Arial"/>
          <w:sz w:val="22"/>
          <w:szCs w:val="22"/>
          <w:color w:val="auto"/>
        </w:rPr>
      </w:pPr>
      <w:r>
        <w:rPr>
          <w:rFonts w:ascii="Arial" w:cs="Arial" w:eastAsia="Arial" w:hAnsi="Arial"/>
          <w:sz w:val="22"/>
          <w:szCs w:val="22"/>
          <w:color w:val="auto"/>
        </w:rPr>
        <w:t>Compliance with Laws.</w:t>
      </w:r>
    </w:p>
    <w:p>
      <w:pPr>
        <w:spacing w:after="0" w:line="233" w:lineRule="exact"/>
        <w:rPr>
          <w:sz w:val="20"/>
          <w:szCs w:val="20"/>
          <w:color w:val="auto"/>
        </w:rPr>
      </w:pPr>
    </w:p>
    <w:p>
      <w:pPr>
        <w:jc w:val="both"/>
        <w:ind w:left="660" w:firstLine="1497"/>
        <w:spacing w:after="0" w:line="274" w:lineRule="auto"/>
        <w:rPr>
          <w:sz w:val="20"/>
          <w:szCs w:val="20"/>
          <w:color w:val="auto"/>
        </w:rPr>
      </w:pPr>
      <w:r>
        <w:rPr>
          <w:rFonts w:ascii="Arial" w:cs="Arial" w:eastAsia="Arial" w:hAnsi="Arial"/>
          <w:sz w:val="21"/>
          <w:szCs w:val="21"/>
          <w:color w:val="auto"/>
        </w:rPr>
        <w:t>Borrower shall maintain, and shall cause its Subsidiaries to maintain, compliance in all material respects with all applicable laws, rules or regulations (including any law, rule or regulation with respect to the making or brokering of loans or financial accommodations), and shall, or cause its Subsidiaries to, obtain and maintain all required governmental authorizations, approvals, licenses, franchises, permits or registrations reasonably necessary in connection with the conduct of Borrower’s business except where a failure to do so could not reasonably be expected to have a Material Adverse Effect.</w:t>
      </w:r>
    </w:p>
    <w:p>
      <w:pPr>
        <w:spacing w:after="0" w:line="182" w:lineRule="exact"/>
        <w:rPr>
          <w:sz w:val="20"/>
          <w:szCs w:val="20"/>
          <w:color w:val="auto"/>
        </w:rPr>
      </w:pPr>
    </w:p>
    <w:p>
      <w:pPr>
        <w:jc w:val="both"/>
        <w:ind w:left="660" w:firstLine="1497"/>
        <w:spacing w:after="0" w:line="271" w:lineRule="exact"/>
        <w:rPr>
          <w:sz w:val="20"/>
          <w:szCs w:val="20"/>
          <w:color w:val="auto"/>
        </w:rPr>
      </w:pPr>
      <w:r>
        <w:rPr>
          <w:rFonts w:ascii="Arial" w:cs="Arial" w:eastAsia="Arial" w:hAnsi="Arial"/>
          <w:sz w:val="19"/>
          <w:szCs w:val="19"/>
          <w:color w:val="auto"/>
        </w:rPr>
        <w:t>Neither Borrower nor any of its Subsidiaries shall, nor shall Borrower or any of its Subsidiaries permit any Affiliate controlled by Borrower to, directly or indirectly, knowingly enter into any documents, instruments, agreements or contracts with any Person listed on the OFAC Lists. Neither Borrower nor any of its Subsidiaries shall, nor shall Borrower or any of its Subsidiaries, permit any Affiliate controlled by Borrower to, directly or indirectly, (i) conduct any business or engage in any transaction or dealing with any Blocked Person, including, without limitation, the making or receiving of any contribution of funds, goods or services to or for the benefit of any Blocked Person, (ii) deal in, or otherwise engage in any transaction relating to, any property or interests in property blocked pursuant to Executive Order No. 13224 or any similar executive order or other Anti</w:t>
      </w:r>
      <w:r>
        <w:rPr>
          <w:rFonts w:ascii="MS PGothic" w:cs="MS PGothic" w:eastAsia="MS PGothic" w:hAnsi="MS PGothic"/>
          <w:sz w:val="19"/>
          <w:szCs w:val="19"/>
          <w:color w:val="auto"/>
        </w:rPr>
        <w:t>‑</w:t>
      </w:r>
      <w:r>
        <w:rPr>
          <w:rFonts w:ascii="Arial" w:cs="Arial" w:eastAsia="Arial" w:hAnsi="Arial"/>
          <w:sz w:val="19"/>
          <w:szCs w:val="19"/>
          <w:color w:val="auto"/>
        </w:rPr>
        <w:t>Terrorism Law, or (iii) engage in or conspire to engage in any transaction that evades or avoids, or has the purpose of evading or avoiding, or attempts to violate, any of the prohibitions set forth in Executive Order No. 13224 or other Anti</w:t>
      </w:r>
      <w:r>
        <w:rPr>
          <w:rFonts w:ascii="MS PGothic" w:cs="MS PGothic" w:eastAsia="MS PGothic" w:hAnsi="MS PGothic"/>
          <w:sz w:val="19"/>
          <w:szCs w:val="19"/>
          <w:color w:val="auto"/>
        </w:rPr>
        <w:t>‑</w:t>
      </w:r>
      <w:r>
        <w:rPr>
          <w:rFonts w:ascii="Arial" w:cs="Arial" w:eastAsia="Arial" w:hAnsi="Arial"/>
          <w:sz w:val="19"/>
          <w:szCs w:val="19"/>
          <w:color w:val="auto"/>
        </w:rPr>
        <w:t>Terrorism Law.</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type w:val="continuous"/>
        </w:sectPr>
      </w:pPr>
    </w:p>
    <w:bookmarkStart w:id="147" w:name="page148"/>
    <w:bookmarkEnd w:id="147"/>
    <w:p>
      <w:pPr>
        <w:jc w:val="both"/>
        <w:ind w:left="560" w:firstLine="1497"/>
        <w:spacing w:after="0" w:line="261" w:lineRule="auto"/>
        <w:rPr>
          <w:sz w:val="20"/>
          <w:szCs w:val="20"/>
          <w:color w:val="auto"/>
        </w:rPr>
      </w:pPr>
      <w:r>
        <w:rPr>
          <w:rFonts w:ascii="Arial" w:cs="Arial" w:eastAsia="Arial" w:hAnsi="Arial"/>
          <w:sz w:val="22"/>
          <w:szCs w:val="22"/>
          <w:color w:val="auto"/>
        </w:rPr>
        <w:t>Borrower has implemented and maintains in effect policies and procedures designed to ensure compliance by the Borrower, its Subsidiaries and their respective directors, officers, employees and agents with Anti-Corruption Laws and applicable Sanctions, and Borrower, its Subsidiaries and their respective officers and employees and to the knowledge of Borrower its directors and agents, are in compliance with Anti-Corruption Laws and applicable Sanctions in all material respects.</w:t>
      </w:r>
    </w:p>
    <w:p>
      <w:pPr>
        <w:spacing w:after="0" w:line="190" w:lineRule="exact"/>
        <w:rPr>
          <w:sz w:val="20"/>
          <w:szCs w:val="20"/>
          <w:color w:val="auto"/>
        </w:rPr>
      </w:pPr>
    </w:p>
    <w:p>
      <w:pPr>
        <w:jc w:val="both"/>
        <w:ind w:left="560" w:firstLine="1497"/>
        <w:spacing w:after="0" w:line="317" w:lineRule="auto"/>
        <w:rPr>
          <w:sz w:val="20"/>
          <w:szCs w:val="20"/>
          <w:color w:val="auto"/>
        </w:rPr>
      </w:pPr>
      <w:r>
        <w:rPr>
          <w:rFonts w:ascii="Arial" w:cs="Arial" w:eastAsia="Arial" w:hAnsi="Arial"/>
          <w:sz w:val="19"/>
          <w:szCs w:val="19"/>
          <w:color w:val="auto"/>
        </w:rPr>
        <w:t>None of Borrower, any of its Subsidiaries or any of their respective directors, officers or employees, or to the knowledge of Borrower, any agent for Borrower or its Subsidiaries that will act in any capacity in connection with or benefit from the credit facility established hereby, is a Sanctioned Person. No Loan, use of proceeds or other transaction contemplated by this Agreement will violate Anti-Corruption Laws or applicable Sanctions.</w:t>
      </w:r>
    </w:p>
    <w:p>
      <w:pPr>
        <w:spacing w:after="0" w:line="142" w:lineRule="exact"/>
        <w:rPr>
          <w:sz w:val="20"/>
          <w:szCs w:val="20"/>
          <w:color w:val="auto"/>
        </w:rPr>
      </w:pPr>
    </w:p>
    <w:p>
      <w:pPr>
        <w:ind w:left="2200" w:hanging="320"/>
        <w:spacing w:after="0"/>
        <w:tabs>
          <w:tab w:leader="none" w:pos="22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Financial Covenants.</w:t>
      </w:r>
    </w:p>
    <w:p>
      <w:pPr>
        <w:spacing w:after="0" w:line="233" w:lineRule="exact"/>
        <w:rPr>
          <w:rFonts w:ascii="Arial" w:cs="Arial" w:eastAsia="Arial" w:hAnsi="Arial"/>
          <w:sz w:val="22"/>
          <w:szCs w:val="22"/>
          <w:color w:val="auto"/>
        </w:rPr>
      </w:pPr>
    </w:p>
    <w:p>
      <w:pPr>
        <w:ind w:left="2980" w:hanging="278"/>
        <w:spacing w:after="0"/>
        <w:tabs>
          <w:tab w:leader="none" w:pos="29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Minimum Cash.</w:t>
      </w:r>
    </w:p>
    <w:p>
      <w:pPr>
        <w:spacing w:after="0" w:line="233" w:lineRule="exact"/>
        <w:rPr>
          <w:rFonts w:ascii="Arial" w:cs="Arial" w:eastAsia="Arial" w:hAnsi="Arial"/>
          <w:sz w:val="22"/>
          <w:szCs w:val="22"/>
          <w:color w:val="auto"/>
        </w:rPr>
      </w:pPr>
    </w:p>
    <w:p>
      <w:pPr>
        <w:jc w:val="both"/>
        <w:ind w:left="3700" w:hanging="322"/>
        <w:spacing w:after="0" w:line="284" w:lineRule="auto"/>
        <w:tabs>
          <w:tab w:leader="none" w:pos="3700" w:val="left"/>
        </w:tabs>
        <w:numPr>
          <w:ilvl w:val="2"/>
          <w:numId w:val="72"/>
        </w:numPr>
        <w:rPr>
          <w:rFonts w:ascii="Arial" w:cs="Arial" w:eastAsia="Arial" w:hAnsi="Arial"/>
          <w:sz w:val="21"/>
          <w:szCs w:val="21"/>
          <w:color w:val="auto"/>
        </w:rPr>
      </w:pPr>
      <w:r>
        <w:rPr>
          <w:rFonts w:ascii="Arial" w:cs="Arial" w:eastAsia="Arial" w:hAnsi="Arial"/>
          <w:sz w:val="21"/>
          <w:szCs w:val="21"/>
          <w:color w:val="auto"/>
        </w:rPr>
        <w:t xml:space="preserve">If the Initial Minimum Cash Test Date has occurred, Borrower shall thereafter maintain Qualified Cash in an amount greater than or equal to the sum of Fifteen Million Dollars ($15,000,000) </w:t>
      </w:r>
      <w:r>
        <w:rPr>
          <w:rFonts w:ascii="Arial" w:cs="Arial" w:eastAsia="Arial" w:hAnsi="Arial"/>
          <w:sz w:val="21"/>
          <w:szCs w:val="21"/>
          <w:i w:val="1"/>
          <w:iCs w:val="1"/>
          <w:color w:val="auto"/>
        </w:rPr>
        <w:t>plus</w:t>
      </w:r>
      <w:r>
        <w:rPr>
          <w:rFonts w:ascii="Arial" w:cs="Arial" w:eastAsia="Arial" w:hAnsi="Arial"/>
          <w:sz w:val="21"/>
          <w:szCs w:val="21"/>
          <w:color w:val="auto"/>
        </w:rPr>
        <w:t xml:space="preserve"> the Qualified Cash A/P Amount at all times.</w:t>
      </w:r>
    </w:p>
    <w:p>
      <w:pPr>
        <w:spacing w:after="0" w:line="168" w:lineRule="exact"/>
        <w:rPr>
          <w:rFonts w:ascii="Arial" w:cs="Arial" w:eastAsia="Arial" w:hAnsi="Arial"/>
          <w:sz w:val="21"/>
          <w:szCs w:val="21"/>
          <w:color w:val="auto"/>
        </w:rPr>
      </w:pPr>
    </w:p>
    <w:p>
      <w:pPr>
        <w:jc w:val="both"/>
        <w:ind w:left="3700" w:hanging="322"/>
        <w:spacing w:after="0" w:line="261" w:lineRule="auto"/>
        <w:tabs>
          <w:tab w:leader="none" w:pos="3700" w:val="left"/>
        </w:tabs>
        <w:numPr>
          <w:ilvl w:val="2"/>
          <w:numId w:val="72"/>
        </w:numPr>
        <w:rPr>
          <w:rFonts w:ascii="Arial" w:cs="Arial" w:eastAsia="Arial" w:hAnsi="Arial"/>
          <w:sz w:val="22"/>
          <w:szCs w:val="22"/>
          <w:color w:val="auto"/>
        </w:rPr>
      </w:pPr>
      <w:r>
        <w:rPr>
          <w:rFonts w:ascii="Arial" w:cs="Arial" w:eastAsia="Arial" w:hAnsi="Arial"/>
          <w:sz w:val="22"/>
          <w:szCs w:val="22"/>
          <w:color w:val="auto"/>
        </w:rPr>
        <w:t>If Borrower makes any payment in respect to the last sentence of the first paragraph of Section 7.7 or makes any other cash payment in respect of Permitted Convertible Debt, subject to satisfaction of the Redemption Conditions, Borrower shall, at all times thereafter, maintain Qualified Cash in the amount required by the defined term “Redemption Conditions”.</w:t>
      </w:r>
    </w:p>
    <w:p>
      <w:pPr>
        <w:spacing w:after="0" w:line="190" w:lineRule="exact"/>
        <w:rPr>
          <w:rFonts w:ascii="Arial" w:cs="Arial" w:eastAsia="Arial" w:hAnsi="Arial"/>
          <w:sz w:val="22"/>
          <w:szCs w:val="22"/>
          <w:color w:val="auto"/>
        </w:rPr>
      </w:pPr>
    </w:p>
    <w:p>
      <w:pPr>
        <w:jc w:val="both"/>
        <w:ind w:left="2980" w:hanging="338"/>
        <w:spacing w:after="0" w:line="284" w:lineRule="auto"/>
        <w:tabs>
          <w:tab w:leader="none" w:pos="2980" w:val="left"/>
        </w:tabs>
        <w:numPr>
          <w:ilvl w:val="1"/>
          <w:numId w:val="72"/>
        </w:numPr>
        <w:rPr>
          <w:rFonts w:ascii="Arial" w:cs="Arial" w:eastAsia="Arial" w:hAnsi="Arial"/>
          <w:sz w:val="21"/>
          <w:szCs w:val="21"/>
          <w:color w:val="auto"/>
        </w:rPr>
      </w:pPr>
      <w:r>
        <w:rPr>
          <w:rFonts w:ascii="Arial" w:cs="Arial" w:eastAsia="Arial" w:hAnsi="Arial"/>
          <w:sz w:val="21"/>
          <w:szCs w:val="21"/>
          <w:color w:val="auto"/>
        </w:rPr>
        <w:t>Performance Covenant. If the Initial Performance Covenant Test Date has occurred, Borrower shall thereafter satisfy either of (i) Performance Covenant A or Performance Covenant B, tested at all times, or (ii) Performance Covenant C, tested quarterly.</w:t>
      </w:r>
    </w:p>
    <w:p>
      <w:pPr>
        <w:spacing w:after="0" w:line="168" w:lineRule="exact"/>
        <w:rPr>
          <w:rFonts w:ascii="Arial" w:cs="Arial" w:eastAsia="Arial" w:hAnsi="Arial"/>
          <w:sz w:val="21"/>
          <w:szCs w:val="21"/>
          <w:color w:val="auto"/>
        </w:rPr>
      </w:pPr>
    </w:p>
    <w:p>
      <w:pPr>
        <w:jc w:val="both"/>
        <w:ind w:left="2200" w:hanging="320"/>
        <w:spacing w:after="0" w:line="258" w:lineRule="auto"/>
        <w:tabs>
          <w:tab w:leader="none" w:pos="220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Intellectual Property. Each Borrower shall (i) protect, defend and maintain the validity and enforceability of its Intellectual Property that is material to the conduct of Borrower’s business; (ii) promptly advise Agent in writing of material infringements of its Intellectual Property; and (iii) not allow any Intellectual Property material to Borrowers’ business to be abandoned, forfeited or dedicated to the public without Agent’s written consent. If a Borrower (a) obtains any Patent, registered Trademark, registered Copyright, registered mask work, or any pending application for any of the foregoing, whether as owner, licensee or otherwise, or (b) applies for any Patent or the registration of any Trademark, then such Borrower shall concurrently with the delivery of the next Compliance Certificate required</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8" w:name="page149"/>
    <w:bookmarkEnd w:id="148"/>
    <w:p>
      <w:pPr>
        <w:jc w:val="both"/>
        <w:ind w:left="2200"/>
        <w:spacing w:after="0" w:line="299" w:lineRule="auto"/>
        <w:rPr>
          <w:sz w:val="20"/>
          <w:szCs w:val="20"/>
          <w:color w:val="auto"/>
        </w:rPr>
      </w:pPr>
      <w:r>
        <w:rPr>
          <w:rFonts w:ascii="Arial" w:cs="Arial" w:eastAsia="Arial" w:hAnsi="Arial"/>
          <w:sz w:val="19"/>
          <w:szCs w:val="19"/>
          <w:color w:val="auto"/>
        </w:rPr>
        <w:t>under Section 7.1(d), provide written notice thereof to Agent and shall execute such intellectual property security agreements and other documents and take such other actions as Agent may request in its good faith business judgment to perfect and maintain a first priority perfected security interest in favor of Agent in such property. If a Borrower decides to register any Copyrights or mask works in the United States Copyright Office, such Borrower shall: (x) provide Agent with at least fifteen (15) days prior written notice of such Borrower’s intent to register such Copyrights or mask works together with a copy of the application it intends to file with the United States Copyright Office (excluding exhibits thereto); (y) execute an intellectual property security agreement and such other documents and take such other actions as Agent may request in its good faith business judgment to perfect and maintain a first priority perfected security interest in favor of Agent in the Copyrights or mask works intended to be registered with the United States Copyright Office; and (z) record such intellectual property security agreement with the United States Copyright Office contemporaneously with filing the Copyright or mask work application(s) with the United States Copyright Office. Except as set forth in the most recently delivered Compliance Certificate in accordance with Section 7.1(d), provide to Agent (x) copies of all applications that it files for Patents or for the registration of Trademarks, Copyrights or mask works, or (y) evidence that it has acquired any registered Trademarks, in each case, together with evidence of the recording of the intellectual property security agreement required for Agent to perfect and maintain a first priority perfected security interest in such property. Borrower shall, together with the delivery of the next Compliance Certificate referred to in Section 7.01(d), provide written notice to Agent of entering into or becoming bound by any Restricted License (other than over-the-counter software that is commercially available to the public). Borrower shall use its commercially reasonable efforts take such steps as Agent reasonably requests to obtain the consent of, or waiver by, any person whose consent or waiver is necessary for (1) any Restricted License to be deemed “Collateral” and for Agent to have a security interest in it that might otherwise be restricted or prohibited by law or by the terms of any such Restricted License, whether now existing or entered into in the future, and (2) Agent to have the ability in the event of a liquidation of any Collateral to dispose of such Collateral in accordance with Agent’s rights and remedies under this Agreement and the other Loan Documents.</w:t>
      </w:r>
    </w:p>
    <w:p>
      <w:pPr>
        <w:spacing w:after="0" w:line="200" w:lineRule="exact"/>
        <w:rPr>
          <w:sz w:val="20"/>
          <w:szCs w:val="20"/>
          <w:color w:val="auto"/>
        </w:rPr>
      </w:pPr>
    </w:p>
    <w:p>
      <w:pPr>
        <w:spacing w:after="0" w:line="229" w:lineRule="exact"/>
        <w:rPr>
          <w:sz w:val="20"/>
          <w:szCs w:val="20"/>
          <w:color w:val="auto"/>
        </w:rPr>
      </w:pPr>
    </w:p>
    <w:p>
      <w:pPr>
        <w:jc w:val="both"/>
        <w:ind w:left="2200" w:hanging="320"/>
        <w:spacing w:after="0" w:line="274" w:lineRule="auto"/>
        <w:tabs>
          <w:tab w:leader="none" w:pos="2200" w:val="left"/>
        </w:tabs>
        <w:numPr>
          <w:ilvl w:val="0"/>
          <w:numId w:val="73"/>
        </w:numPr>
        <w:rPr>
          <w:rFonts w:ascii="Arial" w:cs="Arial" w:eastAsia="Arial" w:hAnsi="Arial"/>
          <w:sz w:val="21"/>
          <w:szCs w:val="21"/>
          <w:color w:val="auto"/>
        </w:rPr>
      </w:pPr>
      <w:r>
        <w:rPr>
          <w:rFonts w:ascii="Arial" w:cs="Arial" w:eastAsia="Arial" w:hAnsi="Arial"/>
          <w:sz w:val="21"/>
          <w:szCs w:val="21"/>
          <w:color w:val="auto"/>
        </w:rPr>
        <w:t>Transactions with Affiliates. Borrower shall not and shall not permit any Subsidiary to, directly or indirectly, enter into or permit to exist any transaction of any kind with any Affiliate of Borrower or such Subsidiary except for (a) transactions on terms that are not less favorable to Borrower or such Subsidiary, as the case may be, than those that might be obtained in an arm’s length transaction from a Person who is not an Affiliate of Borrower or such Subsidiary, (b) transactions between or among the Borrowers not involving any other Affiliate, (c) any Permitted Investment,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9" w:name="page150"/>
    <w:bookmarkEnd w:id="149"/>
    <w:p>
      <w:pPr>
        <w:jc w:val="both"/>
        <w:ind w:left="2200" w:firstLine="4"/>
        <w:spacing w:after="0" w:line="306" w:lineRule="auto"/>
        <w:tabs>
          <w:tab w:leader="none" w:pos="2558" w:val="left"/>
        </w:tabs>
        <w:numPr>
          <w:ilvl w:val="2"/>
          <w:numId w:val="74"/>
        </w:numPr>
        <w:rPr>
          <w:rFonts w:ascii="Arial" w:cs="Arial" w:eastAsia="Arial" w:hAnsi="Arial"/>
          <w:sz w:val="19"/>
          <w:szCs w:val="19"/>
          <w:color w:val="auto"/>
        </w:rPr>
      </w:pPr>
      <w:r>
        <w:rPr>
          <w:rFonts w:ascii="Arial" w:cs="Arial" w:eastAsia="Arial" w:hAnsi="Arial"/>
          <w:sz w:val="19"/>
          <w:szCs w:val="19"/>
          <w:color w:val="auto"/>
        </w:rPr>
        <w:t>any Permitted Indebtedness, (e) any Distributions permitted by Section 7.7, (f) any Permitted Transfers, (g) to the extend approved by the Borrower’s board of directors, the payment of reasonable fees to directors of Borrower who are not employees of Borrower or any Subsidiary, and compensation and employee benefit arrangements paid to, and indemnities provided for the benefit of, directors, officers or employees of Borrower or its Subsidiaries in the ordinary course of business, and (h) any contribution to the capital of Borrower or any purchase of Equity Interests of Borrower, in each case solely to the extent such transaction does not cause a Change in Control to occur.</w:t>
      </w:r>
    </w:p>
    <w:p>
      <w:pPr>
        <w:spacing w:after="0" w:line="156" w:lineRule="exact"/>
        <w:rPr>
          <w:rFonts w:ascii="Arial" w:cs="Arial" w:eastAsia="Arial" w:hAnsi="Arial"/>
          <w:sz w:val="19"/>
          <w:szCs w:val="19"/>
          <w:color w:val="auto"/>
        </w:rPr>
      </w:pPr>
    </w:p>
    <w:p>
      <w:pPr>
        <w:ind w:left="1460" w:hanging="329"/>
        <w:spacing w:after="0"/>
        <w:tabs>
          <w:tab w:leader="none" w:pos="14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RIGHT TO invest</w:t>
      </w:r>
    </w:p>
    <w:p>
      <w:pPr>
        <w:spacing w:after="0" w:line="233" w:lineRule="exact"/>
        <w:rPr>
          <w:rFonts w:ascii="Arial" w:cs="Arial" w:eastAsia="Arial" w:hAnsi="Arial"/>
          <w:sz w:val="22"/>
          <w:szCs w:val="22"/>
          <w:color w:val="auto"/>
        </w:rPr>
      </w:pPr>
    </w:p>
    <w:p>
      <w:pPr>
        <w:jc w:val="both"/>
        <w:ind w:left="2200" w:hanging="320"/>
        <w:spacing w:after="0" w:line="300" w:lineRule="auto"/>
        <w:tabs>
          <w:tab w:leader="none" w:pos="2200" w:val="left"/>
        </w:tabs>
        <w:numPr>
          <w:ilvl w:val="1"/>
          <w:numId w:val="75"/>
        </w:numPr>
        <w:rPr>
          <w:rFonts w:ascii="Arial" w:cs="Arial" w:eastAsia="Arial" w:hAnsi="Arial"/>
          <w:sz w:val="19"/>
          <w:szCs w:val="19"/>
          <w:color w:val="auto"/>
        </w:rPr>
      </w:pPr>
      <w:r>
        <w:rPr>
          <w:rFonts w:ascii="Arial" w:cs="Arial" w:eastAsia="Arial" w:hAnsi="Arial"/>
          <w:sz w:val="19"/>
          <w:szCs w:val="19"/>
          <w:color w:val="auto"/>
        </w:rPr>
        <w:t>Borrower shall provide (or in the case of a Subsequent Financing that is a registered offering, the Borrower shall use its commercially reasonable efforts to provide) the Lenders or their permitted assignees or nominees, designated as such in writing to Borrower, the opportunity, in their discretion, to participate in each Subsequent Financing in an amount of up to Five Million Dollars ($5,000,000), in the aggregate for all Lenders and their permitted assignees or nominees, in such Subsequent Financing on substantially the same terms, conditions and pricing afforded to other investors participating in such Subsequent Financing. If the Lenders (or their permitted assignees or nominees) elect to participate in any Subsequent Financing, the Lenders (or their permitted assignees or nominees, as applicable) participating in such Subsequent Financing agree to become a party to the agreements executed by the other investors participating in such Subsequent Financing, including with respect to obligations of confidentiality or as may otherwise be required by the Securities Act of 1933, as amended, and the rules and regulations promulgated by the Securities and Exchange Commission thereunder. Borrower, or an investment bank or underwriter engaged on Borrower’s behalf, shall provide the Lenders or their permitted assignees or nominees at least three (3) Business Days’ written notice of any planned Subsequent Financing and the opportunity to exercise the right to invest under this Section 8.1 with respect to any such Subsequent Financing. This Section 8.1, and all rights and obligations hereunder, shall terminate upon the earliest to occur of (a) termination of this Agreement or (b) such time that the Lenders or their permitted assignees or nominees have purchased $5,000,000 of Borrower’s Equity Interests in the aggregate in Subsequent Financings.</w:t>
      </w:r>
    </w:p>
    <w:p>
      <w:pPr>
        <w:spacing w:after="0" w:line="200" w:lineRule="exact"/>
        <w:rPr>
          <w:rFonts w:ascii="Arial" w:cs="Arial" w:eastAsia="Arial" w:hAnsi="Arial"/>
          <w:sz w:val="19"/>
          <w:szCs w:val="19"/>
          <w:color w:val="auto"/>
        </w:rPr>
      </w:pPr>
    </w:p>
    <w:p>
      <w:pPr>
        <w:spacing w:after="0" w:line="230" w:lineRule="exact"/>
        <w:rPr>
          <w:rFonts w:ascii="Arial" w:cs="Arial" w:eastAsia="Arial" w:hAnsi="Arial"/>
          <w:sz w:val="19"/>
          <w:szCs w:val="19"/>
          <w:color w:val="auto"/>
        </w:rPr>
      </w:pPr>
    </w:p>
    <w:p>
      <w:pPr>
        <w:ind w:left="1460" w:hanging="329"/>
        <w:spacing w:after="0"/>
        <w:tabs>
          <w:tab w:leader="none" w:pos="1460" w:val="left"/>
        </w:tabs>
        <w:numPr>
          <w:ilvl w:val="0"/>
          <w:numId w:val="75"/>
        </w:numPr>
        <w:rPr>
          <w:rFonts w:ascii="Arial" w:cs="Arial" w:eastAsia="Arial" w:hAnsi="Arial"/>
          <w:sz w:val="22"/>
          <w:szCs w:val="22"/>
          <w:color w:val="auto"/>
        </w:rPr>
      </w:pPr>
      <w:r>
        <w:rPr>
          <w:rFonts w:ascii="Arial" w:cs="Arial" w:eastAsia="Arial" w:hAnsi="Arial"/>
          <w:sz w:val="22"/>
          <w:szCs w:val="22"/>
          <w:color w:val="auto"/>
        </w:rPr>
        <w:t>EVENTS OF DEFAULT</w:t>
      </w:r>
    </w:p>
    <w:p>
      <w:pPr>
        <w:spacing w:after="0" w:line="23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The occurrence of any one or more of the following events shall be an Event of Default:</w:t>
      </w:r>
    </w:p>
    <w:p>
      <w:pPr>
        <w:spacing w:after="0" w:line="233" w:lineRule="exact"/>
        <w:rPr>
          <w:sz w:val="20"/>
          <w:szCs w:val="20"/>
          <w:color w:val="auto"/>
        </w:rPr>
      </w:pPr>
    </w:p>
    <w:p>
      <w:pPr>
        <w:ind w:left="2200" w:right="20" w:hanging="320"/>
        <w:spacing w:after="0" w:line="276" w:lineRule="auto"/>
        <w:tabs>
          <w:tab w:leader="none" w:pos="2200" w:val="left"/>
        </w:tabs>
        <w:numPr>
          <w:ilvl w:val="0"/>
          <w:numId w:val="76"/>
        </w:numPr>
        <w:rPr>
          <w:rFonts w:ascii="Arial" w:cs="Arial" w:eastAsia="Arial" w:hAnsi="Arial"/>
          <w:sz w:val="22"/>
          <w:szCs w:val="22"/>
          <w:color w:val="auto"/>
        </w:rPr>
      </w:pPr>
      <w:r>
        <w:rPr>
          <w:rFonts w:ascii="Arial" w:cs="Arial" w:eastAsia="Arial" w:hAnsi="Arial"/>
          <w:sz w:val="22"/>
          <w:szCs w:val="22"/>
          <w:color w:val="auto"/>
        </w:rPr>
        <w:t>Payments. Borrower fails to pay any amount due under this Agreement or any of the other Loan Documents (other than the Warrant) on the due date;</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0" w:name="page151"/>
    <w:bookmarkEnd w:id="150"/>
    <w:p>
      <w:pPr>
        <w:jc w:val="both"/>
        <w:ind w:left="2200"/>
        <w:spacing w:after="0" w:line="262" w:lineRule="auto"/>
        <w:rPr>
          <w:sz w:val="20"/>
          <w:szCs w:val="20"/>
          <w:color w:val="auto"/>
        </w:rPr>
      </w:pPr>
      <w:r>
        <w:rPr>
          <w:rFonts w:ascii="Arial" w:cs="Arial" w:eastAsia="Arial" w:hAnsi="Arial"/>
          <w:sz w:val="22"/>
          <w:szCs w:val="22"/>
          <w:color w:val="auto"/>
        </w:rPr>
        <w:t>provided, however, that an Event of Default shall not occur on account of a failure to pay due solely to an administrative or operational error of Agent or the Lenders or Borrower’s bank if Borrower had the funds to make the payment when due and makes the payment within three (3) Business Days following Borrower’s knowledge of such failure to pay; or</w:t>
      </w:r>
    </w:p>
    <w:p>
      <w:pPr>
        <w:spacing w:after="0" w:line="191" w:lineRule="exact"/>
        <w:rPr>
          <w:sz w:val="20"/>
          <w:szCs w:val="20"/>
          <w:color w:val="auto"/>
        </w:rPr>
      </w:pPr>
    </w:p>
    <w:p>
      <w:pPr>
        <w:jc w:val="both"/>
        <w:ind w:left="2200" w:hanging="320"/>
        <w:spacing w:after="0" w:line="304" w:lineRule="auto"/>
        <w:tabs>
          <w:tab w:leader="none" w:pos="2200" w:val="left"/>
        </w:tabs>
        <w:numPr>
          <w:ilvl w:val="0"/>
          <w:numId w:val="77"/>
        </w:numPr>
        <w:rPr>
          <w:rFonts w:ascii="Arial" w:cs="Arial" w:eastAsia="Arial" w:hAnsi="Arial"/>
          <w:sz w:val="19"/>
          <w:szCs w:val="19"/>
          <w:color w:val="auto"/>
        </w:rPr>
      </w:pPr>
      <w:r>
        <w:rPr>
          <w:rFonts w:ascii="Arial" w:cs="Arial" w:eastAsia="Arial" w:hAnsi="Arial"/>
          <w:sz w:val="19"/>
          <w:szCs w:val="19"/>
          <w:color w:val="auto"/>
        </w:rPr>
        <w:t>Covenants. Borrower breaches or defaults in the performance of any covenant or Secured Obligation under this Agreement, or any of the other Loan Documents or any other agreement among Borrower, Agent and the Lenders, and (a) with respect to a default under any covenant under this Agreement (other than under Sections 4.4, 6, 7.4, 7.5, 7.6, 7.7, 7.8, 7.9, 7.15, 7.17, 7.18, 7.19, 7.20. 7.21 and 7.22), any other Loan Document, or any other agreement among Borrower, Agent and the Lenders, such default continues for more than ten (10) days after the earlier of the date on which (i) Agent or the Lenders has given notice of such default to Borrower and (ii) Borrower has actual knowledge of such default or (b) with respect to a default under any of Sections 4.4, 6, 7.4, 7.5, 7.6, 7.7, 7.8, 7.9, 7.15, 7.17, 7.18, 7.19, 7.20. 7.21 and 7.22, the occurrence of such default; or</w:t>
      </w:r>
    </w:p>
    <w:p>
      <w:pPr>
        <w:spacing w:after="0" w:line="155" w:lineRule="exact"/>
        <w:rPr>
          <w:rFonts w:ascii="Arial" w:cs="Arial" w:eastAsia="Arial" w:hAnsi="Arial"/>
          <w:sz w:val="19"/>
          <w:szCs w:val="19"/>
          <w:color w:val="auto"/>
        </w:rPr>
      </w:pPr>
    </w:p>
    <w:p>
      <w:pPr>
        <w:jc w:val="both"/>
        <w:ind w:left="2200" w:hanging="320"/>
        <w:spacing w:after="0" w:line="260" w:lineRule="auto"/>
        <w:tabs>
          <w:tab w:leader="none" w:pos="22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Material Adverse Effect. A circumstance has occurred that could reasonably be expected to have a Material Adverse Effect; provided that, solely for purposes of this Section 9.3, the occurrence of any of the following, in and of itself, shall not constitute a Material Adverse Effect: (a) failure to achieve the AXS-05 Milestone, (b) failure to achieve the AXS-07 Milestone, or (c) adverse results or delays in any nonclinical or clinical trial, (d) the denial, delay or limitation of approval of the FDA with respect to any drug.</w:t>
      </w:r>
    </w:p>
    <w:p>
      <w:pPr>
        <w:spacing w:after="0" w:line="191" w:lineRule="exact"/>
        <w:rPr>
          <w:rFonts w:ascii="Arial" w:cs="Arial" w:eastAsia="Arial" w:hAnsi="Arial"/>
          <w:sz w:val="22"/>
          <w:szCs w:val="22"/>
          <w:color w:val="auto"/>
        </w:rPr>
      </w:pPr>
    </w:p>
    <w:p>
      <w:pPr>
        <w:jc w:val="both"/>
        <w:ind w:left="2200" w:hanging="320"/>
        <w:spacing w:after="0" w:line="266" w:lineRule="auto"/>
        <w:tabs>
          <w:tab w:leader="none" w:pos="22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Representations. Any representation or warranty made by Borrower in any Loan Document or in the Warrant shall have been false or misleading in any material respect when made or when deemed made; or</w:t>
      </w:r>
    </w:p>
    <w:p>
      <w:pPr>
        <w:spacing w:after="0" w:line="184" w:lineRule="exact"/>
        <w:rPr>
          <w:rFonts w:ascii="Arial" w:cs="Arial" w:eastAsia="Arial" w:hAnsi="Arial"/>
          <w:sz w:val="22"/>
          <w:szCs w:val="22"/>
          <w:color w:val="auto"/>
        </w:rPr>
      </w:pPr>
    </w:p>
    <w:p>
      <w:pPr>
        <w:jc w:val="both"/>
        <w:ind w:left="2200" w:hanging="320"/>
        <w:spacing w:after="0" w:line="271" w:lineRule="auto"/>
        <w:tabs>
          <w:tab w:leader="none" w:pos="2200" w:val="left"/>
        </w:tabs>
        <w:numPr>
          <w:ilvl w:val="0"/>
          <w:numId w:val="77"/>
        </w:numPr>
        <w:rPr>
          <w:rFonts w:ascii="Arial" w:cs="Arial" w:eastAsia="Arial" w:hAnsi="Arial"/>
          <w:sz w:val="21"/>
          <w:szCs w:val="21"/>
          <w:color w:val="auto"/>
        </w:rPr>
      </w:pPr>
      <w:r>
        <w:rPr>
          <w:rFonts w:ascii="Arial" w:cs="Arial" w:eastAsia="Arial" w:hAnsi="Arial"/>
          <w:sz w:val="21"/>
          <w:szCs w:val="21"/>
          <w:color w:val="auto"/>
        </w:rPr>
        <w:t>Insolvency. Borrower (A) (i) shall make an assignment for the benefit of creditors; or (ii) shall be unable to pay its debts as they become due, or be unable to pay or perform under the Loan Documents, or shall become insolvent; or (iii) shall file a voluntary petition in bankruptcy; or (iv) shall file any petition, answer, or document seeking for itself any reorganization, arrangement, composition, readjustment, liquidation, dissolution or similar relief under any present or future statute, law or regulation pertinent to such circumstances; or (v) shall seek or consent to or acquiesce in the appointment of any trustee, receiver, or liquidator of Borrower or of all or any substantial part (i.e., 33-1/3% or more) of the assets or property of Borrower; or (vi) shall cease its operations of its business as its business has normally been conducted, or terminate substantially all of its employees; or (vii) Borrower or its directors or majority stockholders shall take any action initiating any of the foregoing actions described in clauses (i) through (vi); or (B) either (i) forty-five (45) days shall have expired after the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1" w:name="page152"/>
    <w:bookmarkEnd w:id="151"/>
    <w:p>
      <w:pPr>
        <w:jc w:val="both"/>
        <w:ind w:left="2200"/>
        <w:spacing w:after="0" w:line="271" w:lineRule="auto"/>
        <w:rPr>
          <w:sz w:val="20"/>
          <w:szCs w:val="20"/>
          <w:color w:val="auto"/>
        </w:rPr>
      </w:pPr>
      <w:r>
        <w:rPr>
          <w:rFonts w:ascii="Arial" w:cs="Arial" w:eastAsia="Arial" w:hAnsi="Arial"/>
          <w:sz w:val="21"/>
          <w:szCs w:val="21"/>
          <w:color w:val="auto"/>
        </w:rPr>
        <w:t>commencement of an involuntary action against Borrower seeking reorganization, arrangement, composition, readjustment, liquidation, dissolution or similar relief under any present or future statute, law or regulation, without such action being dismissed or all orders or proceedings thereunder affecting the operations or the business of Borrower being stayed; or (ii) a stay of any such order or proceedings shall thereafter be set aside and the action setting it aside shall not be timely appealed; or (iii) Borrower shall file any answer admitting or not contesting the material allegations of a petition filed against Borrower in any such proceedings; or (iv) the court in which such proceedings are pending shall enter a decree or order granting the relief sought in any such proceedings; or (v) forty-five (45) days shall have expired after the appointment, without the consent or acquiescence of Borrower, of any trustee, receiver or liquidator of Borrower or of all or any substantial part of the properties of Borrower without such appointment being vacated; or</w:t>
      </w:r>
    </w:p>
    <w:p>
      <w:pPr>
        <w:spacing w:after="0" w:line="187" w:lineRule="exact"/>
        <w:rPr>
          <w:sz w:val="20"/>
          <w:szCs w:val="20"/>
          <w:color w:val="auto"/>
        </w:rPr>
      </w:pPr>
    </w:p>
    <w:p>
      <w:pPr>
        <w:jc w:val="both"/>
        <w:ind w:left="2200" w:hanging="320"/>
        <w:spacing w:after="0" w:line="259" w:lineRule="auto"/>
        <w:tabs>
          <w:tab w:leader="none" w:pos="22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Attachments; Judgments. Any portion of Borrower’s assets is attached or seized, or a levy is filed against any such assets, or a judgment or judgments is/are entered for the payment of money (not covered by independent third party insurance as to which liability has not been rejected by such insurance carrier), individually or in the aggregate, of at least $500,000, or Borrower is enjoined or in any way prevented by court order from conducting any part of its business as its business has normally been conducted and such attachment, seizure, levy, judgment or injunction is not, within fifteen (15) days after the occurrence thereof, satisfied, discharged, paid or stayed (whether through the posting of a bond or otherwise); or</w:t>
      </w:r>
    </w:p>
    <w:p>
      <w:pPr>
        <w:spacing w:after="0" w:line="192" w:lineRule="exact"/>
        <w:rPr>
          <w:rFonts w:ascii="Arial" w:cs="Arial" w:eastAsia="Arial" w:hAnsi="Arial"/>
          <w:sz w:val="22"/>
          <w:szCs w:val="22"/>
          <w:color w:val="auto"/>
        </w:rPr>
      </w:pPr>
    </w:p>
    <w:p>
      <w:pPr>
        <w:ind w:left="2200" w:hanging="320"/>
        <w:spacing w:after="0"/>
        <w:tabs>
          <w:tab w:leader="none" w:pos="2200" w:val="left"/>
        </w:tabs>
        <w:numPr>
          <w:ilvl w:val="0"/>
          <w:numId w:val="78"/>
        </w:numPr>
        <w:rPr>
          <w:rFonts w:ascii="Arial" w:cs="Arial" w:eastAsia="Arial" w:hAnsi="Arial"/>
          <w:sz w:val="22"/>
          <w:szCs w:val="22"/>
          <w:color w:val="auto"/>
        </w:rPr>
      </w:pPr>
      <w:r>
        <w:rPr>
          <w:rFonts w:ascii="Arial" w:cs="Arial" w:eastAsia="Arial" w:hAnsi="Arial"/>
          <w:sz w:val="22"/>
          <w:szCs w:val="22"/>
          <w:color w:val="auto"/>
        </w:rPr>
        <w:t>Other Obligations.</w:t>
      </w:r>
    </w:p>
    <w:p>
      <w:pPr>
        <w:spacing w:after="0" w:line="233" w:lineRule="exact"/>
        <w:rPr>
          <w:rFonts w:ascii="Arial" w:cs="Arial" w:eastAsia="Arial" w:hAnsi="Arial"/>
          <w:sz w:val="22"/>
          <w:szCs w:val="22"/>
          <w:color w:val="auto"/>
        </w:rPr>
      </w:pPr>
    </w:p>
    <w:p>
      <w:pPr>
        <w:jc w:val="both"/>
        <w:ind w:left="2980" w:hanging="278"/>
        <w:spacing w:after="0" w:line="262" w:lineRule="auto"/>
        <w:tabs>
          <w:tab w:leader="none" w:pos="2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occurrence of any default in the payment of any Indebtedness under any agreement or obligation of Borrower involving Indebtedness in excess of $1,000,000, beyond the period of grace if any, provided in the instrument or agreement under which such Indebtedness was created; or</w:t>
      </w:r>
    </w:p>
    <w:p>
      <w:pPr>
        <w:spacing w:after="0" w:line="191" w:lineRule="exact"/>
        <w:rPr>
          <w:rFonts w:ascii="Arial" w:cs="Arial" w:eastAsia="Arial" w:hAnsi="Arial"/>
          <w:sz w:val="22"/>
          <w:szCs w:val="22"/>
          <w:color w:val="auto"/>
        </w:rPr>
      </w:pPr>
    </w:p>
    <w:p>
      <w:pPr>
        <w:jc w:val="both"/>
        <w:ind w:left="2980" w:hanging="338"/>
        <w:spacing w:after="0" w:line="262" w:lineRule="auto"/>
        <w:tabs>
          <w:tab w:leader="none" w:pos="2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There is, under any agreement to which Borrower is a party with a third party or parties, any default resulting in a right by such third party or parties, whether or not exercised, to accelerate the maturity of any Indebtedness in an amount individually or in the aggregate in excess of One Million Dollars ($1,000,000); or</w:t>
      </w:r>
    </w:p>
    <w:p>
      <w:pPr>
        <w:spacing w:after="0" w:line="191" w:lineRule="exact"/>
        <w:rPr>
          <w:rFonts w:ascii="Arial" w:cs="Arial" w:eastAsia="Arial" w:hAnsi="Arial"/>
          <w:sz w:val="22"/>
          <w:szCs w:val="22"/>
          <w:color w:val="auto"/>
        </w:rPr>
      </w:pPr>
    </w:p>
    <w:p>
      <w:pPr>
        <w:jc w:val="both"/>
        <w:ind w:left="2980" w:hanging="398"/>
        <w:spacing w:after="0" w:line="261" w:lineRule="auto"/>
        <w:tabs>
          <w:tab w:leader="none" w:pos="29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The occurrence of any early payment is required or unwinding or termination occurs with respect to any Permitted Bond Hedge Transaction or Permitted Warrant Transaction, or any condition giving rise to the foregoing is met, in each case, with respect to which Borrower or its Affiliate is the “affected party” or “defaulting party” under the terms of such Permitted Bond Hedge Transaction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2" w:name="page153"/>
    <w:bookmarkEnd w:id="152"/>
    <w:p>
      <w:pPr>
        <w:ind w:left="2980" w:right="20"/>
        <w:spacing w:after="0" w:line="276" w:lineRule="auto"/>
        <w:rPr>
          <w:sz w:val="20"/>
          <w:szCs w:val="20"/>
          <w:color w:val="auto"/>
        </w:rPr>
      </w:pPr>
      <w:r>
        <w:rPr>
          <w:rFonts w:ascii="Arial" w:cs="Arial" w:eastAsia="Arial" w:hAnsi="Arial"/>
          <w:sz w:val="22"/>
          <w:szCs w:val="22"/>
          <w:color w:val="auto"/>
        </w:rPr>
        <w:t>or Permitted Warrant Transaction, if a Material Adverse Effect could reasonably be expected to result from such default, early payment, unwinding or termination; or</w:t>
      </w:r>
    </w:p>
    <w:p>
      <w:pPr>
        <w:spacing w:after="0" w:line="174" w:lineRule="exact"/>
        <w:rPr>
          <w:sz w:val="20"/>
          <w:szCs w:val="20"/>
          <w:color w:val="auto"/>
        </w:rPr>
      </w:pPr>
    </w:p>
    <w:p>
      <w:pPr>
        <w:jc w:val="both"/>
        <w:ind w:left="2980" w:hanging="372"/>
        <w:spacing w:after="0" w:line="317" w:lineRule="auto"/>
        <w:tabs>
          <w:tab w:leader="none" w:pos="2980" w:val="left"/>
        </w:tabs>
        <w:numPr>
          <w:ilvl w:val="3"/>
          <w:numId w:val="79"/>
        </w:numPr>
        <w:rPr>
          <w:rFonts w:ascii="Arial" w:cs="Arial" w:eastAsia="Arial" w:hAnsi="Arial"/>
          <w:sz w:val="19"/>
          <w:szCs w:val="19"/>
          <w:color w:val="auto"/>
        </w:rPr>
      </w:pPr>
      <w:r>
        <w:rPr>
          <w:rFonts w:ascii="Arial" w:cs="Arial" w:eastAsia="Arial" w:hAnsi="Arial"/>
          <w:sz w:val="19"/>
          <w:szCs w:val="19"/>
          <w:color w:val="auto"/>
        </w:rPr>
        <w:t>The occurrence of any default under, (i) subject to the Antecip Direct Agreement, the Antecip License Agreement that permits the counterparty thereto to terminate such agreement or (ii) any other Material Agreement that permits the counterparty thereto to terminate such Material Agreement or accelerate payments in excess of $5,000,000 owed thereunder.</w:t>
      </w:r>
    </w:p>
    <w:p>
      <w:pPr>
        <w:spacing w:after="0" w:line="141" w:lineRule="exact"/>
        <w:rPr>
          <w:rFonts w:ascii="Arial" w:cs="Arial" w:eastAsia="Arial" w:hAnsi="Arial"/>
          <w:sz w:val="19"/>
          <w:szCs w:val="19"/>
          <w:color w:val="auto"/>
        </w:rPr>
      </w:pPr>
    </w:p>
    <w:p>
      <w:pPr>
        <w:jc w:val="both"/>
        <w:ind w:left="2200" w:hanging="320"/>
        <w:spacing w:after="0" w:line="299" w:lineRule="auto"/>
        <w:tabs>
          <w:tab w:leader="none" w:pos="2200" w:val="left"/>
        </w:tabs>
        <w:numPr>
          <w:ilvl w:val="1"/>
          <w:numId w:val="80"/>
        </w:numPr>
        <w:rPr>
          <w:rFonts w:ascii="Arial" w:cs="Arial" w:eastAsia="Arial" w:hAnsi="Arial"/>
          <w:sz w:val="19"/>
          <w:szCs w:val="19"/>
          <w:color w:val="auto"/>
        </w:rPr>
      </w:pPr>
      <w:r>
        <w:rPr>
          <w:rFonts w:ascii="Arial" w:cs="Arial" w:eastAsia="Arial" w:hAnsi="Arial"/>
          <w:sz w:val="19"/>
          <w:szCs w:val="19"/>
          <w:color w:val="auto"/>
        </w:rPr>
        <w:t>Stop Trade. At any time, an SEC stop trade order or NASDAQ market trading suspension of the Common Stock shall be in effect for five (5) consecutive days or five (5) days during a period of ten</w:t>
      </w:r>
    </w:p>
    <w:p>
      <w:pPr>
        <w:jc w:val="both"/>
        <w:ind w:left="2200" w:firstLine="4"/>
        <w:spacing w:after="0" w:line="324" w:lineRule="auto"/>
        <w:tabs>
          <w:tab w:leader="none" w:pos="2633" w:val="left"/>
        </w:tabs>
        <w:numPr>
          <w:ilvl w:val="2"/>
          <w:numId w:val="80"/>
        </w:numPr>
        <w:rPr>
          <w:rFonts w:ascii="Arial" w:cs="Arial" w:eastAsia="Arial" w:hAnsi="Arial"/>
          <w:sz w:val="19"/>
          <w:szCs w:val="19"/>
          <w:color w:val="auto"/>
        </w:rPr>
      </w:pPr>
      <w:r>
        <w:rPr>
          <w:rFonts w:ascii="Arial" w:cs="Arial" w:eastAsia="Arial" w:hAnsi="Arial"/>
          <w:sz w:val="19"/>
          <w:szCs w:val="19"/>
          <w:color w:val="auto"/>
        </w:rPr>
        <w:t>consecutive days, excluding in all cases a suspension of all trading on a public market; provided that Borrower shall not have been able to cure such trading suspension within thirty (30) days of the notice thereof or list the Common Stock on another public market within sixty (60) days of such notice.</w:t>
      </w:r>
    </w:p>
    <w:p>
      <w:pPr>
        <w:spacing w:after="0" w:line="136" w:lineRule="exact"/>
        <w:rPr>
          <w:rFonts w:ascii="Arial" w:cs="Arial" w:eastAsia="Arial" w:hAnsi="Arial"/>
          <w:sz w:val="19"/>
          <w:szCs w:val="19"/>
          <w:color w:val="auto"/>
        </w:rPr>
      </w:pPr>
    </w:p>
    <w:p>
      <w:pPr>
        <w:ind w:left="1460" w:hanging="329"/>
        <w:spacing w:after="0"/>
        <w:tabs>
          <w:tab w:leader="none" w:pos="14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REMEDIES</w:t>
      </w:r>
    </w:p>
    <w:p>
      <w:pPr>
        <w:spacing w:after="0" w:line="233" w:lineRule="exact"/>
        <w:rPr>
          <w:rFonts w:ascii="Arial" w:cs="Arial" w:eastAsia="Arial" w:hAnsi="Arial"/>
          <w:sz w:val="22"/>
          <w:szCs w:val="22"/>
          <w:color w:val="auto"/>
        </w:rPr>
      </w:pPr>
    </w:p>
    <w:p>
      <w:pPr>
        <w:jc w:val="both"/>
        <w:ind w:left="2200" w:hanging="320"/>
        <w:spacing w:after="0" w:line="297" w:lineRule="auto"/>
        <w:tabs>
          <w:tab w:leader="none" w:pos="2200" w:val="left"/>
        </w:tabs>
        <w:numPr>
          <w:ilvl w:val="1"/>
          <w:numId w:val="81"/>
        </w:numPr>
        <w:rPr>
          <w:rFonts w:ascii="Arial" w:cs="Arial" w:eastAsia="Arial" w:hAnsi="Arial"/>
          <w:sz w:val="19"/>
          <w:szCs w:val="19"/>
          <w:color w:val="auto"/>
        </w:rPr>
      </w:pPr>
      <w:r>
        <w:rPr>
          <w:rFonts w:ascii="Arial" w:cs="Arial" w:eastAsia="Arial" w:hAnsi="Arial"/>
          <w:sz w:val="19"/>
          <w:szCs w:val="19"/>
          <w:color w:val="auto"/>
        </w:rPr>
        <w:t>General. Upon the occurrence and during the continuation of any one or more Events of Default, Agent may, and at the direction of the Required Lenders shall, accelerate and demand payment of all or any part of the Secured Obligations together with a Prepayment Charge and declare them to be immediately due and payable (provided, that upon the occurrence of an Event of Default of the type described in Section 9.5, all of the Secured Obligations (including, without limitation, the Prepayment Charge and the End of Term Charge) shall automatically be accelerated and made due and payable, in each case without any further notice or act). Borrower hereby irrevocably appoints Agent as its lawful attorney-in-fact to: (a) exercisable following the occurrence and during the continuation of an Event of Default,</w:t>
      </w:r>
    </w:p>
    <w:p>
      <w:pPr>
        <w:spacing w:after="0" w:line="1" w:lineRule="exact"/>
        <w:rPr>
          <w:rFonts w:ascii="Arial" w:cs="Arial" w:eastAsia="Arial" w:hAnsi="Arial"/>
          <w:sz w:val="19"/>
          <w:szCs w:val="19"/>
          <w:color w:val="auto"/>
        </w:rPr>
      </w:pPr>
    </w:p>
    <w:p>
      <w:pPr>
        <w:jc w:val="both"/>
        <w:ind w:left="2200"/>
        <w:spacing w:after="0" w:line="302" w:lineRule="auto"/>
        <w:rPr>
          <w:rFonts w:ascii="Arial" w:cs="Arial" w:eastAsia="Arial" w:hAnsi="Arial"/>
          <w:sz w:val="19"/>
          <w:szCs w:val="19"/>
          <w:color w:val="auto"/>
        </w:rPr>
      </w:pPr>
      <w:r>
        <w:rPr>
          <w:rFonts w:ascii="Arial" w:cs="Arial" w:eastAsia="Arial" w:hAnsi="Arial"/>
          <w:sz w:val="19"/>
          <w:szCs w:val="19"/>
          <w:color w:val="auto"/>
        </w:rPr>
        <w:t>(i) sign Borrower’s name on any invoice or bill of lading for any account or drafts against account debtors; (ii)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Agent’s or Borrower’s name, as Agent may elect); (iii) make, settle, and adjust all claims under Borrower’s insurance policies; (iv) pay, contest or settle any Lien, charge, encumbrance, security interest, or other claim in or to the Collateral, or any judgment based thereon, or otherwise take any action to terminate or discharge the same; (v) transfer the Collateral into the name of Agent or a third party as the UCC permits; and (vi) receive, open and dispose of mail addressed to Borrower; and (b) regardless of whether an Event of Default has occurred, (i) endorse Borrower’s name on any checks, payment instruments, or other forms of payment or security; and (ii)</w:t>
      </w:r>
    </w:p>
    <w:p>
      <w:pPr>
        <w:spacing w:after="0" w:line="1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3" w:name="page154"/>
    <w:bookmarkEnd w:id="153"/>
    <w:p>
      <w:pPr>
        <w:jc w:val="both"/>
        <w:ind w:left="2200"/>
        <w:spacing w:after="0" w:line="300" w:lineRule="auto"/>
        <w:rPr>
          <w:sz w:val="20"/>
          <w:szCs w:val="20"/>
          <w:color w:val="auto"/>
        </w:rPr>
      </w:pPr>
      <w:r>
        <w:rPr>
          <w:rFonts w:ascii="Arial" w:cs="Arial" w:eastAsia="Arial" w:hAnsi="Arial"/>
          <w:sz w:val="19"/>
          <w:szCs w:val="19"/>
          <w:color w:val="auto"/>
        </w:rPr>
        <w:t>notify all account debtors to pay Agent directly. Borrower hereby appoints Agent as its lawful attorney-in-fact to sign Borrower’s name on any documents necessary to perfect or continue the perfection of Agent’s security interest in the Collateral regardless of whether an Event of Default has occurred until all Secured Obligations (other than any inchoate indemnity obligations and any other obligations which, by their terms, are to survive the termination of this Agreement) have been satisfied in full and the Loan Documents (other than the Warrant) have been terminated. Agent’s foregoing appointment as Borrower’s attorney in fact, and all of Agent’s rights and powers, coupled with an interest, are irrevocable until all Secured Obligations (other than any inchoate indemnity obligations and any other obligations which, by their terms, are to survive the termination of this Agreement) have been fully repaid and performed and the Loan Documents (other than the Warrant) have been terminated. Agent may, and at the direction of the Required Lenders shall, exercise all rights and remedies with respect to the Collateral under the Loan Documents or otherwise available to it under the UCC and other applicable law, including the right to release, hold, sell, lease, liquidate, collect, realize upon, or otherwise dispose of all or any part of the Collateral and the right to occupy, utilize, process and commingle the Collateral. All Agent’s rights and remedies shall be cumulative and not exclusive.</w:t>
      </w:r>
    </w:p>
    <w:p>
      <w:pPr>
        <w:spacing w:after="0" w:line="169" w:lineRule="exact"/>
        <w:rPr>
          <w:sz w:val="20"/>
          <w:szCs w:val="20"/>
          <w:color w:val="auto"/>
        </w:rPr>
      </w:pPr>
    </w:p>
    <w:p>
      <w:pPr>
        <w:jc w:val="both"/>
        <w:ind w:left="2200" w:hanging="320"/>
        <w:spacing w:after="0" w:line="303" w:lineRule="auto"/>
        <w:tabs>
          <w:tab w:leader="none" w:pos="2200" w:val="left"/>
        </w:tabs>
        <w:numPr>
          <w:ilvl w:val="0"/>
          <w:numId w:val="82"/>
        </w:numPr>
        <w:rPr>
          <w:rFonts w:ascii="Arial" w:cs="Arial" w:eastAsia="Arial" w:hAnsi="Arial"/>
          <w:sz w:val="19"/>
          <w:szCs w:val="19"/>
          <w:color w:val="auto"/>
        </w:rPr>
      </w:pPr>
      <w:r>
        <w:rPr>
          <w:rFonts w:ascii="Arial" w:cs="Arial" w:eastAsia="Arial" w:hAnsi="Arial"/>
          <w:sz w:val="19"/>
          <w:szCs w:val="19"/>
          <w:color w:val="auto"/>
        </w:rPr>
        <w:t>Collection; Foreclosure. Upon the occurrence and during the continuance of any Event of Default, Agent may, and at the direction of the Required Lenders shall, at any time or from time to time, apply, collect, liquidate, sell in one or more sales, lease or otherwise dispose of, any or all of the Collateral, in its then condition or following any commercially reasonable preparation or processing, in such order as Agent may elect. Any such sale may be made either at public or private sale at its place of business or elsewhere. Borrower agrees that any such public or private sale may occur upon ten (10) calendar days’ prior written notice to Borrower. Agent may require Borrower to assemble the Collateral and make it available to Agent at a place designated by Agent that is reasonably convenient to Agent and Borrower. The proceeds of any sale, disposition or other realization upon all or any part of the Collateral shall be applied by Agent in the following order of priorities:</w:t>
      </w:r>
    </w:p>
    <w:p>
      <w:pPr>
        <w:spacing w:after="0" w:line="158" w:lineRule="exact"/>
        <w:rPr>
          <w:sz w:val="20"/>
          <w:szCs w:val="20"/>
          <w:color w:val="auto"/>
        </w:rPr>
      </w:pPr>
    </w:p>
    <w:p>
      <w:pPr>
        <w:jc w:val="both"/>
        <w:ind w:left="1500"/>
        <w:spacing w:after="0" w:line="301" w:lineRule="auto"/>
        <w:rPr>
          <w:sz w:val="20"/>
          <w:szCs w:val="20"/>
          <w:color w:val="auto"/>
        </w:rPr>
      </w:pPr>
      <w:r>
        <w:rPr>
          <w:rFonts w:ascii="Arial" w:cs="Arial" w:eastAsia="Arial" w:hAnsi="Arial"/>
          <w:sz w:val="21"/>
          <w:szCs w:val="21"/>
          <w:color w:val="auto"/>
        </w:rPr>
        <w:t>First, to Agent and the Lenders in an amount sufficient to pay in full Agent’s and the Lenders’ reasonable costs and professionals’ and advisors’ fees and expenses as described in Section 11.12;</w:t>
      </w:r>
    </w:p>
    <w:p>
      <w:pPr>
        <w:spacing w:after="0" w:line="42" w:lineRule="exact"/>
        <w:rPr>
          <w:sz w:val="20"/>
          <w:szCs w:val="20"/>
          <w:color w:val="auto"/>
        </w:rPr>
      </w:pPr>
    </w:p>
    <w:p>
      <w:pPr>
        <w:jc w:val="both"/>
        <w:ind w:left="1500"/>
        <w:spacing w:after="0" w:line="266" w:lineRule="auto"/>
        <w:rPr>
          <w:sz w:val="20"/>
          <w:szCs w:val="20"/>
          <w:color w:val="auto"/>
        </w:rPr>
      </w:pPr>
      <w:r>
        <w:rPr>
          <w:rFonts w:ascii="Arial" w:cs="Arial" w:eastAsia="Arial" w:hAnsi="Arial"/>
          <w:sz w:val="22"/>
          <w:szCs w:val="22"/>
          <w:color w:val="auto"/>
        </w:rPr>
        <w:t>Second, to the Lenders in an amount equal to the then unpaid amount of the Secured Obligations (including principal, interest, and the Default Rate interest), in such order and priority as Agent may choose in its sole discretion; and</w:t>
      </w:r>
    </w:p>
    <w:p>
      <w:pPr>
        <w:spacing w:after="0" w:line="77" w:lineRule="exact"/>
        <w:rPr>
          <w:sz w:val="20"/>
          <w:szCs w:val="20"/>
          <w:color w:val="auto"/>
        </w:rPr>
      </w:pPr>
    </w:p>
    <w:p>
      <w:pPr>
        <w:jc w:val="both"/>
        <w:ind w:left="1500"/>
        <w:spacing w:after="0" w:line="276" w:lineRule="auto"/>
        <w:rPr>
          <w:sz w:val="20"/>
          <w:szCs w:val="20"/>
          <w:color w:val="auto"/>
        </w:rPr>
      </w:pPr>
      <w:r>
        <w:rPr>
          <w:rFonts w:ascii="Arial" w:cs="Arial" w:eastAsia="Arial" w:hAnsi="Arial"/>
          <w:sz w:val="22"/>
          <w:szCs w:val="22"/>
          <w:color w:val="auto"/>
        </w:rPr>
        <w:t>Finally, after the full and final payment in Cash of all of the Secured Obligations (other than inchoate obligations), to any creditor holding a junior Lien on the</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4" w:name="page155"/>
    <w:bookmarkEnd w:id="154"/>
    <w:p>
      <w:pPr>
        <w:ind w:left="1500"/>
        <w:spacing w:after="0"/>
        <w:rPr>
          <w:sz w:val="20"/>
          <w:szCs w:val="20"/>
          <w:color w:val="auto"/>
        </w:rPr>
      </w:pPr>
      <w:r>
        <w:rPr>
          <w:rFonts w:ascii="Arial" w:cs="Arial" w:eastAsia="Arial" w:hAnsi="Arial"/>
          <w:sz w:val="22"/>
          <w:szCs w:val="22"/>
          <w:color w:val="auto"/>
        </w:rPr>
        <w:t>Collateral, or to Borrower or its representatives or as a court of competent jurisdiction may direct.</w:t>
      </w:r>
    </w:p>
    <w:p>
      <w:pPr>
        <w:spacing w:after="0" w:line="125" w:lineRule="exact"/>
        <w:rPr>
          <w:sz w:val="20"/>
          <w:szCs w:val="20"/>
          <w:color w:val="auto"/>
        </w:rPr>
      </w:pPr>
    </w:p>
    <w:p>
      <w:pPr>
        <w:ind w:left="1500" w:right="20"/>
        <w:spacing w:after="0" w:line="258" w:lineRule="auto"/>
        <w:rPr>
          <w:sz w:val="20"/>
          <w:szCs w:val="20"/>
          <w:color w:val="auto"/>
        </w:rPr>
      </w:pPr>
      <w:r>
        <w:rPr>
          <w:rFonts w:ascii="Arial" w:cs="Arial" w:eastAsia="Arial" w:hAnsi="Arial"/>
          <w:sz w:val="22"/>
          <w:szCs w:val="22"/>
          <w:color w:val="auto"/>
        </w:rPr>
        <w:t>Agent shall be deemed to have acted reasonably in the custody, preservation and disposition of any of the Collateral if it complies with the obligations of a secured party under the UCC.</w:t>
      </w:r>
    </w:p>
    <w:p>
      <w:pPr>
        <w:spacing w:after="0" w:line="1" w:lineRule="exact"/>
        <w:rPr>
          <w:sz w:val="20"/>
          <w:szCs w:val="20"/>
          <w:color w:val="auto"/>
        </w:rPr>
      </w:pPr>
    </w:p>
    <w:p>
      <w:pPr>
        <w:jc w:val="both"/>
        <w:ind w:left="2200" w:hanging="320"/>
        <w:spacing w:after="0" w:line="264" w:lineRule="auto"/>
        <w:tabs>
          <w:tab w:leader="none" w:pos="2200" w:val="left"/>
        </w:tabs>
        <w:numPr>
          <w:ilvl w:val="1"/>
          <w:numId w:val="83"/>
        </w:numPr>
        <w:rPr>
          <w:rFonts w:ascii="Arial" w:cs="Arial" w:eastAsia="Arial" w:hAnsi="Arial"/>
          <w:sz w:val="22"/>
          <w:szCs w:val="22"/>
          <w:color w:val="auto"/>
        </w:rPr>
      </w:pPr>
      <w:r>
        <w:rPr>
          <w:rFonts w:ascii="Arial" w:cs="Arial" w:eastAsia="Arial" w:hAnsi="Arial"/>
          <w:sz w:val="22"/>
          <w:szCs w:val="22"/>
          <w:color w:val="auto"/>
        </w:rPr>
        <w:t>No Waiver. Agent shall be under no obligation to marshal any of the Collateral for the benefit of Borrower or any other Person, and Borrower expressly waives all rights, if any, to require Agent to marshal any Collateral.</w:t>
      </w:r>
    </w:p>
    <w:p>
      <w:pPr>
        <w:spacing w:after="0" w:line="186" w:lineRule="exact"/>
        <w:rPr>
          <w:rFonts w:ascii="Arial" w:cs="Arial" w:eastAsia="Arial" w:hAnsi="Arial"/>
          <w:sz w:val="22"/>
          <w:szCs w:val="22"/>
          <w:color w:val="auto"/>
        </w:rPr>
      </w:pPr>
    </w:p>
    <w:p>
      <w:pPr>
        <w:jc w:val="both"/>
        <w:ind w:left="2200" w:hanging="320"/>
        <w:spacing w:after="0" w:line="317" w:lineRule="auto"/>
        <w:tabs>
          <w:tab w:leader="none" w:pos="2200" w:val="left"/>
        </w:tabs>
        <w:numPr>
          <w:ilvl w:val="1"/>
          <w:numId w:val="83"/>
        </w:numPr>
        <w:rPr>
          <w:rFonts w:ascii="Arial" w:cs="Arial" w:eastAsia="Arial" w:hAnsi="Arial"/>
          <w:sz w:val="19"/>
          <w:szCs w:val="19"/>
          <w:color w:val="auto"/>
        </w:rPr>
      </w:pPr>
      <w:r>
        <w:rPr>
          <w:rFonts w:ascii="Arial" w:cs="Arial" w:eastAsia="Arial" w:hAnsi="Arial"/>
          <w:sz w:val="19"/>
          <w:szCs w:val="19"/>
          <w:color w:val="auto"/>
        </w:rPr>
        <w:t>Cumulative Remedies. The rights, powers and remedies of Agent hereunder shall be in addition to all rights, powers and remedies given by statute or rule of law and are cumulative. The exercise of any one or more of the rights, powers and remedies provided herein shall not be construed as a waiver of or election of remedies with respect to any other rights, powers and remedies of Agent.</w:t>
      </w:r>
    </w:p>
    <w:p>
      <w:pPr>
        <w:spacing w:after="0" w:line="141" w:lineRule="exact"/>
        <w:rPr>
          <w:rFonts w:ascii="Arial" w:cs="Arial" w:eastAsia="Arial" w:hAnsi="Arial"/>
          <w:sz w:val="19"/>
          <w:szCs w:val="19"/>
          <w:color w:val="auto"/>
        </w:rPr>
      </w:pPr>
    </w:p>
    <w:p>
      <w:pPr>
        <w:ind w:left="1460" w:hanging="329"/>
        <w:spacing w:after="0"/>
        <w:tabs>
          <w:tab w:leader="none" w:pos="1460" w:val="left"/>
        </w:tabs>
        <w:numPr>
          <w:ilvl w:val="0"/>
          <w:numId w:val="84"/>
        </w:numPr>
        <w:rPr>
          <w:rFonts w:ascii="Arial" w:cs="Arial" w:eastAsia="Arial" w:hAnsi="Arial"/>
          <w:sz w:val="22"/>
          <w:szCs w:val="22"/>
          <w:color w:val="auto"/>
        </w:rPr>
      </w:pPr>
      <w:r>
        <w:rPr>
          <w:rFonts w:ascii="Arial" w:cs="Arial" w:eastAsia="Arial" w:hAnsi="Arial"/>
          <w:sz w:val="22"/>
          <w:szCs w:val="22"/>
          <w:color w:val="auto"/>
        </w:rPr>
        <w:t>MISCELLANEOUS</w:t>
      </w:r>
    </w:p>
    <w:p>
      <w:pPr>
        <w:spacing w:after="0" w:line="233" w:lineRule="exact"/>
        <w:rPr>
          <w:rFonts w:ascii="Arial" w:cs="Arial" w:eastAsia="Arial" w:hAnsi="Arial"/>
          <w:sz w:val="22"/>
          <w:szCs w:val="22"/>
          <w:color w:val="auto"/>
        </w:rPr>
      </w:pPr>
    </w:p>
    <w:p>
      <w:pPr>
        <w:jc w:val="both"/>
        <w:ind w:left="2200" w:hanging="320"/>
        <w:spacing w:after="0" w:line="261" w:lineRule="auto"/>
        <w:tabs>
          <w:tab w:leader="none" w:pos="2200" w:val="left"/>
        </w:tabs>
        <w:numPr>
          <w:ilvl w:val="1"/>
          <w:numId w:val="84"/>
        </w:numPr>
        <w:rPr>
          <w:rFonts w:ascii="Arial" w:cs="Arial" w:eastAsia="Arial" w:hAnsi="Arial"/>
          <w:sz w:val="22"/>
          <w:szCs w:val="22"/>
          <w:color w:val="auto"/>
        </w:rPr>
      </w:pPr>
      <w:r>
        <w:rPr>
          <w:rFonts w:ascii="Arial" w:cs="Arial" w:eastAsia="Arial" w:hAnsi="Arial"/>
          <w:sz w:val="22"/>
          <w:szCs w:val="22"/>
          <w:color w:val="auto"/>
        </w:rPr>
        <w:t>Severability. Whenever possible, each provision of this Agreement shall be interpreted in such manner as to be effective and valid under applicable law, but if any provision of this Agreement shall be prohibited by or invalid under such law, such provision shall be ineffective only to the extent and duration of such prohibition or invalidity, without invalidating the remainder of such provision or the remaining provisions of this Agreement.</w:t>
      </w:r>
    </w:p>
    <w:p>
      <w:pPr>
        <w:spacing w:after="0" w:line="190" w:lineRule="exact"/>
        <w:rPr>
          <w:rFonts w:ascii="Arial" w:cs="Arial" w:eastAsia="Arial" w:hAnsi="Arial"/>
          <w:sz w:val="22"/>
          <w:szCs w:val="22"/>
          <w:color w:val="auto"/>
        </w:rPr>
      </w:pPr>
    </w:p>
    <w:p>
      <w:pPr>
        <w:jc w:val="both"/>
        <w:ind w:left="2200" w:hanging="320"/>
        <w:spacing w:after="0" w:line="306" w:lineRule="auto"/>
        <w:tabs>
          <w:tab w:leader="none" w:pos="2200" w:val="left"/>
        </w:tabs>
        <w:numPr>
          <w:ilvl w:val="1"/>
          <w:numId w:val="84"/>
        </w:numPr>
        <w:rPr>
          <w:rFonts w:ascii="Arial" w:cs="Arial" w:eastAsia="Arial" w:hAnsi="Arial"/>
          <w:sz w:val="19"/>
          <w:szCs w:val="19"/>
          <w:color w:val="auto"/>
        </w:rPr>
      </w:pPr>
      <w:r>
        <w:rPr>
          <w:rFonts w:ascii="Arial" w:cs="Arial" w:eastAsia="Arial" w:hAnsi="Arial"/>
          <w:sz w:val="19"/>
          <w:szCs w:val="19"/>
          <w:color w:val="auto"/>
        </w:rPr>
        <w:t>Notice. Except as otherwise provided herein, any notice, demand, request, consent, approval, declaration, service of process or other communication (including the delivery of Financial Statements) that is required, contemplated, or permitted under the Loan Documents or with respect to the subject matter hereof shall be in writing, and shall be deemed to have been validly served, given, delivered, and received upon the earlier of: (i) the day of transmission by electronic mail or hand delivery or delivery by an overnight express service or overnight mail delivery service; or (ii) the third calendar day after deposit in the United States of America mails, with proper first class postage prepaid, in each case addressed to the party to be notified as follows:</w:t>
      </w:r>
    </w:p>
    <w:p>
      <w:pPr>
        <w:spacing w:after="0" w:line="200" w:lineRule="exact"/>
        <w:rPr>
          <w:sz w:val="20"/>
          <w:szCs w:val="20"/>
          <w:color w:val="auto"/>
        </w:rPr>
      </w:pPr>
    </w:p>
    <w:p>
      <w:pPr>
        <w:spacing w:after="0" w:line="226"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i.  If to Agent:</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HERCULES CAPITAL, INC.</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Legal Department</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Attention: Chief Legal Officer and Michael Dutra</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400 Hamilton Avenue, Suite 310</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Palo Alto, CA 94301</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email: legal@htgc.com and mdutra@htgc.com</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Telephone: 650-289-3060</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5" w:name="page156"/>
    <w:bookmarkEnd w:id="155"/>
    <w:p>
      <w:pPr>
        <w:ind w:left="2640"/>
        <w:spacing w:after="0"/>
        <w:rPr>
          <w:sz w:val="20"/>
          <w:szCs w:val="20"/>
          <w:color w:val="auto"/>
        </w:rPr>
      </w:pPr>
      <w:r>
        <w:rPr>
          <w:rFonts w:ascii="Arial" w:cs="Arial" w:eastAsia="Arial" w:hAnsi="Arial"/>
          <w:sz w:val="22"/>
          <w:szCs w:val="22"/>
          <w:color w:val="auto"/>
        </w:rPr>
        <w:t>ii.  If to the Lenders:</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HERCULES CAPITAL, INC.</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Legal Department</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Attention: Chief Legal Officer and Michael Dutra</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400 Hamilton Avenue, Suite 310</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Palo Alto, CA 94301</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email: legal@htgc.com and mdutra@htgc.com</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Telephone: 650-289-3060</w:t>
      </w:r>
    </w:p>
    <w:p>
      <w:pPr>
        <w:spacing w:after="0" w:line="121"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iii.  If to Borrower:</w:t>
      </w:r>
    </w:p>
    <w:p>
      <w:pPr>
        <w:spacing w:after="0" w:line="233" w:lineRule="exact"/>
        <w:rPr>
          <w:sz w:val="20"/>
          <w:szCs w:val="20"/>
          <w:color w:val="auto"/>
        </w:rPr>
      </w:pPr>
    </w:p>
    <w:p>
      <w:pPr>
        <w:ind w:left="380"/>
        <w:spacing w:after="0"/>
        <w:rPr>
          <w:sz w:val="20"/>
          <w:szCs w:val="20"/>
          <w:color w:val="auto"/>
        </w:rPr>
      </w:pPr>
      <w:r>
        <w:rPr>
          <w:rFonts w:ascii="Arial" w:cs="Arial" w:eastAsia="Arial" w:hAnsi="Arial"/>
          <w:sz w:val="22"/>
          <w:szCs w:val="22"/>
          <w:color w:val="auto"/>
        </w:rPr>
        <w:t>22 Cortlandt Street, 16th Floor</w:t>
      </w:r>
    </w:p>
    <w:p>
      <w:pPr>
        <w:spacing w:after="0" w:line="21" w:lineRule="exact"/>
        <w:rPr>
          <w:sz w:val="20"/>
          <w:szCs w:val="20"/>
          <w:color w:val="auto"/>
        </w:rPr>
      </w:pPr>
    </w:p>
    <w:p>
      <w:pPr>
        <w:ind w:left="380"/>
        <w:spacing w:after="0"/>
        <w:rPr>
          <w:sz w:val="20"/>
          <w:szCs w:val="20"/>
          <w:color w:val="auto"/>
        </w:rPr>
      </w:pPr>
      <w:r>
        <w:rPr>
          <w:rFonts w:ascii="Arial" w:cs="Arial" w:eastAsia="Arial" w:hAnsi="Arial"/>
          <w:sz w:val="22"/>
          <w:szCs w:val="22"/>
          <w:color w:val="auto"/>
        </w:rPr>
        <w:t>New York, NY, 10007</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Attention: Nick Pizzie, Chief Financial Officer</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email: npizzie@axsome.com</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Telephone: +1-646-844-6270</w:t>
      </w:r>
    </w:p>
    <w:p>
      <w:pPr>
        <w:spacing w:after="0" w:line="283"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or to such other address as each party may designate for itself by like notice.</w:t>
      </w:r>
    </w:p>
    <w:p>
      <w:pPr>
        <w:spacing w:after="0" w:line="125" w:lineRule="exact"/>
        <w:rPr>
          <w:sz w:val="20"/>
          <w:szCs w:val="20"/>
          <w:color w:val="auto"/>
        </w:rPr>
      </w:pPr>
    </w:p>
    <w:p>
      <w:pPr>
        <w:ind w:left="2200" w:hanging="320"/>
        <w:spacing w:after="0"/>
        <w:tabs>
          <w:tab w:leader="none" w:pos="22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Entire Agreement; Amendments.</w:t>
      </w:r>
    </w:p>
    <w:p>
      <w:pPr>
        <w:spacing w:after="0" w:line="233" w:lineRule="exact"/>
        <w:rPr>
          <w:rFonts w:ascii="Arial" w:cs="Arial" w:eastAsia="Arial" w:hAnsi="Arial"/>
          <w:sz w:val="22"/>
          <w:szCs w:val="22"/>
          <w:color w:val="auto"/>
        </w:rPr>
      </w:pPr>
    </w:p>
    <w:p>
      <w:pPr>
        <w:jc w:val="both"/>
        <w:ind w:left="2980" w:hanging="278"/>
        <w:spacing w:after="0" w:line="308" w:lineRule="auto"/>
        <w:tabs>
          <w:tab w:leader="none" w:pos="29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This Agreement and the other Loan Documents constitute the entire agreement and understanding of the parties hereto in respect of the subject matter hereof and thereof, and supersede and replace in their entirety any prior proposals, term sheets, non-disclosure or confidentiality agreements, letters, negotiations or other documents or agreements, whether written or oral, with respect to the subject matter hereof or thereof (including Agent’s revised proposal letter dated September 2, 2020 and the Non-Disclosure Agreement).</w:t>
      </w:r>
    </w:p>
    <w:p>
      <w:pPr>
        <w:spacing w:after="0" w:line="153" w:lineRule="exact"/>
        <w:rPr>
          <w:rFonts w:ascii="Arial" w:cs="Arial" w:eastAsia="Arial" w:hAnsi="Arial"/>
          <w:sz w:val="19"/>
          <w:szCs w:val="19"/>
          <w:color w:val="auto"/>
        </w:rPr>
      </w:pPr>
    </w:p>
    <w:p>
      <w:pPr>
        <w:jc w:val="both"/>
        <w:ind w:left="2980" w:hanging="338"/>
        <w:spacing w:after="0" w:line="302" w:lineRule="auto"/>
        <w:tabs>
          <w:tab w:leader="none" w:pos="2980" w:val="left"/>
        </w:tabs>
        <w:numPr>
          <w:ilvl w:val="1"/>
          <w:numId w:val="85"/>
        </w:numPr>
        <w:rPr>
          <w:rFonts w:ascii="Arial" w:cs="Arial" w:eastAsia="Arial" w:hAnsi="Arial"/>
          <w:sz w:val="19"/>
          <w:szCs w:val="19"/>
          <w:color w:val="auto"/>
        </w:rPr>
      </w:pPr>
      <w:r>
        <w:rPr>
          <w:rFonts w:ascii="Arial" w:cs="Arial" w:eastAsia="Arial" w:hAnsi="Arial"/>
          <w:sz w:val="19"/>
          <w:szCs w:val="19"/>
          <w:color w:val="auto"/>
        </w:rPr>
        <w:t>Neither this Agreement, any other Loan Document (other than the Warrant which is subject to the amendment provisions therein), nor any terms hereof or thereof may be amended, supplemented or modified except in accordance with the provisions of this Section 11.3(b). The Required Lenders and Borrower party to the relevant Loan Document may, or, with the written consent of the Required Lenders, the Agent and the Borrower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Borrower hereunder or thereunder or (ii) waive, on such terms and conditions as the Required Lenders or the Agent, as the case may be, may specify in such instrument, any of the requirements of this Agreement or the other Loan Documents or any default or Event of Default and its consequences; provided, however, that no such waiver and no such amendment,</w:t>
      </w:r>
    </w:p>
    <w:p>
      <w:pPr>
        <w:spacing w:after="0" w:line="200" w:lineRule="exact"/>
        <w:rPr>
          <w:sz w:val="20"/>
          <w:szCs w:val="20"/>
          <w:color w:val="auto"/>
        </w:rPr>
      </w:pP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6" w:name="page157"/>
    <w:bookmarkEnd w:id="156"/>
    <w:p>
      <w:pPr>
        <w:jc w:val="both"/>
        <w:ind w:left="2980"/>
        <w:spacing w:after="0" w:line="300" w:lineRule="auto"/>
        <w:rPr>
          <w:sz w:val="20"/>
          <w:szCs w:val="20"/>
          <w:color w:val="auto"/>
        </w:rPr>
      </w:pPr>
      <w:r>
        <w:rPr>
          <w:rFonts w:ascii="Arial" w:cs="Arial" w:eastAsia="Arial" w:hAnsi="Arial"/>
          <w:sz w:val="19"/>
          <w:szCs w:val="19"/>
          <w:color w:val="auto"/>
        </w:rPr>
        <w:t>supplement or modification shall (A) forgive the principal amount or extend the final scheduled date of maturity of any Loan, extend the scheduled date of any amortization payment in respect of any Term Loan, reduce the stated rate of any interest (or fee payable hereunder) or extend the scheduled date of any payment thereof, in each case without the written consent of each Lender directly affected thereby; (B) eliminate or reduce the voting rights of any Lender under this Section 11.3(b) without the written consent of such Lender; (C) reduce any percentage specified in the definition of Required Lenders, consent to the assignment or transfer by the Borrower of any of its rights and obligations under this Agreement and the other Loan Documents, release all or substantially all of the Collateral or release a Borrower from its obligations under the Loan Documents, in each case without the written consent of all Lenders; or (D) amend, modify or waive any provision of Section 11.18 or Addendum 3 without the written consent of the Agent. Any such waiver and any such amendment, supplement or modification shall apply equally to each Lender and shall be binding upon Borrower, the Lender, the Agent and all future holders of the Loans. Notwithstanding the foregoing, the Warrant may be amended in accordance with its terms, and this Section 11.3(b) shall not apply to such amendments.</w:t>
      </w:r>
    </w:p>
    <w:p>
      <w:pPr>
        <w:spacing w:after="0" w:line="200" w:lineRule="exact"/>
        <w:rPr>
          <w:sz w:val="20"/>
          <w:szCs w:val="20"/>
          <w:color w:val="auto"/>
        </w:rPr>
      </w:pPr>
    </w:p>
    <w:p>
      <w:pPr>
        <w:spacing w:after="0" w:line="239" w:lineRule="exact"/>
        <w:rPr>
          <w:sz w:val="20"/>
          <w:szCs w:val="20"/>
          <w:color w:val="auto"/>
        </w:rPr>
      </w:pPr>
    </w:p>
    <w:p>
      <w:pPr>
        <w:jc w:val="both"/>
        <w:ind w:left="2200" w:hanging="320"/>
        <w:spacing w:after="0" w:line="317" w:lineRule="auto"/>
        <w:tabs>
          <w:tab w:leader="none" w:pos="22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 Strict Construction. The parties hereto have participated jointly in the negotiation and drafting of this Agreement. In the event an ambiguity or question of intent or interpretation arises, this Agreement shall be construed as if drafted jointly by the parties hereto and no presumption or burden of proof shall arise favoring or disfavoring any party by virtue of the authorship of any provisions of this Agreement.</w:t>
      </w:r>
    </w:p>
    <w:p>
      <w:pPr>
        <w:spacing w:after="0" w:line="141" w:lineRule="exact"/>
        <w:rPr>
          <w:rFonts w:ascii="Arial" w:cs="Arial" w:eastAsia="Arial" w:hAnsi="Arial"/>
          <w:sz w:val="19"/>
          <w:szCs w:val="19"/>
          <w:color w:val="auto"/>
        </w:rPr>
      </w:pPr>
    </w:p>
    <w:p>
      <w:pPr>
        <w:jc w:val="both"/>
        <w:ind w:left="2200" w:hanging="320"/>
        <w:spacing w:after="0" w:line="306" w:lineRule="auto"/>
        <w:tabs>
          <w:tab w:leader="none" w:pos="2200" w:val="left"/>
        </w:tabs>
        <w:numPr>
          <w:ilvl w:val="0"/>
          <w:numId w:val="86"/>
        </w:numPr>
        <w:rPr>
          <w:rFonts w:ascii="Arial" w:cs="Arial" w:eastAsia="Arial" w:hAnsi="Arial"/>
          <w:sz w:val="19"/>
          <w:szCs w:val="19"/>
          <w:color w:val="auto"/>
        </w:rPr>
      </w:pPr>
      <w:r>
        <w:rPr>
          <w:rFonts w:ascii="Arial" w:cs="Arial" w:eastAsia="Arial" w:hAnsi="Arial"/>
          <w:sz w:val="19"/>
          <w:szCs w:val="19"/>
          <w:color w:val="auto"/>
        </w:rPr>
        <w:t>No Waiver. The powers conferred upon Agent and the Lenders by this Agreement are solely to protect its rights hereunder and under the other Loan Documents and its interest in the Collateral and shall not impose any duty upon Agent or the Lenders to exercise any such powers. No omission or delay by Agent or the Lenders at any time to enforce any right or remedy reserved to it, or to require performance of any of the terms, covenants or provisions hereof by Borrower at any time designated, shall be a waiver of any such right or remedy to which Agent or the Lenders is entitled, nor shall it in any way affect the right of Agent or the Lenders to enforce such provisions thereafter.</w:t>
      </w:r>
    </w:p>
    <w:p>
      <w:pPr>
        <w:spacing w:after="0" w:line="156" w:lineRule="exact"/>
        <w:rPr>
          <w:rFonts w:ascii="Arial" w:cs="Arial" w:eastAsia="Arial" w:hAnsi="Arial"/>
          <w:sz w:val="19"/>
          <w:szCs w:val="19"/>
          <w:color w:val="auto"/>
        </w:rPr>
      </w:pPr>
    </w:p>
    <w:p>
      <w:pPr>
        <w:jc w:val="both"/>
        <w:ind w:left="2200" w:hanging="320"/>
        <w:spacing w:after="0" w:line="262" w:lineRule="auto"/>
        <w:tabs>
          <w:tab w:leader="none" w:pos="2200" w:val="left"/>
        </w:tabs>
        <w:numPr>
          <w:ilvl w:val="0"/>
          <w:numId w:val="86"/>
        </w:numPr>
        <w:rPr>
          <w:rFonts w:ascii="Arial" w:cs="Arial" w:eastAsia="Arial" w:hAnsi="Arial"/>
          <w:sz w:val="22"/>
          <w:szCs w:val="22"/>
          <w:color w:val="auto"/>
        </w:rPr>
      </w:pPr>
      <w:r>
        <w:rPr>
          <w:rFonts w:ascii="Arial" w:cs="Arial" w:eastAsia="Arial" w:hAnsi="Arial"/>
          <w:sz w:val="22"/>
          <w:szCs w:val="22"/>
          <w:color w:val="auto"/>
        </w:rPr>
        <w:t>Survival. All agreements, representations and warranties contained in this Agreement and the other Loan Documents or in any document delivered pursuant hereto or thereto shall be for the benefit of Agent and the Lenders and shall survive the execution and delivery of this Agreement. Sections 6.3, 11.15 and 11.18 shall survive the termination of this Agreement.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7" w:name="page158"/>
    <w:bookmarkEnd w:id="157"/>
    <w:p>
      <w:pPr>
        <w:jc w:val="both"/>
        <w:ind w:left="2200" w:hanging="320"/>
        <w:spacing w:after="0" w:line="298" w:lineRule="auto"/>
        <w:tabs>
          <w:tab w:leader="none" w:pos="220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Successors and Assigns. The provisions of this Agreement and the other Loan Documents shall inure to the benefit of and be binding on Borrower and its permitted assigns (if any). Borrower shall not assign its obligations under this Agreement or any of the other Loan Documents (other than the Warrant which may be assigned in accordance with its terms) without Agent’s express prior written consent, and any such attempted assignment shall be void and of no effect. Agent and the Lenders may assign, transfer, or endorse its rights hereunder and under the other Loan Documents without prior notice to Borrower (provided that any assignment, transfer or endorsement of the Warrant shall be subject to the terms thereof), and all of such rights shall inure to the benefit of Agent’s and the Lenders’ successors and assigns; provided that as long as no Event of Default has occurred and is continuing, neither Agent nor any Lender may assign, transfer or endorse its rights hereunder or under the Loan Documents to any party that is a direct competitor of Borrower or any “vulture fund” “distressed debt fund” or similar entity (in each case, as reasonably determined by Agent in good faith), it being acknowledged that in all cases, any transfer to an Affiliate of any Lender or Agent shall be allowed. Notwithstanding the foregoing, (x) in connection with any assignment by a Lender as a result of a forced divestiture at the request of any regulatory agency, the restrictions set forth herein shall not apply and Agent and the Lenders may assign, transfer or indorse its rights hereunder and under the other Loan Documents to any Person or party (provided that any assignment, transfer or endorsement of the Warrant shall be subject to the terms thereof) and (y) in connection with a Lender’s own financing or securitization transactions, the restrictions set forth herein shall not apply and Agent and the Lenders may assign, transfer or indorse its rights hereunder and under the other Loan Documents to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any assignment, transfer or endorsement of the Warrant shall be subject to the terms thereof); provided that no such sale, transfer, pledge or assignment under this clause (y) shall release such Lender from any of its obligations hereunder or substitute any such Person or party for such Lender as a party hereto until Agent shall have received and accepted an effective assignment agreement from such Person or party in form satisfactory to Agent executed, delivered and fully completed by the applicable parties thereto, and shall have received such other information regarding such assignee as Agent reasonably shall require. The Agent, acting solely for this purpose as an agent of the Borrower, shall maintain at one of its offices in the United States a register for the recordation of the names and addresses of the Lender(s), and the Term Commitments of, and principal amounts (and stated interest) of the Loans owing to, each Lender pursuant to the terms hereof from time to time (the “Register”). The entries in the Register shall be conclusive absent manifest error, and the Borrower, the Agent and the</w:t>
      </w:r>
    </w:p>
    <w:p>
      <w:pPr>
        <w:spacing w:after="0" w:line="200" w:lineRule="exact"/>
        <w:rPr>
          <w:sz w:val="20"/>
          <w:szCs w:val="20"/>
          <w:color w:val="auto"/>
        </w:rPr>
      </w:pPr>
    </w:p>
    <w:p>
      <w:pPr>
        <w:spacing w:after="0" w:line="2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8" w:name="page159"/>
    <w:bookmarkEnd w:id="158"/>
    <w:p>
      <w:pPr>
        <w:jc w:val="both"/>
        <w:ind w:left="2200"/>
        <w:spacing w:after="0" w:line="262" w:lineRule="auto"/>
        <w:rPr>
          <w:sz w:val="20"/>
          <w:szCs w:val="20"/>
          <w:color w:val="auto"/>
        </w:rPr>
      </w:pPr>
      <w:r>
        <w:rPr>
          <w:rFonts w:ascii="Arial" w:cs="Arial" w:eastAsia="Arial" w:hAnsi="Arial"/>
          <w:sz w:val="22"/>
          <w:szCs w:val="22"/>
          <w:color w:val="auto"/>
        </w:rPr>
        <w:t>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91" w:lineRule="exact"/>
        <w:rPr>
          <w:sz w:val="20"/>
          <w:szCs w:val="20"/>
          <w:color w:val="auto"/>
        </w:rPr>
      </w:pPr>
    </w:p>
    <w:p>
      <w:pPr>
        <w:jc w:val="both"/>
        <w:ind w:left="2200" w:hanging="320"/>
        <w:spacing w:after="0" w:line="299" w:lineRule="auto"/>
        <w:tabs>
          <w:tab w:leader="none" w:pos="22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Participations.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“Participant Register”); provided that no Lender shall have any obligation to disclose all or any portion of the Participant Register (including the identity of any participant or any information relating to a participant's interest in any commitments, loans,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Agent (in its capacity as Agent) shall have no responsibility for maintaining a Participant Register. Borrower agrees that each participant shall be entitled to the benefits of the provisions in Addendum 1 attached hereto (subject to the requirements and limitations therein, including the requirements under Section 7 of Addendum 1 attached hereto (it being understood that the documentation required under Section 7 of Addendum 1 attached hereto shall be delivered to the participating Lender)) to the same extent as if it were a Lender and had acquired its interest by assignment pursuant to Section 11.7; provided that such participant shall not be entitled to receive any greater payment under Addendum 1 attached hereto, with respect to any participation, than its participating Lender would have been entitled to receive, except to the extent such entitlement to receive a greater payment results from a change in law that occurs after the participant acquired the applicable participation.</w:t>
      </w:r>
    </w:p>
    <w:p>
      <w:pPr>
        <w:spacing w:after="0" w:line="200" w:lineRule="exact"/>
        <w:rPr>
          <w:rFonts w:ascii="Arial" w:cs="Arial" w:eastAsia="Arial" w:hAnsi="Arial"/>
          <w:sz w:val="19"/>
          <w:szCs w:val="19"/>
          <w:color w:val="auto"/>
        </w:rPr>
      </w:pPr>
    </w:p>
    <w:p>
      <w:pPr>
        <w:spacing w:after="0" w:line="239" w:lineRule="exact"/>
        <w:rPr>
          <w:rFonts w:ascii="Arial" w:cs="Arial" w:eastAsia="Arial" w:hAnsi="Arial"/>
          <w:sz w:val="19"/>
          <w:szCs w:val="19"/>
          <w:color w:val="auto"/>
        </w:rPr>
      </w:pPr>
    </w:p>
    <w:p>
      <w:pPr>
        <w:jc w:val="both"/>
        <w:ind w:left="2200" w:hanging="320"/>
        <w:spacing w:after="0" w:line="308" w:lineRule="auto"/>
        <w:tabs>
          <w:tab w:leader="none" w:pos="2200" w:val="left"/>
        </w:tabs>
        <w:numPr>
          <w:ilvl w:val="0"/>
          <w:numId w:val="88"/>
        </w:numPr>
        <w:rPr>
          <w:rFonts w:ascii="Arial" w:cs="Arial" w:eastAsia="Arial" w:hAnsi="Arial"/>
          <w:sz w:val="19"/>
          <w:szCs w:val="19"/>
          <w:color w:val="auto"/>
        </w:rPr>
      </w:pPr>
      <w:r>
        <w:rPr>
          <w:rFonts w:ascii="Arial" w:cs="Arial" w:eastAsia="Arial" w:hAnsi="Arial"/>
          <w:sz w:val="19"/>
          <w:szCs w:val="19"/>
          <w:color w:val="auto"/>
        </w:rPr>
        <w:t>Governing Law. This Agreement and the other Loan Documents have been negotiated and delivered to Agent and the Lenders in the State of California, and shall have been accepted by Agent and the Lenders in the State of California. Payment to Agent and the Lenders by Borrower of the Secured Obligations is due in the State of California. This Agreement and the other Loan Documents shall be governed by, and construed and enforced in accordance with, the laws of the State of California, excluding conflict of laws principles that would cause the application of laws of any other jurisdiction.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9" w:name="page160"/>
    <w:bookmarkEnd w:id="159"/>
    <w:p>
      <w:pPr>
        <w:jc w:val="both"/>
        <w:ind w:left="2200" w:hanging="320"/>
        <w:spacing w:after="0" w:line="301" w:lineRule="auto"/>
        <w:tabs>
          <w:tab w:leader="none" w:pos="2200" w:val="left"/>
        </w:tabs>
        <w:numPr>
          <w:ilvl w:val="0"/>
          <w:numId w:val="89"/>
        </w:numPr>
        <w:rPr>
          <w:rFonts w:ascii="Arial" w:cs="Arial" w:eastAsia="Arial" w:hAnsi="Arial"/>
          <w:sz w:val="19"/>
          <w:szCs w:val="19"/>
          <w:color w:val="auto"/>
        </w:rPr>
      </w:pPr>
      <w:r>
        <w:rPr>
          <w:rFonts w:ascii="Arial" w:cs="Arial" w:eastAsia="Arial" w:hAnsi="Arial"/>
          <w:sz w:val="19"/>
          <w:szCs w:val="19"/>
          <w:color w:val="auto"/>
        </w:rPr>
        <w:t>Consent to Jurisdiction and Venue. All judicial proceedings (to the extent that the reference requirement of Section 11.11 is not applicable) arising in or under or related to this Agreement or any of the other Loan Documents may be brought in any state or federal court located in the State of California. By execution and delivery of this Agreement, each party hereto generally and unconditionally: (a) consents to nonexclusive personal jurisdiction in Santa Clara County, State of California; (b) waives any objection as to jurisdiction or venue in Santa Clara County, State of California; (c) agrees not to assert any defense based on lack of jurisdiction or venue in the aforesaid courts; and (d) irrevocably agrees to be bound by any judgment rendered thereby in connection with this Agreement or the other Loan Documents. Service of process on any party hereto in any action arising out of or relating to this Agreement shall be effective if given in accordance with the requirements for notice set forth in Section 11.2, and shall be deemed effective and received as set forth in Section 11.2. Nothing herein shall affect the right to serve process in any other manner permitted by law or shall limit the right of either party to bring proceedings in the courts of any other jurisdiction.</w:t>
      </w:r>
    </w:p>
    <w:p>
      <w:pPr>
        <w:spacing w:after="0" w:line="163" w:lineRule="exact"/>
        <w:rPr>
          <w:rFonts w:ascii="Arial" w:cs="Arial" w:eastAsia="Arial" w:hAnsi="Arial"/>
          <w:sz w:val="19"/>
          <w:szCs w:val="19"/>
          <w:color w:val="auto"/>
        </w:rPr>
      </w:pPr>
    </w:p>
    <w:p>
      <w:pPr>
        <w:ind w:left="2200" w:hanging="320"/>
        <w:spacing w:after="0"/>
        <w:tabs>
          <w:tab w:leader="none" w:pos="2200" w:val="left"/>
        </w:tabs>
        <w:numPr>
          <w:ilvl w:val="0"/>
          <w:numId w:val="89"/>
        </w:numPr>
        <w:rPr>
          <w:rFonts w:ascii="Arial" w:cs="Arial" w:eastAsia="Arial" w:hAnsi="Arial"/>
          <w:sz w:val="22"/>
          <w:szCs w:val="22"/>
          <w:color w:val="auto"/>
        </w:rPr>
      </w:pPr>
      <w:r>
        <w:rPr>
          <w:rFonts w:ascii="Arial" w:cs="Arial" w:eastAsia="Arial" w:hAnsi="Arial"/>
          <w:sz w:val="22"/>
          <w:szCs w:val="22"/>
          <w:color w:val="auto"/>
        </w:rPr>
        <w:t>Mutual Waiver of Jury Trial / Judicial Reference.</w:t>
      </w:r>
    </w:p>
    <w:p>
      <w:pPr>
        <w:spacing w:after="0" w:line="233" w:lineRule="exact"/>
        <w:rPr>
          <w:rFonts w:ascii="Arial" w:cs="Arial" w:eastAsia="Arial" w:hAnsi="Arial"/>
          <w:sz w:val="22"/>
          <w:szCs w:val="22"/>
          <w:color w:val="auto"/>
        </w:rPr>
      </w:pPr>
    </w:p>
    <w:p>
      <w:pPr>
        <w:jc w:val="both"/>
        <w:ind w:left="2980" w:hanging="278"/>
        <w:spacing w:after="0" w:line="301" w:lineRule="auto"/>
        <w:tabs>
          <w:tab w:leader="none" w:pos="2980" w:val="left"/>
        </w:tabs>
        <w:numPr>
          <w:ilvl w:val="1"/>
          <w:numId w:val="89"/>
        </w:numPr>
        <w:rPr>
          <w:rFonts w:ascii="Arial" w:cs="Arial" w:eastAsia="Arial" w:hAnsi="Arial"/>
          <w:sz w:val="19"/>
          <w:szCs w:val="19"/>
          <w:color w:val="auto"/>
        </w:rPr>
      </w:pPr>
      <w:r>
        <w:rPr>
          <w:rFonts w:ascii="Arial" w:cs="Arial" w:eastAsia="Arial" w:hAnsi="Arial"/>
          <w:sz w:val="19"/>
          <w:szCs w:val="19"/>
          <w:color w:val="auto"/>
        </w:rPr>
        <w:t>Because disputes arising in connection with complex financial transactions are most quickly and economically resolved by an experienced and expert Person and the parties wish applicable state and federal laws to apply (rather than arbitration rules), the parties desire that their disputes be resolved by a judge applying such applicable laws. EACH OF BORROWER, AGENT AND THE LENDERS SPECIFICALLY WAIVES ANY RIGHT IT MAY HAVE TO TRIAL BY JURY OF ANY CAUSE OF ACTION, CLAIM, CROSS-CLAIM, COUNTERCLAIM, THIRD PARTY CLAIM OR ANY OTHER CLAIM (COLLECTIVELY, “CLAIMS”) ASSERTED BY BORROWER AGAINST AGENT, THE LENDERS OR THEIR RESPECTIVE ASSIGNEE OR BY AGENT, THE LENDERS OR THEIR RESPECTIVE ASSIGNEE AGAINST BORROWER. This waiver extends to all such Claims, including Claims that involve Persons other than Agent, Borrower and the Lenders; Claims that arise out of or are in any way connected to the relationship among Borrower, Agent and the Lenders; and any Claims for damages, breach of contract, tort, specific performance, or any equitable or legal relief of any kind, arising out of this Agreement, any other Loan Document.</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jc w:val="both"/>
        <w:ind w:left="2980" w:hanging="338"/>
        <w:spacing w:after="0" w:line="262" w:lineRule="auto"/>
        <w:tabs>
          <w:tab w:leader="none" w:pos="2980" w:val="left"/>
        </w:tabs>
        <w:numPr>
          <w:ilvl w:val="1"/>
          <w:numId w:val="89"/>
        </w:numPr>
        <w:rPr>
          <w:rFonts w:ascii="Arial" w:cs="Arial" w:eastAsia="Arial" w:hAnsi="Arial"/>
          <w:sz w:val="22"/>
          <w:szCs w:val="22"/>
          <w:color w:val="auto"/>
        </w:rPr>
      </w:pPr>
      <w:r>
        <w:rPr>
          <w:rFonts w:ascii="Arial" w:cs="Arial" w:eastAsia="Arial" w:hAnsi="Arial"/>
          <w:sz w:val="22"/>
          <w:szCs w:val="22"/>
          <w:color w:val="auto"/>
        </w:rPr>
        <w:t>If the waiver of jury trial set forth in Section 11.11(a) is ineffective or unenforceable, the parties agree that all Claims shall be resolved by reference to a private judge sitting without a jury, pursuant to Code of Civil Procedure Section 638, before a mutually acceptable referee or, if the parties cannot agree, a referee selected by the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0" w:name="page161"/>
    <w:bookmarkEnd w:id="160"/>
    <w:p>
      <w:pPr>
        <w:jc w:val="both"/>
        <w:ind w:left="2980"/>
        <w:spacing w:after="0" w:line="266" w:lineRule="auto"/>
        <w:rPr>
          <w:sz w:val="20"/>
          <w:szCs w:val="20"/>
          <w:color w:val="auto"/>
        </w:rPr>
      </w:pPr>
      <w:r>
        <w:rPr>
          <w:rFonts w:ascii="Arial" w:cs="Arial" w:eastAsia="Arial" w:hAnsi="Arial"/>
          <w:sz w:val="22"/>
          <w:szCs w:val="22"/>
          <w:color w:val="auto"/>
        </w:rPr>
        <w:t>Presiding Judge of the Santa Clara County, California. Such proceeding shall be conducted in Santa Clara County, California, with California rules of evidence and discovery applicable to such proceeding.</w:t>
      </w:r>
    </w:p>
    <w:p>
      <w:pPr>
        <w:spacing w:after="0" w:line="185" w:lineRule="exact"/>
        <w:rPr>
          <w:sz w:val="20"/>
          <w:szCs w:val="20"/>
          <w:color w:val="auto"/>
        </w:rPr>
      </w:pPr>
    </w:p>
    <w:p>
      <w:pPr>
        <w:jc w:val="both"/>
        <w:ind w:left="2980" w:hanging="398"/>
        <w:spacing w:after="0" w:line="279" w:lineRule="auto"/>
        <w:tabs>
          <w:tab w:leader="none" w:pos="2980" w:val="left"/>
        </w:tabs>
        <w:numPr>
          <w:ilvl w:val="1"/>
          <w:numId w:val="90"/>
        </w:numPr>
        <w:rPr>
          <w:rFonts w:ascii="Arial" w:cs="Arial" w:eastAsia="Arial" w:hAnsi="Arial"/>
          <w:sz w:val="21"/>
          <w:szCs w:val="21"/>
          <w:color w:val="auto"/>
        </w:rPr>
      </w:pPr>
      <w:r>
        <w:rPr>
          <w:rFonts w:ascii="Arial" w:cs="Arial" w:eastAsia="Arial" w:hAnsi="Arial"/>
          <w:sz w:val="21"/>
          <w:szCs w:val="21"/>
          <w:color w:val="auto"/>
        </w:rPr>
        <w:t>In the event Claims are to be resolved by judicial reference, either party may seek from a court identified in Section 11.10, any prejudgment order, writ or other relief and have such prejudgment order, writ or other relief enforced to the fullest extent permitted by law notwithstanding that all Claims are otherwise subject to resolution by judicial reference.</w:t>
      </w:r>
    </w:p>
    <w:p>
      <w:pPr>
        <w:spacing w:after="0" w:line="173" w:lineRule="exact"/>
        <w:rPr>
          <w:rFonts w:ascii="Arial" w:cs="Arial" w:eastAsia="Arial" w:hAnsi="Arial"/>
          <w:sz w:val="21"/>
          <w:szCs w:val="21"/>
          <w:color w:val="auto"/>
        </w:rPr>
      </w:pPr>
    </w:p>
    <w:p>
      <w:pPr>
        <w:jc w:val="both"/>
        <w:ind w:left="2200" w:hanging="320"/>
        <w:spacing w:after="0" w:line="301" w:lineRule="auto"/>
        <w:tabs>
          <w:tab w:leader="none" w:pos="22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Professional Fees. Borrower promises to pay Agent’s and the Lenders’ reasonable, documented out-of-pocket fees and expenses necessary to finalize the loan documentation, including but not limited to reasonable, documented attorneys’ fees, UCC searches, filing costs, and other miscellaneous expenses. In addition, Borrower promises to pay any and all reasonable, documented out-of-pocket attorneys’ and other professionals’ fees and expenses incurred by Agent after the Closing Date in connection with or related to: (a) the Loan; (b) the administration, collection, or enforcement of the Loan; (c) the amendment or modification of the Loan Documents; (d) any waiver, consent, release, or termination under the Loan Documents; (e) the protection, preservation, audit, field exam, sale, lease, liquidation, or disposition of Collateral or the exercise of remedies with respect to the Collateral; (f) any legal, litigation, administrative, arbitration, or out of court proceeding in connection with or related to Borrower or the Collateral, and any appeal or review thereof; and (g) any bankruptcy, restructuring, reorganization, assignment for the benefit of creditors, workout, foreclosure, or other action related to Borrower, the Collateral, the Loan Documents, including representing Agent or the Lenders in any adversary proceeding or contested matter commenced or continued by or on behalf of Borrower’s estate, and any appeal or review thereof.</w:t>
      </w:r>
    </w:p>
    <w:p>
      <w:pPr>
        <w:spacing w:after="0" w:line="200" w:lineRule="exact"/>
        <w:rPr>
          <w:rFonts w:ascii="Arial" w:cs="Arial" w:eastAsia="Arial" w:hAnsi="Arial"/>
          <w:sz w:val="19"/>
          <w:szCs w:val="19"/>
          <w:color w:val="auto"/>
        </w:rPr>
      </w:pPr>
    </w:p>
    <w:p>
      <w:pPr>
        <w:spacing w:after="0" w:line="229" w:lineRule="exact"/>
        <w:rPr>
          <w:rFonts w:ascii="Arial" w:cs="Arial" w:eastAsia="Arial" w:hAnsi="Arial"/>
          <w:sz w:val="19"/>
          <w:szCs w:val="19"/>
          <w:color w:val="auto"/>
        </w:rPr>
      </w:pPr>
    </w:p>
    <w:p>
      <w:pPr>
        <w:jc w:val="both"/>
        <w:ind w:left="2200" w:hanging="320"/>
        <w:spacing w:after="0" w:line="303" w:lineRule="auto"/>
        <w:tabs>
          <w:tab w:leader="none" w:pos="2200" w:val="left"/>
        </w:tabs>
        <w:numPr>
          <w:ilvl w:val="0"/>
          <w:numId w:val="91"/>
        </w:numPr>
        <w:rPr>
          <w:rFonts w:ascii="Arial" w:cs="Arial" w:eastAsia="Arial" w:hAnsi="Arial"/>
          <w:sz w:val="19"/>
          <w:szCs w:val="19"/>
          <w:color w:val="auto"/>
        </w:rPr>
      </w:pPr>
      <w:r>
        <w:rPr>
          <w:rFonts w:ascii="Arial" w:cs="Arial" w:eastAsia="Arial" w:hAnsi="Arial"/>
          <w:sz w:val="19"/>
          <w:szCs w:val="19"/>
          <w:color w:val="auto"/>
        </w:rPr>
        <w:t>Confidentiality. Agent and the Lenders acknowledge that certain items of Collateral and information provided to Agent and the Lenders by Borrower, including items provided in connection with the Non-Disclosure Agreement, are confidential and proprietary information of Borrower, if and to the extent such information either (x) is marked as confidential by Borrower at the time of disclosure, or (y) should reasonably be understood to be confidential (the “Confidential Information”). Accordingly, Agent and the Lenders agree that any Confidential Information it may obtain in the course of acquiring, administering, or perfecting Agent’s security interest in the Collateral shall not be disclosed to any other Person or entity in any manner whatsoever, in whole or in part, without the prior written consent of Borrower, except that Agent and the Lenders may disclose any such information: (a) to its Affiliates and its partners, investors, lenders, directors, officers, employees, agents, advisors, counsel, accountants,</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1" w:name="page162"/>
    <w:bookmarkEnd w:id="161"/>
    <w:p>
      <w:pPr>
        <w:jc w:val="both"/>
        <w:ind w:left="2200"/>
        <w:spacing w:after="0" w:line="299" w:lineRule="auto"/>
        <w:rPr>
          <w:sz w:val="20"/>
          <w:szCs w:val="20"/>
          <w:color w:val="auto"/>
        </w:rPr>
      </w:pPr>
      <w:r>
        <w:rPr>
          <w:rFonts w:ascii="Arial" w:cs="Arial" w:eastAsia="Arial" w:hAnsi="Arial"/>
          <w:sz w:val="19"/>
          <w:szCs w:val="19"/>
          <w:color w:val="auto"/>
        </w:rPr>
        <w:t>counsel, representative and other professional advisors if Agent or the Lenders in their sole discretion determines that any such party should have access to such information in connection with such party’s responsibilities in connection with the Loan or this Agreement and; provided that such recipient of such Confidential Information either (i) agrees to be bound by the confidentiality provisions of this paragraph or (ii) is otherwise subject to confidentiality restrictions that reasonably protect against the disclosure of Confidential Information; (b) if such information is generally available to the public through no fault of Agent or any Lender ; (c) if required or appropriate in any report, statement or testimony submitted to any governmental authority having or claiming to have jurisdiction over Agent or the Lenders and any rating agency; (d) if required or appropriate in response to any summons or subpoena or in connection with any litigation, to the extent permitted or deemed advisable by Agent’s or the Lenders’ counsel; (e) to comply with any legal requirement or law applicable to Agent or the Lenders or demanded by any governmental authority; (f) to the extent reasonably necessary in connection with the exercise of, or preparing to exercise, or the enforcement of, or preparing to enforce, any right or remedy under any Loan Document (including Agent’s sale, lease, or other disposition of Collateral after default), or any action or proceeding relating to any Loan Document; (g) to any participant or assignee of Agent or the Lenders or any prospective participant or assignee, provided, that such participant or assignee or prospective participant or assignee is subject to confidentiality restrictions no less stringent than this Section 11.13 and in any event that reasonably protect against the disclosure of Confidential Information; (h) otherwise to the extent consisting of general portfolio information that does not identify Borrower; or (i) otherwise with the prior consent of Borrower; provided, that any disclosure made in violation of this Agreement shall not affect the obligations of Borrower or any of its Affiliates or any guarantor under this Agreement or the other Loan Documents. Agent’s and the Lenders’ obligations under this Section 11.13 shall supersede all of their respective obligations under the Non-Disclosure Agreement.</w:t>
      </w:r>
    </w:p>
    <w:p>
      <w:pPr>
        <w:spacing w:after="0" w:line="200" w:lineRule="exact"/>
        <w:rPr>
          <w:sz w:val="20"/>
          <w:szCs w:val="20"/>
          <w:color w:val="auto"/>
        </w:rPr>
      </w:pPr>
    </w:p>
    <w:p>
      <w:pPr>
        <w:spacing w:after="0" w:line="235" w:lineRule="exact"/>
        <w:rPr>
          <w:sz w:val="20"/>
          <w:szCs w:val="20"/>
          <w:color w:val="auto"/>
        </w:rPr>
      </w:pPr>
    </w:p>
    <w:p>
      <w:pPr>
        <w:jc w:val="both"/>
        <w:ind w:left="2200" w:hanging="320"/>
        <w:spacing w:after="0" w:line="304" w:lineRule="auto"/>
        <w:tabs>
          <w:tab w:leader="none" w:pos="2200" w:val="left"/>
        </w:tabs>
        <w:numPr>
          <w:ilvl w:val="0"/>
          <w:numId w:val="92"/>
        </w:numPr>
        <w:rPr>
          <w:rFonts w:ascii="Arial" w:cs="Arial" w:eastAsia="Arial" w:hAnsi="Arial"/>
          <w:sz w:val="19"/>
          <w:szCs w:val="19"/>
          <w:color w:val="auto"/>
        </w:rPr>
      </w:pPr>
      <w:r>
        <w:rPr>
          <w:rFonts w:ascii="Arial" w:cs="Arial" w:eastAsia="Arial" w:hAnsi="Arial"/>
          <w:sz w:val="19"/>
          <w:szCs w:val="19"/>
          <w:color w:val="auto"/>
        </w:rPr>
        <w:t>Assignment of Rights. Borrower acknowledges and understands that Agent or the Lenders may, subject to Section 11.7, sell and assign all or part of its interest hereunder and under the Loan Documents (other than the Warrant which is subject to any assignment, transfer or endorsement provisions therein) to any Person or entity (an “Assignee”). After such assignment the term “Agent” or “Lender” as used in the Loan Documents (other than the Warrant which is subject to any assignment, transfer or endorsement provisions therein) shall mean and include such Assignee, and such Assignee shall be vested with all rights, powers and remedies of Agent and the Lenders hereunder with respect to the interest so assigned; but with respect to any such interest not so transferred, Agent and the Lenders shall retain all rights, powers and remedies hereby given. No such assignment by Agent or the Lenders shall relieve Borrower of any of its obligations</w:t>
      </w:r>
    </w:p>
    <w:p>
      <w:pPr>
        <w:spacing w:after="0" w:line="200" w:lineRule="exact"/>
        <w:rPr>
          <w:sz w:val="20"/>
          <w:szCs w:val="20"/>
          <w:color w:val="auto"/>
        </w:rPr>
      </w:pPr>
    </w:p>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2" w:name="page163"/>
    <w:bookmarkEnd w:id="162"/>
    <w:p>
      <w:pPr>
        <w:jc w:val="both"/>
        <w:ind w:left="2200"/>
        <w:spacing w:after="0" w:line="262" w:lineRule="auto"/>
        <w:rPr>
          <w:sz w:val="20"/>
          <w:szCs w:val="20"/>
          <w:color w:val="auto"/>
        </w:rPr>
      </w:pPr>
      <w:r>
        <w:rPr>
          <w:rFonts w:ascii="Arial" w:cs="Arial" w:eastAsia="Arial" w:hAnsi="Arial"/>
          <w:sz w:val="22"/>
          <w:szCs w:val="22"/>
          <w:color w:val="auto"/>
        </w:rPr>
        <w:t>hereunder. the Lenders agrees that in the event of any transfer by it of the promissory note(s) (if any), it will endorse thereon a notation as to the portion of the principal of the promissory note(s), which shall have been paid at the time of such transfer and as to the date to which interest shall have been last paid thereon.</w:t>
      </w:r>
    </w:p>
    <w:p>
      <w:pPr>
        <w:spacing w:after="0" w:line="191" w:lineRule="exact"/>
        <w:rPr>
          <w:sz w:val="20"/>
          <w:szCs w:val="20"/>
          <w:color w:val="auto"/>
        </w:rPr>
      </w:pPr>
    </w:p>
    <w:p>
      <w:pPr>
        <w:jc w:val="both"/>
        <w:ind w:left="2200" w:hanging="320"/>
        <w:spacing w:after="0" w:line="300" w:lineRule="auto"/>
        <w:tabs>
          <w:tab w:leader="none" w:pos="2200" w:val="left"/>
        </w:tabs>
        <w:numPr>
          <w:ilvl w:val="0"/>
          <w:numId w:val="93"/>
        </w:numPr>
        <w:rPr>
          <w:rFonts w:ascii="Arial" w:cs="Arial" w:eastAsia="Arial" w:hAnsi="Arial"/>
          <w:sz w:val="19"/>
          <w:szCs w:val="19"/>
          <w:color w:val="auto"/>
        </w:rPr>
      </w:pPr>
      <w:r>
        <w:rPr>
          <w:rFonts w:ascii="Arial" w:cs="Arial" w:eastAsia="Arial" w:hAnsi="Arial"/>
          <w:sz w:val="19"/>
          <w:szCs w:val="19"/>
          <w:color w:val="auto"/>
        </w:rPr>
        <w:t>Revival of Secured Obligations. This Agreement and the Loan Documents shall remain in full force and effect and continue to be effective if any petition is filed by or against Borrower for liquidation or reorganization, if Borrower becomes insolvent or makes an assignment for the benefit of creditors, if a receiver or trustee is appointed for all or any significant part of Borrower’s assets, or if any payment or transfer of Collateral is recovered from Agent or the Lenders. The Loan Documents and the Secured Obligations and Collateral security shall continue to be effective, or shall be revived or reinstated, as the case may be, if at any time payment and performance of the Secured Obligations or any transfer of Collateral to Agent, or any part thereof is rescinded, avoided or avoidable, reduced in amount, or must otherwise be restored or returned by, or is recovered from, Agent, the Lenders or by any obligee of the Secured Obligations, whether as a “voidable preference,” “fraudulent conveyance,” or otherwise, all as though such payment, performance, or transfer of Collateral had not been made. In the event that any payment, or any part thereof, is rescinded, reduced, avoided, avoidable, restored, returned, or recovered, the Loan Documents and the Secured Obligations shall be deemed, without any further action or documentation, to have been revived and reinstated except to the extent of the full, final, and indefeasible payment to Agent or the Lenders in Cash.</w:t>
      </w:r>
    </w:p>
    <w:p>
      <w:pPr>
        <w:spacing w:after="0" w:line="169" w:lineRule="exact"/>
        <w:rPr>
          <w:rFonts w:ascii="Arial" w:cs="Arial" w:eastAsia="Arial" w:hAnsi="Arial"/>
          <w:sz w:val="19"/>
          <w:szCs w:val="19"/>
          <w:color w:val="auto"/>
        </w:rPr>
      </w:pPr>
    </w:p>
    <w:p>
      <w:pPr>
        <w:jc w:val="both"/>
        <w:ind w:left="2200" w:hanging="320"/>
        <w:spacing w:after="0" w:line="262" w:lineRule="auto"/>
        <w:tabs>
          <w:tab w:leader="none" w:pos="2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Counterparts. This Agreement and any amendments, waivers, consents or supplements hereto may be executed in any number of counterparts, and by different parties hereto in separate counterparts, each of which when so delivered shall be deemed an original, but all of which counterparts shall constitute but one and the same instrument.</w:t>
      </w:r>
    </w:p>
    <w:p>
      <w:pPr>
        <w:spacing w:after="0" w:line="191" w:lineRule="exact"/>
        <w:rPr>
          <w:rFonts w:ascii="Arial" w:cs="Arial" w:eastAsia="Arial" w:hAnsi="Arial"/>
          <w:sz w:val="22"/>
          <w:szCs w:val="22"/>
          <w:color w:val="auto"/>
        </w:rPr>
      </w:pPr>
    </w:p>
    <w:p>
      <w:pPr>
        <w:jc w:val="both"/>
        <w:ind w:left="2200" w:hanging="320"/>
        <w:spacing w:after="0" w:line="261" w:lineRule="auto"/>
        <w:tabs>
          <w:tab w:leader="none" w:pos="2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No Third-Party Beneficiaries. No provisions of the Loan Documents are intended, nor will be interpreted, to provide or create any third-party beneficiary rights or any other rights of any kind in any Person other than Agent, the Lenders and Borrower unless specifically provided otherwise herein, and, except as otherwise so provided, all provisions of the Loan Documents will be personal and solely among Agent, the Lenders and the Borrower.</w:t>
      </w:r>
    </w:p>
    <w:p>
      <w:pPr>
        <w:spacing w:after="0" w:line="190" w:lineRule="exact"/>
        <w:rPr>
          <w:rFonts w:ascii="Arial" w:cs="Arial" w:eastAsia="Arial" w:hAnsi="Arial"/>
          <w:sz w:val="22"/>
          <w:szCs w:val="22"/>
          <w:color w:val="auto"/>
        </w:rPr>
      </w:pPr>
    </w:p>
    <w:p>
      <w:pPr>
        <w:jc w:val="both"/>
        <w:ind w:left="2200" w:hanging="320"/>
        <w:spacing w:after="0" w:line="266" w:lineRule="auto"/>
        <w:tabs>
          <w:tab w:leader="none" w:pos="22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Agency. Agent and each Lender hereby agree to the terms and conditions set forth on Addendum 3 attached hereto. Borrower acknowledges and agrees to the terms and conditions set forth on Addendum 3 attached hereto.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3" w:name="page164"/>
    <w:bookmarkEnd w:id="163"/>
    <w:p>
      <w:pPr>
        <w:jc w:val="both"/>
        <w:ind w:left="2200" w:hanging="320"/>
        <w:spacing w:after="0" w:line="302" w:lineRule="auto"/>
        <w:tabs>
          <w:tab w:leader="none" w:pos="22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Publicity. None of the parties hereto nor any of its respective member businesses and Affiliates shall, without the other parties’ prior written consent (which shall not be unreasonably withheld or delayed), publicize or use (a) the other party's name (including a brief description of the relationship among the parties hereto), logo or hyperlink to such other parties’ web site, separately or together, in written and oral presentations, advertising, promotional and marketing materials, client lists, public relations materials or on its web site (together, the "Publicity Materials"); (b) the names of officers of such other parties in the Publicity Materials; and (c) such other parties’ name, trademarks, servicemarks in any news or press release concerning such party; provided however, notwithstanding anything to the contrary herein, no such consent shall be required (i) to the extent necessary to comply with the requests of any regulators, legal requirements or laws applicable to such party, pursuant to any listing agreement with any national securities exchange (so long as such party provides prior notice to the other party hereto to the extent reasonably practicable) and (ii) to comply with Section 11.13.</w:t>
      </w:r>
    </w:p>
    <w:p>
      <w:pPr>
        <w:spacing w:after="0" w:line="156" w:lineRule="exact"/>
        <w:rPr>
          <w:rFonts w:ascii="Arial" w:cs="Arial" w:eastAsia="Arial" w:hAnsi="Arial"/>
          <w:sz w:val="19"/>
          <w:szCs w:val="19"/>
          <w:color w:val="auto"/>
        </w:rPr>
      </w:pPr>
    </w:p>
    <w:p>
      <w:pPr>
        <w:jc w:val="both"/>
        <w:ind w:left="2200" w:hanging="320"/>
        <w:spacing w:after="0" w:line="303" w:lineRule="auto"/>
        <w:tabs>
          <w:tab w:leader="none" w:pos="2200" w:val="left"/>
        </w:tabs>
        <w:numPr>
          <w:ilvl w:val="0"/>
          <w:numId w:val="94"/>
        </w:numPr>
        <w:rPr>
          <w:rFonts w:ascii="Arial" w:cs="Arial" w:eastAsia="Arial" w:hAnsi="Arial"/>
          <w:sz w:val="19"/>
          <w:szCs w:val="19"/>
          <w:color w:val="auto"/>
        </w:rPr>
      </w:pPr>
      <w:r>
        <w:rPr>
          <w:rFonts w:ascii="Arial" w:cs="Arial" w:eastAsia="Arial" w:hAnsi="Arial"/>
          <w:sz w:val="19"/>
          <w:szCs w:val="19"/>
          <w:color w:val="auto"/>
        </w:rPr>
        <w:t>Electronic Execution of Certain Other Documents. The words “execution,” “execute”, “signed,” “signature,” and words of like import in or related to any document to be signed in connection with this Agreement and the transactions contemplated hereby (including without limitation assignments, assumptions, amendments, waivers and consents) shall be deemed to include electronic signatures, the electronic matching of assignment terms and contract formations on electronic platforms approved by the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California Uniform Electronic Transaction Act, or any other similar state laws based on the Uniform Electronic Transactions Act.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TO FOLLOW)</w:t>
      </w:r>
    </w:p>
    <w:p>
      <w:pPr>
        <w:spacing w:after="0" w:line="3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79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4" w:name="page165"/>
    <w:bookmarkEnd w:id="164"/>
    <w:p>
      <w:pPr>
        <w:ind w:right="20" w:firstLine="749"/>
        <w:spacing w:after="0" w:line="276" w:lineRule="auto"/>
        <w:rPr>
          <w:sz w:val="20"/>
          <w:szCs w:val="20"/>
          <w:color w:val="auto"/>
        </w:rPr>
      </w:pPr>
      <w:r>
        <w:rPr>
          <w:rFonts w:ascii="Arial" w:cs="Arial" w:eastAsia="Arial" w:hAnsi="Arial"/>
          <w:sz w:val="22"/>
          <w:szCs w:val="22"/>
          <w:color w:val="auto"/>
        </w:rPr>
        <w:t>IN WITNESS WHEREOF, Borrower, Agent and the Lenders have duly executed and delivered this Loan and Security Agreement as of the day and year first above written.</w:t>
      </w:r>
    </w:p>
    <w:p>
      <w:pPr>
        <w:spacing w:after="0" w:line="17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BORROWER:</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AXSOME THERAPEUTICS, INC.</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680" w:type="dxa"/>
            <w:vAlign w:val="bottom"/>
          </w:tcPr>
          <w:p>
            <w:pPr>
              <w:ind w:left="4500"/>
              <w:spacing w:after="0"/>
              <w:rPr>
                <w:sz w:val="20"/>
                <w:szCs w:val="20"/>
                <w:color w:val="auto"/>
              </w:rPr>
            </w:pPr>
            <w:r>
              <w:rPr>
                <w:rFonts w:ascii="Arial" w:cs="Arial" w:eastAsia="Arial" w:hAnsi="Arial"/>
                <w:sz w:val="22"/>
                <w:szCs w:val="22"/>
                <w:color w:val="auto"/>
              </w:rPr>
              <w:t>Signature: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w w:val="99"/>
              </w:rPr>
              <w:t>Print Name: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rPr>
              <w:t>Title: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0"/>
        </w:trPr>
        <w:tc>
          <w:tcPr>
            <w:tcW w:w="5680" w:type="dxa"/>
            <w:vAlign w:val="bottom"/>
          </w:tcPr>
          <w:p>
            <w:pPr>
              <w:spacing w:after="0"/>
              <w:rPr>
                <w:sz w:val="20"/>
                <w:szCs w:val="20"/>
                <w:color w:val="auto"/>
              </w:rPr>
            </w:pPr>
            <w:r>
              <w:rPr>
                <w:rFonts w:ascii="Arial" w:cs="Arial" w:eastAsia="Arial" w:hAnsi="Arial"/>
                <w:sz w:val="22"/>
                <w:szCs w:val="22"/>
                <w:color w:val="auto"/>
              </w:rPr>
              <w:t>Accepted in Palo Alto, California:</w:t>
            </w:r>
          </w:p>
        </w:tc>
        <w:tc>
          <w:tcPr>
            <w:tcW w:w="5560" w:type="dxa"/>
            <w:vAlign w:val="bottom"/>
          </w:tcPr>
          <w:p>
            <w:pPr>
              <w:spacing w:after="0"/>
              <w:rPr>
                <w:sz w:val="23"/>
                <w:szCs w:val="23"/>
                <w:color w:val="auto"/>
              </w:rPr>
            </w:pP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rPr>
              <w:t>AGENT:</w:t>
            </w:r>
          </w:p>
        </w:tc>
        <w:tc>
          <w:tcPr>
            <w:tcW w:w="5560" w:type="dxa"/>
            <w:vAlign w:val="bottom"/>
          </w:tcPr>
          <w:p>
            <w:pPr>
              <w:spacing w:after="0"/>
              <w:rPr>
                <w:sz w:val="23"/>
                <w:szCs w:val="23"/>
                <w:color w:val="auto"/>
              </w:rPr>
            </w:pPr>
          </w:p>
        </w:tc>
      </w:tr>
      <w:tr>
        <w:trPr>
          <w:trHeight w:val="270"/>
        </w:trPr>
        <w:tc>
          <w:tcPr>
            <w:tcW w:w="11240" w:type="dxa"/>
            <w:vAlign w:val="bottom"/>
            <w:gridSpan w:val="2"/>
          </w:tcPr>
          <w:p>
            <w:pPr>
              <w:ind w:left="4500"/>
              <w:spacing w:after="0"/>
              <w:rPr>
                <w:sz w:val="20"/>
                <w:szCs w:val="20"/>
                <w:color w:val="auto"/>
              </w:rPr>
            </w:pPr>
            <w:r>
              <w:rPr>
                <w:rFonts w:ascii="Arial" w:cs="Arial" w:eastAsia="Arial" w:hAnsi="Arial"/>
                <w:sz w:val="22"/>
                <w:szCs w:val="22"/>
                <w:color w:val="auto"/>
              </w:rPr>
              <w:t>HERCULES CAPITAL, INC.</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rPr>
              <w:t>Signature: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w w:val="99"/>
              </w:rPr>
              <w:t>Print Name: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rPr>
              <w:t>Title: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rPr>
              <w:t>LENDERS:</w:t>
            </w:r>
          </w:p>
        </w:tc>
        <w:tc>
          <w:tcPr>
            <w:tcW w:w="5560" w:type="dxa"/>
            <w:vAlign w:val="bottom"/>
          </w:tcPr>
          <w:p>
            <w:pPr>
              <w:spacing w:after="0"/>
              <w:rPr>
                <w:sz w:val="23"/>
                <w:szCs w:val="23"/>
                <w:color w:val="auto"/>
              </w:rPr>
            </w:pPr>
          </w:p>
        </w:tc>
      </w:tr>
      <w:tr>
        <w:trPr>
          <w:trHeight w:val="270"/>
        </w:trPr>
        <w:tc>
          <w:tcPr>
            <w:tcW w:w="11240" w:type="dxa"/>
            <w:vAlign w:val="bottom"/>
            <w:gridSpan w:val="2"/>
          </w:tcPr>
          <w:p>
            <w:pPr>
              <w:ind w:left="4500"/>
              <w:spacing w:after="0"/>
              <w:rPr>
                <w:sz w:val="20"/>
                <w:szCs w:val="20"/>
                <w:color w:val="auto"/>
              </w:rPr>
            </w:pPr>
            <w:r>
              <w:rPr>
                <w:rFonts w:ascii="Arial" w:cs="Arial" w:eastAsia="Arial" w:hAnsi="Arial"/>
                <w:sz w:val="22"/>
                <w:szCs w:val="22"/>
                <w:color w:val="auto"/>
              </w:rPr>
              <w:t>HERCULES CAPITAL, INC.</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rPr>
              <w:t>Signature: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0"/>
        </w:trPr>
        <w:tc>
          <w:tcPr>
            <w:tcW w:w="5680" w:type="dxa"/>
            <w:vAlign w:val="bottom"/>
          </w:tcPr>
          <w:p>
            <w:pPr>
              <w:ind w:left="4500"/>
              <w:spacing w:after="0"/>
              <w:rPr>
                <w:sz w:val="20"/>
                <w:szCs w:val="20"/>
                <w:color w:val="auto"/>
              </w:rPr>
            </w:pPr>
            <w:r>
              <w:rPr>
                <w:rFonts w:ascii="Arial" w:cs="Arial" w:eastAsia="Arial" w:hAnsi="Arial"/>
                <w:sz w:val="22"/>
                <w:szCs w:val="22"/>
                <w:color w:val="auto"/>
                <w:w w:val="99"/>
              </w:rPr>
              <w:t>Print Name: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274"/>
        </w:trPr>
        <w:tc>
          <w:tcPr>
            <w:tcW w:w="5680" w:type="dxa"/>
            <w:vAlign w:val="bottom"/>
          </w:tcPr>
          <w:p>
            <w:pPr>
              <w:ind w:left="4500"/>
              <w:spacing w:after="0"/>
              <w:rPr>
                <w:sz w:val="20"/>
                <w:szCs w:val="20"/>
                <w:color w:val="auto"/>
              </w:rPr>
            </w:pPr>
            <w:r>
              <w:rPr>
                <w:rFonts w:ascii="Arial" w:cs="Arial" w:eastAsia="Arial" w:hAnsi="Arial"/>
                <w:sz w:val="22"/>
                <w:szCs w:val="22"/>
                <w:color w:val="auto"/>
              </w:rPr>
              <w:t>Title:</w:t>
            </w:r>
          </w:p>
        </w:tc>
        <w:tc>
          <w:tcPr>
            <w:tcW w:w="5560" w:type="dxa"/>
            <w:vAlign w:val="bottom"/>
          </w:tcPr>
          <w:p>
            <w:pPr>
              <w:jc w:val="right"/>
              <w:ind w:right="2852"/>
              <w:spacing w:after="0"/>
              <w:rPr>
                <w:sz w:val="20"/>
                <w:szCs w:val="20"/>
                <w:color w:val="auto"/>
              </w:rPr>
            </w:pPr>
            <w:r>
              <w:rPr>
                <w:rFonts w:ascii="Arial" w:cs="Arial" w:eastAsia="Arial" w:hAnsi="Arial"/>
                <w:sz w:val="22"/>
                <w:szCs w:val="22"/>
                <w:color w:val="auto"/>
                <w:w w:val="91"/>
              </w:rPr>
              <w:t>_______________________</w:t>
            </w:r>
          </w:p>
        </w:tc>
      </w:tr>
      <w:tr>
        <w:trPr>
          <w:trHeight w:val="436"/>
        </w:trPr>
        <w:tc>
          <w:tcPr>
            <w:tcW w:w="5680" w:type="dxa"/>
            <w:vAlign w:val="bottom"/>
          </w:tcPr>
          <w:p>
            <w:pPr>
              <w:ind w:left="460"/>
              <w:spacing w:after="0"/>
              <w:rPr>
                <w:sz w:val="20"/>
                <w:szCs w:val="20"/>
                <w:color w:val="auto"/>
              </w:rPr>
            </w:pPr>
            <w:r>
              <w:rPr>
                <w:rFonts w:ascii="Arial" w:cs="Arial" w:eastAsia="Arial" w:hAnsi="Arial"/>
                <w:sz w:val="18"/>
                <w:szCs w:val="18"/>
                <w:color w:val="auto"/>
              </w:rPr>
              <w:t>80</w:t>
            </w:r>
          </w:p>
        </w:tc>
        <w:tc>
          <w:tcPr>
            <w:tcW w:w="5560" w:type="dxa"/>
            <w:vAlign w:val="bottom"/>
          </w:tcPr>
          <w:p>
            <w:pPr>
              <w:spacing w:after="0"/>
              <w:rPr>
                <w:sz w:val="24"/>
                <w:szCs w:val="24"/>
                <w:color w:val="auto"/>
              </w:rPr>
            </w:pPr>
          </w:p>
        </w:tc>
      </w:tr>
      <w:tr>
        <w:trPr>
          <w:trHeight w:val="305"/>
        </w:trPr>
        <w:tc>
          <w:tcPr>
            <w:tcW w:w="5680" w:type="dxa"/>
            <w:vAlign w:val="bottom"/>
          </w:tcPr>
          <w:p>
            <w:pPr>
              <w:spacing w:after="0"/>
              <w:rPr>
                <w:sz w:val="20"/>
                <w:szCs w:val="20"/>
                <w:color w:val="auto"/>
              </w:rPr>
            </w:pPr>
            <w:r>
              <w:rPr>
                <w:rFonts w:ascii="Arial" w:cs="Arial" w:eastAsia="Arial" w:hAnsi="Arial"/>
                <w:sz w:val="16"/>
                <w:szCs w:val="16"/>
                <w:color w:val="auto"/>
              </w:rPr>
              <w:t>US-DOCS\126945775.5</w:t>
            </w:r>
          </w:p>
        </w:tc>
        <w:tc>
          <w:tcPr>
            <w:tcW w:w="5560" w:type="dxa"/>
            <w:vAlign w:val="bottom"/>
          </w:tcPr>
          <w:p>
            <w:pPr>
              <w:spacing w:after="0"/>
              <w:rPr>
                <w:sz w:val="24"/>
                <w:szCs w:val="24"/>
                <w:color w:val="auto"/>
              </w:rPr>
            </w:pPr>
          </w:p>
        </w:tc>
      </w:tr>
      <w:tr>
        <w:trPr>
          <w:trHeight w:val="121"/>
        </w:trPr>
        <w:tc>
          <w:tcPr>
            <w:tcW w:w="5680" w:type="dxa"/>
            <w:vAlign w:val="bottom"/>
            <w:tcBorders>
              <w:bottom w:val="single" w:sz="8" w:color="9A9A9A"/>
            </w:tcBorders>
          </w:tcPr>
          <w:p>
            <w:pPr>
              <w:spacing w:after="0"/>
              <w:rPr>
                <w:sz w:val="10"/>
                <w:szCs w:val="10"/>
                <w:color w:val="auto"/>
              </w:rPr>
            </w:pPr>
          </w:p>
        </w:tc>
        <w:tc>
          <w:tcPr>
            <w:tcW w:w="5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Table of Addenda, Exhibits and Schedules</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Addendum 1: Taxes; Increased Costs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Addendum 2: [Reserved]</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Addendum 3: Agent and Lender Terms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1260" w:type="dxa"/>
            <w:vAlign w:val="bottom"/>
          </w:tcPr>
          <w:p>
            <w:pPr>
              <w:spacing w:after="0"/>
              <w:rPr>
                <w:sz w:val="20"/>
                <w:szCs w:val="20"/>
                <w:color w:val="auto"/>
              </w:rPr>
            </w:pPr>
            <w:r>
              <w:rPr>
                <w:rFonts w:ascii="Arial" w:cs="Arial" w:eastAsia="Arial" w:hAnsi="Arial"/>
                <w:sz w:val="22"/>
                <w:szCs w:val="22"/>
                <w:color w:val="auto"/>
              </w:rPr>
              <w:t>Exhibit A:</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Advance Request</w:t>
            </w:r>
          </w:p>
        </w:tc>
      </w:tr>
      <w:tr>
        <w:trPr>
          <w:trHeight w:val="270"/>
        </w:trPr>
        <w:tc>
          <w:tcPr>
            <w:tcW w:w="10920" w:type="dxa"/>
            <w:vAlign w:val="bottom"/>
            <w:gridSpan w:val="3"/>
          </w:tcPr>
          <w:p>
            <w:pPr>
              <w:ind w:left="980"/>
              <w:spacing w:after="0"/>
              <w:rPr>
                <w:sz w:val="20"/>
                <w:szCs w:val="20"/>
                <w:color w:val="auto"/>
              </w:rPr>
            </w:pPr>
            <w:r>
              <w:rPr>
                <w:rFonts w:ascii="Arial" w:cs="Arial" w:eastAsia="Arial" w:hAnsi="Arial"/>
                <w:sz w:val="22"/>
                <w:szCs w:val="22"/>
                <w:color w:val="auto"/>
              </w:rPr>
              <w:t>Attachment to Advance Request</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B:</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Name, Locations, and Other Information for Borrower</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C:</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Borrower’s Patents, Trademarks, Copyrights and Licenses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D:</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Borrower’s Deposit Accounts and Investment Accounts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E:</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Compliance Certificate</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F:</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Joinder Agreement</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G:</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[Reserved]</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H:</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ACH Debit Authorization Agreement</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I:</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rPr>
              <w:t>[Reserved]</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J-1:</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w w:val="92"/>
              </w:rPr>
              <w:t>Form of U.S. Tax Compliance Certificate (For Foreign Lenders That Are Not Partnerships For U.S. Federal</w:t>
            </w:r>
          </w:p>
        </w:tc>
      </w:tr>
      <w:tr>
        <w:trPr>
          <w:trHeight w:val="270"/>
        </w:trPr>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Income Tax Purposes)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J-2:</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w w:val="89"/>
              </w:rPr>
              <w:t>Form of U.S. Tax Compliance Certificate (For Foreign Participants That Are Not Partnerships For U.S. Federal</w:t>
            </w:r>
          </w:p>
        </w:tc>
      </w:tr>
      <w:tr>
        <w:trPr>
          <w:trHeight w:val="270"/>
        </w:trPr>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Income Tax Purposes)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J-3:</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w w:val="93"/>
              </w:rPr>
              <w:t>Form of U.S. Tax Compliance Certificate (For Foreign Participants That Are Partnerships For U.S. Federal</w:t>
            </w:r>
          </w:p>
        </w:tc>
      </w:tr>
      <w:tr>
        <w:trPr>
          <w:trHeight w:val="270"/>
        </w:trPr>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Income Tax Purposes)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Exhibit J-4:</w:t>
            </w:r>
          </w:p>
        </w:tc>
        <w:tc>
          <w:tcPr>
            <w:tcW w:w="9660" w:type="dxa"/>
            <w:vAlign w:val="bottom"/>
            <w:gridSpan w:val="2"/>
          </w:tcPr>
          <w:p>
            <w:pPr>
              <w:ind w:left="40"/>
              <w:spacing w:after="0"/>
              <w:rPr>
                <w:sz w:val="20"/>
                <w:szCs w:val="20"/>
                <w:color w:val="auto"/>
              </w:rPr>
            </w:pPr>
            <w:r>
              <w:rPr>
                <w:rFonts w:ascii="Arial" w:cs="Arial" w:eastAsia="Arial" w:hAnsi="Arial"/>
                <w:sz w:val="22"/>
                <w:szCs w:val="22"/>
                <w:color w:val="auto"/>
                <w:w w:val="89"/>
              </w:rPr>
              <w:t>Form of U.S. Tax Compliance Certificate (For Foreign Lenders That Are Partnerships For U.S. Federal Income</w:t>
            </w:r>
          </w:p>
        </w:tc>
      </w:tr>
      <w:tr>
        <w:trPr>
          <w:trHeight w:val="270"/>
        </w:trPr>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Tax Purposes)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96"/>
              </w:rPr>
              <w:t>Schedule 1.1</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Commitments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rPr>
              <w:t>Schedule 1</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Subsidiaries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99"/>
              </w:rPr>
              <w:t>Schedule 1A</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Existing Permitted Indebtedness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99"/>
              </w:rPr>
              <w:t>Schedule 1B</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Existing Permitted Investments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98"/>
              </w:rPr>
              <w:t>Schedule 1C</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Existing Permitted Liens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96"/>
              </w:rPr>
              <w:t>Schedule 5.3</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Consents, Etc.</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96"/>
              </w:rPr>
              <w:t>Schedule 5.8</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Tax Matters</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96"/>
              </w:rPr>
              <w:t>Schedule 5.9</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Intellectual Property Claims</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88"/>
              </w:rPr>
              <w:t>Schedule 5.10(a)</w:t>
            </w:r>
          </w:p>
        </w:tc>
        <w:tc>
          <w:tcPr>
            <w:tcW w:w="9420" w:type="dxa"/>
            <w:vAlign w:val="bottom"/>
          </w:tcPr>
          <w:p>
            <w:pPr>
              <w:ind w:left="240"/>
              <w:spacing w:after="0"/>
              <w:rPr>
                <w:sz w:val="20"/>
                <w:szCs w:val="20"/>
                <w:color w:val="auto"/>
              </w:rPr>
            </w:pPr>
            <w:r>
              <w:rPr>
                <w:rFonts w:ascii="Arial" w:cs="Arial" w:eastAsia="Arial" w:hAnsi="Arial"/>
                <w:sz w:val="22"/>
                <w:szCs w:val="22"/>
                <w:color w:val="auto"/>
              </w:rPr>
              <w:t>Current Company IP</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88"/>
              </w:rPr>
              <w:t>Schedule 5.10(d)</w:t>
            </w:r>
          </w:p>
        </w:tc>
        <w:tc>
          <w:tcPr>
            <w:tcW w:w="9420" w:type="dxa"/>
            <w:vAlign w:val="bottom"/>
          </w:tcPr>
          <w:p>
            <w:pPr>
              <w:ind w:left="240"/>
              <w:spacing w:after="0"/>
              <w:rPr>
                <w:sz w:val="20"/>
                <w:szCs w:val="20"/>
                <w:color w:val="auto"/>
              </w:rPr>
            </w:pPr>
            <w:r>
              <w:rPr>
                <w:rFonts w:ascii="Arial" w:cs="Arial" w:eastAsia="Arial" w:hAnsi="Arial"/>
                <w:sz w:val="22"/>
                <w:szCs w:val="22"/>
                <w:color w:val="auto"/>
              </w:rPr>
              <w:t>Matters Relating to current Material Agreements</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91"/>
              </w:rPr>
              <w:t>Schedule 5.10(f)</w:t>
            </w:r>
          </w:p>
        </w:tc>
        <w:tc>
          <w:tcPr>
            <w:tcW w:w="9420" w:type="dxa"/>
            <w:vAlign w:val="bottom"/>
          </w:tcPr>
          <w:p>
            <w:pPr>
              <w:ind w:left="240"/>
              <w:spacing w:after="0"/>
              <w:rPr>
                <w:sz w:val="20"/>
                <w:szCs w:val="20"/>
                <w:color w:val="auto"/>
              </w:rPr>
            </w:pPr>
            <w:r>
              <w:rPr>
                <w:rFonts w:ascii="Arial" w:cs="Arial" w:eastAsia="Arial" w:hAnsi="Arial"/>
                <w:sz w:val="22"/>
                <w:szCs w:val="22"/>
                <w:color w:val="auto"/>
              </w:rPr>
              <w:t>Enforceability, Entitlement and Exploitation of Current Company IP</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92"/>
              </w:rPr>
              <w:t>Schedule 5.10(i)</w:t>
            </w:r>
          </w:p>
        </w:tc>
        <w:tc>
          <w:tcPr>
            <w:tcW w:w="9420" w:type="dxa"/>
            <w:vAlign w:val="bottom"/>
          </w:tcPr>
          <w:p>
            <w:pPr>
              <w:ind w:left="240"/>
              <w:spacing w:after="0"/>
              <w:rPr>
                <w:sz w:val="20"/>
                <w:szCs w:val="20"/>
                <w:color w:val="auto"/>
              </w:rPr>
            </w:pPr>
            <w:r>
              <w:rPr>
                <w:rFonts w:ascii="Arial" w:cs="Arial" w:eastAsia="Arial" w:hAnsi="Arial"/>
                <w:sz w:val="22"/>
                <w:szCs w:val="22"/>
                <w:color w:val="auto"/>
              </w:rPr>
              <w:t>Claims of Infringement on Third Party IP By Current Company IP</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92"/>
              </w:rPr>
              <w:t>Schedule 5.10(j)</w:t>
            </w:r>
          </w:p>
        </w:tc>
        <w:tc>
          <w:tcPr>
            <w:tcW w:w="9420" w:type="dxa"/>
            <w:vAlign w:val="bottom"/>
          </w:tcPr>
          <w:p>
            <w:pPr>
              <w:ind w:left="240"/>
              <w:spacing w:after="0"/>
              <w:rPr>
                <w:sz w:val="20"/>
                <w:szCs w:val="20"/>
                <w:color w:val="auto"/>
              </w:rPr>
            </w:pPr>
            <w:r>
              <w:rPr>
                <w:rFonts w:ascii="Arial" w:cs="Arial" w:eastAsia="Arial" w:hAnsi="Arial"/>
                <w:sz w:val="22"/>
                <w:szCs w:val="22"/>
                <w:color w:val="auto"/>
              </w:rPr>
              <w:t>Infringement on Third Party IP By Current Company IP</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88"/>
              </w:rPr>
              <w:t>Schedule 5.10(k)</w:t>
            </w:r>
          </w:p>
        </w:tc>
        <w:tc>
          <w:tcPr>
            <w:tcW w:w="9420" w:type="dxa"/>
            <w:vAlign w:val="bottom"/>
          </w:tcPr>
          <w:p>
            <w:pPr>
              <w:ind w:left="240"/>
              <w:spacing w:after="0"/>
              <w:rPr>
                <w:sz w:val="20"/>
                <w:szCs w:val="20"/>
                <w:color w:val="auto"/>
              </w:rPr>
            </w:pPr>
            <w:r>
              <w:rPr>
                <w:rFonts w:ascii="Arial" w:cs="Arial" w:eastAsia="Arial" w:hAnsi="Arial"/>
                <w:sz w:val="22"/>
                <w:szCs w:val="22"/>
                <w:color w:val="auto"/>
              </w:rPr>
              <w:t>Obligations Relating to Company IP</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92"/>
              </w:rPr>
              <w:t>Schedule 5.10(l)</w:t>
            </w:r>
          </w:p>
        </w:tc>
        <w:tc>
          <w:tcPr>
            <w:tcW w:w="9420" w:type="dxa"/>
            <w:vAlign w:val="bottom"/>
          </w:tcPr>
          <w:p>
            <w:pPr>
              <w:ind w:left="240"/>
              <w:spacing w:after="0"/>
              <w:rPr>
                <w:sz w:val="20"/>
                <w:szCs w:val="20"/>
                <w:color w:val="auto"/>
              </w:rPr>
            </w:pPr>
            <w:r>
              <w:rPr>
                <w:rFonts w:ascii="Arial" w:cs="Arial" w:eastAsia="Arial" w:hAnsi="Arial"/>
                <w:sz w:val="22"/>
                <w:szCs w:val="22"/>
                <w:color w:val="auto"/>
              </w:rPr>
              <w:t>Third Party Infringements of Company IP</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88"/>
              </w:rPr>
              <w:t>Schedule 5.10(n)</w:t>
            </w:r>
          </w:p>
        </w:tc>
        <w:tc>
          <w:tcPr>
            <w:tcW w:w="9420" w:type="dxa"/>
            <w:vAlign w:val="bottom"/>
          </w:tcPr>
          <w:p>
            <w:pPr>
              <w:ind w:left="240"/>
              <w:spacing w:after="0"/>
              <w:rPr>
                <w:sz w:val="20"/>
                <w:szCs w:val="20"/>
                <w:color w:val="auto"/>
              </w:rPr>
            </w:pPr>
            <w:r>
              <w:rPr>
                <w:rFonts w:ascii="Arial" w:cs="Arial" w:eastAsia="Arial" w:hAnsi="Arial"/>
                <w:sz w:val="22"/>
                <w:szCs w:val="22"/>
                <w:color w:val="auto"/>
              </w:rPr>
              <w:t>FDA Good Manufacturing Practices Compliance Matters</w:t>
            </w:r>
          </w:p>
        </w:tc>
      </w:tr>
      <w:tr>
        <w:trPr>
          <w:trHeight w:val="270"/>
        </w:trPr>
        <w:tc>
          <w:tcPr>
            <w:tcW w:w="1500" w:type="dxa"/>
            <w:vAlign w:val="bottom"/>
            <w:gridSpan w:val="2"/>
          </w:tcPr>
          <w:p>
            <w:pPr>
              <w:spacing w:after="0"/>
              <w:rPr>
                <w:sz w:val="20"/>
                <w:szCs w:val="20"/>
                <w:color w:val="auto"/>
              </w:rPr>
            </w:pPr>
            <w:r>
              <w:rPr>
                <w:rFonts w:ascii="Arial" w:cs="Arial" w:eastAsia="Arial" w:hAnsi="Arial"/>
                <w:sz w:val="22"/>
                <w:szCs w:val="22"/>
                <w:color w:val="auto"/>
                <w:w w:val="88"/>
              </w:rPr>
              <w:t>Schedule 5.10(o)</w:t>
            </w:r>
          </w:p>
        </w:tc>
        <w:tc>
          <w:tcPr>
            <w:tcW w:w="9420" w:type="dxa"/>
            <w:vAlign w:val="bottom"/>
          </w:tcPr>
          <w:p>
            <w:pPr>
              <w:ind w:left="660"/>
              <w:spacing w:after="0"/>
              <w:rPr>
                <w:sz w:val="20"/>
                <w:szCs w:val="20"/>
                <w:color w:val="auto"/>
              </w:rPr>
            </w:pPr>
            <w:r>
              <w:rPr>
                <w:rFonts w:ascii="Arial" w:cs="Arial" w:eastAsia="Arial" w:hAnsi="Arial"/>
                <w:sz w:val="22"/>
                <w:szCs w:val="22"/>
                <w:color w:val="auto"/>
              </w:rPr>
              <w:t>Intellectual Property</w:t>
            </w:r>
          </w:p>
        </w:tc>
      </w:tr>
      <w:tr>
        <w:trPr>
          <w:trHeight w:val="270"/>
        </w:trPr>
        <w:tc>
          <w:tcPr>
            <w:tcW w:w="1260" w:type="dxa"/>
            <w:vAlign w:val="bottom"/>
          </w:tcPr>
          <w:p>
            <w:pPr>
              <w:spacing w:after="0"/>
              <w:rPr>
                <w:sz w:val="20"/>
                <w:szCs w:val="20"/>
                <w:color w:val="auto"/>
              </w:rPr>
            </w:pPr>
            <w:r>
              <w:rPr>
                <w:rFonts w:ascii="Arial" w:cs="Arial" w:eastAsia="Arial" w:hAnsi="Arial"/>
                <w:sz w:val="22"/>
                <w:szCs w:val="22"/>
                <w:color w:val="auto"/>
                <w:w w:val="88"/>
              </w:rPr>
              <w:t>Schedule 5.11</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Borrower Products</w:t>
            </w:r>
          </w:p>
        </w:tc>
      </w:tr>
      <w:tr>
        <w:trPr>
          <w:trHeight w:val="274"/>
        </w:trPr>
        <w:tc>
          <w:tcPr>
            <w:tcW w:w="1260" w:type="dxa"/>
            <w:vAlign w:val="bottom"/>
          </w:tcPr>
          <w:p>
            <w:pPr>
              <w:spacing w:after="0"/>
              <w:rPr>
                <w:sz w:val="20"/>
                <w:szCs w:val="20"/>
                <w:color w:val="auto"/>
              </w:rPr>
            </w:pPr>
            <w:r>
              <w:rPr>
                <w:rFonts w:ascii="Arial" w:cs="Arial" w:eastAsia="Arial" w:hAnsi="Arial"/>
                <w:sz w:val="22"/>
                <w:szCs w:val="22"/>
                <w:color w:val="auto"/>
                <w:w w:val="88"/>
              </w:rPr>
              <w:t>Schedule 5.14</w:t>
            </w:r>
          </w:p>
        </w:tc>
        <w:tc>
          <w:tcPr>
            <w:tcW w:w="240" w:type="dxa"/>
            <w:vAlign w:val="bottom"/>
          </w:tcPr>
          <w:p>
            <w:pPr>
              <w:spacing w:after="0"/>
              <w:rPr>
                <w:sz w:val="23"/>
                <w:szCs w:val="23"/>
                <w:color w:val="auto"/>
              </w:rPr>
            </w:pPr>
          </w:p>
        </w:tc>
        <w:tc>
          <w:tcPr>
            <w:tcW w:w="9420" w:type="dxa"/>
            <w:vAlign w:val="bottom"/>
          </w:tcPr>
          <w:p>
            <w:pPr>
              <w:ind w:left="240"/>
              <w:spacing w:after="0"/>
              <w:rPr>
                <w:sz w:val="20"/>
                <w:szCs w:val="20"/>
                <w:color w:val="auto"/>
              </w:rPr>
            </w:pPr>
            <w:r>
              <w:rPr>
                <w:rFonts w:ascii="Arial" w:cs="Arial" w:eastAsia="Arial" w:hAnsi="Arial"/>
                <w:sz w:val="22"/>
                <w:szCs w:val="22"/>
                <w:color w:val="auto"/>
              </w:rPr>
              <w:t>Capitalization</w:t>
            </w:r>
          </w:p>
        </w:tc>
      </w:tr>
    </w:tbl>
    <w:p>
      <w:pPr>
        <w:spacing w:after="0" w:line="2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61" w:right="659" w:bottom="1440" w:gutter="0" w:footer="0" w:header="0"/>
        </w:sectPr>
      </w:pPr>
    </w:p>
    <w:bookmarkStart w:id="166" w:name="page167"/>
    <w:bookmarkEnd w:id="166"/>
    <w:p>
      <w:pPr>
        <w:jc w:val="center"/>
        <w:spacing w:after="0"/>
        <w:rPr>
          <w:sz w:val="20"/>
          <w:szCs w:val="20"/>
          <w:color w:val="auto"/>
        </w:rPr>
      </w:pPr>
      <w:r>
        <w:rPr>
          <w:rFonts w:ascii="Arial" w:cs="Arial" w:eastAsia="Arial" w:hAnsi="Arial"/>
          <w:sz w:val="22"/>
          <w:szCs w:val="22"/>
          <w:b w:val="1"/>
          <w:bCs w:val="1"/>
          <w:color w:val="auto"/>
        </w:rPr>
        <w:t>ADDENDUM 1 to LOAN AND SECURITY AGREEMENT</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TAXES; INCREASED COSTS</w:t>
      </w:r>
    </w:p>
    <w:p>
      <w:pPr>
        <w:spacing w:after="0" w:line="223" w:lineRule="exact"/>
        <w:rPr>
          <w:sz w:val="20"/>
          <w:szCs w:val="20"/>
          <w:color w:val="auto"/>
        </w:rPr>
      </w:pPr>
    </w:p>
    <w:p>
      <w:pPr>
        <w:ind w:left="340" w:hanging="332"/>
        <w:spacing w:after="0"/>
        <w:tabs>
          <w:tab w:leader="none" w:pos="340" w:val="left"/>
        </w:tabs>
        <w:numPr>
          <w:ilvl w:val="0"/>
          <w:numId w:val="95"/>
        </w:numPr>
        <w:rPr>
          <w:rFonts w:ascii="Arial" w:cs="Arial" w:eastAsia="Arial" w:hAnsi="Arial"/>
          <w:sz w:val="22"/>
          <w:szCs w:val="22"/>
          <w:b w:val="1"/>
          <w:bCs w:val="1"/>
          <w:color w:val="auto"/>
        </w:rPr>
      </w:pPr>
      <w:r>
        <w:rPr>
          <w:rFonts w:ascii="Arial" w:cs="Arial" w:eastAsia="Arial" w:hAnsi="Arial"/>
          <w:sz w:val="22"/>
          <w:szCs w:val="22"/>
          <w:b w:val="1"/>
          <w:bCs w:val="1"/>
          <w:color w:val="auto"/>
        </w:rPr>
        <w:t>Defined Terms</w:t>
      </w:r>
      <w:r>
        <w:rPr>
          <w:rFonts w:ascii="Arial" w:cs="Arial" w:eastAsia="Arial" w:hAnsi="Arial"/>
          <w:sz w:val="22"/>
          <w:szCs w:val="22"/>
          <w:color w:val="auto"/>
        </w:rPr>
        <w:t>. For purposes of this Addendum 1:</w:t>
      </w:r>
    </w:p>
    <w:p>
      <w:pPr>
        <w:spacing w:after="0" w:line="233" w:lineRule="exact"/>
        <w:rPr>
          <w:rFonts w:ascii="Arial" w:cs="Arial" w:eastAsia="Arial" w:hAnsi="Arial"/>
          <w:sz w:val="22"/>
          <w:szCs w:val="22"/>
          <w:b w:val="1"/>
          <w:bCs w:val="1"/>
          <w:color w:val="auto"/>
        </w:rPr>
      </w:pPr>
    </w:p>
    <w:p>
      <w:pPr>
        <w:ind w:firstLine="800"/>
        <w:spacing w:after="0" w:line="282" w:lineRule="auto"/>
        <w:tabs>
          <w:tab w:leader="none" w:pos="1397"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Connection Income Taxes</w:t>
      </w:r>
      <w:r>
        <w:rPr>
          <w:rFonts w:ascii="Arial" w:cs="Arial" w:eastAsia="Arial" w:hAnsi="Arial"/>
          <w:sz w:val="22"/>
          <w:szCs w:val="22"/>
          <w:color w:val="auto"/>
        </w:rPr>
        <w:t>” means Other Connection Taxes that are imposed on or measured by net income (however denominated) or that are franchise Taxes or branch profits Taxes.</w:t>
      </w:r>
    </w:p>
    <w:p>
      <w:pPr>
        <w:spacing w:after="0" w:line="161" w:lineRule="exact"/>
        <w:rPr>
          <w:rFonts w:ascii="Arial" w:cs="Arial" w:eastAsia="Arial" w:hAnsi="Arial"/>
          <w:sz w:val="22"/>
          <w:szCs w:val="22"/>
          <w:color w:val="auto"/>
        </w:rPr>
      </w:pPr>
    </w:p>
    <w:p>
      <w:pPr>
        <w:jc w:val="both"/>
        <w:ind w:firstLine="800"/>
        <w:spacing w:after="0" w:line="271" w:lineRule="auto"/>
        <w:tabs>
          <w:tab w:leader="none" w:pos="1397" w:val="left"/>
        </w:tabs>
        <w:numPr>
          <w:ilvl w:val="1"/>
          <w:numId w:val="9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color w:val="auto"/>
        </w:rPr>
        <w:t>Excluded Taxes</w:t>
      </w:r>
      <w:r>
        <w:rPr>
          <w:rFonts w:ascii="Arial" w:cs="Arial" w:eastAsia="Arial" w:hAnsi="Arial"/>
          <w:sz w:val="21"/>
          <w:szCs w:val="21"/>
          <w:color w:val="auto"/>
        </w:rPr>
        <w:t>” means any of the following Taxes imposed on or with respect to a Recipient or required to be withheld or deducted from a payment to a Recipient, (i) Taxes imposed on or measured by net income (however denominated), franchise Taxes, and branch profits Taxes, in each case, (A) imposed as a result of such Recipient being organized under the laws of, or having its principal office or, in the case of any Lender, its applicable lending office located in, the jurisdiction imposing such Tax (or any political subdivision thereof) or (B) that are Other Connection Taxes, (ii) in the case of a Lender, U.S. federal withholding Taxes imposed on amounts payable to or for the account of such Lender with respect to an applicable interest in a Loan or Term Commitment pursuant to a law in effect on the date on which (A) such Lender acquires such interest in the Loan or Term Commitment or (B) such Lender changes its lending office, except in each case to the extent that, pursuant to Section 2 or Section 4 of this Addendum 1, amounts with respect to such Taxes were payable either to such Lender’s assignor immediately before such Lender became a party hereto or to such Lender immediately before it changed its lending office, (iii) Taxes attributable to such Recipient’s failure to comply with Section 7 of this Addendum 1 and (iv) any withholding Taxes imposed under FATCA.</w:t>
      </w:r>
    </w:p>
    <w:p>
      <w:pPr>
        <w:spacing w:after="0" w:line="183" w:lineRule="exact"/>
        <w:rPr>
          <w:rFonts w:ascii="Arial" w:cs="Arial" w:eastAsia="Arial" w:hAnsi="Arial"/>
          <w:sz w:val="21"/>
          <w:szCs w:val="21"/>
          <w:color w:val="auto"/>
        </w:rPr>
      </w:pPr>
    </w:p>
    <w:p>
      <w:pPr>
        <w:jc w:val="both"/>
        <w:ind w:firstLine="800"/>
        <w:spacing w:after="0" w:line="313" w:lineRule="auto"/>
        <w:tabs>
          <w:tab w:leader="none" w:pos="1397" w:val="left"/>
        </w:tabs>
        <w:numPr>
          <w:ilvl w:val="1"/>
          <w:numId w:val="9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color w:val="auto"/>
        </w:rPr>
        <w:t>FATCA</w:t>
      </w:r>
      <w:r>
        <w:rPr>
          <w:rFonts w:ascii="Arial" w:cs="Arial" w:eastAsia="Arial" w:hAnsi="Arial"/>
          <w:sz w:val="19"/>
          <w:szCs w:val="19"/>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41" w:lineRule="exact"/>
        <w:rPr>
          <w:rFonts w:ascii="Arial" w:cs="Arial" w:eastAsia="Arial" w:hAnsi="Arial"/>
          <w:sz w:val="19"/>
          <w:szCs w:val="19"/>
          <w:color w:val="auto"/>
        </w:rPr>
      </w:pPr>
    </w:p>
    <w:p>
      <w:pPr>
        <w:ind w:left="1400" w:hanging="600"/>
        <w:spacing w:after="0"/>
        <w:tabs>
          <w:tab w:leader="none" w:pos="1400"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Foreign Lender</w:t>
      </w:r>
      <w:r>
        <w:rPr>
          <w:rFonts w:ascii="Arial" w:cs="Arial" w:eastAsia="Arial" w:hAnsi="Arial"/>
          <w:sz w:val="22"/>
          <w:szCs w:val="22"/>
          <w:color w:val="auto"/>
        </w:rPr>
        <w:t>” means a Lender that is not a U.S. Person.</w:t>
      </w:r>
    </w:p>
    <w:p>
      <w:pPr>
        <w:spacing w:after="0" w:line="233" w:lineRule="exact"/>
        <w:rPr>
          <w:rFonts w:ascii="Arial" w:cs="Arial" w:eastAsia="Arial" w:hAnsi="Arial"/>
          <w:sz w:val="22"/>
          <w:szCs w:val="22"/>
          <w:color w:val="auto"/>
        </w:rPr>
      </w:pPr>
    </w:p>
    <w:p>
      <w:pPr>
        <w:jc w:val="both"/>
        <w:ind w:firstLine="800"/>
        <w:spacing w:after="0" w:line="269" w:lineRule="auto"/>
        <w:tabs>
          <w:tab w:leader="none" w:pos="1397"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Indemnified Taxes</w:t>
      </w:r>
      <w:r>
        <w:rPr>
          <w:rFonts w:ascii="Arial" w:cs="Arial" w:eastAsia="Arial" w:hAnsi="Arial"/>
          <w:sz w:val="22"/>
          <w:szCs w:val="22"/>
          <w:color w:val="auto"/>
        </w:rPr>
        <w:t>” means (i) Taxes, other than Excluded Taxes, imposed on or with respect to any payment made by or on account of any obligation of the Borrower under any Loan Document and (ii) to the extent not otherwise described in clause (i), Other Taxes.</w:t>
      </w:r>
    </w:p>
    <w:p>
      <w:pPr>
        <w:spacing w:after="0" w:line="175" w:lineRule="exact"/>
        <w:rPr>
          <w:rFonts w:ascii="Arial" w:cs="Arial" w:eastAsia="Arial" w:hAnsi="Arial"/>
          <w:sz w:val="22"/>
          <w:szCs w:val="22"/>
          <w:color w:val="auto"/>
        </w:rPr>
      </w:pPr>
    </w:p>
    <w:p>
      <w:pPr>
        <w:jc w:val="both"/>
        <w:ind w:firstLine="800"/>
        <w:spacing w:after="0" w:line="262" w:lineRule="auto"/>
        <w:tabs>
          <w:tab w:leader="none" w:pos="1397"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Connection Taxes</w:t>
      </w:r>
      <w:r>
        <w:rPr>
          <w:rFonts w:ascii="Arial" w:cs="Arial" w:eastAsia="Arial" w:hAnsi="Arial"/>
          <w:sz w:val="22"/>
          <w:szCs w:val="22"/>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85" w:lineRule="exact"/>
        <w:rPr>
          <w:rFonts w:ascii="Arial" w:cs="Arial" w:eastAsia="Arial" w:hAnsi="Arial"/>
          <w:sz w:val="22"/>
          <w:szCs w:val="22"/>
          <w:color w:val="auto"/>
        </w:rPr>
      </w:pPr>
    </w:p>
    <w:p>
      <w:pPr>
        <w:ind w:firstLine="800"/>
        <w:spacing w:after="0" w:line="282" w:lineRule="auto"/>
        <w:tabs>
          <w:tab w:leader="none" w:pos="1397" w:val="left"/>
        </w:tabs>
        <w:numPr>
          <w:ilvl w:val="1"/>
          <w:numId w:val="9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Other Taxes</w:t>
      </w:r>
      <w:r>
        <w:rPr>
          <w:rFonts w:ascii="Arial" w:cs="Arial" w:eastAsia="Arial" w:hAnsi="Arial"/>
          <w:sz w:val="22"/>
          <w:szCs w:val="22"/>
          <w:color w:val="auto"/>
        </w:rPr>
        <w:t>” means all present or future stamp, court or documentary, intangible, recording, filing or similar Taxes that arise from any payment made under, from the execution,</w:t>
      </w:r>
    </w:p>
    <w:p>
      <w:pPr>
        <w:spacing w:after="0" w:line="1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67" w:name="page168"/>
    <w:bookmarkEnd w:id="167"/>
    <w:p>
      <w:pPr>
        <w:spacing w:after="0" w:line="358" w:lineRule="auto"/>
        <w:rPr>
          <w:sz w:val="20"/>
          <w:szCs w:val="20"/>
          <w:color w:val="auto"/>
        </w:rPr>
      </w:pPr>
      <w:r>
        <w:rPr>
          <w:rFonts w:ascii="Arial" w:cs="Arial" w:eastAsia="Arial" w:hAnsi="Arial"/>
          <w:sz w:val="19"/>
          <w:szCs w:val="19"/>
          <w:color w:val="auto"/>
        </w:rPr>
        <w:t>delivery, performance, enforcement or registration of, from the receipt or perfection of a security interest under, or otherwise with respect to, any Loan Document, except any such Taxes that are Other Connection Taxes imposed with respect to an assignment.</w:t>
      </w:r>
    </w:p>
    <w:p>
      <w:pPr>
        <w:spacing w:after="0" w:line="98" w:lineRule="exact"/>
        <w:rPr>
          <w:sz w:val="20"/>
          <w:szCs w:val="20"/>
          <w:color w:val="auto"/>
        </w:rPr>
      </w:pPr>
    </w:p>
    <w:p>
      <w:pPr>
        <w:ind w:left="1400" w:hanging="600"/>
        <w:spacing w:after="0"/>
        <w:tabs>
          <w:tab w:leader="none" w:pos="14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Recipient</w:t>
      </w:r>
      <w:r>
        <w:rPr>
          <w:rFonts w:ascii="Arial" w:cs="Arial" w:eastAsia="Arial" w:hAnsi="Arial"/>
          <w:sz w:val="22"/>
          <w:szCs w:val="22"/>
          <w:color w:val="auto"/>
        </w:rPr>
        <w:t>” means the Agent or any Lender, as applicable.</w:t>
      </w:r>
    </w:p>
    <w:p>
      <w:pPr>
        <w:spacing w:after="0" w:line="233" w:lineRule="exact"/>
        <w:rPr>
          <w:rFonts w:ascii="Arial" w:cs="Arial" w:eastAsia="Arial" w:hAnsi="Arial"/>
          <w:sz w:val="22"/>
          <w:szCs w:val="22"/>
          <w:color w:val="auto"/>
        </w:rPr>
      </w:pPr>
    </w:p>
    <w:p>
      <w:pPr>
        <w:ind w:left="1400" w:hanging="600"/>
        <w:spacing w:after="0"/>
        <w:tabs>
          <w:tab w:leader="none" w:pos="1400" w:val="left"/>
        </w:tabs>
        <w:numPr>
          <w:ilvl w:val="0"/>
          <w:numId w:val="9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Withholding Agent</w:t>
      </w:r>
      <w:r>
        <w:rPr>
          <w:rFonts w:ascii="Arial" w:cs="Arial" w:eastAsia="Arial" w:hAnsi="Arial"/>
          <w:sz w:val="22"/>
          <w:szCs w:val="22"/>
          <w:color w:val="auto"/>
        </w:rPr>
        <w:t>” means the Borrower and the Agent.</w:t>
      </w:r>
    </w:p>
    <w:p>
      <w:pPr>
        <w:spacing w:after="0" w:line="233" w:lineRule="exact"/>
        <w:rPr>
          <w:sz w:val="20"/>
          <w:szCs w:val="20"/>
          <w:color w:val="auto"/>
        </w:rPr>
      </w:pPr>
    </w:p>
    <w:p>
      <w:pPr>
        <w:jc w:val="both"/>
        <w:ind w:left="180" w:hanging="161"/>
        <w:spacing w:after="0" w:line="305" w:lineRule="auto"/>
        <w:rPr>
          <w:sz w:val="20"/>
          <w:szCs w:val="20"/>
          <w:color w:val="auto"/>
        </w:rPr>
      </w:pPr>
      <w:r>
        <w:rPr>
          <w:rFonts w:ascii="Arial" w:cs="Arial" w:eastAsia="Arial" w:hAnsi="Arial"/>
          <w:sz w:val="19"/>
          <w:szCs w:val="19"/>
          <w:color w:val="auto"/>
        </w:rPr>
        <w:t>2.</w:t>
      </w:r>
      <w:r>
        <w:rPr>
          <w:rFonts w:ascii="Arial" w:cs="Arial" w:eastAsia="Arial" w:hAnsi="Arial"/>
          <w:sz w:val="19"/>
          <w:szCs w:val="19"/>
          <w:b w:val="1"/>
          <w:bCs w:val="1"/>
          <w:color w:val="auto"/>
        </w:rPr>
        <w:t>Payments Free of Taxes</w:t>
      </w:r>
      <w:r>
        <w:rPr>
          <w:rFonts w:ascii="Arial" w:cs="Arial" w:eastAsia="Arial" w:hAnsi="Arial"/>
          <w:sz w:val="19"/>
          <w:szCs w:val="19"/>
          <w:color w:val="auto"/>
        </w:rPr>
        <w:t>. Any and all payments by or on account of any obligation of the Borrower under any Loan Document (other than the Warrant)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Borrower shall be increased as necessary so that after such deduction or withholding has been made (including such deductions and withholdings applicable to additional sums payable under this Section 2 or Section 4 of this Addendum 1) the applicable Recipient receives an amount equal to the sum it would have received had no such deduction or withholding been made.</w:t>
      </w:r>
    </w:p>
    <w:p>
      <w:pPr>
        <w:spacing w:after="0" w:line="147" w:lineRule="exact"/>
        <w:rPr>
          <w:sz w:val="20"/>
          <w:szCs w:val="20"/>
          <w:color w:val="auto"/>
        </w:rPr>
      </w:pPr>
    </w:p>
    <w:p>
      <w:pPr>
        <w:jc w:val="both"/>
        <w:ind w:left="180" w:hanging="161"/>
        <w:spacing w:after="0" w:line="307" w:lineRule="auto"/>
        <w:rPr>
          <w:sz w:val="20"/>
          <w:szCs w:val="20"/>
          <w:color w:val="auto"/>
        </w:rPr>
      </w:pPr>
      <w:r>
        <w:rPr>
          <w:rFonts w:ascii="Arial" w:cs="Arial" w:eastAsia="Arial" w:hAnsi="Arial"/>
          <w:sz w:val="21"/>
          <w:szCs w:val="21"/>
          <w:color w:val="auto"/>
        </w:rPr>
        <w:t>3.</w:t>
      </w:r>
      <w:r>
        <w:rPr>
          <w:rFonts w:ascii="Arial" w:cs="Arial" w:eastAsia="Arial" w:hAnsi="Arial"/>
          <w:sz w:val="21"/>
          <w:szCs w:val="21"/>
          <w:b w:val="1"/>
          <w:bCs w:val="1"/>
          <w:color w:val="auto"/>
        </w:rPr>
        <w:t>Payment of Other Taxes by Borrower</w:t>
      </w:r>
      <w:r>
        <w:rPr>
          <w:rFonts w:ascii="Arial" w:cs="Arial" w:eastAsia="Arial" w:hAnsi="Arial"/>
          <w:sz w:val="21"/>
          <w:szCs w:val="21"/>
          <w:color w:val="auto"/>
        </w:rPr>
        <w:t>. The Borrower shall timely pay to the relevant governmental authority in accordance with applicable law, or at the option of the Agent timely reimburse it for the payment of, any Other Taxes.</w:t>
      </w:r>
    </w:p>
    <w:p>
      <w:pPr>
        <w:spacing w:after="0" w:line="138" w:lineRule="exact"/>
        <w:rPr>
          <w:sz w:val="20"/>
          <w:szCs w:val="20"/>
          <w:color w:val="auto"/>
        </w:rPr>
      </w:pPr>
    </w:p>
    <w:p>
      <w:pPr>
        <w:jc w:val="both"/>
        <w:ind w:left="180" w:hanging="161"/>
        <w:spacing w:after="0" w:line="307" w:lineRule="auto"/>
        <w:rPr>
          <w:sz w:val="20"/>
          <w:szCs w:val="20"/>
          <w:color w:val="auto"/>
        </w:rPr>
      </w:pPr>
      <w:r>
        <w:rPr>
          <w:rFonts w:ascii="Arial" w:cs="Arial" w:eastAsia="Arial" w:hAnsi="Arial"/>
          <w:sz w:val="19"/>
          <w:szCs w:val="19"/>
          <w:color w:val="auto"/>
        </w:rPr>
        <w:t>4.</w:t>
      </w:r>
      <w:r>
        <w:rPr>
          <w:rFonts w:ascii="Arial" w:cs="Arial" w:eastAsia="Arial" w:hAnsi="Arial"/>
          <w:sz w:val="19"/>
          <w:szCs w:val="19"/>
          <w:b w:val="1"/>
          <w:bCs w:val="1"/>
          <w:color w:val="auto"/>
        </w:rPr>
        <w:t>Indemnification by Borrower</w:t>
      </w:r>
      <w:r>
        <w:rPr>
          <w:rFonts w:ascii="Arial" w:cs="Arial" w:eastAsia="Arial" w:hAnsi="Arial"/>
          <w:sz w:val="19"/>
          <w:szCs w:val="19"/>
          <w:color w:val="auto"/>
        </w:rPr>
        <w:t>. The Borrower shall indemnify each Recipient, within 10 days after demand therefor, for the full amount of any Indemnified Taxes (including Indemnified Taxes imposed or asserted on or attributable to amounts payable under Section 2 of this Addendum 1 or this Section 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Agent), or by the Agent on its own behalf or on behalf of a Lender, shall be conclusive absent manifest error.</w:t>
      </w:r>
    </w:p>
    <w:p>
      <w:pPr>
        <w:spacing w:after="0" w:line="150" w:lineRule="exact"/>
        <w:rPr>
          <w:sz w:val="20"/>
          <w:szCs w:val="20"/>
          <w:color w:val="auto"/>
        </w:rPr>
      </w:pPr>
    </w:p>
    <w:p>
      <w:pPr>
        <w:spacing w:after="0"/>
        <w:rPr>
          <w:sz w:val="20"/>
          <w:szCs w:val="20"/>
          <w:color w:val="auto"/>
        </w:rPr>
      </w:pPr>
      <w:r>
        <w:rPr>
          <w:rFonts w:ascii="Arial" w:cs="Arial" w:eastAsia="Arial" w:hAnsi="Arial"/>
          <w:sz w:val="19"/>
          <w:szCs w:val="19"/>
          <w:color w:val="auto"/>
        </w:rPr>
        <w:t>5.</w:t>
      </w:r>
      <w:r>
        <w:rPr>
          <w:rFonts w:ascii="Arial" w:cs="Arial" w:eastAsia="Arial" w:hAnsi="Arial"/>
          <w:sz w:val="19"/>
          <w:szCs w:val="19"/>
          <w:b w:val="1"/>
          <w:bCs w:val="1"/>
          <w:color w:val="auto"/>
        </w:rPr>
        <w:t>Indemnification by the Lenders</w:t>
      </w:r>
      <w:r>
        <w:rPr>
          <w:rFonts w:ascii="Arial" w:cs="Arial" w:eastAsia="Arial" w:hAnsi="Arial"/>
          <w:sz w:val="19"/>
          <w:szCs w:val="19"/>
          <w:color w:val="auto"/>
        </w:rPr>
        <w:t>. Each Lender shall severally indemnify the Agent, within 10 days after demand therefor, for</w:t>
      </w:r>
    </w:p>
    <w:p>
      <w:pPr>
        <w:spacing w:after="0" w:line="62" w:lineRule="exact"/>
        <w:rPr>
          <w:sz w:val="20"/>
          <w:szCs w:val="20"/>
          <w:color w:val="auto"/>
        </w:rPr>
      </w:pPr>
    </w:p>
    <w:p>
      <w:pPr>
        <w:jc w:val="both"/>
        <w:ind w:left="180" w:hanging="10"/>
        <w:spacing w:after="0" w:line="271" w:lineRule="auto"/>
        <w:tabs>
          <w:tab w:leader="none" w:pos="479" w:val="left"/>
        </w:tabs>
        <w:numPr>
          <w:ilvl w:val="0"/>
          <w:numId w:val="97"/>
        </w:numPr>
        <w:rPr>
          <w:rFonts w:ascii="Arial" w:cs="Arial" w:eastAsia="Arial" w:hAnsi="Arial"/>
          <w:sz w:val="21"/>
          <w:szCs w:val="21"/>
          <w:color w:val="auto"/>
        </w:rPr>
      </w:pPr>
      <w:r>
        <w:rPr>
          <w:rFonts w:ascii="Arial" w:cs="Arial" w:eastAsia="Arial" w:hAnsi="Arial"/>
          <w:sz w:val="21"/>
          <w:szCs w:val="21"/>
          <w:color w:val="auto"/>
        </w:rPr>
        <w:t>any Indemnified Taxes attributable to such Lender (but only to the extent that the Borrower has not already indemnified the Agent for such Indemnified Taxes and without limiting the obligation of the Borrower to do so), (b) any Taxes attributable to such Lender’s failure to comply with the provisions of Section 11.8 of the Agreement relating to the maintenance of a Participant Register and (c) any Excluded Taxes attributable to such Lender, in each case, that are payable or paid by the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Agent shall be conclusive absent manifest error. Each Lender hereby authorizes the Agent to set off and apply any and all amounts at any time owing to such Lender under any Loan Document or otherwise payable by the</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8" w:name="page169"/>
    <w:bookmarkEnd w:id="168"/>
    <w:p>
      <w:pPr>
        <w:spacing w:after="0"/>
        <w:rPr>
          <w:sz w:val="20"/>
          <w:szCs w:val="20"/>
          <w:color w:val="auto"/>
        </w:rPr>
      </w:pPr>
      <w:r>
        <w:rPr>
          <w:rFonts w:ascii="Arial" w:cs="Arial" w:eastAsia="Arial" w:hAnsi="Arial"/>
          <w:sz w:val="22"/>
          <w:szCs w:val="22"/>
          <w:color w:val="auto"/>
        </w:rPr>
        <w:t>Agent to the Lender from any other source against any amount due to the Agent under this Section 5.</w:t>
      </w:r>
    </w:p>
    <w:p>
      <w:pPr>
        <w:spacing w:after="0" w:line="227" w:lineRule="exact"/>
        <w:rPr>
          <w:sz w:val="20"/>
          <w:szCs w:val="20"/>
          <w:color w:val="auto"/>
        </w:rPr>
      </w:pPr>
    </w:p>
    <w:p>
      <w:pPr>
        <w:jc w:val="both"/>
        <w:ind w:left="180" w:hanging="161"/>
        <w:spacing w:after="0" w:line="262" w:lineRule="auto"/>
        <w:rPr>
          <w:sz w:val="20"/>
          <w:szCs w:val="20"/>
          <w:color w:val="auto"/>
        </w:rPr>
      </w:pPr>
      <w:r>
        <w:rPr>
          <w:rFonts w:ascii="Arial" w:cs="Arial" w:eastAsia="Arial" w:hAnsi="Arial"/>
          <w:sz w:val="22"/>
          <w:szCs w:val="22"/>
          <w:color w:val="auto"/>
        </w:rPr>
        <w:t>6.</w:t>
      </w:r>
      <w:r>
        <w:rPr>
          <w:rFonts w:ascii="Arial" w:cs="Arial" w:eastAsia="Arial" w:hAnsi="Arial"/>
          <w:sz w:val="22"/>
          <w:szCs w:val="22"/>
          <w:b w:val="1"/>
          <w:bCs w:val="1"/>
          <w:color w:val="auto"/>
        </w:rPr>
        <w:t>Evidence of Payments</w:t>
      </w:r>
      <w:r>
        <w:rPr>
          <w:rFonts w:ascii="Arial" w:cs="Arial" w:eastAsia="Arial" w:hAnsi="Arial"/>
          <w:sz w:val="22"/>
          <w:szCs w:val="22"/>
          <w:color w:val="auto"/>
        </w:rPr>
        <w:t>.</w:t>
      </w:r>
      <w:r>
        <w:rPr>
          <w:sz w:val="20"/>
          <w:szCs w:val="20"/>
          <w:color w:val="auto"/>
        </w:rPr>
        <w:t xml:space="preserve"> </w:t>
      </w:r>
      <w:r>
        <w:rPr>
          <w:rFonts w:ascii="Arial" w:cs="Arial" w:eastAsia="Arial" w:hAnsi="Arial"/>
          <w:sz w:val="22"/>
          <w:szCs w:val="22"/>
          <w:color w:val="auto"/>
        </w:rPr>
        <w:t>As soon as practicable after any payment of Taxes by the Borrower to a governmental authority pursuant to the provisions of this Addendum 1, the Borrower shall deliver to the Agent the original or a certified copy of a receipt issued by such governmental authority evidencing such payment, a copy of the return reporting such payment or other evidence of such payment reasonably satisfactory to the Agent.</w:t>
      </w:r>
    </w:p>
    <w:p>
      <w:pPr>
        <w:spacing w:after="0" w:line="191" w:lineRule="exact"/>
        <w:rPr>
          <w:sz w:val="20"/>
          <w:szCs w:val="20"/>
          <w:color w:val="auto"/>
        </w:rPr>
      </w:pPr>
    </w:p>
    <w:p>
      <w:pPr>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b w:val="1"/>
          <w:bCs w:val="1"/>
          <w:color w:val="auto"/>
        </w:rPr>
        <w:t>Status of Lenders</w:t>
      </w:r>
      <w:r>
        <w:rPr>
          <w:rFonts w:ascii="Arial" w:cs="Arial" w:eastAsia="Arial" w:hAnsi="Arial"/>
          <w:sz w:val="22"/>
          <w:szCs w:val="22"/>
          <w:color w:val="auto"/>
        </w:rPr>
        <w:t>.</w:t>
      </w:r>
    </w:p>
    <w:p>
      <w:pPr>
        <w:spacing w:after="0" w:line="239" w:lineRule="exact"/>
        <w:rPr>
          <w:sz w:val="20"/>
          <w:szCs w:val="20"/>
          <w:color w:val="auto"/>
        </w:rPr>
      </w:pPr>
    </w:p>
    <w:p>
      <w:pPr>
        <w:jc w:val="both"/>
        <w:ind w:firstLine="800"/>
        <w:spacing w:after="0" w:line="302" w:lineRule="auto"/>
        <w:tabs>
          <w:tab w:leader="none" w:pos="1397" w:val="left"/>
        </w:tabs>
        <w:numPr>
          <w:ilvl w:val="0"/>
          <w:numId w:val="98"/>
        </w:numPr>
        <w:rPr>
          <w:rFonts w:ascii="Arial" w:cs="Arial" w:eastAsia="Arial" w:hAnsi="Arial"/>
          <w:sz w:val="19"/>
          <w:szCs w:val="19"/>
          <w:color w:val="auto"/>
        </w:rPr>
      </w:pPr>
      <w:r>
        <w:rPr>
          <w:rFonts w:ascii="Arial" w:cs="Arial" w:eastAsia="Arial" w:hAnsi="Arial"/>
          <w:sz w:val="19"/>
          <w:szCs w:val="19"/>
          <w:color w:val="auto"/>
        </w:rPr>
        <w:t>Any Lender that is entitled to an exemption from or reduction of withholding Tax with respect to payments made under any Loan Document shall deliver to the Borrower and the Agent, at the time or times reasonably requested by the Borrower or the Agent, such properly completed and executed documentation reasonably requested by the Borrower or the Agent as will permit such payments to be made without withholding or at a reduced rate of withholding. In addition, any Lender, if reasonably requested by the Borrower or the Agent, shall deliver such other documentation prescribed by applicable law or reasonably requested by the Borrower or the Agent as will enable the Borrower or the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Sections 7(b)(i), 7(b)(ii) and 7(b)(iv) of this Addendum 1)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61" w:lineRule="exact"/>
        <w:rPr>
          <w:rFonts w:ascii="Arial" w:cs="Arial" w:eastAsia="Arial" w:hAnsi="Arial"/>
          <w:sz w:val="19"/>
          <w:szCs w:val="19"/>
          <w:color w:val="auto"/>
        </w:rPr>
      </w:pPr>
    </w:p>
    <w:p>
      <w:pPr>
        <w:ind w:left="1400" w:hanging="600"/>
        <w:spacing w:after="0"/>
        <w:tabs>
          <w:tab w:leader="none" w:pos="1400" w:val="left"/>
        </w:tabs>
        <w:numPr>
          <w:ilvl w:val="0"/>
          <w:numId w:val="98"/>
        </w:numPr>
        <w:rPr>
          <w:rFonts w:ascii="Arial" w:cs="Arial" w:eastAsia="Arial" w:hAnsi="Arial"/>
          <w:sz w:val="22"/>
          <w:szCs w:val="22"/>
          <w:color w:val="auto"/>
        </w:rPr>
      </w:pPr>
      <w:r>
        <w:rPr>
          <w:rFonts w:ascii="Arial" w:cs="Arial" w:eastAsia="Arial" w:hAnsi="Arial"/>
          <w:sz w:val="22"/>
          <w:szCs w:val="22"/>
          <w:color w:val="auto"/>
        </w:rPr>
        <w:t>Without limiting the generality of the foregoing, in the event that the Borrower is a U.S. Person,</w:t>
      </w:r>
    </w:p>
    <w:p>
      <w:pPr>
        <w:spacing w:after="0" w:line="233" w:lineRule="exact"/>
        <w:rPr>
          <w:rFonts w:ascii="Arial" w:cs="Arial" w:eastAsia="Arial" w:hAnsi="Arial"/>
          <w:sz w:val="22"/>
          <w:szCs w:val="22"/>
          <w:color w:val="auto"/>
        </w:rPr>
      </w:pPr>
    </w:p>
    <w:p>
      <w:pPr>
        <w:jc w:val="both"/>
        <w:ind w:firstLine="1407"/>
        <w:spacing w:after="0" w:line="262" w:lineRule="auto"/>
        <w:tabs>
          <w:tab w:leader="none" w:pos="2793"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Lender that is a U.S. Person shall deliver to the Borrower and the Agent on or prior to the date on which such Lender becomes a Lender under this Agreement (and from time to time thereafter upon the reasonable request of the Borrower or the Agent), executed copies of IRS Form W-9 certifying that such Lender is exempt from U.S. federal backup withholding tax;</w:t>
      </w:r>
    </w:p>
    <w:p>
      <w:pPr>
        <w:spacing w:after="0" w:line="191" w:lineRule="exact"/>
        <w:rPr>
          <w:rFonts w:ascii="Arial" w:cs="Arial" w:eastAsia="Arial" w:hAnsi="Arial"/>
          <w:sz w:val="22"/>
          <w:szCs w:val="22"/>
          <w:color w:val="auto"/>
        </w:rPr>
      </w:pPr>
    </w:p>
    <w:p>
      <w:pPr>
        <w:jc w:val="both"/>
        <w:ind w:firstLine="1354"/>
        <w:spacing w:after="0" w:line="262" w:lineRule="auto"/>
        <w:tabs>
          <w:tab w:leader="none" w:pos="2793" w:val="left"/>
        </w:tabs>
        <w:numPr>
          <w:ilvl w:val="1"/>
          <w:numId w:val="98"/>
        </w:numPr>
        <w:rPr>
          <w:rFonts w:ascii="Arial" w:cs="Arial" w:eastAsia="Arial" w:hAnsi="Arial"/>
          <w:sz w:val="22"/>
          <w:szCs w:val="22"/>
          <w:color w:val="auto"/>
        </w:rPr>
      </w:pPr>
      <w:r>
        <w:rPr>
          <w:rFonts w:ascii="Arial" w:cs="Arial" w:eastAsia="Arial" w:hAnsi="Arial"/>
          <w:sz w:val="22"/>
          <w:szCs w:val="22"/>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whichever of the following is applicable:</w:t>
      </w:r>
    </w:p>
    <w:p>
      <w:pPr>
        <w:spacing w:after="0" w:line="191" w:lineRule="exact"/>
        <w:rPr>
          <w:sz w:val="20"/>
          <w:szCs w:val="20"/>
          <w:color w:val="auto"/>
        </w:rPr>
      </w:pPr>
    </w:p>
    <w:p>
      <w:pPr>
        <w:jc w:val="both"/>
        <w:ind w:firstLine="2635"/>
        <w:spacing w:after="0" w:line="276" w:lineRule="auto"/>
        <w:rPr>
          <w:sz w:val="20"/>
          <w:szCs w:val="20"/>
          <w:color w:val="auto"/>
        </w:rPr>
      </w:pPr>
      <w:r>
        <w:rPr>
          <w:rFonts w:ascii="Arial" w:cs="Arial" w:eastAsia="Arial" w:hAnsi="Arial"/>
          <w:sz w:val="21"/>
          <w:szCs w:val="21"/>
          <w:color w:val="auto"/>
        </w:rPr>
        <w:t>A. 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9" w:name="page170"/>
    <w:bookmarkEnd w:id="169"/>
    <w:p>
      <w:pPr>
        <w:spacing w:after="0"/>
        <w:rPr>
          <w:sz w:val="20"/>
          <w:szCs w:val="20"/>
          <w:color w:val="auto"/>
        </w:rPr>
      </w:pPr>
      <w:r>
        <w:rPr>
          <w:rFonts w:ascii="Arial" w:cs="Arial" w:eastAsia="Arial" w:hAnsi="Arial"/>
          <w:sz w:val="22"/>
          <w:szCs w:val="22"/>
          <w:color w:val="auto"/>
        </w:rPr>
        <w:t>U.S. federal withholding Tax pursuant to the “business profits” or “other income” article of such tax treaty;</w:t>
      </w:r>
    </w:p>
    <w:p>
      <w:pPr>
        <w:spacing w:after="0" w:line="233" w:lineRule="exact"/>
        <w:rPr>
          <w:sz w:val="20"/>
          <w:szCs w:val="20"/>
          <w:color w:val="auto"/>
        </w:rPr>
      </w:pPr>
    </w:p>
    <w:p>
      <w:pPr>
        <w:ind w:left="2640"/>
        <w:spacing w:after="0"/>
        <w:tabs>
          <w:tab w:leader="none" w:pos="418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22"/>
          <w:szCs w:val="22"/>
          <w:color w:val="auto"/>
        </w:rPr>
        <w:t>executed copies of IRS Form W-8ECI;</w:t>
      </w:r>
    </w:p>
    <w:p>
      <w:pPr>
        <w:spacing w:after="0" w:line="233" w:lineRule="exact"/>
        <w:rPr>
          <w:sz w:val="20"/>
          <w:szCs w:val="20"/>
          <w:color w:val="auto"/>
        </w:rPr>
      </w:pPr>
    </w:p>
    <w:p>
      <w:pPr>
        <w:jc w:val="both"/>
        <w:ind w:firstLine="2635"/>
        <w:spacing w:after="0" w:line="260" w:lineRule="auto"/>
        <w:rPr>
          <w:sz w:val="20"/>
          <w:szCs w:val="20"/>
          <w:color w:val="auto"/>
        </w:rPr>
      </w:pPr>
      <w:r>
        <w:rPr>
          <w:rFonts w:ascii="Arial" w:cs="Arial" w:eastAsia="Arial" w:hAnsi="Arial"/>
          <w:sz w:val="22"/>
          <w:szCs w:val="22"/>
          <w:color w:val="auto"/>
        </w:rPr>
        <w:t>C. in the case of a Foreign Lender claiming the benefits of the exemption for portfolio interest under Section 881(c) of the Code, (x) a certificate substantially in the form of Exhibit J-1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 “</w:t>
      </w:r>
      <w:r>
        <w:rPr>
          <w:rFonts w:ascii="Arial" w:cs="Arial" w:eastAsia="Arial" w:hAnsi="Arial"/>
          <w:sz w:val="22"/>
          <w:szCs w:val="22"/>
          <w:b w:val="1"/>
          <w:bCs w:val="1"/>
          <w:color w:val="auto"/>
        </w:rPr>
        <w:t>U.S. Tax Compliance Certificate</w:t>
      </w:r>
      <w:r>
        <w:rPr>
          <w:rFonts w:ascii="Arial" w:cs="Arial" w:eastAsia="Arial" w:hAnsi="Arial"/>
          <w:sz w:val="22"/>
          <w:szCs w:val="22"/>
          <w:color w:val="auto"/>
        </w:rPr>
        <w:t>”) and (y) executed copies of IRS Form W-8BEN or IRS Form W-8BEN-E; or</w:t>
      </w:r>
    </w:p>
    <w:p>
      <w:pPr>
        <w:spacing w:after="0" w:line="192" w:lineRule="exact"/>
        <w:rPr>
          <w:sz w:val="20"/>
          <w:szCs w:val="20"/>
          <w:color w:val="auto"/>
        </w:rPr>
      </w:pPr>
    </w:p>
    <w:p>
      <w:pPr>
        <w:jc w:val="both"/>
        <w:ind w:firstLine="2635"/>
        <w:spacing w:after="0" w:line="308" w:lineRule="auto"/>
        <w:rPr>
          <w:sz w:val="20"/>
          <w:szCs w:val="20"/>
          <w:color w:val="auto"/>
        </w:rPr>
      </w:pPr>
      <w:r>
        <w:rPr>
          <w:rFonts w:ascii="Arial" w:cs="Arial" w:eastAsia="Arial" w:hAnsi="Arial"/>
          <w:sz w:val="19"/>
          <w:szCs w:val="19"/>
          <w:color w:val="auto"/>
        </w:rPr>
        <w:t>D. to the extent a Foreign Lender is not the beneficial owner, executed copies of IRS Form W-8IMY, accompanied by IRS Form W-8ECI, IRS Form W-8BEN, IRS Form W-8BEN-E, a U.S. Tax Compliance Certificate substantially in the form of Exhibit J-2 or Exhibit J-3,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Exhibit J-4 on behalf of each such direct and indirect partner;</w:t>
      </w:r>
    </w:p>
    <w:p>
      <w:pPr>
        <w:spacing w:after="0" w:line="154" w:lineRule="exact"/>
        <w:rPr>
          <w:sz w:val="20"/>
          <w:szCs w:val="20"/>
          <w:color w:val="auto"/>
        </w:rPr>
      </w:pPr>
    </w:p>
    <w:p>
      <w:pPr>
        <w:jc w:val="both"/>
        <w:ind w:firstLine="1302"/>
        <w:spacing w:after="0" w:line="308" w:lineRule="auto"/>
        <w:tabs>
          <w:tab w:leader="none" w:pos="2793" w:val="left"/>
        </w:tabs>
        <w:numPr>
          <w:ilvl w:val="1"/>
          <w:numId w:val="99"/>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Agent (in such number of copies as shall be requested by the recipient) on or prior to the date on which such Foreign Lender becomes a Lender under this Agreement (and from time to time thereafter upon the reasonable request of the Borrower or the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Agent to determine the withholding or deduction required to be made; and</w:t>
      </w:r>
    </w:p>
    <w:p>
      <w:pPr>
        <w:spacing w:after="0" w:line="153" w:lineRule="exact"/>
        <w:rPr>
          <w:rFonts w:ascii="Arial" w:cs="Arial" w:eastAsia="Arial" w:hAnsi="Arial"/>
          <w:sz w:val="19"/>
          <w:szCs w:val="19"/>
          <w:color w:val="auto"/>
        </w:rPr>
      </w:pPr>
    </w:p>
    <w:p>
      <w:pPr>
        <w:jc w:val="both"/>
        <w:ind w:firstLine="1325"/>
        <w:spacing w:after="0" w:line="304" w:lineRule="auto"/>
        <w:tabs>
          <w:tab w:leader="none" w:pos="2793" w:val="left"/>
        </w:tabs>
        <w:numPr>
          <w:ilvl w:val="1"/>
          <w:numId w:val="99"/>
        </w:numPr>
        <w:rPr>
          <w:rFonts w:ascii="Arial" w:cs="Arial" w:eastAsia="Arial" w:hAnsi="Arial"/>
          <w:sz w:val="19"/>
          <w:szCs w:val="19"/>
          <w:color w:val="auto"/>
        </w:rPr>
      </w:pPr>
      <w:r>
        <w:rPr>
          <w:rFonts w:ascii="Arial" w:cs="Arial" w:eastAsia="Arial" w:hAnsi="Arial"/>
          <w:sz w:val="19"/>
          <w:szCs w:val="19"/>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Agent at the time or times prescribed by law and at such time or times reasonably requested by the Borrower or the Agent such documentation prescribed by applicable law (including as prescribed by Section 1471(b)(3)(C)(i) of the Code) and such additional documentation reasonably requested by the Borrower or the Agent as may be necessary for the Borrower and the Agent to comply with their obligations under FATCA and to determine that such Lender has complied with such Lender’s obligations under FATCA or to determine the amount, if any, to deduct and withhold from such payment. Solely for purposes of this clause (iv), “FATCA” shall include any amendments made to FATCA after the date of this Agreement.</w:t>
      </w:r>
    </w:p>
    <w:p>
      <w:pPr>
        <w:spacing w:after="0" w:line="155" w:lineRule="exact"/>
        <w:rPr>
          <w:rFonts w:ascii="Arial" w:cs="Arial" w:eastAsia="Arial" w:hAnsi="Arial"/>
          <w:sz w:val="19"/>
          <w:szCs w:val="19"/>
          <w:color w:val="auto"/>
        </w:rPr>
      </w:pPr>
    </w:p>
    <w:p>
      <w:pPr>
        <w:jc w:val="both"/>
        <w:ind w:firstLine="800"/>
        <w:spacing w:after="0" w:line="266" w:lineRule="auto"/>
        <w:tabs>
          <w:tab w:leader="none" w:pos="1397" w:val="left"/>
        </w:tabs>
        <w:numPr>
          <w:ilvl w:val="0"/>
          <w:numId w:val="100"/>
        </w:numPr>
        <w:rPr>
          <w:rFonts w:ascii="Arial" w:cs="Arial" w:eastAsia="Arial" w:hAnsi="Arial"/>
          <w:sz w:val="22"/>
          <w:szCs w:val="22"/>
          <w:color w:val="auto"/>
        </w:rPr>
      </w:pPr>
      <w:r>
        <w:rPr>
          <w:rFonts w:ascii="Arial" w:cs="Arial" w:eastAsia="Arial" w:hAnsi="Arial"/>
          <w:sz w:val="22"/>
          <w:szCs w:val="22"/>
          <w:color w:val="auto"/>
        </w:rPr>
        <w:t>Each Lender agrees that if any form or certification it previously delivered expires or becomes obsolete or inaccurate in any respect, it shall update such form or certification or promptly notify the Borrower and the Agent in writing of its legal inability to do so.</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0" w:name="page171"/>
    <w:bookmarkEnd w:id="170"/>
    <w:p>
      <w:pPr>
        <w:jc w:val="both"/>
        <w:ind w:left="180" w:hanging="161"/>
        <w:spacing w:after="0" w:line="301" w:lineRule="auto"/>
        <w:rPr>
          <w:sz w:val="20"/>
          <w:szCs w:val="20"/>
          <w:color w:val="auto"/>
        </w:rPr>
      </w:pPr>
      <w:r>
        <w:rPr>
          <w:rFonts w:ascii="Arial" w:cs="Arial" w:eastAsia="Arial" w:hAnsi="Arial"/>
          <w:sz w:val="19"/>
          <w:szCs w:val="19"/>
          <w:color w:val="auto"/>
        </w:rPr>
        <w:t>8.</w:t>
      </w:r>
      <w:r>
        <w:rPr>
          <w:rFonts w:ascii="Arial" w:cs="Arial" w:eastAsia="Arial" w:hAnsi="Arial"/>
          <w:sz w:val="19"/>
          <w:szCs w:val="19"/>
          <w:b w:val="1"/>
          <w:bCs w:val="1"/>
          <w:color w:val="auto"/>
        </w:rPr>
        <w:t>Treatment of Certain Refunds</w:t>
      </w:r>
      <w:r>
        <w:rPr>
          <w:rFonts w:ascii="Arial" w:cs="Arial" w:eastAsia="Arial" w:hAnsi="Arial"/>
          <w:sz w:val="19"/>
          <w:szCs w:val="19"/>
          <w:color w:val="auto"/>
        </w:rPr>
        <w:t>. If any party determines, in its sole discretion exercised in good faith, that it has received a refund of any Taxes as to which it has been indemnified pursuant to the provisions of this Addendum 1 (including by the payment of additional amounts pursuant to the provisions of this Addendum 1), it shall pay to the indemnifying party an amount equal to such refund (but only to the extent of indemnity payments made under the provisions of this Addendum 1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8 (plus any penalties, interest or other charges imposed by the relevant governmental authority) in the event that such indemnified party is required to repay such refund to such governmental authority. Notwithstanding anything to the contrary in this Section 8, in no event will the indemnified party be required to pay any amount to an indemnifying party pursuant to this Section 8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8 shall not be construed to require any indemnified party to make available its Tax returns (or any other information relating to its Taxes that it deems confidential) to the indemnifying party or any other Person.</w:t>
      </w:r>
    </w:p>
    <w:p>
      <w:pPr>
        <w:spacing w:after="0" w:line="156" w:lineRule="exact"/>
        <w:rPr>
          <w:sz w:val="20"/>
          <w:szCs w:val="20"/>
          <w:color w:val="auto"/>
        </w:rPr>
      </w:pPr>
    </w:p>
    <w:p>
      <w:pPr>
        <w:spacing w:after="0"/>
        <w:rPr>
          <w:sz w:val="20"/>
          <w:szCs w:val="20"/>
          <w:color w:val="auto"/>
        </w:rPr>
      </w:pPr>
      <w:r>
        <w:rPr>
          <w:rFonts w:ascii="Arial" w:cs="Arial" w:eastAsia="Arial" w:hAnsi="Arial"/>
          <w:sz w:val="19"/>
          <w:szCs w:val="19"/>
          <w:color w:val="auto"/>
        </w:rPr>
        <w:t>9.</w:t>
      </w:r>
      <w:r>
        <w:rPr>
          <w:rFonts w:ascii="Arial" w:cs="Arial" w:eastAsia="Arial" w:hAnsi="Arial"/>
          <w:sz w:val="19"/>
          <w:szCs w:val="19"/>
          <w:b w:val="1"/>
          <w:bCs w:val="1"/>
          <w:color w:val="auto"/>
        </w:rPr>
        <w:t>Increased Costs</w:t>
      </w:r>
      <w:r>
        <w:rPr>
          <w:rFonts w:ascii="Arial" w:cs="Arial" w:eastAsia="Arial" w:hAnsi="Arial"/>
          <w:sz w:val="19"/>
          <w:szCs w:val="19"/>
          <w:color w:val="auto"/>
        </w:rPr>
        <w:t>. If any change in applicable law shall subject any Recipient to any Taxes (other than (A) Indemnified Taxes,</w:t>
      </w:r>
    </w:p>
    <w:p>
      <w:pPr>
        <w:spacing w:after="0" w:line="62" w:lineRule="exact"/>
        <w:rPr>
          <w:sz w:val="20"/>
          <w:szCs w:val="20"/>
          <w:color w:val="auto"/>
        </w:rPr>
      </w:pPr>
    </w:p>
    <w:p>
      <w:pPr>
        <w:jc w:val="both"/>
        <w:ind w:left="180" w:hanging="10"/>
        <w:spacing w:after="0" w:line="258" w:lineRule="auto"/>
        <w:tabs>
          <w:tab w:leader="none" w:pos="537" w:val="left"/>
        </w:tabs>
        <w:numPr>
          <w:ilvl w:val="0"/>
          <w:numId w:val="101"/>
        </w:numPr>
        <w:rPr>
          <w:rFonts w:ascii="Arial" w:cs="Arial" w:eastAsia="Arial" w:hAnsi="Arial"/>
          <w:sz w:val="22"/>
          <w:szCs w:val="22"/>
          <w:color w:val="auto"/>
        </w:rPr>
      </w:pPr>
      <w:r>
        <w:rPr>
          <w:rFonts w:ascii="Arial" w:cs="Arial" w:eastAsia="Arial" w:hAnsi="Arial"/>
          <w:sz w:val="22"/>
          <w:szCs w:val="22"/>
          <w:color w:val="auto"/>
        </w:rPr>
        <w:t>Taxes described in clauses (ii) through (iv) of the definition of Excluded Taxes and (C) Connection Income Taxes) on its loans, loan principal, commitments, or other obligations, or its deposits, reserves, other liabilities or capital attributable thereto, and the result shall be to increase the cost to such Recipient of making, converting to, continuing or maintaining any Term Loan or of maintaining its obligation to make any such Loan, or to reduce the amount of any sum received or receivable by such Recipient (whether of principal, interest or any other amount), then, upon the request of such Recipient, the Borrower will pay to such Recipient such additional amount or amounts as will compensate such Recipient for such additional costs incurred or reduction suffered.</w:t>
      </w:r>
    </w:p>
    <w:p>
      <w:pPr>
        <w:spacing w:after="0" w:line="192" w:lineRule="exact"/>
        <w:rPr>
          <w:sz w:val="20"/>
          <w:szCs w:val="20"/>
          <w:color w:val="auto"/>
        </w:rPr>
      </w:pPr>
    </w:p>
    <w:p>
      <w:pPr>
        <w:jc w:val="both"/>
        <w:ind w:left="280" w:hanging="269"/>
        <w:spacing w:after="0" w:line="307" w:lineRule="auto"/>
        <w:rPr>
          <w:sz w:val="20"/>
          <w:szCs w:val="20"/>
          <w:color w:val="auto"/>
        </w:rPr>
      </w:pPr>
      <w:r>
        <w:rPr>
          <w:rFonts w:ascii="Arial" w:cs="Arial" w:eastAsia="Arial" w:hAnsi="Arial"/>
          <w:sz w:val="19"/>
          <w:szCs w:val="19"/>
          <w:color w:val="auto"/>
        </w:rPr>
        <w:t>10.</w:t>
      </w:r>
      <w:r>
        <w:rPr>
          <w:rFonts w:ascii="Arial" w:cs="Arial" w:eastAsia="Arial" w:hAnsi="Arial"/>
          <w:sz w:val="19"/>
          <w:szCs w:val="19"/>
          <w:b w:val="1"/>
          <w:bCs w:val="1"/>
          <w:color w:val="auto"/>
        </w:rPr>
        <w:t>Mitigation</w:t>
      </w:r>
      <w:r>
        <w:rPr>
          <w:rFonts w:ascii="Arial" w:cs="Arial" w:eastAsia="Arial" w:hAnsi="Arial"/>
          <w:sz w:val="19"/>
          <w:szCs w:val="19"/>
          <w:color w:val="auto"/>
        </w:rPr>
        <w:t>. If any Lender requires the Borrower to pay any Indemnified Taxes or additional amounts pursuant to this Addendum, then such Lender shall (at the request of the Borrower) use reasonable efforts to designate a different lending office for funding or booking its Loans hereunder or to assign its rights and obligations hereunder to another of its branches, offices, or affiliates, if, in the judgment of such Lender, such designation or assignment: (i) would eliminate or reduce amounts payable pursuant to this Addendum in the future, and (ii) would not subject such Lender to any unreimbursed cost or expense and would not otherwise be disadvantageous to such Lender. The Borrower hereby agrees to pay all reasonable costs and expenses incurred by any Lender in connection with such designation or assignment.</w:t>
      </w:r>
    </w:p>
    <w:p>
      <w:pPr>
        <w:spacing w:after="0" w:line="150" w:lineRule="exact"/>
        <w:rPr>
          <w:sz w:val="20"/>
          <w:szCs w:val="20"/>
          <w:color w:val="auto"/>
        </w:rPr>
      </w:pPr>
    </w:p>
    <w:p>
      <w:pPr>
        <w:jc w:val="both"/>
        <w:ind w:left="280" w:hanging="261"/>
        <w:spacing w:after="0" w:line="264" w:lineRule="auto"/>
        <w:rPr>
          <w:sz w:val="20"/>
          <w:szCs w:val="20"/>
          <w:color w:val="auto"/>
        </w:rPr>
      </w:pPr>
      <w:r>
        <w:rPr>
          <w:rFonts w:ascii="Arial" w:cs="Arial" w:eastAsia="Arial" w:hAnsi="Arial"/>
          <w:sz w:val="22"/>
          <w:szCs w:val="22"/>
          <w:color w:val="auto"/>
        </w:rPr>
        <w:t>11.</w:t>
      </w:r>
      <w:r>
        <w:rPr>
          <w:rFonts w:ascii="Arial" w:cs="Arial" w:eastAsia="Arial" w:hAnsi="Arial"/>
          <w:sz w:val="22"/>
          <w:szCs w:val="22"/>
          <w:b w:val="1"/>
          <w:bCs w:val="1"/>
          <w:color w:val="auto"/>
        </w:rPr>
        <w:t>Survival</w:t>
      </w:r>
      <w:r>
        <w:rPr>
          <w:rFonts w:ascii="Arial" w:cs="Arial" w:eastAsia="Arial" w:hAnsi="Arial"/>
          <w:sz w:val="22"/>
          <w:szCs w:val="22"/>
          <w:color w:val="auto"/>
        </w:rPr>
        <w:t>. Each party’s obligations under the provisions of this Addendum 1 (including any inchoate indemnity obligations and any other obligations which, by their terms, are to survive the termination of the Loan Documents) shall survive the resignation or replacement of the Agent or any assignment of rights by, or the replacement of, a Lender, the termination of the Term</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1" w:name="page172"/>
    <w:bookmarkEnd w:id="171"/>
    <w:p>
      <w:pPr>
        <w:spacing w:after="0"/>
        <w:rPr>
          <w:sz w:val="20"/>
          <w:szCs w:val="20"/>
          <w:color w:val="auto"/>
        </w:rPr>
      </w:pPr>
      <w:r>
        <w:rPr>
          <w:rFonts w:ascii="Arial" w:cs="Arial" w:eastAsia="Arial" w:hAnsi="Arial"/>
          <w:sz w:val="19"/>
          <w:szCs w:val="19"/>
          <w:color w:val="auto"/>
        </w:rPr>
        <w:t>Commitments and the repayment, satisfaction or discharge of all obligations under any Loan Document (other than the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61" w:right="439" w:bottom="1440" w:gutter="0" w:footer="0" w:header="0"/>
        </w:sectPr>
      </w:pPr>
    </w:p>
    <w:bookmarkStart w:id="172" w:name="page173"/>
    <w:bookmarkEnd w:id="172"/>
    <w:p>
      <w:pPr>
        <w:jc w:val="center"/>
        <w:ind w:right="-1100"/>
        <w:spacing w:after="0"/>
        <w:rPr>
          <w:sz w:val="20"/>
          <w:szCs w:val="20"/>
          <w:color w:val="auto"/>
        </w:rPr>
      </w:pPr>
      <w:r>
        <w:rPr>
          <w:rFonts w:ascii="Arial" w:cs="Arial" w:eastAsia="Arial" w:hAnsi="Arial"/>
          <w:sz w:val="21"/>
          <w:szCs w:val="21"/>
          <w:b w:val="1"/>
          <w:bCs w:val="1"/>
          <w:color w:val="auto"/>
        </w:rPr>
        <w:t>ADDENDUM 2 to LOAN AND SECURITY AGREEMENT</w:t>
      </w:r>
    </w:p>
    <w:p>
      <w:pPr>
        <w:spacing w:after="0" w:line="3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5" w:right="1440" w:bottom="1440" w:gutter="0" w:footer="0" w:header="0"/>
        </w:sectPr>
      </w:pPr>
    </w:p>
    <w:bookmarkStart w:id="173" w:name="page174"/>
    <w:bookmarkEnd w:id="173"/>
    <w:p>
      <w:pPr>
        <w:jc w:val="center"/>
        <w:spacing w:after="0"/>
        <w:rPr>
          <w:sz w:val="20"/>
          <w:szCs w:val="20"/>
          <w:color w:val="auto"/>
        </w:rPr>
      </w:pPr>
      <w:r>
        <w:rPr>
          <w:rFonts w:ascii="Arial" w:cs="Arial" w:eastAsia="Arial" w:hAnsi="Arial"/>
          <w:sz w:val="22"/>
          <w:szCs w:val="22"/>
          <w:b w:val="1"/>
          <w:bCs w:val="1"/>
          <w:color w:val="auto"/>
        </w:rPr>
        <w:t>ADDENDUM 3 to LOAN AND SECURITY AGREEMENT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Agent and Lender Terms</w:t>
      </w:r>
    </w:p>
    <w:p>
      <w:pPr>
        <w:spacing w:after="0" w:line="229" w:lineRule="exact"/>
        <w:rPr>
          <w:sz w:val="20"/>
          <w:szCs w:val="20"/>
          <w:color w:val="auto"/>
        </w:rPr>
      </w:pPr>
    </w:p>
    <w:p>
      <w:pPr>
        <w:jc w:val="both"/>
        <w:ind w:firstLine="1678"/>
        <w:spacing w:after="0" w:line="262" w:lineRule="auto"/>
        <w:tabs>
          <w:tab w:leader="none" w:pos="279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Each Lender hereby irrevocably appoints Hercules Capital, Inc. to act on its behalf as the Agent hereunder and under the other Loan Documents (other than the Warrant) and authorizes the Agent to take such actions on its behalf and to exercise such powers as are delegated to the Agent by the terms hereof or thereof, together with such actions and powers as are reasonably incidental thereto.</w:t>
      </w:r>
    </w:p>
    <w:p>
      <w:pPr>
        <w:spacing w:after="0" w:line="191" w:lineRule="exact"/>
        <w:rPr>
          <w:rFonts w:ascii="Arial" w:cs="Arial" w:eastAsia="Arial" w:hAnsi="Arial"/>
          <w:sz w:val="22"/>
          <w:szCs w:val="22"/>
          <w:color w:val="auto"/>
        </w:rPr>
      </w:pPr>
    </w:p>
    <w:p>
      <w:pPr>
        <w:jc w:val="both"/>
        <w:ind w:firstLine="1678"/>
        <w:spacing w:after="0" w:line="304" w:lineRule="auto"/>
        <w:tabs>
          <w:tab w:leader="none" w:pos="279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Each Lender agrees to indemnify the Agent in its capacity as such (to the extent not reimbursed by Borrower and without limiting the obligation of Borrower to do so), according to its respective Term Commitment percentages (based upon the total outstanding Term Commitments) in effect on the date on which indemnification is sought under this Addendum 3, from and against any and all liabilities, obligations, losses, damages, penalties, actions, judgments, suits, costs, expenses or disbursements of any kind whatsoever that may at any time be imposed on, incurred by or asserted against the Agent in any way relating to or arising out of, this Agreement, any of the other Loan Documents (other than the Warrant) or any documents contemplated by or referred to herein or therein (other than the Warrant) or the transactions contemplated hereby or thereby or any action taken or omitted by the Agent under or in connection with any of the foregoing; The agreements in this Section shall survive the payment of the Loans and all other amounts payable hereunder.</w:t>
      </w:r>
    </w:p>
    <w:p>
      <w:pPr>
        <w:spacing w:after="0" w:line="155" w:lineRule="exact"/>
        <w:rPr>
          <w:rFonts w:ascii="Arial" w:cs="Arial" w:eastAsia="Arial" w:hAnsi="Arial"/>
          <w:sz w:val="19"/>
          <w:szCs w:val="19"/>
          <w:color w:val="auto"/>
        </w:rPr>
      </w:pPr>
    </w:p>
    <w:p>
      <w:pPr>
        <w:jc w:val="both"/>
        <w:ind w:firstLine="1678"/>
        <w:spacing w:after="0" w:line="262" w:lineRule="auto"/>
        <w:tabs>
          <w:tab w:leader="none" w:pos="279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Agent in Its Individual Capacity. The Person serving as the Agent hereunder shall have the same rights and powers in its capacity as a Lender as any other Lender and may exercise the same as though it were not the Agent and the term “Lender” shall, unless otherwise expressly indicated or unless the context otherwise requires, include each such Person serving as Agent hereunder in its individual capacity.</w:t>
      </w:r>
    </w:p>
    <w:p>
      <w:pPr>
        <w:spacing w:after="0" w:line="191" w:lineRule="exact"/>
        <w:rPr>
          <w:rFonts w:ascii="Arial" w:cs="Arial" w:eastAsia="Arial" w:hAnsi="Arial"/>
          <w:sz w:val="22"/>
          <w:szCs w:val="22"/>
          <w:color w:val="auto"/>
        </w:rPr>
      </w:pPr>
    </w:p>
    <w:p>
      <w:pPr>
        <w:ind w:firstLine="1678"/>
        <w:spacing w:after="0" w:line="358" w:lineRule="auto"/>
        <w:tabs>
          <w:tab w:leader="none" w:pos="2793" w:val="left"/>
        </w:tabs>
        <w:numPr>
          <w:ilvl w:val="0"/>
          <w:numId w:val="102"/>
        </w:numPr>
        <w:rPr>
          <w:rFonts w:ascii="Arial" w:cs="Arial" w:eastAsia="Arial" w:hAnsi="Arial"/>
          <w:sz w:val="19"/>
          <w:szCs w:val="19"/>
          <w:color w:val="auto"/>
        </w:rPr>
      </w:pPr>
      <w:r>
        <w:rPr>
          <w:rFonts w:ascii="Arial" w:cs="Arial" w:eastAsia="Arial" w:hAnsi="Arial"/>
          <w:sz w:val="19"/>
          <w:szCs w:val="19"/>
          <w:color w:val="auto"/>
        </w:rPr>
        <w:t>Exculpatory Provisions. The Agent shall have no duties or obligations except those expressly set forth herein and in the other Loan Documents. Without limiting the generality of the foregoing, the Agent shall not:</w:t>
      </w:r>
    </w:p>
    <w:p>
      <w:pPr>
        <w:spacing w:after="0" w:line="104" w:lineRule="exact"/>
        <w:rPr>
          <w:sz w:val="20"/>
          <w:szCs w:val="20"/>
          <w:color w:val="auto"/>
        </w:rPr>
      </w:pPr>
    </w:p>
    <w:p>
      <w:pPr>
        <w:jc w:val="both"/>
        <w:ind w:hanging="107"/>
        <w:spacing w:after="0" w:line="276" w:lineRule="auto"/>
        <w:rPr>
          <w:sz w:val="20"/>
          <w:szCs w:val="20"/>
          <w:color w:val="auto"/>
        </w:rPr>
      </w:pPr>
      <w:r>
        <w:rPr>
          <w:rFonts w:ascii="Arial" w:cs="Arial" w:eastAsia="Arial" w:hAnsi="Arial"/>
          <w:sz w:val="22"/>
          <w:szCs w:val="22"/>
          <w:color w:val="auto"/>
        </w:rPr>
        <w:t>i)be subject to any fiduciary or other implied duties, regardless of whether any default or any Event of Default has occurred and is continuing;</w:t>
      </w:r>
    </w:p>
    <w:p>
      <w:pPr>
        <w:spacing w:after="0" w:line="174" w:lineRule="exact"/>
        <w:rPr>
          <w:sz w:val="20"/>
          <w:szCs w:val="20"/>
          <w:color w:val="auto"/>
        </w:rPr>
      </w:pPr>
    </w:p>
    <w:p>
      <w:pPr>
        <w:jc w:val="both"/>
        <w:ind w:hanging="107"/>
        <w:spacing w:after="0" w:line="317" w:lineRule="auto"/>
        <w:rPr>
          <w:sz w:val="20"/>
          <w:szCs w:val="20"/>
          <w:color w:val="auto"/>
        </w:rPr>
      </w:pPr>
      <w:r>
        <w:rPr>
          <w:rFonts w:ascii="Arial" w:cs="Arial" w:eastAsia="Arial" w:hAnsi="Arial"/>
          <w:sz w:val="19"/>
          <w:szCs w:val="19"/>
          <w:color w:val="auto"/>
        </w:rPr>
        <w:t>i)have any duty to take any discretionary action or exercise any discretionary powers, except discretionary rights and powers expressly contemplated hereby or by the other Loan Documents that the Agent is required to exercise as directed in writing by the Lenders; provided that the Agent shall not be required to take any action that, in its opinion or the opinion of its counsel, may expose the Agent to liability or that is contrary to any Loan Document or applicable law; and</w:t>
      </w:r>
    </w:p>
    <w:p>
      <w:pPr>
        <w:spacing w:after="0" w:line="142" w:lineRule="exact"/>
        <w:rPr>
          <w:sz w:val="20"/>
          <w:szCs w:val="20"/>
          <w:color w:val="auto"/>
        </w:rPr>
      </w:pPr>
    </w:p>
    <w:p>
      <w:pPr>
        <w:jc w:val="both"/>
        <w:ind w:hanging="107"/>
        <w:spacing w:after="0" w:line="266" w:lineRule="auto"/>
        <w:rPr>
          <w:sz w:val="20"/>
          <w:szCs w:val="20"/>
          <w:color w:val="auto"/>
        </w:rPr>
      </w:pPr>
      <w:r>
        <w:rPr>
          <w:rFonts w:ascii="Arial" w:cs="Arial" w:eastAsia="Arial" w:hAnsi="Arial"/>
          <w:sz w:val="22"/>
          <w:szCs w:val="22"/>
          <w:color w:val="auto"/>
        </w:rPr>
        <w:t>i)except as expressly set forth herein and in the other Loan Documents, have any duty to disclose, and the Agent shall not be liable for the failure to disclose, any information relating to the Borrower or any of its Affiliates that is communicated to or obtained by any Person serving as the Agent or any of its Affiliates in any capacity.</w:t>
      </w:r>
    </w:p>
    <w:p>
      <w:pPr>
        <w:spacing w:after="0" w:line="185" w:lineRule="exact"/>
        <w:rPr>
          <w:sz w:val="20"/>
          <w:szCs w:val="20"/>
          <w:color w:val="auto"/>
        </w:rPr>
      </w:pPr>
    </w:p>
    <w:p>
      <w:pPr>
        <w:ind w:left="960" w:hanging="439"/>
        <w:spacing w:after="0" w:line="254" w:lineRule="auto"/>
        <w:tabs>
          <w:tab w:leader="none" w:pos="940" w:val="left"/>
        </w:tabs>
        <w:rPr>
          <w:sz w:val="20"/>
          <w:szCs w:val="20"/>
          <w:color w:val="auto"/>
        </w:rPr>
      </w:pPr>
      <w:r>
        <w:rPr>
          <w:rFonts w:ascii="Arial" w:cs="Arial" w:eastAsia="Arial" w:hAnsi="Arial"/>
          <w:sz w:val="22"/>
          <w:szCs w:val="22"/>
          <w:color w:val="auto"/>
        </w:rPr>
        <w:t>(e)</w:t>
        <w:tab/>
        <w:t>The Agent shall not be liable for any action taken or not taken by it (i) with the consent or at the request of the Lenders or as the Agent shall believe in good faith shall be</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89</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4" w:name="page175"/>
    <w:bookmarkEnd w:id="174"/>
    <w:p>
      <w:pPr>
        <w:jc w:val="center"/>
        <w:ind w:right="100"/>
        <w:spacing w:after="0"/>
        <w:rPr>
          <w:sz w:val="20"/>
          <w:szCs w:val="20"/>
          <w:color w:val="auto"/>
        </w:rPr>
      </w:pPr>
      <w:r>
        <w:rPr>
          <w:rFonts w:ascii="Arial" w:cs="Arial" w:eastAsia="Arial" w:hAnsi="Arial"/>
          <w:sz w:val="22"/>
          <w:szCs w:val="22"/>
          <w:color w:val="auto"/>
        </w:rPr>
        <w:t>necessary, under the circumstances or (ii) in the absence of its own gross negligence or willful misconduct.</w:t>
      </w:r>
    </w:p>
    <w:p>
      <w:pPr>
        <w:spacing w:after="0" w:line="125" w:lineRule="exact"/>
        <w:rPr>
          <w:sz w:val="20"/>
          <w:szCs w:val="20"/>
          <w:color w:val="auto"/>
        </w:rPr>
      </w:pPr>
    </w:p>
    <w:p>
      <w:pPr>
        <w:jc w:val="both"/>
        <w:ind w:left="960" w:hanging="443"/>
        <w:spacing w:after="0" w:line="299" w:lineRule="auto"/>
        <w:tabs>
          <w:tab w:leader="none" w:pos="96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Section 4 or elsewhere herein, other than to confirm receipt of items expressly required to be delivered to the Agent. Reliance by Agent. Agent may rely, and shall be fully protected in acting, or refraining to act, upon, any resolution, statement, certificate, instrument, opinion, report, notice, request, consent, order, bond or other paper or document that it has no reason to believe to be other than genuine and to have been signed or presented by the proper party or parties or, in the case of cables, telecopies and telexes, to have been sent by the proper party or parties. In the absence of its gross negligence or willful misconduct, Agent may conclusively rely, as to the truth of the statements and the correctness of the opinions expressed therein, upon any certificates or opinions furnished to Agent and conforming to the requirements of this Agreement or any of the other Loan Documents. Agent may consult with counsel, and any opinion or legal advice of such counsel shall be full and complete authorization and protection in respect of any action taken, not taken or suffered by Agent hereunder or under any Loan Documents in accordance therewith. Agent shall have the right at any time to seek instructions concerning the administration of the Collateral from any court of competent jurisdiction. Agent shall not be under any obligation to exercise any of the rights or powers granted to Agent by this Agreement and the other Loan Documents at the request or direction of the Lenders unless Agent shall have been provided by the Lenders with adequate security and indemnity against the costs, expenses and liabilities that may be incurred by it in compliance with such request or direction.</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9" w:right="339" w:bottom="1440" w:gutter="0" w:footer="0" w:header="0"/>
        </w:sectPr>
      </w:pPr>
    </w:p>
    <w:bookmarkStart w:id="175" w:name="page176"/>
    <w:bookmarkEnd w:id="175"/>
    <w:p>
      <w:pPr>
        <w:jc w:val="center"/>
        <w:spacing w:after="0"/>
        <w:rPr>
          <w:sz w:val="20"/>
          <w:szCs w:val="20"/>
          <w:color w:val="auto"/>
        </w:rPr>
      </w:pPr>
      <w:r>
        <w:rPr>
          <w:rFonts w:ascii="Arial" w:cs="Arial" w:eastAsia="Arial" w:hAnsi="Arial"/>
          <w:sz w:val="18"/>
          <w:szCs w:val="18"/>
          <w:b w:val="1"/>
          <w:bCs w:val="1"/>
          <w:color w:val="auto"/>
        </w:rPr>
        <w:t>EXHIBIT A</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ADVANCE REQUEST</w:t>
      </w:r>
    </w:p>
    <w:p>
      <w:pPr>
        <w:spacing w:after="0" w:line="235" w:lineRule="exact"/>
        <w:rPr>
          <w:sz w:val="20"/>
          <w:szCs w:val="20"/>
          <w:color w:val="auto"/>
        </w:rPr>
      </w:pPr>
    </w:p>
    <w:p>
      <w:pPr>
        <w:spacing w:after="0"/>
        <w:tabs>
          <w:tab w:leader="none" w:pos="1280" w:val="left"/>
          <w:tab w:leader="none" w:pos="2580" w:val="left"/>
        </w:tabs>
        <w:rPr>
          <w:sz w:val="20"/>
          <w:szCs w:val="20"/>
          <w:color w:val="auto"/>
        </w:rPr>
      </w:pPr>
      <w:r>
        <w:rPr>
          <w:rFonts w:ascii="Arial" w:cs="Arial" w:eastAsia="Arial" w:hAnsi="Arial"/>
          <w:sz w:val="22"/>
          <w:szCs w:val="22"/>
          <w:color w:val="auto"/>
        </w:rPr>
        <w:t>To:  Agent:</w:t>
        <w:tab/>
        <w:t>Date:</w:t>
      </w:r>
      <w:r>
        <w:rPr>
          <w:sz w:val="20"/>
          <w:szCs w:val="20"/>
          <w:color w:val="auto"/>
        </w:rPr>
        <w:tab/>
      </w:r>
      <w:r>
        <w:rPr>
          <w:rFonts w:ascii="Arial" w:cs="Arial" w:eastAsia="Arial" w:hAnsi="Arial"/>
          <w:sz w:val="19"/>
          <w:szCs w:val="19"/>
          <w:color w:val="auto"/>
        </w:rPr>
        <w:t>__________, 2006</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Hercules Capital, Inc. (the “Agent”)</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400 Hamilton Avenue, Suite 310</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Palo Alto, CA 94301</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email: legal@htgc.com</w:t>
      </w:r>
    </w:p>
    <w:p>
      <w:pPr>
        <w:spacing w:after="0" w:line="17" w:lineRule="exact"/>
        <w:rPr>
          <w:sz w:val="20"/>
          <w:szCs w:val="20"/>
          <w:color w:val="auto"/>
        </w:rPr>
      </w:pPr>
    </w:p>
    <w:p>
      <w:pPr>
        <w:ind w:left="440"/>
        <w:spacing w:after="0"/>
        <w:rPr>
          <w:sz w:val="20"/>
          <w:szCs w:val="20"/>
          <w:color w:val="auto"/>
        </w:rPr>
      </w:pPr>
      <w:r>
        <w:rPr>
          <w:rFonts w:ascii="Arial" w:cs="Arial" w:eastAsia="Arial" w:hAnsi="Arial"/>
          <w:sz w:val="22"/>
          <w:szCs w:val="22"/>
          <w:color w:val="auto"/>
        </w:rPr>
        <w:t>Attn:</w:t>
      </w:r>
    </w:p>
    <w:p>
      <w:pPr>
        <w:spacing w:after="0" w:line="17" w:lineRule="exact"/>
        <w:rPr>
          <w:sz w:val="20"/>
          <w:szCs w:val="20"/>
          <w:color w:val="auto"/>
        </w:rPr>
      </w:pPr>
    </w:p>
    <w:p>
      <w:pPr>
        <w:spacing w:after="0"/>
        <w:rPr>
          <w:sz w:val="20"/>
          <w:szCs w:val="20"/>
          <w:color w:val="auto"/>
        </w:rPr>
      </w:pPr>
      <w:r>
        <w:rPr>
          <w:rFonts w:ascii="Arial" w:cs="Arial" w:eastAsia="Arial" w:hAnsi="Arial"/>
          <w:sz w:val="19"/>
          <w:szCs w:val="19"/>
          <w:color w:val="auto"/>
        </w:rPr>
        <w:t>Axsome Therapeutics, Inc. (“Borrower”) hereby requests from Hercules Capital, Inc. (“Lender”) an Advance in the amount of</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 Dollars ($________________) (the “Advance Amount”) on ______________, _____ (the “Advance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Date”) pursuant to the Loan and Security Agreement, dated September 25, 2020 among Borrower, Agent and the Lender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“Agreement”). Capitalized words and other terms used but not otherwise defined herein are used with the same meanings as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defined in the Agreement.</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Please:</w:t>
      </w:r>
    </w:p>
    <w:p>
      <w:pPr>
        <w:spacing w:after="0" w:line="17" w:lineRule="exact"/>
        <w:rPr>
          <w:sz w:val="20"/>
          <w:szCs w:val="20"/>
          <w:color w:val="auto"/>
        </w:rPr>
      </w:pPr>
    </w:p>
    <w:p>
      <w:pPr>
        <w:ind w:left="1180" w:hanging="423"/>
        <w:spacing w:after="0"/>
        <w:tabs>
          <w:tab w:leader="none" w:pos="1180"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Issue a check payable to Borrower ________</w:t>
      </w:r>
    </w:p>
    <w:p>
      <w:pPr>
        <w:spacing w:after="0" w:line="17" w:lineRule="exact"/>
        <w:rPr>
          <w:rFonts w:ascii="Arial" w:cs="Arial" w:eastAsia="Arial" w:hAnsi="Arial"/>
          <w:sz w:val="22"/>
          <w:szCs w:val="22"/>
          <w:color w:val="auto"/>
        </w:rPr>
      </w:pPr>
    </w:p>
    <w:p>
      <w:pPr>
        <w:ind w:left="3000"/>
        <w:spacing w:after="0"/>
        <w:rPr>
          <w:rFonts w:ascii="Arial" w:cs="Arial" w:eastAsia="Arial" w:hAnsi="Arial"/>
          <w:sz w:val="22"/>
          <w:szCs w:val="22"/>
          <w:color w:val="auto"/>
        </w:rPr>
      </w:pPr>
      <w:r>
        <w:rPr>
          <w:rFonts w:ascii="Arial" w:cs="Arial" w:eastAsia="Arial" w:hAnsi="Arial"/>
          <w:sz w:val="22"/>
          <w:szCs w:val="22"/>
          <w:color w:val="auto"/>
        </w:rPr>
        <w:t>or</w:t>
      </w:r>
    </w:p>
    <w:p>
      <w:pPr>
        <w:spacing w:after="0" w:line="17" w:lineRule="exact"/>
        <w:rPr>
          <w:rFonts w:ascii="Arial" w:cs="Arial" w:eastAsia="Arial" w:hAnsi="Arial"/>
          <w:sz w:val="22"/>
          <w:szCs w:val="22"/>
          <w:color w:val="auto"/>
        </w:rPr>
      </w:pPr>
    </w:p>
    <w:p>
      <w:pPr>
        <w:ind w:left="760" w:right="720" w:hanging="3"/>
        <w:spacing w:after="0" w:line="256" w:lineRule="auto"/>
        <w:tabs>
          <w:tab w:leader="none" w:pos="1192" w:val="left"/>
        </w:tabs>
        <w:numPr>
          <w:ilvl w:val="0"/>
          <w:numId w:val="104"/>
        </w:numPr>
        <w:rPr>
          <w:rFonts w:ascii="Arial" w:cs="Arial" w:eastAsia="Arial" w:hAnsi="Arial"/>
          <w:sz w:val="22"/>
          <w:szCs w:val="22"/>
          <w:color w:val="auto"/>
        </w:rPr>
      </w:pPr>
      <w:r>
        <w:rPr>
          <w:rFonts w:ascii="Arial" w:cs="Arial" w:eastAsia="Arial" w:hAnsi="Arial"/>
          <w:sz w:val="22"/>
          <w:szCs w:val="22"/>
          <w:color w:val="auto"/>
        </w:rPr>
        <w:t>Wire Funds to Borrower’s account ________ [IF FILED PUBLICLY, ACCOUNT INFO REDACTED FOR SECURITY PURPOSES]</w:t>
      </w:r>
    </w:p>
    <w:p>
      <w:pPr>
        <w:ind w:left="1180"/>
        <w:spacing w:after="0"/>
        <w:rPr>
          <w:rFonts w:ascii="Arial" w:cs="Arial" w:eastAsia="Arial" w:hAnsi="Arial"/>
          <w:sz w:val="22"/>
          <w:szCs w:val="22"/>
          <w:color w:val="auto"/>
        </w:rPr>
      </w:pPr>
      <w:r>
        <w:rPr>
          <w:rFonts w:ascii="Arial" w:cs="Arial" w:eastAsia="Arial" w:hAnsi="Arial"/>
          <w:sz w:val="22"/>
          <w:szCs w:val="22"/>
          <w:color w:val="auto"/>
        </w:rPr>
        <w:t>Bank:</w:t>
      </w:r>
      <w:r>
        <w:rPr>
          <w:rFonts w:ascii="Arial" w:cs="Arial" w:eastAsia="Arial" w:hAnsi="Arial"/>
          <w:sz w:val="19"/>
          <w:szCs w:val="19"/>
          <w:color w:val="auto"/>
        </w:rPr>
        <w:t>_____________________________</w:t>
      </w:r>
    </w:p>
    <w:p>
      <w:pPr>
        <w:spacing w:after="0" w:line="17" w:lineRule="exact"/>
        <w:rPr>
          <w:rFonts w:ascii="Arial" w:cs="Arial" w:eastAsia="Arial" w:hAnsi="Arial"/>
          <w:sz w:val="22"/>
          <w:szCs w:val="22"/>
          <w:color w:val="auto"/>
        </w:rPr>
      </w:pPr>
    </w:p>
    <w:p>
      <w:pPr>
        <w:ind w:left="1180"/>
        <w:spacing w:after="0"/>
        <w:rPr>
          <w:rFonts w:ascii="Arial" w:cs="Arial" w:eastAsia="Arial" w:hAnsi="Arial"/>
          <w:sz w:val="22"/>
          <w:szCs w:val="22"/>
          <w:color w:val="auto"/>
        </w:rPr>
      </w:pPr>
      <w:r>
        <w:rPr>
          <w:rFonts w:ascii="Arial" w:cs="Arial" w:eastAsia="Arial" w:hAnsi="Arial"/>
          <w:sz w:val="22"/>
          <w:szCs w:val="22"/>
          <w:color w:val="auto"/>
        </w:rPr>
        <w:t>Address:</w:t>
      </w:r>
      <w:r>
        <w:rPr>
          <w:rFonts w:ascii="Arial" w:cs="Arial" w:eastAsia="Arial" w:hAnsi="Arial"/>
          <w:sz w:val="19"/>
          <w:szCs w:val="19"/>
          <w:color w:val="auto"/>
        </w:rPr>
        <w:t>_____________________________</w:t>
      </w:r>
    </w:p>
    <w:p>
      <w:pPr>
        <w:spacing w:after="0" w:line="17"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_____________________________</w:t>
      </w:r>
    </w:p>
    <w:p>
      <w:pPr>
        <w:spacing w:after="0" w:line="17" w:lineRule="exact"/>
        <w:rPr>
          <w:sz w:val="20"/>
          <w:szCs w:val="20"/>
          <w:color w:val="auto"/>
        </w:rPr>
      </w:pPr>
    </w:p>
    <w:p>
      <w:pPr>
        <w:ind w:left="1180"/>
        <w:spacing w:after="0"/>
        <w:tabs>
          <w:tab w:leader="none" w:pos="2980" w:val="left"/>
        </w:tabs>
        <w:rPr>
          <w:sz w:val="20"/>
          <w:szCs w:val="20"/>
          <w:color w:val="auto"/>
        </w:rPr>
      </w:pPr>
      <w:r>
        <w:rPr>
          <w:rFonts w:ascii="Arial" w:cs="Arial" w:eastAsia="Arial" w:hAnsi="Arial"/>
          <w:sz w:val="22"/>
          <w:szCs w:val="22"/>
          <w:color w:val="auto"/>
        </w:rPr>
        <w:t>ABA Number:</w:t>
      </w:r>
      <w:r>
        <w:rPr>
          <w:sz w:val="20"/>
          <w:szCs w:val="20"/>
          <w:color w:val="auto"/>
        </w:rPr>
        <w:tab/>
      </w:r>
      <w:r>
        <w:rPr>
          <w:rFonts w:ascii="Arial" w:cs="Arial" w:eastAsia="Arial" w:hAnsi="Arial"/>
          <w:sz w:val="19"/>
          <w:szCs w:val="19"/>
          <w:color w:val="auto"/>
        </w:rPr>
        <w:t>_____________________________</w:t>
      </w:r>
    </w:p>
    <w:p>
      <w:pPr>
        <w:spacing w:after="0" w:line="17" w:lineRule="exact"/>
        <w:rPr>
          <w:sz w:val="20"/>
          <w:szCs w:val="20"/>
          <w:color w:val="auto"/>
        </w:rPr>
      </w:pPr>
    </w:p>
    <w:p>
      <w:pPr>
        <w:ind w:left="1180"/>
        <w:spacing w:after="0"/>
        <w:tabs>
          <w:tab w:leader="none" w:pos="3000" w:val="left"/>
        </w:tabs>
        <w:rPr>
          <w:sz w:val="20"/>
          <w:szCs w:val="20"/>
          <w:color w:val="auto"/>
        </w:rPr>
      </w:pPr>
      <w:r>
        <w:rPr>
          <w:rFonts w:ascii="Arial" w:cs="Arial" w:eastAsia="Arial" w:hAnsi="Arial"/>
          <w:sz w:val="22"/>
          <w:szCs w:val="22"/>
          <w:color w:val="auto"/>
        </w:rPr>
        <w:t>Account Number:</w:t>
      </w:r>
      <w:r>
        <w:rPr>
          <w:sz w:val="20"/>
          <w:szCs w:val="20"/>
          <w:color w:val="auto"/>
        </w:rPr>
        <w:tab/>
      </w:r>
      <w:r>
        <w:rPr>
          <w:rFonts w:ascii="Arial" w:cs="Arial" w:eastAsia="Arial" w:hAnsi="Arial"/>
          <w:sz w:val="19"/>
          <w:szCs w:val="19"/>
          <w:color w:val="auto"/>
        </w:rPr>
        <w:t>_____________________________</w:t>
      </w:r>
    </w:p>
    <w:p>
      <w:pPr>
        <w:spacing w:after="0" w:line="17" w:lineRule="exact"/>
        <w:rPr>
          <w:sz w:val="20"/>
          <w:szCs w:val="20"/>
          <w:color w:val="auto"/>
        </w:rPr>
      </w:pPr>
    </w:p>
    <w:p>
      <w:pPr>
        <w:ind w:left="1180"/>
        <w:spacing w:after="0"/>
        <w:tabs>
          <w:tab w:leader="none" w:pos="2960" w:val="left"/>
        </w:tabs>
        <w:rPr>
          <w:sz w:val="20"/>
          <w:szCs w:val="20"/>
          <w:color w:val="auto"/>
        </w:rPr>
      </w:pPr>
      <w:r>
        <w:rPr>
          <w:rFonts w:ascii="Arial" w:cs="Arial" w:eastAsia="Arial" w:hAnsi="Arial"/>
          <w:sz w:val="22"/>
          <w:szCs w:val="22"/>
          <w:color w:val="auto"/>
        </w:rPr>
        <w:t>Account Name:</w:t>
      </w:r>
      <w:r>
        <w:rPr>
          <w:sz w:val="20"/>
          <w:szCs w:val="20"/>
          <w:color w:val="auto"/>
        </w:rPr>
        <w:tab/>
      </w:r>
      <w:r>
        <w:rPr>
          <w:rFonts w:ascii="Arial" w:cs="Arial" w:eastAsia="Arial" w:hAnsi="Arial"/>
          <w:sz w:val="19"/>
          <w:szCs w:val="19"/>
          <w:color w:val="auto"/>
        </w:rPr>
        <w:t>_____________________________</w:t>
      </w:r>
    </w:p>
    <w:p>
      <w:pPr>
        <w:spacing w:after="0" w:line="17" w:lineRule="exact"/>
        <w:rPr>
          <w:sz w:val="20"/>
          <w:szCs w:val="20"/>
          <w:color w:val="auto"/>
        </w:rPr>
      </w:pPr>
    </w:p>
    <w:p>
      <w:pPr>
        <w:ind w:left="1180"/>
        <w:spacing w:after="0"/>
        <w:tabs>
          <w:tab w:leader="none" w:pos="2980" w:val="left"/>
        </w:tabs>
        <w:rPr>
          <w:sz w:val="20"/>
          <w:szCs w:val="20"/>
          <w:color w:val="auto"/>
        </w:rPr>
      </w:pPr>
      <w:r>
        <w:rPr>
          <w:rFonts w:ascii="Arial" w:cs="Arial" w:eastAsia="Arial" w:hAnsi="Arial"/>
          <w:sz w:val="22"/>
          <w:szCs w:val="22"/>
          <w:color w:val="auto"/>
        </w:rPr>
        <w:t>Contact Person:</w:t>
      </w:r>
      <w:r>
        <w:rPr>
          <w:sz w:val="20"/>
          <w:szCs w:val="20"/>
          <w:color w:val="auto"/>
        </w:rPr>
        <w:tab/>
      </w:r>
      <w:r>
        <w:rPr>
          <w:rFonts w:ascii="Arial" w:cs="Arial" w:eastAsia="Arial" w:hAnsi="Arial"/>
          <w:sz w:val="19"/>
          <w:szCs w:val="19"/>
          <w:color w:val="auto"/>
        </w:rPr>
        <w:t>_____________________________</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Phone Number</w:t>
      </w:r>
    </w:p>
    <w:p>
      <w:pPr>
        <w:spacing w:after="0" w:line="17" w:lineRule="exact"/>
        <w:rPr>
          <w:sz w:val="20"/>
          <w:szCs w:val="20"/>
          <w:color w:val="auto"/>
        </w:rPr>
      </w:pPr>
    </w:p>
    <w:p>
      <w:pPr>
        <w:ind w:left="1180"/>
        <w:spacing w:after="0"/>
        <w:rPr>
          <w:sz w:val="20"/>
          <w:szCs w:val="20"/>
          <w:color w:val="auto"/>
        </w:rPr>
      </w:pPr>
      <w:r>
        <w:rPr>
          <w:rFonts w:ascii="Arial" w:cs="Arial" w:eastAsia="Arial" w:hAnsi="Arial"/>
          <w:sz w:val="22"/>
          <w:szCs w:val="22"/>
          <w:color w:val="auto"/>
        </w:rPr>
        <w:t>To Verify Wire Info: _____________________________</w:t>
      </w:r>
    </w:p>
    <w:p>
      <w:pPr>
        <w:spacing w:after="0" w:line="17" w:lineRule="exact"/>
        <w:rPr>
          <w:sz w:val="20"/>
          <w:szCs w:val="20"/>
          <w:color w:val="auto"/>
        </w:rPr>
      </w:pPr>
    </w:p>
    <w:p>
      <w:pPr>
        <w:ind w:left="1180"/>
        <w:spacing w:after="0"/>
        <w:tabs>
          <w:tab w:leader="none" w:pos="3040" w:val="left"/>
        </w:tabs>
        <w:rPr>
          <w:sz w:val="20"/>
          <w:szCs w:val="20"/>
          <w:color w:val="auto"/>
        </w:rPr>
      </w:pPr>
      <w:r>
        <w:rPr>
          <w:rFonts w:ascii="Arial" w:cs="Arial" w:eastAsia="Arial" w:hAnsi="Arial"/>
          <w:sz w:val="22"/>
          <w:szCs w:val="22"/>
          <w:color w:val="auto"/>
        </w:rPr>
        <w:t>Email address:</w:t>
      </w:r>
      <w:r>
        <w:rPr>
          <w:sz w:val="20"/>
          <w:szCs w:val="20"/>
          <w:color w:val="auto"/>
        </w:rPr>
        <w:tab/>
      </w:r>
      <w:r>
        <w:rPr>
          <w:rFonts w:ascii="Arial" w:cs="Arial" w:eastAsia="Arial" w:hAnsi="Arial"/>
          <w:sz w:val="19"/>
          <w:szCs w:val="19"/>
          <w:color w:val="auto"/>
        </w:rPr>
        <w:t>_____________________________</w:t>
      </w:r>
    </w:p>
    <w:p>
      <w:pPr>
        <w:spacing w:after="0" w:line="283" w:lineRule="exact"/>
        <w:rPr>
          <w:sz w:val="20"/>
          <w:szCs w:val="20"/>
          <w:color w:val="auto"/>
        </w:rPr>
      </w:pPr>
    </w:p>
    <w:p>
      <w:pPr>
        <w:jc w:val="both"/>
        <w:ind w:firstLine="749"/>
        <w:spacing w:after="0" w:line="271" w:lineRule="auto"/>
        <w:rPr>
          <w:sz w:val="20"/>
          <w:szCs w:val="20"/>
          <w:color w:val="auto"/>
        </w:rPr>
      </w:pPr>
      <w:r>
        <w:rPr>
          <w:rFonts w:ascii="Arial" w:cs="Arial" w:eastAsia="Arial" w:hAnsi="Arial"/>
          <w:sz w:val="21"/>
          <w:szCs w:val="21"/>
          <w:color w:val="auto"/>
        </w:rPr>
        <w:t>Borrower represents that the conditions precedent to the Advance set forth in the Agreement are satisfied or waived and shall be satisfied upon the making of such Advance, including but not limited to: (i) that no event that has had or could reasonably be expected to have a Material Adverse Effect has occurred and is continuing; (ii) that the representations and warranties set forth in the Agreement and in the Warrant are and shall be true and correct in all material respects on and as of the Advance Date with the same effect as though made on and as of such date, except to the extent such representations and warranties expressly relate to an earlier date; (iii) that Borrower is in compliance with all the terms and provisions set forth in each Loan Document on its part to be observed or performed; and (iv) that as of the Advance Date, no fact or condition exists that could (or could, with the passage of time, the giving of notice, or both) constitute an Event of Default under the Loan Documents. Borrower understands and acknowledges that Agent has the right to review the financial information supporting this representation and, based upon such review in its sole but reasonable discretion, the Lender may decline to fund the requested Advance.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6" w:name="page177"/>
    <w:bookmarkEnd w:id="176"/>
    <w:p>
      <w:pPr>
        <w:jc w:val="both"/>
        <w:ind w:firstLine="749"/>
        <w:spacing w:after="0" w:line="266" w:lineRule="auto"/>
        <w:rPr>
          <w:sz w:val="20"/>
          <w:szCs w:val="20"/>
          <w:color w:val="auto"/>
        </w:rPr>
      </w:pPr>
      <w:r>
        <w:rPr>
          <w:rFonts w:ascii="Arial" w:cs="Arial" w:eastAsia="Arial" w:hAnsi="Arial"/>
          <w:sz w:val="22"/>
          <w:szCs w:val="22"/>
          <w:color w:val="auto"/>
        </w:rPr>
        <w:t>Borrower hereby represents that Borrower’s corporate status and locations have not changed since the date of the Agreement or, if the Attachment 1 to this Advance Request is completed, are as set forth in the Attachment to this Advance Request.</w:t>
      </w:r>
    </w:p>
    <w:p>
      <w:pPr>
        <w:spacing w:after="0" w:line="18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With respect to any Advances requested under Tranche 4, Borrower represents and warrants that the information provided on Attachment 2 to this Advance Request is true and correct in all respects.</w:t>
      </w:r>
    </w:p>
    <w:p>
      <w:pPr>
        <w:spacing w:after="0" w:line="174" w:lineRule="exact"/>
        <w:rPr>
          <w:sz w:val="20"/>
          <w:szCs w:val="20"/>
          <w:color w:val="auto"/>
        </w:rPr>
      </w:pPr>
    </w:p>
    <w:p>
      <w:pPr>
        <w:jc w:val="both"/>
        <w:ind w:firstLine="749"/>
        <w:spacing w:after="0" w:line="262" w:lineRule="auto"/>
        <w:rPr>
          <w:sz w:val="20"/>
          <w:szCs w:val="20"/>
          <w:color w:val="auto"/>
        </w:rPr>
      </w:pPr>
      <w:r>
        <w:rPr>
          <w:rFonts w:ascii="Arial" w:cs="Arial" w:eastAsia="Arial" w:hAnsi="Arial"/>
          <w:sz w:val="22"/>
          <w:szCs w:val="22"/>
          <w:color w:val="auto"/>
        </w:rPr>
        <w:t>Borrower agrees to notify Agent promptly before the funding of the Loan if any of the matters which have been represented above shall not be true and correct on the Advance Date and if Agent has received no such notice before the Advance Date then the statements set forth above shall be deemed to have been made and shall be deemed to be true and correct as of the Advance Date.</w:t>
      </w:r>
    </w:p>
    <w:p>
      <w:pPr>
        <w:spacing w:after="0" w:line="191" w:lineRule="exact"/>
        <w:rPr>
          <w:sz w:val="20"/>
          <w:szCs w:val="20"/>
          <w:color w:val="auto"/>
        </w:rPr>
      </w:pPr>
    </w:p>
    <w:tbl>
      <w:tblPr>
        <w:tblLayout w:type="fixed"/>
        <w:tblInd w:w="760" w:type="dxa"/>
        <w:tblCellMar>
          <w:top w:w="0" w:type="dxa"/>
          <w:left w:w="0" w:type="dxa"/>
          <w:bottom w:w="0" w:type="dxa"/>
          <w:right w:w="0" w:type="dxa"/>
        </w:tblCellMar>
      </w:tblPr>
      <w:tr>
        <w:trPr>
          <w:trHeight w:val="274"/>
        </w:trPr>
        <w:tc>
          <w:tcPr>
            <w:tcW w:w="1780" w:type="dxa"/>
            <w:vAlign w:val="bottom"/>
          </w:tcPr>
          <w:p>
            <w:pPr>
              <w:spacing w:after="0"/>
              <w:rPr>
                <w:sz w:val="20"/>
                <w:szCs w:val="20"/>
                <w:color w:val="auto"/>
              </w:rPr>
            </w:pPr>
            <w:r>
              <w:rPr>
                <w:rFonts w:ascii="Arial" w:cs="Arial" w:eastAsia="Arial" w:hAnsi="Arial"/>
                <w:sz w:val="22"/>
                <w:szCs w:val="22"/>
                <w:color w:val="auto"/>
              </w:rPr>
              <w:t>Executed as of [</w:t>
            </w:r>
          </w:p>
        </w:tc>
        <w:tc>
          <w:tcPr>
            <w:tcW w:w="1120" w:type="dxa"/>
            <w:vAlign w:val="bottom"/>
          </w:tcPr>
          <w:p>
            <w:pPr>
              <w:jc w:val="right"/>
              <w:spacing w:after="0"/>
              <w:rPr>
                <w:sz w:val="20"/>
                <w:szCs w:val="20"/>
                <w:color w:val="auto"/>
              </w:rPr>
            </w:pPr>
            <w:r>
              <w:rPr>
                <w:rFonts w:ascii="Arial" w:cs="Arial" w:eastAsia="Arial" w:hAnsi="Arial"/>
                <w:sz w:val="22"/>
                <w:szCs w:val="22"/>
                <w:color w:val="auto"/>
              </w:rPr>
              <w:t>], 20[  ].</w:t>
            </w:r>
          </w:p>
        </w:tc>
      </w:tr>
    </w:tbl>
    <w:p>
      <w:pPr>
        <w:spacing w:after="0" w:line="21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BORROWER: AXSOME THERAPEUTICS, INC.</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SIGNATURE:________________________</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TITLE:_____________________________</w:t>
      </w:r>
    </w:p>
    <w:p>
      <w:pPr>
        <w:spacing w:after="0" w:line="17"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PRINT NAME:______________________</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77" w:name="page178"/>
    <w:bookmarkEnd w:id="177"/>
    <w:p>
      <w:pPr>
        <w:jc w:val="center"/>
        <w:ind w:right="-119"/>
        <w:spacing w:after="0"/>
        <w:rPr>
          <w:sz w:val="20"/>
          <w:szCs w:val="20"/>
          <w:color w:val="auto"/>
        </w:rPr>
      </w:pPr>
      <w:r>
        <w:rPr>
          <w:rFonts w:ascii="Arial" w:cs="Arial" w:eastAsia="Arial" w:hAnsi="Arial"/>
          <w:sz w:val="18"/>
          <w:szCs w:val="18"/>
          <w:b w:val="1"/>
          <w:bCs w:val="1"/>
          <w:color w:val="auto"/>
        </w:rPr>
        <w:t>ATTACHMENT 1 TO ADVANCE REQUEST</w:t>
      </w:r>
    </w:p>
    <w:p>
      <w:pPr>
        <w:spacing w:after="0" w:line="23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Dated: 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Borrower hereby represents and warrants to Agent that Borrower’s current name and organizational status is as follows:</w:t>
      </w:r>
    </w:p>
    <w:p>
      <w:pPr>
        <w:spacing w:after="0" w:line="155" w:lineRule="exact"/>
        <w:rPr>
          <w:sz w:val="20"/>
          <w:szCs w:val="20"/>
          <w:color w:val="auto"/>
        </w:rPr>
      </w:pPr>
    </w:p>
    <w:tbl>
      <w:tblPr>
        <w:tblLayout w:type="fixed"/>
        <w:tblInd w:w="760" w:type="dxa"/>
        <w:tblCellMar>
          <w:top w:w="0" w:type="dxa"/>
          <w:left w:w="0" w:type="dxa"/>
          <w:bottom w:w="0" w:type="dxa"/>
          <w:right w:w="0" w:type="dxa"/>
        </w:tblCellMar>
      </w:tblPr>
      <w:tr>
        <w:trPr>
          <w:trHeight w:val="270"/>
        </w:trPr>
        <w:tc>
          <w:tcPr>
            <w:tcW w:w="2720" w:type="dxa"/>
            <w:vAlign w:val="bottom"/>
          </w:tcPr>
          <w:p>
            <w:pPr>
              <w:spacing w:after="0"/>
              <w:rPr>
                <w:sz w:val="20"/>
                <w:szCs w:val="20"/>
                <w:color w:val="auto"/>
              </w:rPr>
            </w:pPr>
            <w:r>
              <w:rPr>
                <w:rFonts w:ascii="Arial" w:cs="Arial" w:eastAsia="Arial" w:hAnsi="Arial"/>
                <w:sz w:val="22"/>
                <w:szCs w:val="22"/>
                <w:color w:val="auto"/>
              </w:rPr>
              <w:t>Name:</w:t>
            </w:r>
          </w:p>
        </w:tc>
        <w:tc>
          <w:tcPr>
            <w:tcW w:w="1580" w:type="dxa"/>
            <w:vAlign w:val="bottom"/>
          </w:tcPr>
          <w:p>
            <w:pPr>
              <w:jc w:val="right"/>
              <w:ind w:right="89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2720" w:type="dxa"/>
            <w:vAlign w:val="bottom"/>
          </w:tcPr>
          <w:p>
            <w:pPr>
              <w:spacing w:after="0"/>
              <w:rPr>
                <w:sz w:val="20"/>
                <w:szCs w:val="20"/>
                <w:color w:val="auto"/>
              </w:rPr>
            </w:pPr>
            <w:r>
              <w:rPr>
                <w:rFonts w:ascii="Arial" w:cs="Arial" w:eastAsia="Arial" w:hAnsi="Arial"/>
                <w:sz w:val="22"/>
                <w:szCs w:val="22"/>
                <w:color w:val="auto"/>
              </w:rPr>
              <w:t>Type of organization:</w:t>
            </w:r>
          </w:p>
        </w:tc>
        <w:tc>
          <w:tcPr>
            <w:tcW w:w="1580" w:type="dxa"/>
            <w:vAlign w:val="bottom"/>
          </w:tcPr>
          <w:p>
            <w:pPr>
              <w:jc w:val="right"/>
              <w:ind w:right="91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0"/>
        </w:trPr>
        <w:tc>
          <w:tcPr>
            <w:tcW w:w="2720" w:type="dxa"/>
            <w:vAlign w:val="bottom"/>
          </w:tcPr>
          <w:p>
            <w:pPr>
              <w:spacing w:after="0"/>
              <w:rPr>
                <w:sz w:val="20"/>
                <w:szCs w:val="20"/>
                <w:color w:val="auto"/>
              </w:rPr>
            </w:pPr>
            <w:r>
              <w:rPr>
                <w:rFonts w:ascii="Arial" w:cs="Arial" w:eastAsia="Arial" w:hAnsi="Arial"/>
                <w:sz w:val="22"/>
                <w:szCs w:val="22"/>
                <w:color w:val="auto"/>
              </w:rPr>
              <w:t>State of organization:</w:t>
            </w:r>
          </w:p>
        </w:tc>
        <w:tc>
          <w:tcPr>
            <w:tcW w:w="1580" w:type="dxa"/>
            <w:vAlign w:val="bottom"/>
          </w:tcPr>
          <w:p>
            <w:pPr>
              <w:jc w:val="right"/>
              <w:ind w:right="91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274"/>
        </w:trPr>
        <w:tc>
          <w:tcPr>
            <w:tcW w:w="2720" w:type="dxa"/>
            <w:vAlign w:val="bottom"/>
          </w:tcPr>
          <w:p>
            <w:pPr>
              <w:spacing w:after="0"/>
              <w:rPr>
                <w:sz w:val="20"/>
                <w:szCs w:val="20"/>
                <w:color w:val="auto"/>
              </w:rPr>
            </w:pPr>
            <w:r>
              <w:rPr>
                <w:rFonts w:ascii="Arial" w:cs="Arial" w:eastAsia="Arial" w:hAnsi="Arial"/>
                <w:sz w:val="22"/>
                <w:szCs w:val="22"/>
                <w:color w:val="auto"/>
              </w:rPr>
              <w:t>Organization file number:</w:t>
            </w:r>
          </w:p>
        </w:tc>
        <w:tc>
          <w:tcPr>
            <w:tcW w:w="1580" w:type="dxa"/>
            <w:vAlign w:val="bottom"/>
          </w:tcPr>
          <w:p>
            <w:pPr>
              <w:jc w:val="right"/>
              <w:ind w:right="912"/>
              <w:spacing w:after="0"/>
              <w:rPr>
                <w:sz w:val="20"/>
                <w:szCs w:val="20"/>
                <w:color w:val="auto"/>
              </w:rPr>
            </w:pPr>
            <w:r>
              <w:rPr>
                <w:rFonts w:ascii="Arial" w:cs="Arial" w:eastAsia="Arial" w:hAnsi="Arial"/>
                <w:sz w:val="22"/>
                <w:szCs w:val="22"/>
                <w:color w:val="auto"/>
              </w:rPr>
              <w:t>[</w:t>
            </w:r>
          </w:p>
        </w:tc>
        <w:tc>
          <w:tcPr>
            <w:tcW w:w="1120" w:type="dxa"/>
            <w:vAlign w:val="bottom"/>
          </w:tcPr>
          <w:p>
            <w:pPr>
              <w:jc w:val="right"/>
              <w:spacing w:after="0"/>
              <w:rPr>
                <w:sz w:val="20"/>
                <w:szCs w:val="20"/>
                <w:color w:val="auto"/>
              </w:rPr>
            </w:pPr>
            <w:r>
              <w:rPr>
                <w:rFonts w:ascii="Arial" w:cs="Arial" w:eastAsia="Arial" w:hAnsi="Arial"/>
                <w:sz w:val="22"/>
                <w:szCs w:val="22"/>
                <w:color w:val="auto"/>
              </w:rPr>
              <w:t>]</w:t>
            </w:r>
          </w:p>
        </w:tc>
      </w:tr>
    </w:tbl>
    <w:p>
      <w:pPr>
        <w:ind w:right="20"/>
        <w:spacing w:after="0" w:line="256" w:lineRule="auto"/>
        <w:rPr>
          <w:sz w:val="20"/>
          <w:szCs w:val="20"/>
          <w:color w:val="auto"/>
        </w:rPr>
      </w:pPr>
      <w:r>
        <w:rPr>
          <w:rFonts w:ascii="Arial" w:cs="Arial" w:eastAsia="Arial" w:hAnsi="Arial"/>
          <w:sz w:val="22"/>
          <w:szCs w:val="22"/>
          <w:color w:val="auto"/>
        </w:rPr>
        <w:t>Borrower hereby represents and warrants to Agent that the street addresses, cities, states and postal codes of its current locations are as follows:</w:t>
      </w:r>
    </w:p>
    <w:p>
      <w:pPr>
        <w:ind w:left="320" w:hanging="312"/>
        <w:spacing w:after="0"/>
        <w:tabs>
          <w:tab w:leader="none" w:pos="32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w:t>
      </w:r>
    </w:p>
    <w:p>
      <w:pPr>
        <w:spacing w:after="0" w:line="17" w:lineRule="exact"/>
        <w:rPr>
          <w:sz w:val="20"/>
          <w:szCs w:val="20"/>
          <w:color w:val="auto"/>
        </w:rPr>
      </w:pPr>
    </w:p>
    <w:p>
      <w:pPr>
        <w:spacing w:after="0" w:line="256" w:lineRule="auto"/>
        <w:rPr>
          <w:sz w:val="20"/>
          <w:szCs w:val="20"/>
          <w:color w:val="auto"/>
        </w:rPr>
      </w:pPr>
      <w:r>
        <w:rPr>
          <w:rFonts w:ascii="Arial" w:cs="Arial" w:eastAsia="Arial" w:hAnsi="Arial"/>
          <w:sz w:val="22"/>
          <w:szCs w:val="22"/>
          <w:color w:val="auto"/>
        </w:rPr>
        <w:t>Borrower hereby represents and warrants to Agent that the Advance Amount does not exceed the Maximum Term Loan Amount as follows:</w:t>
      </w:r>
    </w:p>
    <w:p>
      <w:pPr>
        <w:ind w:left="440" w:hanging="432"/>
        <w:spacing w:after="0"/>
        <w:tabs>
          <w:tab w:leader="none" w:pos="4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Advance Amount: $________________</w:t>
      </w:r>
    </w:p>
    <w:p>
      <w:pPr>
        <w:spacing w:after="0" w:line="17" w:lineRule="exact"/>
        <w:rPr>
          <w:rFonts w:ascii="Arial" w:cs="Arial" w:eastAsia="Arial" w:hAnsi="Arial"/>
          <w:sz w:val="22"/>
          <w:szCs w:val="22"/>
          <w:color w:val="auto"/>
        </w:rPr>
      </w:pPr>
    </w:p>
    <w:p>
      <w:pPr>
        <w:ind w:left="440" w:hanging="432"/>
        <w:spacing w:after="0"/>
        <w:tabs>
          <w:tab w:leader="none" w:pos="4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Maximum Term Loan Amount: $300,000,000</w:t>
      </w:r>
    </w:p>
    <w:p>
      <w:pPr>
        <w:spacing w:after="0" w:line="17" w:lineRule="exact"/>
        <w:rPr>
          <w:rFonts w:ascii="Arial" w:cs="Arial" w:eastAsia="Arial" w:hAnsi="Arial"/>
          <w:sz w:val="22"/>
          <w:szCs w:val="22"/>
          <w:color w:val="auto"/>
        </w:rPr>
      </w:pPr>
    </w:p>
    <w:p>
      <w:pPr>
        <w:ind w:left="440" w:hanging="432"/>
        <w:spacing w:after="0"/>
        <w:tabs>
          <w:tab w:leader="none" w:pos="4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Is clause a. less than or equal to clause b.?</w:t>
      </w:r>
    </w:p>
    <w:p>
      <w:pPr>
        <w:spacing w:after="0" w:line="17" w:lineRule="exact"/>
        <w:rPr>
          <w:sz w:val="20"/>
          <w:szCs w:val="20"/>
          <w:color w:val="auto"/>
        </w:rPr>
      </w:pPr>
    </w:p>
    <w:p>
      <w:pPr>
        <w:ind w:left="2560"/>
        <w:spacing w:after="0"/>
        <w:rPr>
          <w:sz w:val="20"/>
          <w:szCs w:val="20"/>
          <w:color w:val="auto"/>
        </w:rPr>
      </w:pPr>
      <w:r>
        <w:rPr>
          <w:rFonts w:ascii="Arial" w:cs="Arial" w:eastAsia="Arial" w:hAnsi="Arial"/>
          <w:sz w:val="22"/>
          <w:szCs w:val="22"/>
          <w:color w:val="auto"/>
        </w:rPr>
        <w:t>Yes/Compliant _______ No/Non-Compliant _______</w:t>
      </w:r>
    </w:p>
    <w:p>
      <w:pPr>
        <w:spacing w:after="0" w:line="2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364" w:right="459" w:bottom="1440" w:gutter="0" w:footer="0" w:header="0"/>
        </w:sectPr>
      </w:pPr>
    </w:p>
    <w:bookmarkStart w:id="178" w:name="page179"/>
    <w:bookmarkEnd w:id="178"/>
    <w:p>
      <w:pPr>
        <w:jc w:val="center"/>
        <w:spacing w:after="0"/>
        <w:rPr>
          <w:sz w:val="20"/>
          <w:szCs w:val="20"/>
          <w:color w:val="auto"/>
        </w:rPr>
      </w:pPr>
      <w:r>
        <w:rPr>
          <w:rFonts w:ascii="Arial" w:cs="Arial" w:eastAsia="Arial" w:hAnsi="Arial"/>
          <w:sz w:val="18"/>
          <w:szCs w:val="18"/>
          <w:b w:val="1"/>
          <w:bCs w:val="1"/>
          <w:color w:val="auto"/>
        </w:rPr>
        <w:t>ATTACHMENT 2 TO ADVANCE REQUEST</w:t>
      </w:r>
    </w:p>
    <w:p>
      <w:pPr>
        <w:spacing w:after="0" w:line="235" w:lineRule="exact"/>
        <w:rPr>
          <w:sz w:val="20"/>
          <w:szCs w:val="20"/>
          <w:color w:val="auto"/>
        </w:rPr>
      </w:pPr>
    </w:p>
    <w:p>
      <w:pPr>
        <w:ind w:left="4060"/>
        <w:spacing w:after="0"/>
        <w:rPr>
          <w:sz w:val="20"/>
          <w:szCs w:val="20"/>
          <w:color w:val="auto"/>
        </w:rPr>
      </w:pPr>
      <w:r>
        <w:rPr>
          <w:rFonts w:ascii="Arial" w:cs="Arial" w:eastAsia="Arial" w:hAnsi="Arial"/>
          <w:sz w:val="22"/>
          <w:szCs w:val="22"/>
          <w:color w:val="auto"/>
        </w:rPr>
        <w:t>Dated: _______________________</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Borrower hereby represents and warrants to Agent the following:</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Net Product Revenue Ratio and Tranche 4 Draw Conditions</w:t>
      </w:r>
    </w:p>
    <w:p>
      <w:pPr>
        <w:spacing w:after="0" w:line="17"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7740" w:type="dxa"/>
            <w:vAlign w:val="bottom"/>
            <w:tcBorders>
              <w:top w:val="single" w:sz="8" w:color="auto"/>
              <w:left w:val="single" w:sz="8" w:color="auto"/>
            </w:tcBorders>
            <w:gridSpan w:val="2"/>
          </w:tcPr>
          <w:p>
            <w:pPr>
              <w:ind w:left="120"/>
              <w:spacing w:after="0"/>
              <w:rPr>
                <w:sz w:val="20"/>
                <w:szCs w:val="20"/>
                <w:color w:val="auto"/>
              </w:rPr>
            </w:pPr>
            <w:r>
              <w:rPr>
                <w:rFonts w:ascii="Arial" w:cs="Arial" w:eastAsia="Arial" w:hAnsi="Arial"/>
                <w:sz w:val="22"/>
                <w:szCs w:val="22"/>
                <w:b w:val="1"/>
                <w:bCs w:val="1"/>
                <w:color w:val="auto"/>
              </w:rPr>
              <w:t>Current Net Product Revenue Ratio Calculation</w:t>
            </w:r>
          </w:p>
        </w:tc>
        <w:tc>
          <w:tcPr>
            <w:tcW w:w="3500" w:type="dxa"/>
            <w:vAlign w:val="bottom"/>
            <w:tcBorders>
              <w:top w:val="single" w:sz="8" w:color="auto"/>
              <w:right w:val="single" w:sz="8" w:color="auto"/>
            </w:tcBorders>
            <w:gridSpan w:val="2"/>
          </w:tcPr>
          <w:p>
            <w:pPr>
              <w:ind w:left="920"/>
              <w:spacing w:after="0"/>
              <w:rPr>
                <w:sz w:val="20"/>
                <w:szCs w:val="20"/>
                <w:color w:val="auto"/>
              </w:rPr>
            </w:pPr>
            <w:r>
              <w:rPr>
                <w:rFonts w:ascii="Arial" w:cs="Arial" w:eastAsia="Arial" w:hAnsi="Arial"/>
                <w:sz w:val="22"/>
                <w:szCs w:val="22"/>
                <w:b w:val="1"/>
                <w:bCs w:val="1"/>
                <w:color w:val="auto"/>
              </w:rPr>
              <w:t>Amounts</w:t>
            </w:r>
          </w:p>
        </w:tc>
      </w:tr>
      <w:tr>
        <w:trPr>
          <w:trHeight w:val="270"/>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7320" w:type="dxa"/>
            <w:vAlign w:val="bottom"/>
          </w:tcPr>
          <w:p>
            <w:pPr>
              <w:ind w:left="40"/>
              <w:spacing w:after="0"/>
              <w:rPr>
                <w:sz w:val="20"/>
                <w:szCs w:val="20"/>
                <w:color w:val="auto"/>
              </w:rPr>
            </w:pPr>
            <w:r>
              <w:rPr>
                <w:rFonts w:ascii="Arial" w:cs="Arial" w:eastAsia="Arial" w:hAnsi="Arial"/>
                <w:sz w:val="22"/>
                <w:szCs w:val="22"/>
                <w:color w:val="auto"/>
              </w:rPr>
              <w:t>The outstanding amount of the Term Loan Advances as of the date hereof</w:t>
            </w:r>
          </w:p>
        </w:tc>
        <w:tc>
          <w:tcPr>
            <w:tcW w:w="1100" w:type="dxa"/>
            <w:vAlign w:val="bottom"/>
          </w:tcPr>
          <w:p>
            <w:pPr>
              <w:ind w:left="920"/>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r>
        <w:trPr>
          <w:trHeight w:val="270"/>
        </w:trPr>
        <w:tc>
          <w:tcPr>
            <w:tcW w:w="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7320" w:type="dxa"/>
            <w:vAlign w:val="bottom"/>
          </w:tcPr>
          <w:p>
            <w:pPr>
              <w:ind w:left="60"/>
              <w:spacing w:after="0"/>
              <w:rPr>
                <w:sz w:val="20"/>
                <w:szCs w:val="20"/>
                <w:color w:val="auto"/>
              </w:rPr>
            </w:pPr>
            <w:r>
              <w:rPr>
                <w:rFonts w:ascii="Arial" w:cs="Arial" w:eastAsia="Arial" w:hAnsi="Arial"/>
                <w:sz w:val="22"/>
                <w:szCs w:val="22"/>
                <w:color w:val="auto"/>
              </w:rPr>
              <w:t>T3M Net Product Revenue as of the reporting period noted above</w:t>
            </w:r>
          </w:p>
        </w:tc>
        <w:tc>
          <w:tcPr>
            <w:tcW w:w="1100" w:type="dxa"/>
            <w:vAlign w:val="bottom"/>
          </w:tcPr>
          <w:p>
            <w:pPr>
              <w:ind w:left="920"/>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r>
        <w:trPr>
          <w:trHeight w:val="276"/>
        </w:trPr>
        <w:tc>
          <w:tcPr>
            <w:tcW w:w="7740" w:type="dxa"/>
            <w:vAlign w:val="bottom"/>
            <w:tcBorders>
              <w:left w:val="single" w:sz="8" w:color="auto"/>
              <w:bottom w:val="single" w:sz="8" w:color="auto"/>
            </w:tcBorders>
            <w:gridSpan w:val="2"/>
          </w:tcPr>
          <w:p>
            <w:pPr>
              <w:ind w:left="120"/>
              <w:spacing w:after="0"/>
              <w:rPr>
                <w:sz w:val="20"/>
                <w:szCs w:val="20"/>
                <w:color w:val="auto"/>
              </w:rPr>
            </w:pPr>
            <w:r>
              <w:rPr>
                <w:rFonts w:ascii="Arial" w:cs="Arial" w:eastAsia="Arial" w:hAnsi="Arial"/>
                <w:sz w:val="22"/>
                <w:szCs w:val="22"/>
                <w:color w:val="auto"/>
              </w:rPr>
              <w:t>Current Net Product Revenue Ratio as defined as the ratio of (a) to (b)</w:t>
            </w:r>
          </w:p>
        </w:tc>
        <w:tc>
          <w:tcPr>
            <w:tcW w:w="1100" w:type="dxa"/>
            <w:vAlign w:val="bottom"/>
            <w:tcBorders>
              <w:bottom w:val="single" w:sz="8" w:color="auto"/>
            </w:tcBorders>
          </w:tcPr>
          <w:p>
            <w:pPr>
              <w:ind w:left="920"/>
              <w:spacing w:after="0"/>
              <w:rPr>
                <w:sz w:val="20"/>
                <w:szCs w:val="20"/>
                <w:color w:val="auto"/>
              </w:rPr>
            </w:pPr>
            <w:r>
              <w:rPr>
                <w:rFonts w:ascii="Arial" w:cs="Arial" w:eastAsia="Arial" w:hAnsi="Arial"/>
                <w:sz w:val="22"/>
                <w:szCs w:val="22"/>
                <w:color w:val="auto"/>
              </w:rPr>
              <w:t>[</w:t>
            </w:r>
          </w:p>
        </w:tc>
        <w:tc>
          <w:tcPr>
            <w:tcW w:w="2400" w:type="dxa"/>
            <w:vAlign w:val="bottom"/>
            <w:tcBorders>
              <w:bottom w:val="single" w:sz="8" w:color="auto"/>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bl>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317"/>
        </w:trPr>
        <w:tc>
          <w:tcPr>
            <w:tcW w:w="942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Tranche 4 Draw Conditions Requirements</w:t>
            </w:r>
          </w:p>
        </w:tc>
        <w:tc>
          <w:tcPr>
            <w:tcW w:w="1820" w:type="dxa"/>
            <w:vAlign w:val="bottom"/>
            <w:tcBorders>
              <w:top w:val="single" w:sz="8" w:color="auto"/>
              <w:bottom w:val="single" w:sz="8" w:color="auto"/>
              <w:right w:val="single" w:sz="8" w:color="auto"/>
            </w:tcBorders>
            <w:gridSpan w:val="2"/>
          </w:tcPr>
          <w:p>
            <w:pPr>
              <w:ind w:left="80"/>
              <w:spacing w:after="0"/>
              <w:rPr>
                <w:sz w:val="20"/>
                <w:szCs w:val="20"/>
                <w:color w:val="auto"/>
              </w:rPr>
            </w:pPr>
            <w:r>
              <w:rPr>
                <w:rFonts w:ascii="Arial" w:cs="Arial" w:eastAsia="Arial" w:hAnsi="Arial"/>
                <w:sz w:val="22"/>
                <w:szCs w:val="22"/>
                <w:b w:val="1"/>
                <w:bCs w:val="1"/>
                <w:color w:val="auto"/>
              </w:rPr>
              <w:t>Satisfied?</w:t>
            </w:r>
          </w:p>
        </w:tc>
      </w:tr>
      <w:tr>
        <w:trPr>
          <w:trHeight w:val="267"/>
        </w:trPr>
        <w:tc>
          <w:tcPr>
            <w:tcW w:w="9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Borrower’s achievement of the AXS-05 Milestone or the AXS-07 Milestone</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6"/>
              </w:rPr>
              <w:t>Yes__</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No__</w:t>
            </w:r>
          </w:p>
        </w:tc>
      </w:tr>
      <w:tr>
        <w:trPr>
          <w:trHeight w:val="291"/>
        </w:trPr>
        <w:tc>
          <w:tcPr>
            <w:tcW w:w="9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Net Product Revenue Ratio shall be no greater than 4.00:1.00 (per above and below)</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6"/>
              </w:rPr>
              <w:t>Yes__</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No__</w:t>
            </w:r>
          </w:p>
        </w:tc>
      </w:tr>
      <w:tr>
        <w:trPr>
          <w:trHeight w:val="290"/>
        </w:trPr>
        <w:tc>
          <w:tcPr>
            <w:tcW w:w="942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No Default or Event of Default shall have occurred and be continuing</w:t>
            </w:r>
          </w:p>
        </w:tc>
        <w:tc>
          <w:tcPr>
            <w:tcW w:w="70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96"/>
              </w:rPr>
              <w:t>Yes__</w:t>
            </w:r>
          </w:p>
        </w:tc>
        <w:tc>
          <w:tcPr>
            <w:tcW w:w="11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No__</w:t>
            </w:r>
          </w:p>
        </w:tc>
      </w:tr>
    </w:tbl>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276"/>
        </w:trPr>
        <w:tc>
          <w:tcPr>
            <w:tcW w:w="84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22"/>
                <w:szCs w:val="22"/>
                <w:b w:val="1"/>
                <w:bCs w:val="1"/>
                <w:color w:val="auto"/>
              </w:rPr>
              <w:t>Tranche 4 Availability Calculation if all the conditions above are “Yes”</w:t>
            </w:r>
          </w:p>
        </w:tc>
        <w:tc>
          <w:tcPr>
            <w:tcW w:w="2820" w:type="dxa"/>
            <w:vAlign w:val="bottom"/>
            <w:tcBorders>
              <w:top w:val="single" w:sz="8" w:color="auto"/>
              <w:right w:val="single" w:sz="8" w:color="auto"/>
            </w:tcBorders>
            <w:gridSpan w:val="2"/>
          </w:tcPr>
          <w:p>
            <w:pPr>
              <w:ind w:left="240"/>
              <w:spacing w:after="0"/>
              <w:rPr>
                <w:sz w:val="20"/>
                <w:szCs w:val="20"/>
                <w:color w:val="auto"/>
              </w:rPr>
            </w:pPr>
            <w:r>
              <w:rPr>
                <w:rFonts w:ascii="Arial" w:cs="Arial" w:eastAsia="Arial" w:hAnsi="Arial"/>
                <w:sz w:val="22"/>
                <w:szCs w:val="22"/>
                <w:b w:val="1"/>
                <w:bCs w:val="1"/>
                <w:color w:val="auto"/>
              </w:rPr>
              <w:t>Amounts</w:t>
            </w:r>
          </w:p>
        </w:tc>
      </w:tr>
      <w:tr>
        <w:trPr>
          <w:trHeight w:val="270"/>
        </w:trPr>
        <w:tc>
          <w:tcPr>
            <w:tcW w:w="8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(c) T3M Net Product Revenue as of the reporting period noted above</w:t>
            </w:r>
          </w:p>
        </w:tc>
        <w:tc>
          <w:tcPr>
            <w:tcW w:w="420" w:type="dxa"/>
            <w:vAlign w:val="bottom"/>
          </w:tcPr>
          <w:p>
            <w:pPr>
              <w:ind w:left="240"/>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r>
        <w:trPr>
          <w:trHeight w:val="270"/>
        </w:trPr>
        <w:tc>
          <w:tcPr>
            <w:tcW w:w="8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(d) Maximum allowable Net Product Revenue Ratio</w:t>
            </w:r>
          </w:p>
        </w:tc>
        <w:tc>
          <w:tcPr>
            <w:tcW w:w="2820" w:type="dxa"/>
            <w:vAlign w:val="bottom"/>
            <w:tcBorders>
              <w:right w:val="single" w:sz="8" w:color="auto"/>
            </w:tcBorders>
            <w:gridSpan w:val="2"/>
          </w:tcPr>
          <w:p>
            <w:pPr>
              <w:ind w:left="240"/>
              <w:spacing w:after="0"/>
              <w:rPr>
                <w:sz w:val="20"/>
                <w:szCs w:val="20"/>
                <w:color w:val="auto"/>
              </w:rPr>
            </w:pPr>
            <w:r>
              <w:rPr>
                <w:rFonts w:ascii="Arial" w:cs="Arial" w:eastAsia="Arial" w:hAnsi="Arial"/>
                <w:sz w:val="22"/>
                <w:szCs w:val="22"/>
                <w:color w:val="auto"/>
              </w:rPr>
              <w:t>4.00</w:t>
            </w:r>
          </w:p>
        </w:tc>
      </w:tr>
      <w:tr>
        <w:trPr>
          <w:trHeight w:val="270"/>
        </w:trPr>
        <w:tc>
          <w:tcPr>
            <w:tcW w:w="8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w w:val="95"/>
              </w:rPr>
              <w:t>(e) Maximum allowable amount of outstanding Term Loan Advances as calculated as the</w:t>
            </w:r>
          </w:p>
        </w:tc>
        <w:tc>
          <w:tcPr>
            <w:tcW w:w="420" w:type="dxa"/>
            <w:vAlign w:val="bottom"/>
          </w:tcPr>
          <w:p>
            <w:pPr>
              <w:ind w:left="240"/>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r>
        <w:trPr>
          <w:trHeight w:val="270"/>
        </w:trPr>
        <w:tc>
          <w:tcPr>
            <w:tcW w:w="8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product of (c) and (d)</w:t>
            </w:r>
          </w:p>
        </w:tc>
        <w:tc>
          <w:tcPr>
            <w:tcW w:w="420" w:type="dxa"/>
            <w:vAlign w:val="bottom"/>
          </w:tcPr>
          <w:p>
            <w:pPr>
              <w:spacing w:after="0"/>
              <w:rPr>
                <w:sz w:val="23"/>
                <w:szCs w:val="23"/>
                <w:color w:val="auto"/>
              </w:rPr>
            </w:pPr>
          </w:p>
        </w:tc>
        <w:tc>
          <w:tcPr>
            <w:tcW w:w="2400" w:type="dxa"/>
            <w:vAlign w:val="bottom"/>
            <w:tcBorders>
              <w:right w:val="single" w:sz="8" w:color="auto"/>
            </w:tcBorders>
          </w:tcPr>
          <w:p>
            <w:pPr>
              <w:spacing w:after="0"/>
              <w:rPr>
                <w:sz w:val="23"/>
                <w:szCs w:val="23"/>
                <w:color w:val="auto"/>
              </w:rPr>
            </w:pPr>
          </w:p>
        </w:tc>
      </w:tr>
      <w:tr>
        <w:trPr>
          <w:trHeight w:val="270"/>
        </w:trPr>
        <w:tc>
          <w:tcPr>
            <w:tcW w:w="8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(f) The outstanding amount of the Term Loan Advances as of the date hereof</w:t>
            </w:r>
          </w:p>
        </w:tc>
        <w:tc>
          <w:tcPr>
            <w:tcW w:w="420" w:type="dxa"/>
            <w:vAlign w:val="bottom"/>
          </w:tcPr>
          <w:p>
            <w:pPr>
              <w:ind w:left="240"/>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r>
        <w:trPr>
          <w:trHeight w:val="270"/>
        </w:trPr>
        <w:tc>
          <w:tcPr>
            <w:tcW w:w="8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rPr>
              <w:t xml:space="preserve">(g) Tranche 4 amount available as calculated as (e) </w:t>
            </w:r>
            <w:r>
              <w:rPr>
                <w:rFonts w:ascii="Arial" w:cs="Arial" w:eastAsia="Arial" w:hAnsi="Arial"/>
                <w:sz w:val="22"/>
                <w:szCs w:val="22"/>
                <w:i w:val="1"/>
                <w:iCs w:val="1"/>
                <w:color w:val="auto"/>
              </w:rPr>
              <w:t>minus</w:t>
            </w:r>
            <w:r>
              <w:rPr>
                <w:rFonts w:ascii="Arial" w:cs="Arial" w:eastAsia="Arial" w:hAnsi="Arial"/>
                <w:sz w:val="22"/>
                <w:szCs w:val="22"/>
                <w:color w:val="auto"/>
              </w:rPr>
              <w:t xml:space="preserve"> (f)</w:t>
            </w:r>
          </w:p>
        </w:tc>
        <w:tc>
          <w:tcPr>
            <w:tcW w:w="420" w:type="dxa"/>
            <w:vAlign w:val="bottom"/>
          </w:tcPr>
          <w:p>
            <w:pPr>
              <w:ind w:left="240"/>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r>
        <w:trPr>
          <w:trHeight w:val="270"/>
        </w:trPr>
        <w:tc>
          <w:tcPr>
            <w:tcW w:w="8420" w:type="dxa"/>
            <w:vAlign w:val="bottom"/>
            <w:tcBorders>
              <w:left w:val="single" w:sz="8" w:color="auto"/>
            </w:tcBorders>
          </w:tcPr>
          <w:p>
            <w:pPr>
              <w:ind w:left="120"/>
              <w:spacing w:after="0"/>
              <w:rPr>
                <w:sz w:val="20"/>
                <w:szCs w:val="20"/>
                <w:color w:val="auto"/>
              </w:rPr>
            </w:pPr>
            <w:r>
              <w:rPr>
                <w:rFonts w:ascii="Arial" w:cs="Arial" w:eastAsia="Arial" w:hAnsi="Arial"/>
                <w:sz w:val="22"/>
                <w:szCs w:val="22"/>
                <w:color w:val="auto"/>
                <w:w w:val="91"/>
              </w:rPr>
              <w:t>(h) Tranche 4 minimum drawable amount as calculated as the amount in (g) rounded down to</w:t>
            </w:r>
          </w:p>
        </w:tc>
        <w:tc>
          <w:tcPr>
            <w:tcW w:w="420" w:type="dxa"/>
            <w:vAlign w:val="bottom"/>
          </w:tcPr>
          <w:p>
            <w:pPr>
              <w:ind w:left="240"/>
              <w:spacing w:after="0"/>
              <w:rPr>
                <w:sz w:val="20"/>
                <w:szCs w:val="20"/>
                <w:color w:val="auto"/>
              </w:rPr>
            </w:pPr>
            <w:r>
              <w:rPr>
                <w:rFonts w:ascii="Arial" w:cs="Arial" w:eastAsia="Arial" w:hAnsi="Arial"/>
                <w:sz w:val="22"/>
                <w:szCs w:val="22"/>
                <w:color w:val="auto"/>
              </w:rPr>
              <w:t>[</w:t>
            </w:r>
          </w:p>
        </w:tc>
        <w:tc>
          <w:tcPr>
            <w:tcW w:w="2400" w:type="dxa"/>
            <w:vAlign w:val="bottom"/>
            <w:tcBorders>
              <w:right w:val="single" w:sz="8" w:color="auto"/>
            </w:tcBorders>
          </w:tcPr>
          <w:p>
            <w:pPr>
              <w:jc w:val="right"/>
              <w:ind w:right="2092"/>
              <w:spacing w:after="0"/>
              <w:rPr>
                <w:sz w:val="20"/>
                <w:szCs w:val="20"/>
                <w:color w:val="auto"/>
              </w:rPr>
            </w:pPr>
            <w:r>
              <w:rPr>
                <w:rFonts w:ascii="Arial" w:cs="Arial" w:eastAsia="Arial" w:hAnsi="Arial"/>
                <w:sz w:val="22"/>
                <w:szCs w:val="22"/>
                <w:color w:val="auto"/>
              </w:rPr>
              <w:t>]</w:t>
            </w:r>
          </w:p>
        </w:tc>
      </w:tr>
      <w:tr>
        <w:trPr>
          <w:trHeight w:val="276"/>
        </w:trPr>
        <w:tc>
          <w:tcPr>
            <w:tcW w:w="842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22"/>
                <w:szCs w:val="22"/>
                <w:color w:val="auto"/>
              </w:rPr>
              <w:t>the nearest multiple of $[5,000,000]</w:t>
            </w:r>
          </w:p>
        </w:tc>
        <w:tc>
          <w:tcPr>
            <w:tcW w:w="420" w:type="dxa"/>
            <w:vAlign w:val="bottom"/>
            <w:tcBorders>
              <w:bottom w:val="single" w:sz="8" w:color="auto"/>
            </w:tcBorders>
          </w:tcPr>
          <w:p>
            <w:pPr>
              <w:spacing w:after="0"/>
              <w:rPr>
                <w:sz w:val="24"/>
                <w:szCs w:val="24"/>
                <w:color w:val="auto"/>
              </w:rPr>
            </w:pPr>
          </w:p>
        </w:tc>
        <w:tc>
          <w:tcPr>
            <w:tcW w:w="240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79" w:name="page180"/>
    <w:bookmarkEnd w:id="179"/>
    <w:p>
      <w:pPr>
        <w:jc w:val="center"/>
        <w:ind w:right="-19"/>
        <w:spacing w:after="0"/>
        <w:rPr>
          <w:sz w:val="20"/>
          <w:szCs w:val="20"/>
          <w:color w:val="auto"/>
        </w:rPr>
      </w:pPr>
      <w:r>
        <w:rPr>
          <w:rFonts w:ascii="Arial" w:cs="Arial" w:eastAsia="Arial" w:hAnsi="Arial"/>
          <w:sz w:val="18"/>
          <w:szCs w:val="18"/>
          <w:b w:val="1"/>
          <w:bCs w:val="1"/>
          <w:color w:val="auto"/>
        </w:rPr>
        <w:t>EXHIBIT B</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NAME, LOCATIONS, AND OTHER INFORMATION FOR BORROWER</w:t>
      </w:r>
    </w:p>
    <w:p>
      <w:pPr>
        <w:spacing w:after="0" w:line="235" w:lineRule="exact"/>
        <w:rPr>
          <w:sz w:val="20"/>
          <w:szCs w:val="20"/>
          <w:color w:val="auto"/>
        </w:rPr>
      </w:pPr>
    </w:p>
    <w:p>
      <w:pPr>
        <w:ind w:firstLine="757"/>
        <w:spacing w:after="0" w:line="276" w:lineRule="auto"/>
        <w:tabs>
          <w:tab w:leader="none" w:pos="1038" w:val="left"/>
        </w:tabs>
        <w:numPr>
          <w:ilvl w:val="0"/>
          <w:numId w:val="107"/>
        </w:numPr>
        <w:rPr>
          <w:rFonts w:ascii="Arial" w:cs="Arial" w:eastAsia="Arial" w:hAnsi="Arial"/>
          <w:sz w:val="22"/>
          <w:szCs w:val="22"/>
          <w:color w:val="auto"/>
        </w:rPr>
      </w:pPr>
      <w:r>
        <w:rPr>
          <w:rFonts w:ascii="Arial" w:cs="Arial" w:eastAsia="Arial" w:hAnsi="Arial"/>
          <w:sz w:val="22"/>
          <w:szCs w:val="22"/>
          <w:color w:val="auto"/>
        </w:rPr>
        <w:t>Borrower represents and warrants to Agent that Borrower’s current name and organizational status as of the Closing Date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2460" w:type="dxa"/>
            <w:vAlign w:val="bottom"/>
          </w:tcPr>
          <w:p>
            <w:pPr>
              <w:spacing w:after="0"/>
              <w:rPr>
                <w:sz w:val="20"/>
                <w:szCs w:val="20"/>
                <w:color w:val="auto"/>
              </w:rPr>
            </w:pPr>
            <w:r>
              <w:rPr>
                <w:rFonts w:ascii="Arial" w:cs="Arial" w:eastAsia="Arial" w:hAnsi="Arial"/>
                <w:sz w:val="22"/>
                <w:szCs w:val="22"/>
                <w:color w:val="auto"/>
              </w:rPr>
              <w:t>Name:</w:t>
            </w:r>
          </w:p>
        </w:tc>
        <w:tc>
          <w:tcPr>
            <w:tcW w:w="1580" w:type="dxa"/>
            <w:vAlign w:val="bottom"/>
          </w:tcPr>
          <w:p>
            <w:pPr>
              <w:jc w:val="right"/>
              <w:ind w:right="117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2460" w:type="dxa"/>
            <w:vAlign w:val="bottom"/>
          </w:tcPr>
          <w:p>
            <w:pPr>
              <w:spacing w:after="0"/>
              <w:rPr>
                <w:sz w:val="20"/>
                <w:szCs w:val="20"/>
                <w:color w:val="auto"/>
              </w:rPr>
            </w:pPr>
            <w:r>
              <w:rPr>
                <w:rFonts w:ascii="Arial" w:cs="Arial" w:eastAsia="Arial" w:hAnsi="Arial"/>
                <w:sz w:val="22"/>
                <w:szCs w:val="22"/>
                <w:color w:val="auto"/>
              </w:rPr>
              <w:t>Type of organization:</w:t>
            </w:r>
          </w:p>
        </w:tc>
        <w:tc>
          <w:tcPr>
            <w:tcW w:w="1580" w:type="dxa"/>
            <w:vAlign w:val="bottom"/>
          </w:tcPr>
          <w:p>
            <w:pPr>
              <w:jc w:val="right"/>
              <w:ind w:right="119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2460" w:type="dxa"/>
            <w:vAlign w:val="bottom"/>
          </w:tcPr>
          <w:p>
            <w:pPr>
              <w:spacing w:after="0"/>
              <w:rPr>
                <w:sz w:val="20"/>
                <w:szCs w:val="20"/>
                <w:color w:val="auto"/>
              </w:rPr>
            </w:pPr>
            <w:r>
              <w:rPr>
                <w:rFonts w:ascii="Arial" w:cs="Arial" w:eastAsia="Arial" w:hAnsi="Arial"/>
                <w:sz w:val="22"/>
                <w:szCs w:val="22"/>
                <w:color w:val="auto"/>
              </w:rPr>
              <w:t>State of organization:</w:t>
            </w:r>
          </w:p>
        </w:tc>
        <w:tc>
          <w:tcPr>
            <w:tcW w:w="1580" w:type="dxa"/>
            <w:vAlign w:val="bottom"/>
          </w:tcPr>
          <w:p>
            <w:pPr>
              <w:jc w:val="right"/>
              <w:ind w:right="113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r>
      <w:tr>
        <w:trPr>
          <w:trHeight w:val="486"/>
        </w:trPr>
        <w:tc>
          <w:tcPr>
            <w:tcW w:w="2460" w:type="dxa"/>
            <w:vAlign w:val="bottom"/>
          </w:tcPr>
          <w:p>
            <w:pPr>
              <w:spacing w:after="0"/>
              <w:rPr>
                <w:sz w:val="20"/>
                <w:szCs w:val="20"/>
                <w:color w:val="auto"/>
              </w:rPr>
            </w:pPr>
            <w:r>
              <w:rPr>
                <w:rFonts w:ascii="Arial" w:cs="Arial" w:eastAsia="Arial" w:hAnsi="Arial"/>
                <w:sz w:val="22"/>
                <w:szCs w:val="22"/>
                <w:color w:val="auto"/>
                <w:w w:val="99"/>
              </w:rPr>
              <w:t>Organization file number:</w:t>
            </w:r>
          </w:p>
        </w:tc>
        <w:tc>
          <w:tcPr>
            <w:tcW w:w="1580" w:type="dxa"/>
            <w:vAlign w:val="bottom"/>
          </w:tcPr>
          <w:p>
            <w:pPr>
              <w:jc w:val="right"/>
              <w:ind w:right="1132"/>
              <w:spacing w:after="0"/>
              <w:rPr>
                <w:sz w:val="20"/>
                <w:szCs w:val="20"/>
                <w:color w:val="auto"/>
              </w:rPr>
            </w:pPr>
            <w:r>
              <w:rPr>
                <w:rFonts w:ascii="Arial" w:cs="Arial" w:eastAsia="Arial" w:hAnsi="Arial"/>
                <w:sz w:val="22"/>
                <w:szCs w:val="22"/>
                <w:color w:val="auto"/>
              </w:rPr>
              <w:t>[</w:t>
            </w:r>
          </w:p>
        </w:tc>
        <w:tc>
          <w:tcPr>
            <w:tcW w:w="1380" w:type="dxa"/>
            <w:vAlign w:val="bottom"/>
          </w:tcPr>
          <w:p>
            <w:pPr>
              <w:jc w:val="right"/>
              <w:spacing w:after="0"/>
              <w:rPr>
                <w:sz w:val="20"/>
                <w:szCs w:val="20"/>
                <w:color w:val="auto"/>
              </w:rPr>
            </w:pPr>
            <w:r>
              <w:rPr>
                <w:rFonts w:ascii="Arial" w:cs="Arial" w:eastAsia="Arial" w:hAnsi="Arial"/>
                <w:sz w:val="22"/>
                <w:szCs w:val="22"/>
                <w:color w:val="auto"/>
              </w:rPr>
              <w:t>]</w:t>
            </w:r>
          </w:p>
        </w:tc>
      </w:tr>
    </w:tbl>
    <w:p>
      <w:pPr>
        <w:spacing w:after="0" w:line="212" w:lineRule="exact"/>
        <w:rPr>
          <w:sz w:val="20"/>
          <w:szCs w:val="20"/>
          <w:color w:val="auto"/>
        </w:rPr>
      </w:pPr>
    </w:p>
    <w:p>
      <w:pPr>
        <w:ind w:right="20" w:firstLine="382"/>
        <w:spacing w:after="0" w:line="276" w:lineRule="auto"/>
        <w:tabs>
          <w:tab w:leader="none" w:pos="65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Borrower represents and warrants to Agent that for five (5) years prior to the Closing Date, Borrower did not do business under any other name or organization or form except the following:</w:t>
      </w:r>
    </w:p>
    <w:p>
      <w:pPr>
        <w:spacing w:after="0" w:line="174"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Name:</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2"/>
          <w:szCs w:val="22"/>
          <w:color w:val="auto"/>
        </w:rPr>
        <w:t>Used during dates of:</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Type of Organization:</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State of organization:</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Organization file Number:</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Borrower’s fiscal year ends on _____</w:t>
      </w:r>
    </w:p>
    <w:p>
      <w:pPr>
        <w:spacing w:after="0" w:line="17" w:lineRule="exact"/>
        <w:rPr>
          <w:sz w:val="20"/>
          <w:szCs w:val="20"/>
          <w:color w:val="auto"/>
        </w:rPr>
      </w:pPr>
    </w:p>
    <w:p>
      <w:pPr>
        <w:ind w:left="760"/>
        <w:spacing w:after="0"/>
        <w:rPr>
          <w:sz w:val="20"/>
          <w:szCs w:val="20"/>
          <w:color w:val="auto"/>
        </w:rPr>
      </w:pPr>
      <w:r>
        <w:rPr>
          <w:rFonts w:ascii="Arial" w:cs="Arial" w:eastAsia="Arial" w:hAnsi="Arial"/>
          <w:sz w:val="22"/>
          <w:szCs w:val="22"/>
          <w:color w:val="auto"/>
        </w:rPr>
        <w:t>Borrower’s federal employer tax identification number is: _______________</w:t>
      </w:r>
    </w:p>
    <w:p>
      <w:pPr>
        <w:spacing w:after="0" w:line="17" w:lineRule="exact"/>
        <w:rPr>
          <w:sz w:val="20"/>
          <w:szCs w:val="20"/>
          <w:color w:val="auto"/>
        </w:rPr>
      </w:pPr>
    </w:p>
    <w:p>
      <w:pPr>
        <w:ind w:left="380"/>
        <w:spacing w:after="0"/>
        <w:rPr>
          <w:sz w:val="20"/>
          <w:szCs w:val="20"/>
          <w:color w:val="auto"/>
        </w:rPr>
      </w:pPr>
      <w:r>
        <w:rPr>
          <w:rFonts w:ascii="Arial" w:cs="Arial" w:eastAsia="Arial" w:hAnsi="Arial"/>
          <w:sz w:val="22"/>
          <w:szCs w:val="22"/>
          <w:color w:val="auto"/>
        </w:rPr>
        <w:t>3. Borrower represents and warrants to Agent that its chief executive office is located at _______________.</w:t>
      </w:r>
    </w:p>
    <w:p>
      <w:pPr>
        <w:spacing w:after="0" w:line="200" w:lineRule="exact"/>
        <w:rPr>
          <w:sz w:val="20"/>
          <w:szCs w:val="20"/>
          <w:color w:val="auto"/>
        </w:r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0" w:name="page181"/>
    <w:bookmarkEnd w:id="180"/>
    <w:p>
      <w:pPr>
        <w:jc w:val="center"/>
        <w:ind w:right="-1100"/>
        <w:spacing w:after="0"/>
        <w:rPr>
          <w:sz w:val="20"/>
          <w:szCs w:val="20"/>
          <w:color w:val="auto"/>
        </w:rPr>
      </w:pPr>
      <w:r>
        <w:rPr>
          <w:rFonts w:ascii="Arial" w:cs="Arial" w:eastAsia="Arial" w:hAnsi="Arial"/>
          <w:sz w:val="18"/>
          <w:szCs w:val="18"/>
          <w:b w:val="1"/>
          <w:bCs w:val="1"/>
          <w:color w:val="auto"/>
        </w:rPr>
        <w:t>EXHIBIT C</w:t>
      </w:r>
    </w:p>
    <w:p>
      <w:pPr>
        <w:spacing w:after="0" w:line="239" w:lineRule="exact"/>
        <w:rPr>
          <w:sz w:val="20"/>
          <w:szCs w:val="20"/>
          <w:color w:val="auto"/>
        </w:rPr>
      </w:pPr>
    </w:p>
    <w:p>
      <w:pPr>
        <w:jc w:val="right"/>
        <w:ind w:right="1439"/>
        <w:spacing w:after="0"/>
        <w:rPr>
          <w:sz w:val="20"/>
          <w:szCs w:val="20"/>
          <w:color w:val="auto"/>
        </w:rPr>
      </w:pPr>
      <w:r>
        <w:rPr>
          <w:rFonts w:ascii="Arial" w:cs="Arial" w:eastAsia="Arial" w:hAnsi="Arial"/>
          <w:sz w:val="18"/>
          <w:szCs w:val="18"/>
          <w:b w:val="1"/>
          <w:bCs w:val="1"/>
          <w:color w:val="auto"/>
        </w:rPr>
        <w:t>BORROWER’S PATENTS, TRADEMARKS, COPYRIGHTS AND LICENSES</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81" w:name="page182"/>
    <w:bookmarkEnd w:id="181"/>
    <w:p>
      <w:pPr>
        <w:jc w:val="center"/>
        <w:ind w:right="-1100"/>
        <w:spacing w:after="0"/>
        <w:rPr>
          <w:sz w:val="20"/>
          <w:szCs w:val="20"/>
          <w:color w:val="auto"/>
        </w:rPr>
      </w:pPr>
      <w:r>
        <w:rPr>
          <w:rFonts w:ascii="Arial" w:cs="Arial" w:eastAsia="Arial" w:hAnsi="Arial"/>
          <w:sz w:val="18"/>
          <w:szCs w:val="18"/>
          <w:b w:val="1"/>
          <w:bCs w:val="1"/>
          <w:color w:val="auto"/>
        </w:rPr>
        <w:t>EXHIBIT D</w:t>
      </w:r>
    </w:p>
    <w:p>
      <w:pPr>
        <w:spacing w:after="0" w:line="239" w:lineRule="exact"/>
        <w:rPr>
          <w:sz w:val="20"/>
          <w:szCs w:val="20"/>
          <w:color w:val="auto"/>
        </w:rPr>
      </w:pPr>
    </w:p>
    <w:p>
      <w:pPr>
        <w:jc w:val="right"/>
        <w:ind w:right="1579"/>
        <w:spacing w:after="0"/>
        <w:rPr>
          <w:sz w:val="20"/>
          <w:szCs w:val="20"/>
          <w:color w:val="auto"/>
        </w:rPr>
      </w:pPr>
      <w:r>
        <w:rPr>
          <w:rFonts w:ascii="Arial" w:cs="Arial" w:eastAsia="Arial" w:hAnsi="Arial"/>
          <w:sz w:val="18"/>
          <w:szCs w:val="18"/>
          <w:b w:val="1"/>
          <w:bCs w:val="1"/>
          <w:color w:val="auto"/>
        </w:rPr>
        <w:t>BORROWER’S DEPOSIT ACCOUNTS AND INVESTMENT ACCOUNTS</w:t>
      </w:r>
    </w:p>
    <w:p>
      <w:pPr>
        <w:spacing w:after="0" w:line="200" w:lineRule="exact"/>
        <w:rPr>
          <w:sz w:val="20"/>
          <w:szCs w:val="20"/>
          <w:color w:val="auto"/>
        </w:rPr>
      </w:pPr>
    </w:p>
    <w:p>
      <w:pPr>
        <w:spacing w:after="0" w:line="24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82" w:name="page183"/>
    <w:bookmarkEnd w:id="182"/>
    <w:p>
      <w:pPr>
        <w:jc w:val="center"/>
        <w:ind w:right="-19"/>
        <w:spacing w:after="0"/>
        <w:rPr>
          <w:sz w:val="20"/>
          <w:szCs w:val="20"/>
          <w:color w:val="auto"/>
        </w:rPr>
      </w:pPr>
      <w:r>
        <w:rPr>
          <w:rFonts w:ascii="Arial" w:cs="Arial" w:eastAsia="Arial" w:hAnsi="Arial"/>
          <w:sz w:val="18"/>
          <w:szCs w:val="18"/>
          <w:b w:val="1"/>
          <w:bCs w:val="1"/>
          <w:color w:val="auto"/>
        </w:rPr>
        <w:t>EXHIBIT E</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COMPLIANCE CERTIFICATE</w:t>
      </w:r>
    </w:p>
    <w:p>
      <w:pPr>
        <w:spacing w:after="0" w:line="235" w:lineRule="exact"/>
        <w:rPr>
          <w:sz w:val="20"/>
          <w:szCs w:val="20"/>
          <w:color w:val="auto"/>
        </w:rPr>
      </w:pPr>
    </w:p>
    <w:p>
      <w:pPr>
        <w:spacing w:after="0"/>
        <w:rPr>
          <w:sz w:val="20"/>
          <w:szCs w:val="20"/>
          <w:color w:val="auto"/>
        </w:rPr>
      </w:pPr>
      <w:r>
        <w:rPr>
          <w:rFonts w:ascii="Arial" w:cs="Arial" w:eastAsia="Arial" w:hAnsi="Arial"/>
          <w:sz w:val="22"/>
          <w:szCs w:val="22"/>
          <w:color w:val="auto"/>
        </w:rPr>
        <w:t>Hercules Capital, Inc. (as “Agent”)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400 Hamilton Avenue, Suite 310</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Palo Alto, CA 94301</w:t>
      </w:r>
    </w:p>
    <w:p>
      <w:pPr>
        <w:spacing w:after="0" w:line="17" w:lineRule="exact"/>
        <w:rPr>
          <w:sz w:val="20"/>
          <w:szCs w:val="20"/>
          <w:color w:val="auto"/>
        </w:rPr>
      </w:pPr>
    </w:p>
    <w:p>
      <w:pPr>
        <w:jc w:val="both"/>
        <w:ind w:firstLine="749"/>
        <w:spacing w:after="0" w:line="307" w:lineRule="auto"/>
        <w:rPr>
          <w:sz w:val="20"/>
          <w:szCs w:val="20"/>
          <w:color w:val="auto"/>
        </w:rPr>
      </w:pPr>
      <w:r>
        <w:rPr>
          <w:rFonts w:ascii="Arial" w:cs="Arial" w:eastAsia="Arial" w:hAnsi="Arial"/>
          <w:sz w:val="19"/>
          <w:szCs w:val="19"/>
          <w:color w:val="auto"/>
        </w:rPr>
        <w:t>Reference is made to that certain Loan and Security Agreement dated September 25, 2020 and the Loan Documents (as defined therein) entered into in connection with such Loan and Security Agreement all as may be amended from time to time (hereinafter referred to collectively as the “Loan Agreement”) by and among Hercules Capital, Inc. (the “Agent”), the several banks and other financial institutions or entities from time to time party thereto (collectively, the “Lender”) and Axsome Therapeutics, Inc. (the “Company”) and each of its Subsidiaries (as defined therein) other than Excluded Subsidiaries (as defined therein), as Borrower. All capitalized terms not defined herein shall have the same meaning as defined in the Loan Agreement.</w:t>
      </w:r>
    </w:p>
    <w:p>
      <w:pPr>
        <w:spacing w:after="0" w:line="155" w:lineRule="exact"/>
        <w:rPr>
          <w:sz w:val="20"/>
          <w:szCs w:val="20"/>
          <w:color w:val="auto"/>
        </w:rPr>
      </w:pPr>
    </w:p>
    <w:p>
      <w:pPr>
        <w:jc w:val="both"/>
        <w:ind w:firstLine="749"/>
        <w:spacing w:after="0" w:line="298" w:lineRule="auto"/>
        <w:rPr>
          <w:sz w:val="20"/>
          <w:szCs w:val="20"/>
          <w:color w:val="auto"/>
        </w:rPr>
      </w:pPr>
      <w:r>
        <w:rPr>
          <w:rFonts w:ascii="Arial" w:cs="Arial" w:eastAsia="Arial" w:hAnsi="Arial"/>
          <w:sz w:val="19"/>
          <w:szCs w:val="19"/>
          <w:color w:val="auto"/>
        </w:rPr>
        <w:t>The undersigned is an Officer of the Company, knowledgeable of all Company financial matters, and is authorized to provide certification of information regarding the Company; hereby certifies, in such capacity, that in accordance with the terms and conditions of the Loan Agreement, the Company is in compliance for the period ending _____ of all covenants, conditions</w:t>
      </w:r>
    </w:p>
    <w:p>
      <w:pPr>
        <w:spacing w:after="0" w:line="1" w:lineRule="exact"/>
        <w:rPr>
          <w:sz w:val="20"/>
          <w:szCs w:val="20"/>
          <w:color w:val="auto"/>
        </w:rPr>
      </w:pPr>
    </w:p>
    <w:p>
      <w:pPr>
        <w:jc w:val="both"/>
        <w:spacing w:after="0" w:line="273" w:lineRule="auto"/>
        <w:rPr>
          <w:sz w:val="20"/>
          <w:szCs w:val="20"/>
          <w:color w:val="auto"/>
        </w:rPr>
      </w:pPr>
      <w:r>
        <w:rPr>
          <w:rFonts w:ascii="Arial" w:cs="Arial" w:eastAsia="Arial" w:hAnsi="Arial"/>
          <w:sz w:val="21"/>
          <w:szCs w:val="21"/>
          <w:color w:val="auto"/>
        </w:rPr>
        <w:t>and terms and hereby reaffirms that all representations and warranties contained therein are true and correct on and as of the date of this Compliance Certificate with the same effect as though made on and as of such date, except to the extent such representations and warranties expressly relate to an earlier date, after giving effect in all cases to any standard(s) of materiality contained in the Loan Agreement as to such representations and warranties. Attached are the required documents supporting the above certification. The undersigned further certifies that these are prepared in accordance with GAAP (except for the absence of footnotes with respect to unaudited financial statement and subject to normal year-end adjustments) and are consistent from one period to the next except as explained below.</w:t>
      </w:r>
    </w:p>
    <w:p>
      <w:pPr>
        <w:spacing w:after="0" w:line="1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98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3" w:name="page184"/>
    <w:bookmarkEnd w:id="183"/>
    <w:p>
      <w:pPr>
        <w:ind w:left="100"/>
        <w:spacing w:after="0"/>
        <w:rPr>
          <w:sz w:val="20"/>
          <w:szCs w:val="20"/>
          <w:color w:val="auto"/>
        </w:rPr>
      </w:pPr>
      <w:r>
        <w:rPr>
          <w:rFonts w:ascii="Arial" w:cs="Arial" w:eastAsia="Arial" w:hAnsi="Arial"/>
          <w:sz w:val="22"/>
          <w:szCs w:val="22"/>
          <w:color w:val="auto"/>
        </w:rPr>
        <w:t>REPORTING REQUIREMENT</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Interim Financial Statements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Interim Financial Statements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Audited Financial Statements</w:t>
      </w:r>
    </w:p>
    <w:p>
      <w:pPr>
        <w:spacing w:after="0" w:line="44" w:lineRule="exact"/>
        <w:rPr>
          <w:sz w:val="20"/>
          <w:szCs w:val="20"/>
          <w:color w:val="auto"/>
        </w:rPr>
      </w:pPr>
    </w:p>
    <w:p>
      <w:pPr>
        <w:ind w:left="100"/>
        <w:spacing w:after="0"/>
        <w:rPr>
          <w:sz w:val="20"/>
          <w:szCs w:val="20"/>
          <w:color w:val="auto"/>
        </w:rPr>
      </w:pPr>
      <w:r>
        <w:rPr>
          <w:rFonts w:ascii="Arial" w:cs="Arial" w:eastAsia="Arial" w:hAnsi="Arial"/>
          <w:sz w:val="19"/>
          <w:szCs w:val="19"/>
          <w:color w:val="auto"/>
        </w:rPr>
        <w:t>Accounts Receivable and Payable Agings</w:t>
      </w:r>
    </w:p>
    <w:p>
      <w:pPr>
        <w:spacing w:after="0" w:line="200" w:lineRule="exact"/>
        <w:rPr>
          <w:sz w:val="20"/>
          <w:szCs w:val="20"/>
          <w:color w:val="auto"/>
        </w:rPr>
      </w:pPr>
    </w:p>
    <w:p>
      <w:pPr>
        <w:spacing w:after="0" w:line="28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Intellectual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Restricted License</w:t>
      </w:r>
    </w:p>
    <w:p>
      <w:pPr>
        <w:spacing w:after="0" w:line="200" w:lineRule="exact"/>
        <w:rPr>
          <w:sz w:val="20"/>
          <w:szCs w:val="20"/>
          <w:color w:val="auto"/>
        </w:rPr>
      </w:pPr>
    </w:p>
    <w:p>
      <w:pPr>
        <w:spacing w:after="0" w:line="236"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Section 5.9 – Intellectual Property</w:t>
      </w:r>
    </w:p>
    <w:p>
      <w:pPr>
        <w:spacing w:after="0" w:line="20" w:lineRule="exact"/>
        <w:rPr>
          <w:sz w:val="20"/>
          <w:szCs w:val="20"/>
          <w:color w:val="auto"/>
        </w:rPr>
      </w:pPr>
      <w:r>
        <w:rPr>
          <w:sz w:val="20"/>
          <w:szCs w:val="20"/>
          <w:color w:val="auto"/>
        </w:rPr>
        <w:br w:type="column"/>
      </w:r>
    </w:p>
    <w:p>
      <w:pPr>
        <w:spacing w:after="0"/>
        <w:tabs>
          <w:tab w:leader="none" w:pos="3020" w:val="left"/>
        </w:tabs>
        <w:rPr>
          <w:sz w:val="20"/>
          <w:szCs w:val="20"/>
          <w:color w:val="auto"/>
        </w:rPr>
      </w:pPr>
      <w:r>
        <w:rPr>
          <w:rFonts w:ascii="Arial" w:cs="Arial" w:eastAsia="Arial" w:hAnsi="Arial"/>
          <w:sz w:val="19"/>
          <w:szCs w:val="19"/>
          <w:color w:val="auto"/>
        </w:rPr>
        <w:t>REQUIRED</w:t>
      </w:r>
      <w:r>
        <w:rPr>
          <w:sz w:val="20"/>
          <w:szCs w:val="20"/>
          <w:color w:val="auto"/>
        </w:rPr>
        <w:tab/>
      </w:r>
      <w:r>
        <w:rPr>
          <w:rFonts w:ascii="Arial" w:cs="Arial" w:eastAsia="Arial" w:hAnsi="Arial"/>
          <w:sz w:val="19"/>
          <w:szCs w:val="19"/>
          <w:color w:val="auto"/>
        </w:rPr>
        <w:t>CHECK IF ATTACHED</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Monthly within 30 days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Quarterly within 45 days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FYE within 90 days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Monthly within 30 days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Following registering new</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Intellectual Property or the</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acquisition thereof (</w:t>
      </w:r>
      <w:r>
        <w:rPr>
          <w:rFonts w:ascii="Arial" w:cs="Arial" w:eastAsia="Arial" w:hAnsi="Arial"/>
          <w:sz w:val="22"/>
          <w:szCs w:val="22"/>
          <w:i w:val="1"/>
          <w:iCs w:val="1"/>
          <w:color w:val="auto"/>
        </w:rPr>
        <w:t>Section 7.21</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of Loan Agreement</w:t>
      </w:r>
      <w:r>
        <w:rPr>
          <w:rFonts w:ascii="Arial" w:cs="Arial" w:eastAsia="Arial" w:hAnsi="Arial"/>
          <w:sz w:val="22"/>
          <w:szCs w:val="22"/>
          <w:color w:val="auto"/>
        </w:rPr>
        <w:t>)</w:t>
      </w:r>
    </w:p>
    <w:p>
      <w:pPr>
        <w:spacing w:after="0" w:line="40" w:lineRule="exact"/>
        <w:rPr>
          <w:sz w:val="20"/>
          <w:szCs w:val="20"/>
          <w:color w:val="auto"/>
        </w:rPr>
      </w:pPr>
    </w:p>
    <w:p>
      <w:pPr>
        <w:spacing w:after="0"/>
        <w:rPr>
          <w:sz w:val="20"/>
          <w:szCs w:val="20"/>
          <w:color w:val="auto"/>
        </w:rPr>
      </w:pPr>
      <w:r>
        <w:rPr>
          <w:rFonts w:ascii="Arial" w:cs="Arial" w:eastAsia="Arial" w:hAnsi="Arial"/>
          <w:sz w:val="22"/>
          <w:szCs w:val="22"/>
          <w:color w:val="auto"/>
        </w:rPr>
        <w:t>Following entering into or</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becoming bound by new</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Restricted Licenses (</w:t>
      </w:r>
      <w:r>
        <w:rPr>
          <w:rFonts w:ascii="Arial" w:cs="Arial" w:eastAsia="Arial" w:hAnsi="Arial"/>
          <w:sz w:val="22"/>
          <w:szCs w:val="22"/>
          <w:i w:val="1"/>
          <w:iCs w:val="1"/>
          <w:color w:val="auto"/>
        </w:rPr>
        <w:t>Section</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7.21 of Loan Agreement</w:t>
      </w:r>
      <w:r>
        <w:rPr>
          <w:rFonts w:ascii="Arial" w:cs="Arial" w:eastAsia="Arial" w:hAnsi="Arial"/>
          <w:sz w:val="22"/>
          <w:szCs w:val="22"/>
          <w:color w:val="auto"/>
        </w:rPr>
        <w:t>)</w:t>
      </w:r>
    </w:p>
    <w:p>
      <w:pPr>
        <w:spacing w:after="0" w:line="479" w:lineRule="exact"/>
        <w:rPr>
          <w:sz w:val="20"/>
          <w:szCs w:val="20"/>
          <w:color w:val="auto"/>
        </w:rPr>
      </w:pPr>
    </w:p>
    <w:p>
      <w:pPr>
        <w:sectPr>
          <w:pgSz w:w="11900" w:h="16838" w:orient="portrait"/>
          <w:cols w:equalWidth="0" w:num="2">
            <w:col w:w="4280" w:space="720"/>
            <w:col w:w="6240"/>
          </w:cols>
          <w:pgMar w:left="320" w:top="375" w:right="339" w:bottom="1440" w:gutter="0" w:footer="0" w:header="0"/>
        </w:sectPr>
      </w:pPr>
    </w:p>
    <w:p>
      <w:pPr>
        <w:spacing w:after="0" w:line="33" w:lineRule="exact"/>
        <w:rPr>
          <w:sz w:val="20"/>
          <w:szCs w:val="20"/>
          <w:color w:val="auto"/>
        </w:rPr>
      </w:pPr>
    </w:p>
    <w:p>
      <w:pPr>
        <w:ind w:left="100" w:right="300"/>
        <w:spacing w:after="0" w:line="276" w:lineRule="auto"/>
        <w:rPr>
          <w:sz w:val="20"/>
          <w:szCs w:val="20"/>
          <w:color w:val="auto"/>
        </w:rPr>
      </w:pPr>
      <w:r>
        <w:rPr>
          <w:rFonts w:ascii="Arial" w:cs="Arial" w:eastAsia="Arial" w:hAnsi="Arial"/>
          <w:sz w:val="22"/>
          <w:szCs w:val="22"/>
          <w:color w:val="auto"/>
        </w:rPr>
        <w:t>Has any claim been made to Borrower that any material part of the Intellectual Property violates the rights of any third party? Yes____ No_____</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Section 5.11 – Borrower Products</w:t>
      </w:r>
    </w:p>
    <w:p>
      <w:pPr>
        <w:spacing w:after="0" w:line="233" w:lineRule="exact"/>
        <w:rPr>
          <w:sz w:val="20"/>
          <w:szCs w:val="20"/>
          <w:color w:val="auto"/>
        </w:rPr>
      </w:pPr>
    </w:p>
    <w:p>
      <w:pPr>
        <w:jc w:val="both"/>
        <w:ind w:left="100" w:firstLine="751"/>
        <w:spacing w:after="0" w:line="297" w:lineRule="auto"/>
        <w:tabs>
          <w:tab w:leader="none" w:pos="126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To Borrower’s knowledge, is any material Intellectual Property owned by Borrower or any Borrower Product subject to any actual or, to the knowledge of Borrower, threatened in writing litigation, proceeding (including any proceeding in the United States Patent and Trademark Office or any corresponding foreign office or agency) or outstanding decree, order, judgment, settlement agreement or stipulation that restricts in any manner Borrower’s use, transfer or licensing thereof or that</w:t>
      </w:r>
    </w:p>
    <w:p>
      <w:pPr>
        <w:spacing w:after="0" w:line="3" w:lineRule="exact"/>
        <w:rPr>
          <w:sz w:val="20"/>
          <w:szCs w:val="20"/>
          <w:color w:val="auto"/>
        </w:rPr>
      </w:pPr>
    </w:p>
    <w:p>
      <w:pPr>
        <w:ind w:left="100"/>
        <w:spacing w:after="0"/>
        <w:tabs>
          <w:tab w:leader="none" w:pos="8360" w:val="left"/>
        </w:tabs>
        <w:rPr>
          <w:sz w:val="20"/>
          <w:szCs w:val="20"/>
          <w:color w:val="auto"/>
        </w:rPr>
      </w:pPr>
      <w:r>
        <w:rPr>
          <w:rFonts w:ascii="Arial" w:cs="Arial" w:eastAsia="Arial" w:hAnsi="Arial"/>
          <w:sz w:val="22"/>
          <w:szCs w:val="22"/>
          <w:color w:val="auto"/>
        </w:rPr>
        <w:t>could reasonably be expected to affect the validity, use or enforceability thereof)? Yes____</w:t>
      </w:r>
      <w:r>
        <w:rPr>
          <w:sz w:val="20"/>
          <w:szCs w:val="20"/>
          <w:color w:val="auto"/>
        </w:rPr>
        <w:tab/>
      </w:r>
      <w:r>
        <w:rPr>
          <w:rFonts w:ascii="Arial" w:cs="Arial" w:eastAsia="Arial" w:hAnsi="Arial"/>
          <w:sz w:val="19"/>
          <w:szCs w:val="19"/>
          <w:color w:val="auto"/>
        </w:rPr>
        <w:t>No_____</w:t>
      </w:r>
    </w:p>
    <w:p>
      <w:pPr>
        <w:spacing w:after="0" w:line="229" w:lineRule="exact"/>
        <w:rPr>
          <w:sz w:val="20"/>
          <w:szCs w:val="20"/>
          <w:color w:val="auto"/>
        </w:rPr>
      </w:pPr>
    </w:p>
    <w:p>
      <w:pPr>
        <w:jc w:val="both"/>
        <w:ind w:left="100" w:firstLine="751"/>
        <w:spacing w:after="0" w:line="297" w:lineRule="auto"/>
        <w:tabs>
          <w:tab w:leader="none" w:pos="1203" w:val="left"/>
        </w:tabs>
        <w:numPr>
          <w:ilvl w:val="0"/>
          <w:numId w:val="110"/>
        </w:numPr>
        <w:rPr>
          <w:rFonts w:ascii="Arial" w:cs="Arial" w:eastAsia="Arial" w:hAnsi="Arial"/>
          <w:sz w:val="19"/>
          <w:szCs w:val="19"/>
          <w:color w:val="auto"/>
        </w:rPr>
      </w:pPr>
      <w:r>
        <w:rPr>
          <w:rFonts w:ascii="Arial" w:cs="Arial" w:eastAsia="Arial" w:hAnsi="Arial"/>
          <w:sz w:val="19"/>
          <w:szCs w:val="19"/>
          <w:color w:val="auto"/>
        </w:rPr>
        <w:t>Has Borrower received any written notice or claim, or, to the knowledge of Borrower, oral notice or claim, challenging or questioning Borrower’s ownership in any Intellectual Property material to Borrower’s business (or written notice of any claim challenging or questioning the ownership in any licensed Intellectual Property material to Borrower’s business of the owner thereof) or suggesting that any third party has any claim of legal or beneficial ownership with respect thereto or, to</w:t>
      </w:r>
    </w:p>
    <w:p>
      <w:pPr>
        <w:spacing w:after="0" w:line="3" w:lineRule="exact"/>
        <w:rPr>
          <w:sz w:val="20"/>
          <w:szCs w:val="20"/>
          <w:color w:val="auto"/>
        </w:rPr>
      </w:pPr>
    </w:p>
    <w:p>
      <w:pPr>
        <w:ind w:left="100"/>
        <w:spacing w:after="0"/>
        <w:tabs>
          <w:tab w:leader="none" w:pos="7400" w:val="left"/>
        </w:tabs>
        <w:rPr>
          <w:sz w:val="20"/>
          <w:szCs w:val="20"/>
          <w:color w:val="auto"/>
        </w:rPr>
      </w:pPr>
      <w:r>
        <w:rPr>
          <w:rFonts w:ascii="Arial" w:cs="Arial" w:eastAsia="Arial" w:hAnsi="Arial"/>
          <w:sz w:val="22"/>
          <w:szCs w:val="22"/>
          <w:color w:val="auto"/>
        </w:rPr>
        <w:t>Borrower’s knowledge, is there a reasonable basis for any such claim? Yes____</w:t>
      </w:r>
      <w:r>
        <w:rPr>
          <w:sz w:val="20"/>
          <w:szCs w:val="20"/>
          <w:color w:val="auto"/>
        </w:rPr>
        <w:tab/>
      </w:r>
      <w:r>
        <w:rPr>
          <w:rFonts w:ascii="Arial" w:cs="Arial" w:eastAsia="Arial" w:hAnsi="Arial"/>
          <w:sz w:val="19"/>
          <w:szCs w:val="19"/>
          <w:color w:val="auto"/>
        </w:rPr>
        <w:t>No_____</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ACCOUNTS OF BORROWER AND ITS SUBSIDIARIES AND AFFILIATES</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22"/>
          <w:szCs w:val="22"/>
          <w:color w:val="auto"/>
        </w:rPr>
        <w:t>The undersigned hereby also confirms the below disclosed accounts represent all depository accounts and securities accounts presently open in the name of each Borrower or Borrower’s Subsidiary/Affiliate, as applicable.</w:t>
      </w:r>
    </w:p>
    <w:p>
      <w:pPr>
        <w:ind w:left="460"/>
        <w:spacing w:after="0"/>
        <w:rPr>
          <w:sz w:val="20"/>
          <w:szCs w:val="20"/>
          <w:color w:val="auto"/>
        </w:rPr>
      </w:pPr>
      <w:r>
        <w:rPr>
          <w:rFonts w:ascii="Arial" w:cs="Arial" w:eastAsia="Arial" w:hAnsi="Arial"/>
          <w:sz w:val="18"/>
          <w:szCs w:val="18"/>
          <w:color w:val="auto"/>
        </w:rPr>
        <w:t>99</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5" w:right="339" w:bottom="1440" w:gutter="0" w:footer="0" w:header="0"/>
          <w:type w:val="continuous"/>
        </w:sectPr>
      </w:pPr>
    </w:p>
    <w:bookmarkStart w:id="184" w:name="page185"/>
    <w:bookmarkEnd w:id="184"/>
    <w:p>
      <w:pPr>
        <w:spacing w:after="0"/>
        <w:rPr>
          <w:sz w:val="20"/>
          <w:szCs w:val="20"/>
          <w:color w:val="auto"/>
        </w:rPr>
      </w:pPr>
      <w:r>
        <w:rPr>
          <w:rFonts w:ascii="Arial" w:cs="Arial" w:eastAsia="Arial" w:hAnsi="Arial"/>
          <w:sz w:val="19"/>
          <w:szCs w:val="19"/>
          <w:color w:val="auto"/>
        </w:rPr>
        <w:t>Each new account that has been opened since delivery of the previous Compliance Certificate is designated below with a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477456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32320" cy="4774565"/>
                    </a:xfrm>
                    <a:prstGeom prst="rect">
                      <a:avLst/>
                    </a:prstGeom>
                    <a:noFill/>
                  </pic:spPr>
                </pic:pic>
              </a:graphicData>
            </a:graphic>
          </wp:anchor>
        </w:drawing>
      </w:r>
    </w:p>
    <w:p>
      <w:pPr>
        <w:spacing w:after="0" w:line="53" w:lineRule="exact"/>
        <w:rPr>
          <w:sz w:val="20"/>
          <w:szCs w:val="20"/>
          <w:color w:val="auto"/>
        </w:rPr>
      </w:pPr>
    </w:p>
    <w:tbl>
      <w:tblPr>
        <w:tblLayout w:type="fixed"/>
        <w:tblInd w:w="3120" w:type="dxa"/>
        <w:tblCellMar>
          <w:top w:w="0" w:type="dxa"/>
          <w:left w:w="0" w:type="dxa"/>
          <w:bottom w:w="0" w:type="dxa"/>
          <w:right w:w="0" w:type="dxa"/>
        </w:tblCellMar>
      </w:tblPr>
      <w:tr>
        <w:trPr>
          <w:trHeight w:val="270"/>
        </w:trPr>
        <w:tc>
          <w:tcPr>
            <w:tcW w:w="17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2"/>
              </w:rPr>
              <w:t>Last Month</w:t>
            </w:r>
          </w:p>
        </w:tc>
        <w:tc>
          <w:tcPr>
            <w:tcW w:w="1220" w:type="dxa"/>
            <w:vAlign w:val="bottom"/>
          </w:tcPr>
          <w:p>
            <w:pPr>
              <w:spacing w:after="0"/>
              <w:rPr>
                <w:sz w:val="23"/>
                <w:szCs w:val="23"/>
                <w:color w:val="auto"/>
              </w:rPr>
            </w:pPr>
          </w:p>
        </w:tc>
      </w:tr>
      <w:tr>
        <w:trPr>
          <w:trHeight w:val="270"/>
        </w:trPr>
        <w:tc>
          <w:tcPr>
            <w:tcW w:w="176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22"/>
                <w:szCs w:val="22"/>
                <w:b w:val="1"/>
                <w:bCs w:val="1"/>
                <w:color w:val="auto"/>
                <w:w w:val="87"/>
              </w:rPr>
              <w:t>Account Type</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Ending</w:t>
            </w:r>
          </w:p>
        </w:tc>
        <w:tc>
          <w:tcPr>
            <w:tcW w:w="1220" w:type="dxa"/>
            <w:vAlign w:val="bottom"/>
          </w:tcPr>
          <w:p>
            <w:pPr>
              <w:spacing w:after="0"/>
              <w:rPr>
                <w:sz w:val="23"/>
                <w:szCs w:val="23"/>
                <w:color w:val="auto"/>
              </w:rPr>
            </w:pPr>
          </w:p>
        </w:tc>
      </w:tr>
      <w:tr>
        <w:trPr>
          <w:trHeight w:val="270"/>
        </w:trPr>
        <w:tc>
          <w:tcPr>
            <w:tcW w:w="1760" w:type="dxa"/>
            <w:vAlign w:val="bottom"/>
          </w:tcPr>
          <w:p>
            <w:pPr>
              <w:spacing w:after="0"/>
              <w:rPr>
                <w:sz w:val="23"/>
                <w:szCs w:val="23"/>
                <w:color w:val="auto"/>
              </w:rPr>
            </w:pPr>
          </w:p>
        </w:tc>
        <w:tc>
          <w:tcPr>
            <w:tcW w:w="1520" w:type="dxa"/>
            <w:vAlign w:val="bottom"/>
          </w:tcPr>
          <w:p>
            <w:pPr>
              <w:ind w:left="280"/>
              <w:spacing w:after="0"/>
              <w:rPr>
                <w:sz w:val="20"/>
                <w:szCs w:val="20"/>
                <w:color w:val="auto"/>
              </w:rPr>
            </w:pPr>
            <w:r>
              <w:rPr>
                <w:rFonts w:ascii="Arial" w:cs="Arial" w:eastAsia="Arial" w:hAnsi="Arial"/>
                <w:sz w:val="22"/>
                <w:szCs w:val="22"/>
                <w:b w:val="1"/>
                <w:bCs w:val="1"/>
                <w:color w:val="auto"/>
              </w:rPr>
              <w:t>Financial</w:t>
            </w:r>
          </w:p>
        </w:tc>
        <w:tc>
          <w:tcPr>
            <w:tcW w:w="1800" w:type="dxa"/>
            <w:vAlign w:val="bottom"/>
          </w:tcPr>
          <w:p>
            <w:pPr>
              <w:jc w:val="center"/>
              <w:spacing w:after="0"/>
              <w:rPr>
                <w:sz w:val="20"/>
                <w:szCs w:val="20"/>
                <w:color w:val="auto"/>
              </w:rPr>
            </w:pPr>
            <w:r>
              <w:rPr>
                <w:rFonts w:ascii="Arial" w:cs="Arial" w:eastAsia="Arial" w:hAnsi="Arial"/>
                <w:sz w:val="22"/>
                <w:szCs w:val="22"/>
                <w:b w:val="1"/>
                <w:bCs w:val="1"/>
                <w:color w:val="auto"/>
                <w:w w:val="89"/>
              </w:rPr>
              <w:t>(Depository /</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6"/>
              </w:rPr>
              <w:t>Account</w:t>
            </w:r>
          </w:p>
        </w:tc>
        <w:tc>
          <w:tcPr>
            <w:tcW w:w="1220" w:type="dxa"/>
            <w:vAlign w:val="bottom"/>
          </w:tcPr>
          <w:p>
            <w:pPr>
              <w:jc w:val="center"/>
              <w:ind w:left="132"/>
              <w:spacing w:after="0"/>
              <w:rPr>
                <w:sz w:val="20"/>
                <w:szCs w:val="20"/>
                <w:color w:val="auto"/>
              </w:rPr>
            </w:pPr>
            <w:r>
              <w:rPr>
                <w:rFonts w:ascii="Arial" w:cs="Arial" w:eastAsia="Arial" w:hAnsi="Arial"/>
                <w:sz w:val="22"/>
                <w:szCs w:val="22"/>
                <w:b w:val="1"/>
                <w:bCs w:val="1"/>
                <w:color w:val="auto"/>
                <w:w w:val="85"/>
              </w:rPr>
              <w:t>Purpose of</w:t>
            </w:r>
          </w:p>
        </w:tc>
      </w:tr>
      <w:tr>
        <w:trPr>
          <w:trHeight w:val="280"/>
        </w:trPr>
        <w:tc>
          <w:tcPr>
            <w:tcW w:w="1760" w:type="dxa"/>
            <w:vAlign w:val="bottom"/>
          </w:tcPr>
          <w:p>
            <w:pPr>
              <w:spacing w:after="0"/>
              <w:rPr>
                <w:sz w:val="20"/>
                <w:szCs w:val="20"/>
                <w:color w:val="auto"/>
              </w:rPr>
            </w:pPr>
            <w:r>
              <w:rPr>
                <w:rFonts w:ascii="Arial" w:cs="Arial" w:eastAsia="Arial" w:hAnsi="Arial"/>
                <w:sz w:val="22"/>
                <w:szCs w:val="22"/>
                <w:b w:val="1"/>
                <w:bCs w:val="1"/>
                <w:color w:val="auto"/>
              </w:rPr>
              <w:t>Depository AC #</w:t>
            </w:r>
          </w:p>
        </w:tc>
        <w:tc>
          <w:tcPr>
            <w:tcW w:w="1520" w:type="dxa"/>
            <w:vAlign w:val="bottom"/>
          </w:tcPr>
          <w:p>
            <w:pPr>
              <w:ind w:left="240"/>
              <w:spacing w:after="0"/>
              <w:rPr>
                <w:sz w:val="20"/>
                <w:szCs w:val="20"/>
                <w:color w:val="auto"/>
              </w:rPr>
            </w:pPr>
            <w:r>
              <w:rPr>
                <w:rFonts w:ascii="Arial" w:cs="Arial" w:eastAsia="Arial" w:hAnsi="Arial"/>
                <w:sz w:val="22"/>
                <w:szCs w:val="22"/>
                <w:b w:val="1"/>
                <w:bCs w:val="1"/>
                <w:color w:val="auto"/>
              </w:rPr>
              <w:t>Institution</w:t>
            </w:r>
          </w:p>
        </w:tc>
        <w:tc>
          <w:tcPr>
            <w:tcW w:w="1800" w:type="dxa"/>
            <w:vAlign w:val="bottom"/>
          </w:tcPr>
          <w:p>
            <w:pPr>
              <w:jc w:val="center"/>
              <w:ind w:left="32"/>
              <w:spacing w:after="0"/>
              <w:rPr>
                <w:sz w:val="20"/>
                <w:szCs w:val="20"/>
                <w:color w:val="auto"/>
              </w:rPr>
            </w:pPr>
            <w:r>
              <w:rPr>
                <w:rFonts w:ascii="Arial" w:cs="Arial" w:eastAsia="Arial" w:hAnsi="Arial"/>
                <w:sz w:val="22"/>
                <w:szCs w:val="22"/>
                <w:b w:val="1"/>
                <w:bCs w:val="1"/>
                <w:color w:val="auto"/>
                <w:w w:val="87"/>
              </w:rPr>
              <w:t>Securities)</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7"/>
              </w:rPr>
              <w:t>Balance</w:t>
            </w:r>
          </w:p>
        </w:tc>
        <w:tc>
          <w:tcPr>
            <w:tcW w:w="1220" w:type="dxa"/>
            <w:vAlign w:val="bottom"/>
          </w:tcPr>
          <w:p>
            <w:pPr>
              <w:jc w:val="center"/>
              <w:ind w:left="172"/>
              <w:spacing w:after="0"/>
              <w:rPr>
                <w:sz w:val="20"/>
                <w:szCs w:val="20"/>
                <w:color w:val="auto"/>
              </w:rPr>
            </w:pPr>
            <w:r>
              <w:rPr>
                <w:rFonts w:ascii="Arial" w:cs="Arial" w:eastAsia="Arial" w:hAnsi="Arial"/>
                <w:sz w:val="22"/>
                <w:szCs w:val="22"/>
                <w:b w:val="1"/>
                <w:bCs w:val="1"/>
                <w:color w:val="auto"/>
                <w:w w:val="88"/>
              </w:rPr>
              <w:t>Account</w:t>
            </w:r>
          </w:p>
        </w:tc>
      </w:tr>
    </w:tbl>
    <w:p>
      <w:pPr>
        <w:spacing w:after="0" w:line="1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BORROWER</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Name/Address:</w:t>
      </w:r>
    </w:p>
    <w:p>
      <w:pPr>
        <w:ind w:left="2980" w:hanging="189"/>
        <w:spacing w:after="0"/>
        <w:tabs>
          <w:tab w:leader="none" w:pos="2980" w:val="left"/>
        </w:tabs>
        <w:numPr>
          <w:ilvl w:val="0"/>
          <w:numId w:val="111"/>
        </w:numPr>
        <w:rPr>
          <w:rFonts w:ascii="Arial" w:cs="Arial" w:eastAsia="Arial" w:hAnsi="Arial"/>
          <w:sz w:val="22"/>
          <w:szCs w:val="22"/>
          <w:b w:val="1"/>
          <w:bCs w:val="1"/>
          <w:color w:val="auto"/>
        </w:rPr>
      </w:pPr>
      <w:r>
        <w:rPr>
          <w:rFonts w:ascii="Arial" w:cs="Arial" w:eastAsia="Arial" w:hAnsi="Arial"/>
          <w:sz w:val="1"/>
          <w:szCs w:val="1"/>
          <w:b w:val="1"/>
          <w:bCs w:val="1"/>
          <w:color w:val="auto"/>
        </w:rPr>
        <w:drawing>
          <wp:inline distT="0" distB="0" distL="0" distR="0">
            <wp:extent cx="34290" cy="209550"/>
            <wp:effectExtent l="0" t="0" r="0" b="0"/>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4290" cy="20955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2 </w:t>
      </w:r>
      <w:r>
        <w:rPr>
          <w:rFonts w:ascii="Arial" w:cs="Arial" w:eastAsia="Arial" w:hAnsi="Arial"/>
          <w:sz w:val="1"/>
          <w:szCs w:val="1"/>
          <w:b w:val="1"/>
          <w:bCs w:val="1"/>
          <w:color w:val="auto"/>
        </w:rPr>
        <w:drawing>
          <wp:inline distT="0" distB="0" distL="0" distR="0">
            <wp:extent cx="34290" cy="190500"/>
            <wp:effectExtent l="0" t="0" r="0" b="0"/>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3 </w:t>
      </w:r>
      <w:r>
        <w:rPr>
          <w:rFonts w:ascii="Arial" w:cs="Arial" w:eastAsia="Arial" w:hAnsi="Arial"/>
          <w:sz w:val="1"/>
          <w:szCs w:val="1"/>
          <w:b w:val="1"/>
          <w:bCs w:val="1"/>
          <w:color w:val="auto"/>
        </w:rPr>
        <w:drawing>
          <wp:inline distT="0" distB="0" distL="0" distR="0">
            <wp:extent cx="34290" cy="190500"/>
            <wp:effectExtent l="0" t="0" r="0" b="0"/>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4 </w:t>
      </w:r>
      <w:r>
        <w:rPr>
          <w:rFonts w:ascii="Arial" w:cs="Arial" w:eastAsia="Arial" w:hAnsi="Arial"/>
          <w:sz w:val="1"/>
          <w:szCs w:val="1"/>
          <w:b w:val="1"/>
          <w:bCs w:val="1"/>
          <w:color w:val="auto"/>
        </w:rPr>
        <w:drawing>
          <wp:inline distT="0" distB="0" distL="0" distR="0">
            <wp:extent cx="34290" cy="19050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 </w:t>
      </w:r>
      <w:r>
        <w:rPr>
          <w:rFonts w:ascii="Arial" w:cs="Arial" w:eastAsia="Arial" w:hAnsi="Arial"/>
          <w:sz w:val="1"/>
          <w:szCs w:val="1"/>
          <w:b w:val="1"/>
          <w:bCs w:val="1"/>
          <w:color w:val="auto"/>
        </w:rPr>
        <w:drawing>
          <wp:inline distT="0" distB="0" distL="0" distR="0">
            <wp:extent cx="34290" cy="19050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6 </w:t>
      </w:r>
      <w:r>
        <w:rPr>
          <w:rFonts w:ascii="Arial" w:cs="Arial" w:eastAsia="Arial" w:hAnsi="Arial"/>
          <w:sz w:val="1"/>
          <w:szCs w:val="1"/>
          <w:b w:val="1"/>
          <w:bCs w:val="1"/>
          <w:color w:val="auto"/>
        </w:rPr>
        <w:drawing>
          <wp:inline distT="0" distB="0" distL="0" distR="0">
            <wp:extent cx="34290" cy="190500"/>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spacing w:after="0" w:line="3" w:lineRule="exact"/>
        <w:rPr>
          <w:rFonts w:ascii="Arial" w:cs="Arial" w:eastAsia="Arial" w:hAnsi="Arial"/>
          <w:sz w:val="22"/>
          <w:szCs w:val="22"/>
          <w:b w:val="1"/>
          <w:bCs w:val="1"/>
          <w:color w:val="auto"/>
        </w:rPr>
      </w:pP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7</w:t>
      </w:r>
    </w:p>
    <w:p>
      <w:pPr>
        <w:spacing w:after="0" w:line="3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SUBSIDIARY /</w:t>
      </w:r>
    </w:p>
    <w:p>
      <w:pPr>
        <w:spacing w:after="0" w:line="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AFFILIATE</w:t>
      </w:r>
    </w:p>
    <w:p>
      <w:pPr>
        <w:spacing w:after="0" w:line="1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Name/Address</w:t>
      </w:r>
    </w:p>
    <w:p>
      <w:pPr>
        <w:ind w:left="2980" w:hanging="189"/>
        <w:spacing w:after="0"/>
        <w:tabs>
          <w:tab w:leader="none" w:pos="2980" w:val="left"/>
        </w:tabs>
        <w:numPr>
          <w:ilvl w:val="0"/>
          <w:numId w:val="112"/>
        </w:numPr>
        <w:rPr>
          <w:rFonts w:ascii="Arial" w:cs="Arial" w:eastAsia="Arial" w:hAnsi="Arial"/>
          <w:sz w:val="22"/>
          <w:szCs w:val="22"/>
          <w:b w:val="1"/>
          <w:bCs w:val="1"/>
          <w:color w:val="auto"/>
        </w:rPr>
      </w:pPr>
      <w:r>
        <w:rPr>
          <w:rFonts w:ascii="Arial" w:cs="Arial" w:eastAsia="Arial" w:hAnsi="Arial"/>
          <w:sz w:val="1"/>
          <w:szCs w:val="1"/>
          <w:b w:val="1"/>
          <w:bCs w:val="1"/>
          <w:color w:val="auto"/>
        </w:rPr>
        <w:drawing>
          <wp:inline distT="0" distB="0" distL="0" distR="0">
            <wp:extent cx="34290" cy="209550"/>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4290" cy="20955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2 </w:t>
      </w:r>
      <w:r>
        <w:rPr>
          <w:rFonts w:ascii="Arial" w:cs="Arial" w:eastAsia="Arial" w:hAnsi="Arial"/>
          <w:sz w:val="1"/>
          <w:szCs w:val="1"/>
          <w:b w:val="1"/>
          <w:bCs w:val="1"/>
          <w:color w:val="auto"/>
        </w:rPr>
        <w:drawing>
          <wp:inline distT="0" distB="0" distL="0" distR="0">
            <wp:extent cx="34290" cy="190500"/>
            <wp:effectExtent l="0" t="0" r="0" b="0"/>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3 </w:t>
      </w:r>
      <w:r>
        <w:rPr>
          <w:rFonts w:ascii="Arial" w:cs="Arial" w:eastAsia="Arial" w:hAnsi="Arial"/>
          <w:sz w:val="1"/>
          <w:szCs w:val="1"/>
          <w:b w:val="1"/>
          <w:bCs w:val="1"/>
          <w:color w:val="auto"/>
        </w:rPr>
        <w:drawing>
          <wp:inline distT="0" distB="0" distL="0" distR="0">
            <wp:extent cx="34290" cy="190500"/>
            <wp:effectExtent l="0" t="0" r="0" b="0"/>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4 </w:t>
      </w:r>
      <w:r>
        <w:rPr>
          <w:rFonts w:ascii="Arial" w:cs="Arial" w:eastAsia="Arial" w:hAnsi="Arial"/>
          <w:sz w:val="1"/>
          <w:szCs w:val="1"/>
          <w:b w:val="1"/>
          <w:bCs w:val="1"/>
          <w:color w:val="auto"/>
        </w:rPr>
        <w:drawing>
          <wp:inline distT="0" distB="0" distL="0" distR="0">
            <wp:extent cx="34290" cy="190500"/>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5 </w:t>
      </w:r>
      <w:r>
        <w:rPr>
          <w:rFonts w:ascii="Arial" w:cs="Arial" w:eastAsia="Arial" w:hAnsi="Arial"/>
          <w:sz w:val="1"/>
          <w:szCs w:val="1"/>
          <w:b w:val="1"/>
          <w:bCs w:val="1"/>
          <w:color w:val="auto"/>
        </w:rPr>
        <w:drawing>
          <wp:inline distT="0" distB="0" distL="0" distR="0">
            <wp:extent cx="34290" cy="190500"/>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6 </w:t>
      </w:r>
      <w:r>
        <w:rPr>
          <w:rFonts w:ascii="Arial" w:cs="Arial" w:eastAsia="Arial" w:hAnsi="Arial"/>
          <w:sz w:val="1"/>
          <w:szCs w:val="1"/>
          <w:b w:val="1"/>
          <w:bCs w:val="1"/>
          <w:color w:val="auto"/>
        </w:rPr>
        <w:drawing>
          <wp:inline distT="0" distB="0" distL="0" distR="0">
            <wp:extent cx="34290" cy="190500"/>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4290" cy="190500"/>
                    </a:xfrm>
                    <a:prstGeom prst="rect">
                      <a:avLst/>
                    </a:prstGeom>
                    <a:noFill/>
                    <a:ln>
                      <a:noFill/>
                    </a:ln>
                  </pic:spPr>
                </pic:pic>
              </a:graphicData>
            </a:graphic>
          </wp:inline>
        </w:drawing>
      </w:r>
    </w:p>
    <w:p>
      <w:pPr>
        <w:spacing w:after="0" w:line="3" w:lineRule="exact"/>
        <w:rPr>
          <w:rFonts w:ascii="Arial" w:cs="Arial" w:eastAsia="Arial" w:hAnsi="Arial"/>
          <w:sz w:val="22"/>
          <w:szCs w:val="22"/>
          <w:b w:val="1"/>
          <w:bCs w:val="1"/>
          <w:color w:val="auto"/>
        </w:rPr>
      </w:pPr>
    </w:p>
    <w:p>
      <w:pPr>
        <w:ind w:left="280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color w:val="auto"/>
        </w:rPr>
        <w:t>Section 7.20 - Financial Covenants</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100</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361" w:right="619" w:bottom="1440" w:gutter="0" w:footer="0" w:header="0"/>
        </w:sectPr>
      </w:pPr>
    </w:p>
    <w:bookmarkStart w:id="185" w:name="page186"/>
    <w:bookmarkEnd w:id="185"/>
    <w:tbl>
      <w:tblPr>
        <w:tblLayout w:type="fixed"/>
        <w:tblInd w:w="10" w:type="dxa"/>
        <w:tblCellMar>
          <w:top w:w="0" w:type="dxa"/>
          <w:left w:w="0" w:type="dxa"/>
          <w:bottom w:w="0" w:type="dxa"/>
          <w:right w:w="0" w:type="dxa"/>
        </w:tblCellMar>
      </w:tblPr>
      <w:tr>
        <w:trPr>
          <w:trHeight w:val="317"/>
        </w:trPr>
        <w:tc>
          <w:tcPr>
            <w:tcW w:w="240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22"/>
                <w:szCs w:val="22"/>
                <w:b w:val="1"/>
                <w:bCs w:val="1"/>
                <w:color w:val="auto"/>
              </w:rPr>
              <w:t>Financial Covenant</w:t>
            </w:r>
          </w:p>
        </w:tc>
        <w:tc>
          <w:tcPr>
            <w:tcW w:w="4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22"/>
                <w:szCs w:val="22"/>
                <w:b w:val="1"/>
                <w:bCs w:val="1"/>
                <w:color w:val="auto"/>
              </w:rPr>
              <w:t>Required</w:t>
            </w:r>
          </w:p>
        </w:tc>
        <w:tc>
          <w:tcPr>
            <w:tcW w:w="12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right w:val="single" w:sz="8" w:color="auto"/>
            </w:tcBorders>
          </w:tcPr>
          <w:p>
            <w:pPr>
              <w:spacing w:after="0"/>
              <w:rPr>
                <w:sz w:val="24"/>
                <w:szCs w:val="24"/>
                <w:color w:val="auto"/>
              </w:rPr>
            </w:pPr>
          </w:p>
        </w:tc>
        <w:tc>
          <w:tcPr>
            <w:tcW w:w="1380" w:type="dxa"/>
            <w:vAlign w:val="bottom"/>
            <w:tcBorders>
              <w:top w:val="single" w:sz="8" w:color="auto"/>
              <w:bottom w:val="single" w:sz="8" w:color="auto"/>
              <w:right w:val="single" w:sz="8" w:color="auto"/>
            </w:tcBorders>
            <w:gridSpan w:val="2"/>
          </w:tcPr>
          <w:p>
            <w:pPr>
              <w:ind w:left="100"/>
              <w:spacing w:after="0"/>
              <w:rPr>
                <w:sz w:val="20"/>
                <w:szCs w:val="20"/>
                <w:color w:val="auto"/>
              </w:rPr>
            </w:pPr>
            <w:r>
              <w:rPr>
                <w:rFonts w:ascii="Arial" w:cs="Arial" w:eastAsia="Arial" w:hAnsi="Arial"/>
                <w:sz w:val="22"/>
                <w:szCs w:val="22"/>
                <w:b w:val="1"/>
                <w:bCs w:val="1"/>
                <w:color w:val="auto"/>
              </w:rPr>
              <w:t>Actual</w:t>
            </w:r>
          </w:p>
        </w:tc>
        <w:tc>
          <w:tcPr>
            <w:tcW w:w="1880" w:type="dxa"/>
            <w:vAlign w:val="bottom"/>
            <w:tcBorders>
              <w:top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22"/>
                <w:szCs w:val="22"/>
                <w:b w:val="1"/>
                <w:bCs w:val="1"/>
                <w:color w:val="auto"/>
              </w:rPr>
              <w:t>In Compliance?</w:t>
            </w:r>
          </w:p>
        </w:tc>
        <w:tc>
          <w:tcPr>
            <w:tcW w:w="0" w:type="dxa"/>
            <w:vAlign w:val="bottom"/>
          </w:tcPr>
          <w:p>
            <w:pPr>
              <w:spacing w:after="0"/>
              <w:rPr>
                <w:sz w:val="1"/>
                <w:szCs w:val="1"/>
                <w:color w:val="auto"/>
              </w:rPr>
            </w:pPr>
          </w:p>
        </w:tc>
      </w:tr>
      <w:tr>
        <w:trPr>
          <w:trHeight w:val="252"/>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Minimum Cash</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97"/>
              </w:rPr>
              <w:t xml:space="preserve">Greater than or equal to the sum of $15,000,000 </w:t>
            </w:r>
            <w:r>
              <w:rPr>
                <w:rFonts w:ascii="Arial" w:cs="Arial" w:eastAsia="Arial" w:hAnsi="Arial"/>
                <w:sz w:val="22"/>
                <w:szCs w:val="22"/>
                <w:i w:val="1"/>
                <w:iCs w:val="1"/>
                <w:color w:val="auto"/>
                <w:w w:val="97"/>
              </w:rPr>
              <w:t>plus</w:t>
            </w:r>
            <w:r>
              <w:rPr>
                <w:rFonts w:ascii="Arial" w:cs="Arial" w:eastAsia="Arial" w:hAnsi="Arial"/>
                <w:sz w:val="22"/>
                <w:szCs w:val="22"/>
                <w:color w:val="auto"/>
                <w:w w:val="97"/>
              </w:rPr>
              <w:t xml:space="preserve"> the</w:t>
            </w:r>
          </w:p>
        </w:tc>
        <w:tc>
          <w:tcPr>
            <w:tcW w:w="100" w:type="dxa"/>
            <w:vAlign w:val="bottom"/>
            <w:tcBorders>
              <w:right w:val="single" w:sz="8" w:color="auto"/>
            </w:tcBorders>
          </w:tcPr>
          <w:p>
            <w:pPr>
              <w:spacing w:after="0"/>
              <w:rPr>
                <w:sz w:val="21"/>
                <w:szCs w:val="21"/>
                <w:color w:val="auto"/>
              </w:rPr>
            </w:pPr>
          </w:p>
        </w:tc>
        <w:tc>
          <w:tcPr>
            <w:tcW w:w="280" w:type="dxa"/>
            <w:vAlign w:val="bottom"/>
          </w:tcPr>
          <w:p>
            <w:pPr>
              <w:ind w:left="100"/>
              <w:spacing w:after="0"/>
              <w:rPr>
                <w:sz w:val="20"/>
                <w:szCs w:val="20"/>
                <w:color w:val="auto"/>
              </w:rPr>
            </w:pPr>
            <w:r>
              <w:rPr>
                <w:rFonts w:ascii="Arial" w:cs="Arial" w:eastAsia="Arial" w:hAnsi="Arial"/>
                <w:sz w:val="22"/>
                <w:szCs w:val="22"/>
                <w:color w:val="auto"/>
              </w:rPr>
              <w:t>[</w:t>
            </w:r>
          </w:p>
        </w:tc>
        <w:tc>
          <w:tcPr>
            <w:tcW w:w="110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w:t>
            </w: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Yes</w:t>
            </w: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w w:val="97"/>
              </w:rPr>
              <w:t>Section 7.20(a)(i) of the</w:t>
            </w:r>
          </w:p>
        </w:tc>
        <w:tc>
          <w:tcPr>
            <w:tcW w:w="4260" w:type="dxa"/>
            <w:vAlign w:val="bottom"/>
          </w:tcPr>
          <w:p>
            <w:pPr>
              <w:ind w:left="80"/>
              <w:spacing w:after="0"/>
              <w:rPr>
                <w:sz w:val="20"/>
                <w:szCs w:val="20"/>
                <w:color w:val="auto"/>
              </w:rPr>
            </w:pPr>
            <w:r>
              <w:rPr>
                <w:rFonts w:ascii="Arial" w:cs="Arial" w:eastAsia="Arial" w:hAnsi="Arial"/>
                <w:sz w:val="22"/>
                <w:szCs w:val="22"/>
                <w:color w:val="auto"/>
              </w:rPr>
              <w:t>Qualified Cash A/P Amount</w:t>
            </w:r>
          </w:p>
        </w:tc>
        <w:tc>
          <w:tcPr>
            <w:tcW w:w="1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4"/>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rPr>
              <w:t>Loan Agreement</w:t>
            </w:r>
          </w:p>
        </w:tc>
        <w:tc>
          <w:tcPr>
            <w:tcW w:w="4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550"/>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7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9"/>
              </w:rPr>
              <w:t>Performance Covenant</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99"/>
              </w:rPr>
              <w:t>(i) Borrower’s Market Capitalization exceeds One Billion</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22"/>
                <w:szCs w:val="22"/>
                <w:color w:val="auto"/>
              </w:rPr>
              <w:t>[</w:t>
            </w:r>
          </w:p>
        </w:tc>
        <w:tc>
          <w:tcPr>
            <w:tcW w:w="110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w:t>
            </w: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Yes</w:t>
            </w: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A</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rPr>
              <w:t>Dollars ($1,000,000,000) and (ii) Borrower maintains</w:t>
            </w: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rPr>
              <w:t>Section 7.20(b) of the</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90"/>
              </w:rPr>
              <w:t>Qualified Cash in an amount not less than fifty percent (50%)</w:t>
            </w: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rPr>
              <w:t>Loan Agreement</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94"/>
              </w:rPr>
              <w:t>of the sum of the outstanding principal amount of the Term</w:t>
            </w: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548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 xml:space="preserve">Loan Advances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 Qualified Cash A/P Amount</w:t>
            </w:r>
          </w:p>
        </w:tc>
        <w:tc>
          <w:tcPr>
            <w:tcW w:w="1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7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9"/>
              </w:rPr>
              <w:t>Performance Covenant</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96"/>
              </w:rPr>
              <w:t>Borrower maintains Qualified Cash in an amount not less</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22"/>
                <w:szCs w:val="22"/>
                <w:color w:val="auto"/>
              </w:rPr>
              <w:t>[</w:t>
            </w:r>
          </w:p>
        </w:tc>
        <w:tc>
          <w:tcPr>
            <w:tcW w:w="110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w:t>
            </w: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Yes</w:t>
            </w: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B</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92"/>
              </w:rPr>
              <w:t>than eighty five percent (85%) of the sum of the outstanding</w:t>
            </w: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rPr>
              <w:t>Section 7.20(b) of the</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rPr>
              <w:t xml:space="preserve">principal amount of the Term Loan Advances </w:t>
            </w:r>
            <w:r>
              <w:rPr>
                <w:rFonts w:ascii="Arial" w:cs="Arial" w:eastAsia="Arial" w:hAnsi="Arial"/>
                <w:sz w:val="22"/>
                <w:szCs w:val="22"/>
                <w:i w:val="1"/>
                <w:iCs w:val="1"/>
                <w:color w:val="auto"/>
              </w:rPr>
              <w:t>plus</w:t>
            </w:r>
            <w:r>
              <w:rPr>
                <w:rFonts w:ascii="Arial" w:cs="Arial" w:eastAsia="Arial" w:hAnsi="Arial"/>
                <w:sz w:val="22"/>
                <w:szCs w:val="22"/>
                <w:color w:val="auto"/>
              </w:rPr>
              <w:t xml:space="preserve"> the</w:t>
            </w: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4"/>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rPr>
              <w:t>Loan Agreement</w:t>
            </w:r>
          </w:p>
        </w:tc>
        <w:tc>
          <w:tcPr>
            <w:tcW w:w="4260" w:type="dxa"/>
            <w:vAlign w:val="bottom"/>
          </w:tcPr>
          <w:p>
            <w:pPr>
              <w:ind w:left="80"/>
              <w:spacing w:after="0"/>
              <w:rPr>
                <w:sz w:val="20"/>
                <w:szCs w:val="20"/>
                <w:color w:val="auto"/>
              </w:rPr>
            </w:pPr>
            <w:r>
              <w:rPr>
                <w:rFonts w:ascii="Arial" w:cs="Arial" w:eastAsia="Arial" w:hAnsi="Arial"/>
                <w:sz w:val="22"/>
                <w:szCs w:val="22"/>
                <w:color w:val="auto"/>
              </w:rPr>
              <w:t>Qualified Cash A/P Amount</w:t>
            </w:r>
          </w:p>
        </w:tc>
        <w:tc>
          <w:tcPr>
            <w:tcW w:w="1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80"/>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w w:val="99"/>
              </w:rPr>
              <w:t>Performance Covenant</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89"/>
              </w:rPr>
              <w:t>Borrower achieves T6M Net Product Revenue of at least 60%</w:t>
            </w:r>
          </w:p>
        </w:tc>
        <w:tc>
          <w:tcPr>
            <w:tcW w:w="100" w:type="dxa"/>
            <w:vAlign w:val="bottom"/>
            <w:tcBorders>
              <w:right w:val="single" w:sz="8" w:color="auto"/>
            </w:tcBorders>
          </w:tcPr>
          <w:p>
            <w:pPr>
              <w:spacing w:after="0"/>
              <w:rPr>
                <w:sz w:val="23"/>
                <w:szCs w:val="23"/>
                <w:color w:val="auto"/>
              </w:rPr>
            </w:pPr>
          </w:p>
        </w:tc>
        <w:tc>
          <w:tcPr>
            <w:tcW w:w="280" w:type="dxa"/>
            <w:vAlign w:val="bottom"/>
          </w:tcPr>
          <w:p>
            <w:pPr>
              <w:ind w:left="100"/>
              <w:spacing w:after="0"/>
              <w:rPr>
                <w:sz w:val="20"/>
                <w:szCs w:val="20"/>
                <w:color w:val="auto"/>
              </w:rPr>
            </w:pPr>
            <w:r>
              <w:rPr>
                <w:rFonts w:ascii="Arial" w:cs="Arial" w:eastAsia="Arial" w:hAnsi="Arial"/>
                <w:sz w:val="22"/>
                <w:szCs w:val="22"/>
                <w:color w:val="auto"/>
              </w:rPr>
              <w:t>[</w:t>
            </w:r>
          </w:p>
        </w:tc>
        <w:tc>
          <w:tcPr>
            <w:tcW w:w="1100" w:type="dxa"/>
            <w:vAlign w:val="bottom"/>
            <w:tcBorders>
              <w:right w:val="single" w:sz="8" w:color="auto"/>
            </w:tcBorders>
          </w:tcPr>
          <w:p>
            <w:pPr>
              <w:jc w:val="right"/>
              <w:ind w:right="792"/>
              <w:spacing w:after="0"/>
              <w:rPr>
                <w:sz w:val="20"/>
                <w:szCs w:val="20"/>
                <w:color w:val="auto"/>
              </w:rPr>
            </w:pPr>
            <w:r>
              <w:rPr>
                <w:rFonts w:ascii="Arial" w:cs="Arial" w:eastAsia="Arial" w:hAnsi="Arial"/>
                <w:sz w:val="22"/>
                <w:szCs w:val="22"/>
                <w:color w:val="auto"/>
              </w:rPr>
              <w:t>]</w:t>
            </w: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Yes</w:t>
            </w: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color w:val="auto"/>
              </w:rPr>
              <w:t>C</w:t>
            </w:r>
          </w:p>
        </w:tc>
        <w:tc>
          <w:tcPr>
            <w:tcW w:w="5480" w:type="dxa"/>
            <w:vAlign w:val="bottom"/>
            <w:gridSpan w:val="2"/>
          </w:tcPr>
          <w:p>
            <w:pPr>
              <w:ind w:left="80"/>
              <w:spacing w:after="0"/>
              <w:rPr>
                <w:sz w:val="20"/>
                <w:szCs w:val="20"/>
                <w:color w:val="auto"/>
              </w:rPr>
            </w:pPr>
            <w:r>
              <w:rPr>
                <w:rFonts w:ascii="Arial" w:cs="Arial" w:eastAsia="Arial" w:hAnsi="Arial"/>
                <w:sz w:val="22"/>
                <w:szCs w:val="22"/>
                <w:color w:val="auto"/>
                <w:w w:val="94"/>
              </w:rPr>
              <w:t>of the T6M Net Product Revenue included in the Forecast,</w:t>
            </w: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rPr>
              <w:t>Section 7.20(b) of the</w:t>
            </w:r>
          </w:p>
        </w:tc>
        <w:tc>
          <w:tcPr>
            <w:tcW w:w="4260" w:type="dxa"/>
            <w:vAlign w:val="bottom"/>
          </w:tcPr>
          <w:p>
            <w:pPr>
              <w:ind w:left="80"/>
              <w:spacing w:after="0"/>
              <w:rPr>
                <w:sz w:val="20"/>
                <w:szCs w:val="20"/>
                <w:color w:val="auto"/>
              </w:rPr>
            </w:pPr>
            <w:r>
              <w:rPr>
                <w:rFonts w:ascii="Arial" w:cs="Arial" w:eastAsia="Arial" w:hAnsi="Arial"/>
                <w:sz w:val="22"/>
                <w:szCs w:val="22"/>
                <w:color w:val="auto"/>
              </w:rPr>
              <w:t>determined on a quarterly basis</w:t>
            </w:r>
          </w:p>
        </w:tc>
        <w:tc>
          <w:tcPr>
            <w:tcW w:w="1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tcPr>
          <w:p>
            <w:pPr>
              <w:ind w:left="100"/>
              <w:spacing w:after="0"/>
              <w:rPr>
                <w:sz w:val="20"/>
                <w:szCs w:val="20"/>
                <w:color w:val="auto"/>
              </w:rPr>
            </w:pPr>
            <w:r>
              <w:rPr>
                <w:rFonts w:ascii="Arial" w:cs="Arial" w:eastAsia="Arial" w:hAnsi="Arial"/>
                <w:sz w:val="22"/>
                <w:szCs w:val="22"/>
                <w:color w:val="auto"/>
              </w:rPr>
              <w:t>No</w:t>
            </w:r>
          </w:p>
        </w:tc>
        <w:tc>
          <w:tcPr>
            <w:tcW w:w="0" w:type="dxa"/>
            <w:vAlign w:val="bottom"/>
          </w:tcPr>
          <w:p>
            <w:pPr>
              <w:spacing w:after="0"/>
              <w:rPr>
                <w:sz w:val="1"/>
                <w:szCs w:val="1"/>
                <w:color w:val="auto"/>
              </w:rPr>
            </w:pPr>
          </w:p>
        </w:tc>
      </w:tr>
      <w:tr>
        <w:trPr>
          <w:trHeight w:val="274"/>
        </w:trPr>
        <w:tc>
          <w:tcPr>
            <w:tcW w:w="24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22"/>
                <w:szCs w:val="22"/>
                <w:i w:val="1"/>
                <w:iCs w:val="1"/>
                <w:color w:val="auto"/>
              </w:rPr>
              <w:t>Loan Agreement</w:t>
            </w:r>
          </w:p>
        </w:tc>
        <w:tc>
          <w:tcPr>
            <w:tcW w:w="4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Borders>
              <w:right w:val="single" w:sz="8" w:color="auto"/>
            </w:tcBorders>
          </w:tcPr>
          <w:p>
            <w:pPr>
              <w:spacing w:after="0"/>
              <w:rPr>
                <w:sz w:val="23"/>
                <w:szCs w:val="23"/>
                <w:color w:val="auto"/>
              </w:rPr>
            </w:pPr>
          </w:p>
        </w:tc>
        <w:tc>
          <w:tcPr>
            <w:tcW w:w="1880" w:type="dxa"/>
            <w:vAlign w:val="bottom"/>
            <w:tcBorders>
              <w:right w:val="single" w:sz="8" w:color="auto"/>
            </w:tcBorders>
            <w:vMerge w:val="restart"/>
          </w:tcPr>
          <w:p>
            <w:pPr>
              <w:ind w:left="100"/>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80"/>
        </w:trPr>
        <w:tc>
          <w:tcPr>
            <w:tcW w:w="2400" w:type="dxa"/>
            <w:vAlign w:val="bottom"/>
            <w:tcBorders>
              <w:left w:val="single" w:sz="8" w:color="auto"/>
              <w:bottom w:val="single" w:sz="8" w:color="auto"/>
              <w:right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right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6660" w:type="dxa"/>
            <w:vAlign w:val="bottom"/>
            <w:gridSpan w:val="2"/>
          </w:tcPr>
          <w:p>
            <w:pPr>
              <w:spacing w:after="0"/>
              <w:rPr>
                <w:sz w:val="20"/>
                <w:szCs w:val="20"/>
                <w:color w:val="auto"/>
              </w:rPr>
            </w:pPr>
            <w:r>
              <w:rPr>
                <w:rFonts w:ascii="Arial" w:cs="Arial" w:eastAsia="Arial" w:hAnsi="Arial"/>
                <w:sz w:val="22"/>
                <w:szCs w:val="22"/>
                <w:color w:val="auto"/>
                <w:w w:val="92"/>
              </w:rPr>
              <w:t>Is Borrower complying with at least one Performance Covenant? Yes____</w:t>
            </w:r>
          </w:p>
        </w:tc>
        <w:tc>
          <w:tcPr>
            <w:tcW w:w="1220" w:type="dxa"/>
            <w:vAlign w:val="bottom"/>
          </w:tcPr>
          <w:p>
            <w:pPr>
              <w:ind w:left="200"/>
              <w:spacing w:after="0"/>
              <w:rPr>
                <w:sz w:val="20"/>
                <w:szCs w:val="20"/>
                <w:color w:val="auto"/>
              </w:rPr>
            </w:pPr>
            <w:r>
              <w:rPr>
                <w:rFonts w:ascii="Arial" w:cs="Arial" w:eastAsia="Arial" w:hAnsi="Arial"/>
                <w:sz w:val="22"/>
                <w:szCs w:val="22"/>
                <w:color w:val="auto"/>
              </w:rPr>
              <w:t>No_____</w:t>
            </w:r>
          </w:p>
        </w:tc>
        <w:tc>
          <w:tcPr>
            <w:tcW w:w="1480" w:type="dxa"/>
            <w:vAlign w:val="bottom"/>
            <w:gridSpan w:val="3"/>
          </w:tcPr>
          <w:p>
            <w:pPr>
              <w:jc w:val="right"/>
              <w:ind w:right="412"/>
              <w:spacing w:after="0"/>
              <w:rPr>
                <w:sz w:val="20"/>
                <w:szCs w:val="20"/>
                <w:color w:val="auto"/>
              </w:rPr>
            </w:pPr>
            <w:r>
              <w:rPr>
                <w:rFonts w:ascii="Arial" w:cs="Arial" w:eastAsia="Arial" w:hAnsi="Arial"/>
                <w:sz w:val="22"/>
                <w:szCs w:val="22"/>
                <w:color w:val="auto"/>
                <w:w w:val="96"/>
              </w:rPr>
              <w:t>N/A_____</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6660" w:type="dxa"/>
            <w:vAlign w:val="bottom"/>
            <w:gridSpan w:val="2"/>
          </w:tcPr>
          <w:p>
            <w:pPr>
              <w:spacing w:after="0"/>
              <w:rPr>
                <w:sz w:val="20"/>
                <w:szCs w:val="20"/>
                <w:color w:val="auto"/>
              </w:rPr>
            </w:pPr>
            <w:r>
              <w:rPr>
                <w:rFonts w:ascii="Arial" w:cs="Arial" w:eastAsia="Arial" w:hAnsi="Arial"/>
                <w:sz w:val="22"/>
                <w:szCs w:val="22"/>
                <w:color w:val="auto"/>
              </w:rPr>
              <w:t>Section 7.21 – Intellectual Property</w:t>
            </w: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ind w:right="60"/>
        <w:spacing w:after="0" w:line="256" w:lineRule="auto"/>
        <w:rPr>
          <w:sz w:val="20"/>
          <w:szCs w:val="20"/>
          <w:color w:val="auto"/>
        </w:rPr>
      </w:pPr>
      <w:r>
        <w:rPr>
          <w:rFonts w:ascii="Arial" w:cs="Arial" w:eastAsia="Arial" w:hAnsi="Arial"/>
          <w:sz w:val="22"/>
          <w:szCs w:val="22"/>
          <w:color w:val="auto"/>
        </w:rPr>
        <w:t>Has Borrower filed any application for any Patent or the registration of any Copyright, mask work or Trademark, or acquired any new registered Trademark since the last reported period? Yes____ No_____</w:t>
      </w:r>
    </w:p>
    <w:p>
      <w:pPr>
        <w:ind w:right="100"/>
        <w:spacing w:after="0" w:line="272" w:lineRule="auto"/>
        <w:rPr>
          <w:sz w:val="20"/>
          <w:szCs w:val="20"/>
          <w:color w:val="auto"/>
        </w:rPr>
      </w:pPr>
      <w:r>
        <w:rPr>
          <w:rFonts w:ascii="Arial" w:cs="Arial" w:eastAsia="Arial" w:hAnsi="Arial"/>
          <w:sz w:val="22"/>
          <w:szCs w:val="22"/>
          <w:color w:val="auto"/>
        </w:rPr>
        <w:t>If yes: Borrower shall supplement such intellectual property security agreements and or other documents as needed to maintain a first priority perfected security interest in favor of Agent within 90 days of the date hereof.</w:t>
      </w:r>
    </w:p>
    <w:p>
      <w:pPr>
        <w:spacing w:after="0" w:line="23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Very Truly Yours,</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101</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86" w:name="page187"/>
    <w:bookmarkEnd w:id="186"/>
    <w:p>
      <w:pPr>
        <w:ind w:left="4500"/>
        <w:spacing w:after="0"/>
        <w:rPr>
          <w:sz w:val="20"/>
          <w:szCs w:val="20"/>
          <w:color w:val="auto"/>
        </w:rPr>
      </w:pPr>
      <w:r>
        <w:rPr>
          <w:rFonts w:ascii="Arial" w:cs="Arial" w:eastAsia="Arial" w:hAnsi="Arial"/>
          <w:sz w:val="22"/>
          <w:szCs w:val="22"/>
          <w:color w:val="auto"/>
        </w:rPr>
        <w:t>AXSOME THERAPEUTICS, INC.</w:t>
      </w:r>
    </w:p>
    <w:p>
      <w:pPr>
        <w:spacing w:after="0" w:line="21" w:lineRule="exact"/>
        <w:rPr>
          <w:sz w:val="20"/>
          <w:szCs w:val="20"/>
          <w:color w:val="auto"/>
        </w:rPr>
      </w:pPr>
    </w:p>
    <w:p>
      <w:pPr>
        <w:ind w:left="4500"/>
        <w:spacing w:after="0"/>
        <w:tabs>
          <w:tab w:leader="none" w:pos="522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9"/>
          <w:szCs w:val="19"/>
          <w:color w:val="auto"/>
        </w:rPr>
        <w:t>____________________________</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  _____________________________</w:t>
      </w:r>
    </w:p>
    <w:p>
      <w:pPr>
        <w:spacing w:after="0" w:line="52" w:lineRule="exact"/>
        <w:rPr>
          <w:sz w:val="20"/>
          <w:szCs w:val="20"/>
          <w:color w:val="auto"/>
        </w:rPr>
      </w:pPr>
    </w:p>
    <w:p>
      <w:pPr>
        <w:ind w:left="4500"/>
        <w:spacing w:after="0"/>
        <w:tabs>
          <w:tab w:leader="none" w:pos="5180" w:val="left"/>
        </w:tabs>
        <w:rPr>
          <w:sz w:val="20"/>
          <w:szCs w:val="20"/>
          <w:color w:val="auto"/>
        </w:rPr>
      </w:pPr>
      <w:r>
        <w:rPr>
          <w:rFonts w:ascii="Arial" w:cs="Arial" w:eastAsia="Arial" w:hAnsi="Arial"/>
          <w:sz w:val="19"/>
          <w:szCs w:val="19"/>
          <w:color w:val="auto"/>
        </w:rPr>
        <w:t>Its:</w:t>
      </w:r>
      <w:r>
        <w:rPr>
          <w:sz w:val="20"/>
          <w:szCs w:val="20"/>
          <w:color w:val="auto"/>
        </w:rPr>
        <w:tab/>
      </w:r>
      <w:r>
        <w:rPr>
          <w:rFonts w:ascii="Arial" w:cs="Arial" w:eastAsia="Arial" w:hAnsi="Arial"/>
          <w:sz w:val="19"/>
          <w:szCs w:val="19"/>
          <w:color w:val="auto"/>
        </w:rPr>
        <w:t>____________________________</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102</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EXHIBIT F</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JOINDER AGREEMENT</w:t>
      </w:r>
    </w:p>
    <w:p>
      <w:pPr>
        <w:spacing w:after="0" w:line="235" w:lineRule="exact"/>
        <w:rPr>
          <w:sz w:val="20"/>
          <w:szCs w:val="20"/>
          <w:color w:val="auto"/>
        </w:rPr>
      </w:pPr>
    </w:p>
    <w:p>
      <w:pPr>
        <w:ind w:left="760"/>
        <w:spacing w:after="0"/>
        <w:tabs>
          <w:tab w:leader="none" w:pos="8140" w:val="left"/>
        </w:tabs>
        <w:rPr>
          <w:sz w:val="20"/>
          <w:szCs w:val="20"/>
          <w:color w:val="auto"/>
        </w:rPr>
      </w:pPr>
      <w:r>
        <w:rPr>
          <w:rFonts w:ascii="Arial" w:cs="Arial" w:eastAsia="Arial" w:hAnsi="Arial"/>
          <w:sz w:val="22"/>
          <w:szCs w:val="22"/>
          <w:color w:val="auto"/>
        </w:rPr>
        <w:t>This Joinder Agreement (the “Joinder Agreement”) is made and dated as of [</w:t>
      </w:r>
      <w:r>
        <w:rPr>
          <w:sz w:val="20"/>
          <w:szCs w:val="20"/>
          <w:color w:val="auto"/>
        </w:rPr>
        <w:tab/>
      </w:r>
      <w:r>
        <w:rPr>
          <w:rFonts w:ascii="Arial" w:cs="Arial" w:eastAsia="Arial" w:hAnsi="Arial"/>
          <w:sz w:val="19"/>
          <w:szCs w:val="19"/>
          <w:color w:val="auto"/>
        </w:rPr>
        <w:t>], 20[ ], and is entered into by and</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between__________________., a ___________ corporation (“Subsidiary”), and HERCULES CAPITAL, INC., a Maryland</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corporation (as “Agent”).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35" w:lineRule="exact"/>
        <w:rPr>
          <w:sz w:val="20"/>
          <w:szCs w:val="20"/>
          <w:color w:val="auto"/>
        </w:rPr>
      </w:pPr>
    </w:p>
    <w:p>
      <w:pPr>
        <w:jc w:val="both"/>
        <w:ind w:firstLine="757"/>
        <w:spacing w:after="0" w:line="279" w:lineRule="auto"/>
        <w:tabs>
          <w:tab w:leader="none" w:pos="1142" w:val="left"/>
        </w:tabs>
        <w:numPr>
          <w:ilvl w:val="0"/>
          <w:numId w:val="113"/>
        </w:numPr>
        <w:rPr>
          <w:rFonts w:ascii="Arial" w:cs="Arial" w:eastAsia="Arial" w:hAnsi="Arial"/>
          <w:sz w:val="21"/>
          <w:szCs w:val="21"/>
          <w:color w:val="auto"/>
        </w:rPr>
      </w:pPr>
      <w:r>
        <w:rPr>
          <w:rFonts w:ascii="Arial" w:cs="Arial" w:eastAsia="Arial" w:hAnsi="Arial"/>
          <w:sz w:val="21"/>
          <w:szCs w:val="21"/>
          <w:color w:val="auto"/>
        </w:rPr>
        <w:t>Subsidiary’s Affiliate, Axsome Therapeutics, Inc. (“Company”) has entered into that certain Loan and Security Agreement dated September 25, 2020, with the several banks and other financial institutions or entities from time to time party thereto as lender (collectively, the “Lenders”) and the Agent, as such agreement may be amended (the “Loan Agreement”), together with the other agreements executed and delivered in connection therewith;</w:t>
      </w:r>
    </w:p>
    <w:p>
      <w:pPr>
        <w:spacing w:after="0" w:line="173" w:lineRule="exact"/>
        <w:rPr>
          <w:rFonts w:ascii="Arial" w:cs="Arial" w:eastAsia="Arial" w:hAnsi="Arial"/>
          <w:sz w:val="21"/>
          <w:szCs w:val="21"/>
          <w:color w:val="auto"/>
        </w:rPr>
      </w:pPr>
    </w:p>
    <w:p>
      <w:pPr>
        <w:ind w:right="20" w:firstLine="757"/>
        <w:spacing w:after="0" w:line="276" w:lineRule="auto"/>
        <w:tabs>
          <w:tab w:leader="none" w:pos="105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Subsidiary acknowledges and agrees that it will benefit both directly and indirectly from Company’s execution of the Loan Agreement and the other agreements executed and delivered in connection therewith;</w:t>
      </w:r>
    </w:p>
    <w:p>
      <w:pPr>
        <w:spacing w:after="0" w:line="17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AGREEMENT</w:t>
      </w:r>
    </w:p>
    <w:p>
      <w:pPr>
        <w:spacing w:after="0" w:line="235" w:lineRule="exact"/>
        <w:rPr>
          <w:sz w:val="20"/>
          <w:szCs w:val="20"/>
          <w:color w:val="auto"/>
        </w:rPr>
      </w:pPr>
    </w:p>
    <w:p>
      <w:pPr>
        <w:ind w:left="760"/>
        <w:spacing w:after="0"/>
        <w:rPr>
          <w:sz w:val="20"/>
          <w:szCs w:val="20"/>
          <w:color w:val="auto"/>
        </w:rPr>
      </w:pPr>
      <w:r>
        <w:rPr>
          <w:rFonts w:ascii="Arial" w:cs="Arial" w:eastAsia="Arial" w:hAnsi="Arial"/>
          <w:sz w:val="22"/>
          <w:szCs w:val="22"/>
          <w:color w:val="auto"/>
        </w:rPr>
        <w:t>NOW THEREFORE, Subsidiary and Agent agree as follows:</w:t>
      </w:r>
    </w:p>
    <w:p>
      <w:pPr>
        <w:spacing w:after="0" w:line="233" w:lineRule="exact"/>
        <w:rPr>
          <w:sz w:val="20"/>
          <w:szCs w:val="20"/>
          <w:color w:val="auto"/>
        </w:rPr>
      </w:pPr>
    </w:p>
    <w:p>
      <w:pPr>
        <w:ind w:left="340" w:hanging="332"/>
        <w:spacing w:after="0" w:line="276" w:lineRule="auto"/>
        <w:tabs>
          <w:tab w:leader="none" w:pos="34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recitals set forth above are incorporated into and made part of this Joinder Agreement. Capitalized terms not defined herein shall have the meaning provided in the Loan Agreement.</w:t>
      </w:r>
    </w:p>
    <w:p>
      <w:pPr>
        <w:spacing w:after="0" w:line="174" w:lineRule="exact"/>
        <w:rPr>
          <w:rFonts w:ascii="Arial" w:cs="Arial" w:eastAsia="Arial" w:hAnsi="Arial"/>
          <w:sz w:val="22"/>
          <w:szCs w:val="22"/>
          <w:color w:val="auto"/>
        </w:rPr>
      </w:pPr>
    </w:p>
    <w:p>
      <w:pPr>
        <w:jc w:val="both"/>
        <w:ind w:left="340" w:hanging="332"/>
        <w:spacing w:after="0" w:line="298" w:lineRule="auto"/>
        <w:tabs>
          <w:tab w:leader="none" w:pos="40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By signing this Joinder Agreement, Subsidiary shall be bound by the terms and conditions of the Loan Agreement the same as if it were the Borrower (as defined in the Loan Agreement) under the Loan Agreement, mutatis mutandis, provided however, that (a) with respect to (i) Section 5.1 of the Loan Agreement, Subsidiary represents that it is an entity duly</w:t>
      </w:r>
    </w:p>
    <w:p>
      <w:pPr>
        <w:spacing w:after="0" w:line="1" w:lineRule="exact"/>
        <w:rPr>
          <w:sz w:val="20"/>
          <w:szCs w:val="20"/>
          <w:color w:val="auto"/>
        </w:rPr>
      </w:pPr>
    </w:p>
    <w:p>
      <w:pPr>
        <w:jc w:val="both"/>
        <w:ind w:left="340"/>
        <w:spacing w:after="0" w:line="270" w:lineRule="auto"/>
        <w:rPr>
          <w:sz w:val="20"/>
          <w:szCs w:val="20"/>
          <w:color w:val="auto"/>
        </w:rPr>
      </w:pPr>
      <w:r>
        <w:rPr>
          <w:rFonts w:ascii="Arial" w:cs="Arial" w:eastAsia="Arial" w:hAnsi="Arial"/>
          <w:sz w:val="21"/>
          <w:szCs w:val="21"/>
          <w:color w:val="auto"/>
        </w:rPr>
        <w:t>organized, legally existing and in good standing under the laws of [ ], (b) neither Agent nor the Lenders shall have any duties, responsibilities or obligations to Subsidiary arising under or related to the Loan Agreement or the other Loan Documents, (c) that if Subsidiary is covered by Company’s insurance, Subsidiary shall not be required to maintain separate insurance or comply with the provisions of Sections 6.1 and 6.2 of the Loan Agreement, and (d) that as long as Company satisfies the requirements of Section 7.1 of the Loan Agreement, Subsidiary shall not have to provide Agent separate Financial Statements. To the extent that Agent or the Lenders has any duties, responsibilities or obligations arising under or related to the Loan Agreement or the other Loan Documents, those duties, responsibilities or obligations shall flow only to Company and not to Subsidiary or any other Person or entity. By way of example (and not an exclusive list): (i) Agent’s providing notice to Company in accordance with the Loan Agreement or as otherwise agreed among Company, Agent and the Lenders shall be deemed provided to Subsidiary; (ii) a Lender’s providing an Advance to Company shall be deemed an Advance to Subsidiary; and (iii) Subsidiary shall have no right to request an Advance or make any other demand on the Lenders.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8" w:name="page189"/>
    <w:bookmarkEnd w:id="188"/>
    <w:p>
      <w:pPr>
        <w:jc w:val="both"/>
        <w:ind w:left="340" w:hanging="332"/>
        <w:spacing w:after="0" w:line="266" w:lineRule="auto"/>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Subsidiary agrees not to certificate its equity securities without Agent’s prior written consent, which consent may be conditioned on the delivery of such equity securities to Agent in order to perfect Agent’s security interest in such equity securities.</w:t>
      </w:r>
    </w:p>
    <w:p>
      <w:pPr>
        <w:spacing w:after="0" w:line="130" w:lineRule="exact"/>
        <w:rPr>
          <w:rFonts w:ascii="Arial" w:cs="Arial" w:eastAsia="Arial" w:hAnsi="Arial"/>
          <w:sz w:val="22"/>
          <w:szCs w:val="22"/>
          <w:color w:val="auto"/>
        </w:rPr>
      </w:pPr>
    </w:p>
    <w:p>
      <w:pPr>
        <w:jc w:val="both"/>
        <w:ind w:left="340" w:hanging="332"/>
        <w:spacing w:after="0" w:line="274" w:lineRule="auto"/>
        <w:tabs>
          <w:tab w:leader="none" w:pos="34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Subsidiary acknowledges that it benefits, both directly and indirectly, from the Loan Agreement, and hereby waives, for itself and on behalf on any and all successors in interest (including without limitation any assignee for the benefit of creditors, receiver, bankruptcy trustee or itself as debtor-in-possession under any bankruptcy proceeding) to the fullest extent provided by law, any and all claims, rights or defenses to the enforcement of this Joinder Agreement on the basis that (a) it failed to receive adequate consideration for the execution and delivery of this Joinder Agreement or (b) its obligations under this Joinder Agreement are avoidable as a fraudulent conveyance.</w:t>
      </w:r>
    </w:p>
    <w:p>
      <w:pPr>
        <w:spacing w:after="0" w:line="127" w:lineRule="exact"/>
        <w:rPr>
          <w:rFonts w:ascii="Arial" w:cs="Arial" w:eastAsia="Arial" w:hAnsi="Arial"/>
          <w:sz w:val="21"/>
          <w:szCs w:val="21"/>
          <w:color w:val="auto"/>
        </w:rPr>
      </w:pPr>
    </w:p>
    <w:p>
      <w:pPr>
        <w:jc w:val="both"/>
        <w:ind w:left="340" w:hanging="332"/>
        <w:spacing w:after="0" w:line="266" w:lineRule="auto"/>
        <w:tabs>
          <w:tab w:leader="none" w:pos="34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As security for the prompt, complete and indefeasible payment when due (whether on the payment dates or otherwise) of all the Secured Obligations, Subsidiary grants to Agent a security interest in all of Subsidiary’s right, title, and interest in and to the Collateral.</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[REMAINDER OF PAGE INTENTIONALLY LEFT BLANK]</w:t>
      </w: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104</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89" w:name="page190"/>
    <w:bookmarkEnd w:id="189"/>
    <w:p>
      <w:pPr>
        <w:jc w:val="right"/>
        <w:ind w:right="2199"/>
        <w:spacing w:after="0"/>
        <w:rPr>
          <w:sz w:val="20"/>
          <w:szCs w:val="20"/>
          <w:color w:val="auto"/>
        </w:rPr>
      </w:pPr>
      <w:r>
        <w:rPr>
          <w:rFonts w:ascii="Arial" w:cs="Arial" w:eastAsia="Arial" w:hAnsi="Arial"/>
          <w:sz w:val="22"/>
          <w:szCs w:val="22"/>
          <w:color w:val="auto"/>
        </w:rPr>
        <w:t>[SIGNATURE PAGE TO JOINDER AGREEMENT]</w:t>
      </w:r>
    </w:p>
    <w:p>
      <w:pPr>
        <w:spacing w:after="0" w:line="17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SUBSIDIARY:</w:t>
      </w:r>
    </w:p>
    <w:p>
      <w:pPr>
        <w:spacing w:after="0" w:line="125" w:lineRule="exact"/>
        <w:rPr>
          <w:sz w:val="20"/>
          <w:szCs w:val="20"/>
          <w:color w:val="auto"/>
        </w:rPr>
      </w:pPr>
    </w:p>
    <w:p>
      <w:pPr>
        <w:ind w:left="100"/>
        <w:spacing w:after="0"/>
        <w:rPr>
          <w:sz w:val="20"/>
          <w:szCs w:val="20"/>
          <w:color w:val="auto"/>
        </w:rPr>
      </w:pPr>
      <w:r>
        <w:rPr>
          <w:rFonts w:ascii="Arial" w:cs="Arial" w:eastAsia="Arial" w:hAnsi="Arial"/>
          <w:sz w:val="22"/>
          <w:szCs w:val="22"/>
          <w:color w:val="auto"/>
        </w:rPr>
        <w:t>_________________________________.</w:t>
      </w:r>
    </w:p>
    <w:p>
      <w:pPr>
        <w:spacing w:after="0" w:line="395" w:lineRule="exact"/>
        <w:rPr>
          <w:sz w:val="20"/>
          <w:szCs w:val="20"/>
          <w:color w:val="auto"/>
        </w:rPr>
      </w:pPr>
    </w:p>
    <w:p>
      <w:pPr>
        <w:ind w:left="54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Title:</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22"/>
          <w:szCs w:val="22"/>
          <w:color w:val="auto"/>
        </w:rPr>
        <w:t>Address:</w:t>
      </w:r>
    </w:p>
    <w:p>
      <w:pPr>
        <w:spacing w:after="0" w:line="200" w:lineRule="exact"/>
        <w:rPr>
          <w:sz w:val="20"/>
          <w:szCs w:val="20"/>
          <w:color w:val="auto"/>
        </w:rPr>
      </w:pPr>
    </w:p>
    <w:p>
      <w:pPr>
        <w:spacing w:after="0" w:line="357" w:lineRule="exact"/>
        <w:rPr>
          <w:sz w:val="20"/>
          <w:szCs w:val="20"/>
          <w:color w:val="auto"/>
        </w:rPr>
      </w:pPr>
    </w:p>
    <w:p>
      <w:pPr>
        <w:ind w:left="540"/>
        <w:spacing w:after="0"/>
        <w:rPr>
          <w:sz w:val="20"/>
          <w:szCs w:val="20"/>
          <w:color w:val="auto"/>
        </w:rPr>
      </w:pPr>
      <w:r>
        <w:rPr>
          <w:rFonts w:ascii="Arial" w:cs="Arial" w:eastAsia="Arial" w:hAnsi="Arial"/>
          <w:sz w:val="22"/>
          <w:szCs w:val="22"/>
          <w:color w:val="auto"/>
        </w:rPr>
        <w:t>Telephone: ___________</w:t>
      </w:r>
    </w:p>
    <w:p>
      <w:pPr>
        <w:spacing w:after="0" w:line="21" w:lineRule="exact"/>
        <w:rPr>
          <w:sz w:val="20"/>
          <w:szCs w:val="20"/>
          <w:color w:val="auto"/>
        </w:rPr>
      </w:pPr>
    </w:p>
    <w:p>
      <w:pPr>
        <w:ind w:left="540"/>
        <w:spacing w:after="0"/>
        <w:rPr>
          <w:sz w:val="20"/>
          <w:szCs w:val="20"/>
          <w:color w:val="auto"/>
        </w:rPr>
      </w:pPr>
      <w:r>
        <w:rPr>
          <w:rFonts w:ascii="Arial" w:cs="Arial" w:eastAsia="Arial" w:hAnsi="Arial"/>
          <w:sz w:val="22"/>
          <w:szCs w:val="22"/>
          <w:color w:val="auto"/>
        </w:rPr>
        <w:t>email: ____________</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AGENT:</w:t>
      </w:r>
    </w:p>
    <w:p>
      <w:pPr>
        <w:spacing w:after="0" w:line="200" w:lineRule="exact"/>
        <w:rPr>
          <w:sz w:val="20"/>
          <w:szCs w:val="20"/>
          <w:color w:val="auto"/>
        </w:rPr>
      </w:pPr>
    </w:p>
    <w:p>
      <w:pPr>
        <w:spacing w:after="0" w:line="249" w:lineRule="exact"/>
        <w:rPr>
          <w:sz w:val="20"/>
          <w:szCs w:val="20"/>
          <w:color w:val="auto"/>
        </w:rPr>
      </w:pPr>
    </w:p>
    <w:p>
      <w:pPr>
        <w:ind w:left="100"/>
        <w:spacing w:after="0"/>
        <w:rPr>
          <w:sz w:val="20"/>
          <w:szCs w:val="20"/>
          <w:color w:val="auto"/>
        </w:rPr>
      </w:pPr>
      <w:r>
        <w:rPr>
          <w:rFonts w:ascii="Arial" w:cs="Arial" w:eastAsia="Arial" w:hAnsi="Arial"/>
          <w:sz w:val="22"/>
          <w:szCs w:val="22"/>
          <w:color w:val="auto"/>
        </w:rPr>
        <w:t>HERCULES CAPITAL, INC.</w:t>
      </w:r>
    </w:p>
    <w:p>
      <w:pPr>
        <w:spacing w:after="0" w:line="28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By:____________________________________</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Name:__________________________________</w:t>
      </w:r>
    </w:p>
    <w:p>
      <w:pPr>
        <w:spacing w:after="0" w:line="1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Title: ___________________________________</w:t>
      </w:r>
    </w:p>
    <w:p>
      <w:pPr>
        <w:spacing w:after="0" w:line="283"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Address:</w:t>
      </w:r>
    </w:p>
    <w:p>
      <w:pPr>
        <w:spacing w:after="0" w:line="21"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400 Hamilton Ave., Suite 310</w:t>
      </w:r>
    </w:p>
    <w:p>
      <w:pPr>
        <w:spacing w:after="0" w:line="1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Palo Alto, CA 94301</w:t>
      </w:r>
    </w:p>
    <w:p>
      <w:pPr>
        <w:spacing w:after="0" w:line="1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email: legal@htgc.com</w:t>
      </w:r>
    </w:p>
    <w:p>
      <w:pPr>
        <w:spacing w:after="0" w:line="17" w:lineRule="exact"/>
        <w:rPr>
          <w:sz w:val="20"/>
          <w:szCs w:val="20"/>
          <w:color w:val="auto"/>
        </w:rPr>
      </w:pPr>
    </w:p>
    <w:p>
      <w:pPr>
        <w:ind w:left="2060"/>
        <w:spacing w:after="0"/>
        <w:rPr>
          <w:sz w:val="20"/>
          <w:szCs w:val="20"/>
          <w:color w:val="auto"/>
        </w:rPr>
      </w:pPr>
      <w:r>
        <w:rPr>
          <w:rFonts w:ascii="Arial" w:cs="Arial" w:eastAsia="Arial" w:hAnsi="Arial"/>
          <w:sz w:val="22"/>
          <w:szCs w:val="22"/>
          <w:color w:val="auto"/>
        </w:rPr>
        <w:t>Telephone: 650-289-3060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sectPr>
      </w:pPr>
    </w:p>
    <w:bookmarkStart w:id="190" w:name="page191"/>
    <w:bookmarkEnd w:id="190"/>
    <w:p>
      <w:pPr>
        <w:ind w:left="5140"/>
        <w:spacing w:after="0"/>
        <w:rPr>
          <w:sz w:val="20"/>
          <w:szCs w:val="20"/>
          <w:color w:val="auto"/>
        </w:rPr>
      </w:pPr>
      <w:r>
        <w:rPr>
          <w:rFonts w:ascii="Arial" w:cs="Arial" w:eastAsia="Arial" w:hAnsi="Arial"/>
          <w:sz w:val="18"/>
          <w:szCs w:val="18"/>
          <w:b w:val="1"/>
          <w:bCs w:val="1"/>
          <w:color w:val="auto"/>
        </w:rPr>
        <w:t>EXHIBIT G</w:t>
      </w:r>
    </w:p>
    <w:p>
      <w:pPr>
        <w:spacing w:after="0" w:line="235" w:lineRule="exact"/>
        <w:rPr>
          <w:sz w:val="20"/>
          <w:szCs w:val="20"/>
          <w:color w:val="auto"/>
        </w:rPr>
      </w:pPr>
    </w:p>
    <w:p>
      <w:pPr>
        <w:jc w:val="right"/>
        <w:ind w:right="4019"/>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106</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EXHIBIT H</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ACH DEBIT AUTHORIZATION AGREEMENT</w:t>
      </w: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Hercules Capital, Inc.</w:t>
      </w:r>
    </w:p>
    <w:p>
      <w:pPr>
        <w:spacing w:after="0" w:line="238" w:lineRule="auto"/>
        <w:rPr>
          <w:sz w:val="20"/>
          <w:szCs w:val="20"/>
          <w:color w:val="auto"/>
        </w:rPr>
      </w:pPr>
      <w:r>
        <w:rPr>
          <w:rFonts w:ascii="Arial" w:cs="Arial" w:eastAsia="Arial" w:hAnsi="Arial"/>
          <w:sz w:val="22"/>
          <w:szCs w:val="22"/>
          <w:color w:val="auto"/>
        </w:rPr>
        <w:t>400 Hamilton Avenue, Suite 310</w:t>
      </w:r>
    </w:p>
    <w:p>
      <w:pPr>
        <w:spacing w:after="0"/>
        <w:rPr>
          <w:sz w:val="20"/>
          <w:szCs w:val="20"/>
          <w:color w:val="auto"/>
        </w:rPr>
      </w:pPr>
      <w:r>
        <w:rPr>
          <w:rFonts w:ascii="Arial" w:cs="Arial" w:eastAsia="Arial" w:hAnsi="Arial"/>
          <w:sz w:val="22"/>
          <w:szCs w:val="22"/>
          <w:color w:val="auto"/>
        </w:rPr>
        <w:t>Palo Alto, CA 94301</w:t>
      </w:r>
    </w:p>
    <w:p>
      <w:pPr>
        <w:spacing w:after="0" w:line="188" w:lineRule="exact"/>
        <w:rPr>
          <w:sz w:val="20"/>
          <w:szCs w:val="20"/>
          <w:color w:val="auto"/>
        </w:rPr>
      </w:pPr>
    </w:p>
    <w:p>
      <w:pPr>
        <w:jc w:val="both"/>
        <w:ind w:left="760"/>
        <w:spacing w:after="0" w:line="238" w:lineRule="auto"/>
        <w:rPr>
          <w:sz w:val="20"/>
          <w:szCs w:val="20"/>
          <w:color w:val="auto"/>
        </w:rPr>
      </w:pPr>
      <w:r>
        <w:rPr>
          <w:rFonts w:ascii="Arial" w:cs="Arial" w:eastAsia="Arial" w:hAnsi="Arial"/>
          <w:sz w:val="22"/>
          <w:szCs w:val="22"/>
          <w:color w:val="auto"/>
        </w:rPr>
        <w:t>Re: Loan and Security Agreement dated September 25, 2020 (the “Agreement”) by and among Axsome Therapeutics, Inc., a Delaware corporation and each of its Subsidiaries (as defined therein) other than Excluded Subsidiaries (as defined therein) (individually and collectively, “Borrower”), and Hercules Capital, Inc., as agent (“Company”) and the lenders party thereto (collectively, the “Lenders”)</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In connection with the above referenced Agreement, the Borrower hereby authorizes the Company to initiate debit entries for (i) the periodic payments due under the Agreement and (ii) reasonable, documented out-of-pocket legal fees and costs incurred by Agent or the Lenders pursuant to Section 11.12 of the Agreement to the Borrower’s account indicated below. The Borrower authorizes the depository institution named below to debit to such account.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[IF FILED PUBLICLY, ACCOUNT INFO REDACTED FOR SECURITY PURPOSES]</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64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DEPOSITORY NAME</w:t>
            </w:r>
          </w:p>
        </w:tc>
        <w:tc>
          <w:tcPr>
            <w:tcW w:w="56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BRANCH</w:t>
            </w:r>
          </w:p>
        </w:tc>
      </w:tr>
      <w:tr>
        <w:trPr>
          <w:trHeight w:val="292"/>
        </w:trPr>
        <w:tc>
          <w:tcPr>
            <w:tcW w:w="5640" w:type="dxa"/>
            <w:vAlign w:val="bottom"/>
            <w:tcBorders>
              <w:left w:val="single" w:sz="8" w:color="auto"/>
              <w:bottom w:val="single" w:sz="8" w:color="auto"/>
              <w:right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201"/>
        </w:trPr>
        <w:tc>
          <w:tcPr>
            <w:tcW w:w="5640" w:type="dxa"/>
            <w:vAlign w:val="bottom"/>
          </w:tcPr>
          <w:p>
            <w:pPr>
              <w:ind w:left="120"/>
              <w:spacing w:after="0"/>
              <w:rPr>
                <w:sz w:val="20"/>
                <w:szCs w:val="20"/>
                <w:color w:val="auto"/>
              </w:rPr>
            </w:pPr>
            <w:r>
              <w:rPr>
                <w:rFonts w:ascii="Arial" w:cs="Arial" w:eastAsia="Arial" w:hAnsi="Arial"/>
                <w:sz w:val="14"/>
                <w:szCs w:val="14"/>
                <w:color w:val="auto"/>
              </w:rPr>
              <w:t>CITY</w:t>
            </w:r>
          </w:p>
        </w:tc>
        <w:tc>
          <w:tcPr>
            <w:tcW w:w="5600" w:type="dxa"/>
            <w:vAlign w:val="bottom"/>
          </w:tcPr>
          <w:p>
            <w:pPr>
              <w:ind w:left="100"/>
              <w:spacing w:after="0"/>
              <w:rPr>
                <w:sz w:val="20"/>
                <w:szCs w:val="20"/>
                <w:color w:val="auto"/>
              </w:rPr>
            </w:pPr>
            <w:r>
              <w:rPr>
                <w:rFonts w:ascii="Arial" w:cs="Arial" w:eastAsia="Arial" w:hAnsi="Arial"/>
                <w:sz w:val="14"/>
                <w:szCs w:val="14"/>
                <w:color w:val="auto"/>
              </w:rPr>
              <w:t>STATE AND ZIP CODE</w:t>
            </w:r>
          </w:p>
        </w:tc>
      </w:tr>
      <w:tr>
        <w:trPr>
          <w:trHeight w:val="296"/>
        </w:trPr>
        <w:tc>
          <w:tcPr>
            <w:tcW w:w="564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r>
      <w:tr>
        <w:trPr>
          <w:trHeight w:val="198"/>
        </w:trPr>
        <w:tc>
          <w:tcPr>
            <w:tcW w:w="5640" w:type="dxa"/>
            <w:vAlign w:val="bottom"/>
          </w:tcPr>
          <w:p>
            <w:pPr>
              <w:ind w:left="120"/>
              <w:spacing w:after="0"/>
              <w:rPr>
                <w:sz w:val="20"/>
                <w:szCs w:val="20"/>
                <w:color w:val="auto"/>
              </w:rPr>
            </w:pPr>
            <w:r>
              <w:rPr>
                <w:rFonts w:ascii="Arial" w:cs="Arial" w:eastAsia="Arial" w:hAnsi="Arial"/>
                <w:sz w:val="14"/>
                <w:szCs w:val="14"/>
                <w:color w:val="auto"/>
              </w:rPr>
              <w:t>TRANSIT/ABA NUMBER</w:t>
            </w:r>
          </w:p>
        </w:tc>
        <w:tc>
          <w:tcPr>
            <w:tcW w:w="5600" w:type="dxa"/>
            <w:vAlign w:val="bottom"/>
          </w:tcPr>
          <w:p>
            <w:pPr>
              <w:ind w:left="100"/>
              <w:spacing w:after="0"/>
              <w:rPr>
                <w:sz w:val="20"/>
                <w:szCs w:val="20"/>
                <w:color w:val="auto"/>
              </w:rPr>
            </w:pPr>
            <w:r>
              <w:rPr>
                <w:rFonts w:ascii="Arial" w:cs="Arial" w:eastAsia="Arial" w:hAnsi="Arial"/>
                <w:sz w:val="14"/>
                <w:szCs w:val="14"/>
                <w:color w:val="auto"/>
              </w:rPr>
              <w:t>ACCOUNT NUMBER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132320" cy="97726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32320" cy="97726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This authority will remain in full force and effect so long as any amounts are due under the Agreement.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(Borrower)</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By: 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Name: _________________________________________</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________________________________________</w:t>
      </w:r>
    </w:p>
    <w:p>
      <w:pPr>
        <w:spacing w:after="0" w:line="200" w:lineRule="exact"/>
        <w:rPr>
          <w:sz w:val="20"/>
          <w:szCs w:val="20"/>
          <w:color w:val="auto"/>
        </w:rPr>
      </w:pP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92" w:name="page193"/>
    <w:bookmarkEnd w:id="192"/>
    <w:p>
      <w:pPr>
        <w:ind w:left="5180"/>
        <w:spacing w:after="0"/>
        <w:rPr>
          <w:sz w:val="20"/>
          <w:szCs w:val="20"/>
          <w:color w:val="auto"/>
        </w:rPr>
      </w:pPr>
      <w:r>
        <w:rPr>
          <w:rFonts w:ascii="Arial" w:cs="Arial" w:eastAsia="Arial" w:hAnsi="Arial"/>
          <w:sz w:val="18"/>
          <w:szCs w:val="18"/>
          <w:b w:val="1"/>
          <w:bCs w:val="1"/>
          <w:color w:val="auto"/>
        </w:rPr>
        <w:t>EXHIBIT I</w:t>
      </w:r>
    </w:p>
    <w:p>
      <w:pPr>
        <w:spacing w:after="0" w:line="235" w:lineRule="exact"/>
        <w:rPr>
          <w:sz w:val="20"/>
          <w:szCs w:val="20"/>
          <w:color w:val="auto"/>
        </w:rPr>
      </w:pPr>
    </w:p>
    <w:p>
      <w:pPr>
        <w:jc w:val="right"/>
        <w:ind w:right="4019"/>
        <w:spacing w:after="0"/>
        <w:rPr>
          <w:sz w:val="20"/>
          <w:szCs w:val="20"/>
          <w:color w:val="auto"/>
        </w:rPr>
      </w:pPr>
      <w:r>
        <w:rPr>
          <w:rFonts w:ascii="Arial" w:cs="Arial" w:eastAsia="Arial" w:hAnsi="Arial"/>
          <w:sz w:val="22"/>
          <w:szCs w:val="22"/>
          <w:color w:val="auto"/>
        </w:rPr>
        <w:t>[Reserved.]</w:t>
      </w: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193" w:name="page194"/>
    <w:bookmarkEnd w:id="193"/>
    <w:p>
      <w:pPr>
        <w:jc w:val="center"/>
        <w:ind w:right="-99"/>
        <w:spacing w:after="0"/>
        <w:rPr>
          <w:sz w:val="20"/>
          <w:szCs w:val="20"/>
          <w:color w:val="auto"/>
        </w:rPr>
      </w:pPr>
      <w:r>
        <w:rPr>
          <w:rFonts w:ascii="Arial" w:cs="Arial" w:eastAsia="Arial" w:hAnsi="Arial"/>
          <w:sz w:val="22"/>
          <w:szCs w:val="22"/>
          <w:b w:val="1"/>
          <w:bCs w:val="1"/>
          <w:color w:val="auto"/>
        </w:rPr>
        <w:t>EXHIBIT J-1</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 Foreign Lenders That Are Not Partnerships For U.S. Federal Income Tax Purposes)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Reference is hereby made to the Loan and Security Agreement dated as of ________ ___, 20___ (as amended,</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94"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1"/>
          <w:szCs w:val="21"/>
          <w:color w:val="auto"/>
        </w:rPr>
        <w:t>Pursuant to the provisions of Addendum 1 of the Loan Agreement, the undersigned hereby certifies that (i) it is the sole record and beneficial owner of the Loan(s) (as well as any promissory note(s) evidencing such Loan(s))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77" w:lineRule="exact"/>
        <w:rPr>
          <w:sz w:val="20"/>
          <w:szCs w:val="20"/>
          <w:color w:val="auto"/>
        </w:rPr>
      </w:pPr>
    </w:p>
    <w:p>
      <w:pPr>
        <w:jc w:val="both"/>
        <w:ind w:firstLine="749"/>
        <w:spacing w:after="0" w:line="260" w:lineRule="auto"/>
        <w:rPr>
          <w:sz w:val="20"/>
          <w:szCs w:val="20"/>
          <w:color w:val="auto"/>
        </w:rPr>
      </w:pPr>
      <w:r>
        <w:rPr>
          <w:rFonts w:ascii="Arial" w:cs="Arial" w:eastAsia="Arial" w:hAnsi="Arial"/>
          <w:sz w:val="22"/>
          <w:szCs w:val="22"/>
          <w:color w:val="auto"/>
        </w:rPr>
        <w:t>The undersigned has furnished the Agent and the Borrower with a certificate of its non-U.S. Person status on IRS Form W-8BEN or IRS Form W-8BEN-E.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9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Date: _____________ ___, 20___</w:t>
      </w:r>
      <w:r>
        <w:rPr>
          <w:sz w:val="20"/>
          <w:szCs w:val="20"/>
          <w:color w:val="auto"/>
        </w:rPr>
        <w:tab/>
      </w:r>
      <w:r>
        <w:rPr>
          <w:rFonts w:ascii="Arial" w:cs="Arial" w:eastAsia="Arial" w:hAnsi="Arial"/>
          <w:sz w:val="21"/>
          <w:szCs w:val="21"/>
          <w:color w:val="auto"/>
        </w:rPr>
        <w:t>[NAME OF LENDER]</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109</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4" w:name="page195"/>
    <w:bookmarkEnd w:id="194"/>
    <w:p>
      <w:pPr>
        <w:ind w:left="45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jc w:val="both"/>
        <w:ind w:right="1339" w:firstLine="14"/>
        <w:spacing w:after="0" w:line="327" w:lineRule="auto"/>
        <w:rPr>
          <w:sz w:val="20"/>
          <w:szCs w:val="20"/>
          <w:color w:val="auto"/>
        </w:rPr>
      </w:pPr>
      <w:r>
        <w:rPr>
          <w:rFonts w:ascii="Arial" w:cs="Arial" w:eastAsia="Arial" w:hAnsi="Arial"/>
          <w:sz w:val="19"/>
          <w:szCs w:val="19"/>
          <w:color w:val="auto"/>
        </w:rPr>
        <w:t>____________________________ ____________________________ ____________________________</w:t>
      </w:r>
    </w:p>
    <w:p>
      <w:pPr>
        <w:spacing w:after="0" w:line="200" w:lineRule="exact"/>
        <w:rPr>
          <w:sz w:val="20"/>
          <w:szCs w:val="20"/>
          <w:color w:val="auto"/>
        </w:rPr>
      </w:pPr>
    </w:p>
    <w:p>
      <w:pPr>
        <w:sectPr>
          <w:pgSz w:w="11900" w:h="16838" w:orient="portrait"/>
          <w:cols w:equalWidth="0" w:num="2">
            <w:col w:w="5080" w:space="700"/>
            <w:col w:w="4359"/>
          </w:cols>
          <w:pgMar w:left="320" w:top="36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110</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195" w:name="page196"/>
    <w:bookmarkEnd w:id="195"/>
    <w:p>
      <w:pPr>
        <w:jc w:val="center"/>
        <w:ind w:right="-99"/>
        <w:spacing w:after="0"/>
        <w:rPr>
          <w:sz w:val="20"/>
          <w:szCs w:val="20"/>
          <w:color w:val="auto"/>
        </w:rPr>
      </w:pPr>
      <w:r>
        <w:rPr>
          <w:rFonts w:ascii="Arial" w:cs="Arial" w:eastAsia="Arial" w:hAnsi="Arial"/>
          <w:sz w:val="22"/>
          <w:szCs w:val="22"/>
          <w:b w:val="1"/>
          <w:bCs w:val="1"/>
          <w:color w:val="auto"/>
        </w:rPr>
        <w:t>EXHIBIT J-2</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Participants That Are Not Partnerships For U.S. Federal Income Tax Purposes)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Reference is hereby made to the Loan and Security Agreement dated as of ________ ___, 20___ (as amended,</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94" w:lineRule="exact"/>
        <w:rPr>
          <w:sz w:val="20"/>
          <w:szCs w:val="20"/>
          <w:color w:val="auto"/>
        </w:rPr>
      </w:pPr>
    </w:p>
    <w:p>
      <w:pPr>
        <w:jc w:val="both"/>
        <w:ind w:firstLine="749"/>
        <w:spacing w:after="0" w:line="261" w:lineRule="auto"/>
        <w:rPr>
          <w:sz w:val="20"/>
          <w:szCs w:val="20"/>
          <w:color w:val="auto"/>
        </w:rPr>
      </w:pPr>
      <w:r>
        <w:rPr>
          <w:rFonts w:ascii="Arial" w:cs="Arial" w:eastAsia="Arial" w:hAnsi="Arial"/>
          <w:sz w:val="22"/>
          <w:szCs w:val="22"/>
          <w:color w:val="auto"/>
        </w:rPr>
        <w:t>Pursuant to the provisions of Addendum 1 of the Loan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Borrower within the meaning of Section 871(h)(3)(B) of the Code and (iv) it is not a “controlled foreign corporation” related to the Borrower as described in Section 881(c)(3)(C) of the Code.</w:t>
      </w:r>
    </w:p>
    <w:p>
      <w:pPr>
        <w:spacing w:after="0" w:line="190" w:lineRule="exact"/>
        <w:rPr>
          <w:sz w:val="20"/>
          <w:szCs w:val="20"/>
          <w:color w:val="auto"/>
        </w:rPr>
      </w:pPr>
    </w:p>
    <w:p>
      <w:pPr>
        <w:jc w:val="both"/>
        <w:ind w:firstLine="749"/>
        <w:spacing w:after="0" w:line="311" w:lineRule="auto"/>
        <w:rPr>
          <w:sz w:val="20"/>
          <w:szCs w:val="20"/>
          <w:color w:val="auto"/>
        </w:rPr>
      </w:pPr>
      <w:r>
        <w:rPr>
          <w:rFonts w:ascii="Arial" w:cs="Arial" w:eastAsia="Arial" w:hAnsi="Arial"/>
          <w:sz w:val="19"/>
          <w:szCs w:val="19"/>
          <w:color w:val="auto"/>
        </w:rPr>
        <w:t>The undersigned has furnished its participating Lender with a certificate of its non-U.S. Person status on IRS Form W-8BEN or IRS Form W-8BEN-E. By executing this certificate, the undersigned agrees that (1) if the information provided in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50"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Date: _____________ ___, 20___</w:t>
      </w:r>
      <w:r>
        <w:rPr>
          <w:sz w:val="20"/>
          <w:szCs w:val="20"/>
          <w:color w:val="auto"/>
        </w:rPr>
        <w:tab/>
      </w:r>
      <w:r>
        <w:rPr>
          <w:rFonts w:ascii="Arial" w:cs="Arial" w:eastAsia="Arial" w:hAnsi="Arial"/>
          <w:sz w:val="19"/>
          <w:szCs w:val="19"/>
          <w:color w:val="auto"/>
        </w:rPr>
        <w:t>[NAME OF PARTICIPANT]</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111</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6" w:name="page197"/>
    <w:bookmarkEnd w:id="196"/>
    <w:p>
      <w:pPr>
        <w:ind w:left="45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jc w:val="both"/>
        <w:ind w:right="1339" w:firstLine="14"/>
        <w:spacing w:after="0" w:line="327" w:lineRule="auto"/>
        <w:rPr>
          <w:sz w:val="20"/>
          <w:szCs w:val="20"/>
          <w:color w:val="auto"/>
        </w:rPr>
      </w:pPr>
      <w:r>
        <w:rPr>
          <w:rFonts w:ascii="Arial" w:cs="Arial" w:eastAsia="Arial" w:hAnsi="Arial"/>
          <w:sz w:val="19"/>
          <w:szCs w:val="19"/>
          <w:color w:val="auto"/>
        </w:rPr>
        <w:t>____________________________ ____________________________ ____________________________</w:t>
      </w:r>
    </w:p>
    <w:p>
      <w:pPr>
        <w:spacing w:after="0" w:line="200" w:lineRule="exact"/>
        <w:rPr>
          <w:sz w:val="20"/>
          <w:szCs w:val="20"/>
          <w:color w:val="auto"/>
        </w:rPr>
      </w:pPr>
    </w:p>
    <w:p>
      <w:pPr>
        <w:sectPr>
          <w:pgSz w:w="11900" w:h="16838" w:orient="portrait"/>
          <w:cols w:equalWidth="0" w:num="2">
            <w:col w:w="5080" w:space="700"/>
            <w:col w:w="4359"/>
          </w:cols>
          <w:pgMar w:left="320" w:top="36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112</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197" w:name="page198"/>
    <w:bookmarkEnd w:id="197"/>
    <w:p>
      <w:pPr>
        <w:jc w:val="center"/>
        <w:ind w:right="-99"/>
        <w:spacing w:after="0"/>
        <w:rPr>
          <w:sz w:val="20"/>
          <w:szCs w:val="20"/>
          <w:color w:val="auto"/>
        </w:rPr>
      </w:pPr>
      <w:r>
        <w:rPr>
          <w:rFonts w:ascii="Arial" w:cs="Arial" w:eastAsia="Arial" w:hAnsi="Arial"/>
          <w:sz w:val="22"/>
          <w:szCs w:val="22"/>
          <w:b w:val="1"/>
          <w:bCs w:val="1"/>
          <w:color w:val="auto"/>
        </w:rPr>
        <w:t>EXHIBIT J-3</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Participants That Are Partnerships For U.S. Federal Income Tax Purposes)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Reference is hereby made to the Loan and Security Agreement dated as of ________ ___, 20___ (as amended,</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94" w:lineRule="exact"/>
        <w:rPr>
          <w:sz w:val="20"/>
          <w:szCs w:val="20"/>
          <w:color w:val="auto"/>
        </w:rPr>
      </w:pPr>
    </w:p>
    <w:p>
      <w:pPr>
        <w:jc w:val="both"/>
        <w:ind w:firstLine="749"/>
        <w:spacing w:after="0" w:line="273" w:lineRule="auto"/>
        <w:rPr>
          <w:sz w:val="20"/>
          <w:szCs w:val="20"/>
          <w:color w:val="auto"/>
        </w:rPr>
      </w:pPr>
      <w:r>
        <w:rPr>
          <w:rFonts w:ascii="Arial" w:cs="Arial" w:eastAsia="Arial" w:hAnsi="Arial"/>
          <w:sz w:val="21"/>
          <w:szCs w:val="21"/>
          <w:color w:val="auto"/>
        </w:rPr>
        <w:t>Pursuant to the provisions of Addendum 1 of the Loan Agreement, the undersigned hereby certifies that (i) it is the sole record owner of the participation in respect of which it is providing this certificate, (ii) its direct or indirect partners/members are the sole beneficial owners of such participation, (iii) with respect to such participation,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79" w:lineRule="exact"/>
        <w:rPr>
          <w:sz w:val="20"/>
          <w:szCs w:val="20"/>
          <w:color w:val="auto"/>
        </w:rPr>
      </w:pPr>
    </w:p>
    <w:p>
      <w:pPr>
        <w:jc w:val="both"/>
        <w:ind w:firstLine="749"/>
        <w:spacing w:after="0" w:line="259" w:lineRule="auto"/>
        <w:rPr>
          <w:sz w:val="20"/>
          <w:szCs w:val="20"/>
          <w:color w:val="auto"/>
        </w:rPr>
      </w:pPr>
      <w:r>
        <w:rPr>
          <w:rFonts w:ascii="Arial" w:cs="Arial" w:eastAsia="Arial" w:hAnsi="Arial"/>
          <w:sz w:val="22"/>
          <w:szCs w:val="22"/>
          <w:color w:val="auto"/>
        </w:rPr>
        <w:t>The undersigned has furnished its participating Lender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192"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44"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Date: _____________ ___, 20___</w:t>
      </w:r>
      <w:r>
        <w:rPr>
          <w:sz w:val="20"/>
          <w:szCs w:val="20"/>
          <w:color w:val="auto"/>
        </w:rPr>
        <w:tab/>
      </w:r>
      <w:r>
        <w:rPr>
          <w:rFonts w:ascii="Arial" w:cs="Arial" w:eastAsia="Arial" w:hAnsi="Arial"/>
          <w:sz w:val="19"/>
          <w:szCs w:val="19"/>
          <w:color w:val="auto"/>
        </w:rPr>
        <w:t>[NAME OF PARTICIPANT]</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113</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98" w:name="page199"/>
    <w:bookmarkEnd w:id="198"/>
    <w:p>
      <w:pPr>
        <w:ind w:left="45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jc w:val="both"/>
        <w:ind w:right="1339" w:firstLine="14"/>
        <w:spacing w:after="0" w:line="327" w:lineRule="auto"/>
        <w:rPr>
          <w:sz w:val="20"/>
          <w:szCs w:val="20"/>
          <w:color w:val="auto"/>
        </w:rPr>
      </w:pPr>
      <w:r>
        <w:rPr>
          <w:rFonts w:ascii="Arial" w:cs="Arial" w:eastAsia="Arial" w:hAnsi="Arial"/>
          <w:sz w:val="19"/>
          <w:szCs w:val="19"/>
          <w:color w:val="auto"/>
        </w:rPr>
        <w:t>____________________________ ____________________________ ____________________________</w:t>
      </w:r>
    </w:p>
    <w:p>
      <w:pPr>
        <w:spacing w:after="0" w:line="200" w:lineRule="exact"/>
        <w:rPr>
          <w:sz w:val="20"/>
          <w:szCs w:val="20"/>
          <w:color w:val="auto"/>
        </w:rPr>
      </w:pPr>
    </w:p>
    <w:p>
      <w:pPr>
        <w:sectPr>
          <w:pgSz w:w="11900" w:h="16838" w:orient="portrait"/>
          <w:cols w:equalWidth="0" w:num="2">
            <w:col w:w="5080" w:space="700"/>
            <w:col w:w="4359"/>
          </w:cols>
          <w:pgMar w:left="320" w:top="36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114</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199" w:name="page200"/>
    <w:bookmarkEnd w:id="199"/>
    <w:p>
      <w:pPr>
        <w:jc w:val="center"/>
        <w:ind w:right="-99"/>
        <w:spacing w:after="0"/>
        <w:rPr>
          <w:sz w:val="20"/>
          <w:szCs w:val="20"/>
          <w:color w:val="auto"/>
        </w:rPr>
      </w:pPr>
      <w:r>
        <w:rPr>
          <w:rFonts w:ascii="Arial" w:cs="Arial" w:eastAsia="Arial" w:hAnsi="Arial"/>
          <w:sz w:val="22"/>
          <w:szCs w:val="22"/>
          <w:b w:val="1"/>
          <w:bCs w:val="1"/>
          <w:color w:val="auto"/>
        </w:rPr>
        <w:t>EXHIBIT J-4</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FORM OF U.S. TAX COMPLIANCE CERTIFICATE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Foreign Lenders That Are Partnerships For U.S. Federal Income Tax Purposes)</w:t>
      </w:r>
    </w:p>
    <w:p>
      <w:pPr>
        <w:spacing w:after="0" w:line="239" w:lineRule="exact"/>
        <w:rPr>
          <w:sz w:val="20"/>
          <w:szCs w:val="20"/>
          <w:color w:val="auto"/>
        </w:rPr>
      </w:pPr>
    </w:p>
    <w:p>
      <w:pPr>
        <w:ind w:left="760"/>
        <w:spacing w:after="0"/>
        <w:rPr>
          <w:sz w:val="20"/>
          <w:szCs w:val="20"/>
          <w:color w:val="auto"/>
        </w:rPr>
      </w:pPr>
      <w:r>
        <w:rPr>
          <w:rFonts w:ascii="Arial" w:cs="Arial" w:eastAsia="Arial" w:hAnsi="Arial"/>
          <w:sz w:val="21"/>
          <w:szCs w:val="21"/>
          <w:color w:val="auto"/>
        </w:rPr>
        <w:t>Reference is hereby made to the Loan and Security Agreement dated as of ________ ___, 20___ (as amended,</w:t>
      </w:r>
    </w:p>
    <w:p>
      <w:pPr>
        <w:spacing w:after="0" w:line="33" w:lineRule="exact"/>
        <w:rPr>
          <w:sz w:val="20"/>
          <w:szCs w:val="20"/>
          <w:color w:val="auto"/>
        </w:rPr>
      </w:pPr>
    </w:p>
    <w:p>
      <w:pPr>
        <w:jc w:val="both"/>
        <w:spacing w:after="0" w:line="259" w:lineRule="auto"/>
        <w:rPr>
          <w:sz w:val="20"/>
          <w:szCs w:val="20"/>
          <w:color w:val="auto"/>
        </w:rPr>
      </w:pPr>
      <w:r>
        <w:rPr>
          <w:rFonts w:ascii="Arial" w:cs="Arial" w:eastAsia="Arial" w:hAnsi="Arial"/>
          <w:sz w:val="22"/>
          <w:szCs w:val="22"/>
          <w:color w:val="auto"/>
        </w:rPr>
        <w:t>supplemented or otherwise modified from time to time, the “Loan Agreement”) by and among Axsome Therapeutics, Inc., a Delaware corporation and each of its Subsidiaries (as defined in the Loan Agreement) other than Excluded Subsidiaries (as defined in the Loan Agreement) (hereinafter collectively referred to as the “Borrower”), the several banks and other financial institutions or entities from time to time parties to the Loan Agreement (collectively, referred to as the “Lenders”), and HERCULES CAPITAL, INC., a Maryland corporation, in its capacity as administrative agent and collateral agent for itself and the Lenders (in such capacity, the “Agent”).</w:t>
      </w:r>
    </w:p>
    <w:p>
      <w:pPr>
        <w:spacing w:after="0" w:line="194" w:lineRule="exact"/>
        <w:rPr>
          <w:sz w:val="20"/>
          <w:szCs w:val="20"/>
          <w:color w:val="auto"/>
        </w:rPr>
      </w:pPr>
    </w:p>
    <w:p>
      <w:pPr>
        <w:jc w:val="both"/>
        <w:ind w:firstLine="749"/>
        <w:spacing w:after="0" w:line="304" w:lineRule="auto"/>
        <w:rPr>
          <w:sz w:val="20"/>
          <w:szCs w:val="20"/>
          <w:color w:val="auto"/>
        </w:rPr>
      </w:pPr>
      <w:r>
        <w:rPr>
          <w:rFonts w:ascii="Arial" w:cs="Arial" w:eastAsia="Arial" w:hAnsi="Arial"/>
          <w:sz w:val="19"/>
          <w:szCs w:val="19"/>
          <w:color w:val="auto"/>
        </w:rPr>
        <w:t>Pursuant to the provisions of Addendum 1 of the Loan Agreement, the undersigned hereby certifies that (i) it is the sole record owner of the Loan(s) (as well as any promissory note(s) evidencing such Loan(s)) in respect of which it is providing this certificate, (ii) its direct or indirect partners/members are the sole beneficial owners of such Loan(s) (as well as any promissory note(s) evidencing such Loan(s)), (iii) with respect to the extension of credit pursuant to this Loan Agreement or any other Loan Document, neither the undersigned nor any of its direct or indirect partners/members is a “bank” extending credit pursuant to a loan agreement entered into in the ordinary course of its trade or business within the meaning of Section 881(c)(3)(A) of the Code, (iv) none of its direct or indirect partners/members is a “ten percent shareholder” of the Borrower within the meaning of Section 871(h)(3)(B) of the Code and (v) none of its direct or indirect partners/members is a “controlled foreign corporation” related to the Borrower as described in Section 881(c)(3)(C) of the Code.</w:t>
      </w:r>
    </w:p>
    <w:p>
      <w:pPr>
        <w:spacing w:after="0" w:line="155" w:lineRule="exact"/>
        <w:rPr>
          <w:sz w:val="20"/>
          <w:szCs w:val="20"/>
          <w:color w:val="auto"/>
        </w:rPr>
      </w:pPr>
    </w:p>
    <w:p>
      <w:pPr>
        <w:jc w:val="both"/>
        <w:ind w:firstLine="749"/>
        <w:spacing w:after="0" w:line="305" w:lineRule="auto"/>
        <w:rPr>
          <w:sz w:val="20"/>
          <w:szCs w:val="20"/>
          <w:color w:val="auto"/>
        </w:rPr>
      </w:pPr>
      <w:r>
        <w:rPr>
          <w:rFonts w:ascii="Arial" w:cs="Arial" w:eastAsia="Arial" w:hAnsi="Arial"/>
          <w:sz w:val="19"/>
          <w:szCs w:val="19"/>
          <w:color w:val="auto"/>
        </w:rPr>
        <w:t>The undersigned has furnished the Agent and the Borrower with IRS Form W-8IMY accompanied by one of the following forms from each of its partners/members that is claiming the portfolio interest exemption: (i) an IRS Form W-8BEN or IRS Form W-8BEN-E or (ii) an IRS Form W-8IMY accompanied by an IRS Form W-8BEN or IRS Form W-8BEN-E from each of such partner’s/member’s beneficial owners that is claiming the portfolio interest exemption. By executing this certificate, the undersigned agrees that (1) if the information provided in this certificate changes, the undersigned shall promptly so inform the Borrower and the Agent, and (2) the undersigned shall have at all times furnished the Borrower and the Agent with a properly completed and currently effective certificate in either the calendar year in which each payment is to be made to the undersigned, or in either of the two calendar years preceding such payments.</w:t>
      </w:r>
    </w:p>
    <w:p>
      <w:pPr>
        <w:spacing w:after="0" w:line="155" w:lineRule="exact"/>
        <w:rPr>
          <w:sz w:val="20"/>
          <w:szCs w:val="20"/>
          <w:color w:val="auto"/>
        </w:rPr>
      </w:pPr>
    </w:p>
    <w:p>
      <w:pPr>
        <w:jc w:val="both"/>
        <w:ind w:firstLine="749"/>
        <w:spacing w:after="0" w:line="276" w:lineRule="auto"/>
        <w:rPr>
          <w:sz w:val="20"/>
          <w:szCs w:val="20"/>
          <w:color w:val="auto"/>
        </w:rPr>
      </w:pPr>
      <w:r>
        <w:rPr>
          <w:rFonts w:ascii="Arial" w:cs="Arial" w:eastAsia="Arial" w:hAnsi="Arial"/>
          <w:sz w:val="22"/>
          <w:szCs w:val="22"/>
          <w:color w:val="auto"/>
        </w:rPr>
        <w:t>Unless otherwise defined herein, terms defined in the Loan Agreement and used herein shall have the meanings given to them in the Loan Agreement.</w:t>
      </w:r>
    </w:p>
    <w:p>
      <w:pPr>
        <w:spacing w:after="0" w:line="200" w:lineRule="exact"/>
        <w:rPr>
          <w:sz w:val="20"/>
          <w:szCs w:val="20"/>
          <w:color w:val="auto"/>
        </w:rPr>
      </w:pPr>
    </w:p>
    <w:p>
      <w:pPr>
        <w:spacing w:after="0" w:line="244" w:lineRule="exact"/>
        <w:rPr>
          <w:sz w:val="20"/>
          <w:szCs w:val="20"/>
          <w:color w:val="auto"/>
        </w:rPr>
      </w:pPr>
    </w:p>
    <w:p>
      <w:pPr>
        <w:spacing w:after="0"/>
        <w:tabs>
          <w:tab w:leader="none" w:pos="3440" w:val="left"/>
        </w:tabs>
        <w:rPr>
          <w:sz w:val="20"/>
          <w:szCs w:val="20"/>
          <w:color w:val="auto"/>
        </w:rPr>
      </w:pPr>
      <w:r>
        <w:rPr>
          <w:rFonts w:ascii="Arial" w:cs="Arial" w:eastAsia="Arial" w:hAnsi="Arial"/>
          <w:sz w:val="22"/>
          <w:szCs w:val="22"/>
          <w:color w:val="auto"/>
        </w:rPr>
        <w:t>Date: _____________ ___, 20___</w:t>
      </w:r>
      <w:r>
        <w:rPr>
          <w:sz w:val="20"/>
          <w:szCs w:val="20"/>
          <w:color w:val="auto"/>
        </w:rPr>
        <w:tab/>
      </w:r>
      <w:r>
        <w:rPr>
          <w:rFonts w:ascii="Arial" w:cs="Arial" w:eastAsia="Arial" w:hAnsi="Arial"/>
          <w:sz w:val="21"/>
          <w:szCs w:val="21"/>
          <w:color w:val="auto"/>
        </w:rPr>
        <w:t>[NAME OF LENDER]</w:t>
      </w:r>
    </w:p>
    <w:p>
      <w:pPr>
        <w:spacing w:after="0" w:line="2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115</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0" w:name="page201"/>
    <w:bookmarkEnd w:id="200"/>
    <w:p>
      <w:pPr>
        <w:ind w:left="4500"/>
        <w:spacing w:after="0"/>
        <w:rPr>
          <w:sz w:val="20"/>
          <w:szCs w:val="20"/>
          <w:color w:val="auto"/>
        </w:rPr>
      </w:pPr>
      <w:r>
        <w:rPr>
          <w:rFonts w:ascii="Arial" w:cs="Arial" w:eastAsia="Arial" w:hAnsi="Arial"/>
          <w:sz w:val="22"/>
          <w:szCs w:val="22"/>
          <w:color w:val="auto"/>
        </w:rPr>
        <w:t>By:</w:t>
      </w:r>
    </w:p>
    <w:p>
      <w:pPr>
        <w:spacing w:after="0" w:line="21" w:lineRule="exact"/>
        <w:rPr>
          <w:sz w:val="20"/>
          <w:szCs w:val="20"/>
          <w:color w:val="auto"/>
        </w:rPr>
      </w:pPr>
    </w:p>
    <w:p>
      <w:pPr>
        <w:ind w:left="4500"/>
        <w:spacing w:after="0"/>
        <w:rPr>
          <w:sz w:val="20"/>
          <w:szCs w:val="20"/>
          <w:color w:val="auto"/>
        </w:rPr>
      </w:pPr>
      <w:r>
        <w:rPr>
          <w:rFonts w:ascii="Arial" w:cs="Arial" w:eastAsia="Arial" w:hAnsi="Arial"/>
          <w:sz w:val="19"/>
          <w:szCs w:val="19"/>
          <w:color w:val="auto"/>
        </w:rPr>
        <w:t>Name:</w:t>
      </w:r>
    </w:p>
    <w:p>
      <w:pPr>
        <w:spacing w:after="0" w:line="5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br w:type="column"/>
      </w:r>
    </w:p>
    <w:p>
      <w:pPr>
        <w:jc w:val="both"/>
        <w:ind w:right="1339" w:firstLine="14"/>
        <w:spacing w:after="0" w:line="327" w:lineRule="auto"/>
        <w:rPr>
          <w:sz w:val="20"/>
          <w:szCs w:val="20"/>
          <w:color w:val="auto"/>
        </w:rPr>
      </w:pPr>
      <w:r>
        <w:rPr>
          <w:rFonts w:ascii="Arial" w:cs="Arial" w:eastAsia="Arial" w:hAnsi="Arial"/>
          <w:sz w:val="19"/>
          <w:szCs w:val="19"/>
          <w:color w:val="auto"/>
        </w:rPr>
        <w:t>____________________________ ____________________________ ____________________________</w:t>
      </w:r>
    </w:p>
    <w:p>
      <w:pPr>
        <w:spacing w:after="0" w:line="200" w:lineRule="exact"/>
        <w:rPr>
          <w:sz w:val="20"/>
          <w:szCs w:val="20"/>
          <w:color w:val="auto"/>
        </w:rPr>
      </w:pPr>
    </w:p>
    <w:p>
      <w:pPr>
        <w:sectPr>
          <w:pgSz w:w="11900" w:h="16838" w:orient="portrait"/>
          <w:cols w:equalWidth="0" w:num="2">
            <w:col w:w="5080" w:space="700"/>
            <w:col w:w="4359"/>
          </w:cols>
          <w:pgMar w:left="320" w:top="361"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116</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88265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1" w:right="1440" w:bottom="1440" w:gutter="0" w:footer="0" w:header="0"/>
          <w:type w:val="continuous"/>
        </w:sectPr>
      </w:pPr>
    </w:p>
    <w:bookmarkStart w:id="201" w:name="page202"/>
    <w:bookmarkEnd w:id="201"/>
    <w:p>
      <w:pPr>
        <w:jc w:val="center"/>
        <w:ind w:right="-99"/>
        <w:spacing w:after="0"/>
        <w:rPr>
          <w:sz w:val="20"/>
          <w:szCs w:val="20"/>
          <w:color w:val="auto"/>
        </w:rPr>
      </w:pPr>
      <w:r>
        <w:rPr>
          <w:rFonts w:ascii="Arial" w:cs="Arial" w:eastAsia="Arial" w:hAnsi="Arial"/>
          <w:sz w:val="22"/>
          <w:szCs w:val="22"/>
          <w:b w:val="1"/>
          <w:bCs w:val="1"/>
          <w:u w:val="single" w:color="auto"/>
          <w:color w:val="auto"/>
        </w:rPr>
        <w:t>SCHEDULE 1.1</w:t>
      </w: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COMMITMENTS</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197"/>
        </w:trPr>
        <w:tc>
          <w:tcPr>
            <w:tcW w:w="1020" w:type="dxa"/>
            <w:vAlign w:val="bottom"/>
            <w:tcBorders>
              <w:top w:val="single" w:sz="8" w:color="auto"/>
              <w:left w:val="single" w:sz="8" w:color="auto"/>
              <w:right w:val="single" w:sz="8" w:color="auto"/>
            </w:tcBorders>
            <w:vMerge w:val="restart"/>
          </w:tcPr>
          <w:p>
            <w:pPr>
              <w:ind w:left="320"/>
              <w:spacing w:after="0"/>
              <w:rPr>
                <w:sz w:val="20"/>
                <w:szCs w:val="20"/>
                <w:color w:val="auto"/>
              </w:rPr>
            </w:pPr>
            <w:r>
              <w:rPr>
                <w:rFonts w:ascii="Arial" w:cs="Arial" w:eastAsia="Arial" w:hAnsi="Arial"/>
                <w:sz w:val="11"/>
                <w:szCs w:val="11"/>
                <w:color w:val="auto"/>
              </w:rPr>
              <w:t>LENDERS</w:t>
            </w:r>
          </w:p>
        </w:tc>
        <w:tc>
          <w:tcPr>
            <w:tcW w:w="1160" w:type="dxa"/>
            <w:vAlign w:val="bottom"/>
            <w:tcBorders>
              <w:top w:val="single" w:sz="8" w:color="auto"/>
            </w:tcBorders>
          </w:tcPr>
          <w:p>
            <w:pPr>
              <w:jc w:val="center"/>
              <w:ind w:right="6"/>
              <w:spacing w:after="0"/>
              <w:rPr>
                <w:sz w:val="20"/>
                <w:szCs w:val="20"/>
                <w:color w:val="auto"/>
              </w:rPr>
            </w:pPr>
            <w:r>
              <w:rPr>
                <w:rFonts w:ascii="Arial" w:cs="Arial" w:eastAsia="Arial" w:hAnsi="Arial"/>
                <w:sz w:val="11"/>
                <w:szCs w:val="11"/>
                <w:color w:val="auto"/>
                <w:w w:val="94"/>
              </w:rPr>
              <w:t>TRANCHE 1A</w:t>
            </w:r>
          </w:p>
        </w:tc>
        <w:tc>
          <w:tcPr>
            <w:tcW w:w="1320" w:type="dxa"/>
            <w:vAlign w:val="bottom"/>
            <w:tcBorders>
              <w:top w:val="single" w:sz="8" w:color="auto"/>
            </w:tcBorders>
          </w:tcPr>
          <w:p>
            <w:pPr>
              <w:jc w:val="center"/>
              <w:ind w:right="6"/>
              <w:spacing w:after="0"/>
              <w:rPr>
                <w:sz w:val="20"/>
                <w:szCs w:val="20"/>
                <w:color w:val="auto"/>
              </w:rPr>
            </w:pPr>
            <w:r>
              <w:rPr>
                <w:rFonts w:ascii="Arial" w:cs="Arial" w:eastAsia="Arial" w:hAnsi="Arial"/>
                <w:sz w:val="11"/>
                <w:szCs w:val="11"/>
                <w:color w:val="auto"/>
                <w:w w:val="94"/>
              </w:rPr>
              <w:t>TRANCHE 1B</w:t>
            </w: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4"/>
              </w:rPr>
              <w:t>TRANCHE 2A</w:t>
            </w: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4"/>
              </w:rPr>
              <w:t>TRANCHE 2B</w:t>
            </w:r>
          </w:p>
        </w:tc>
        <w:tc>
          <w:tcPr>
            <w:tcW w:w="130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6"/>
              </w:rPr>
              <w:t>TRANCHE 3</w:t>
            </w:r>
          </w:p>
        </w:tc>
        <w:tc>
          <w:tcPr>
            <w:tcW w:w="128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2"/>
              </w:rPr>
              <w:t>TRANCHE 4</w:t>
            </w: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6"/>
              </w:rPr>
              <w:t>TRANCHE 5</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1"/>
                <w:szCs w:val="11"/>
                <w:color w:val="auto"/>
                <w:w w:val="96"/>
              </w:rPr>
              <w:t>TERM</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vMerge w:val="continue"/>
          </w:tcPr>
          <w:p>
            <w:pPr>
              <w:spacing w:after="0"/>
              <w:rPr>
                <w:sz w:val="9"/>
                <w:szCs w:val="9"/>
                <w:color w:val="auto"/>
              </w:rPr>
            </w:pPr>
          </w:p>
        </w:tc>
        <w:tc>
          <w:tcPr>
            <w:tcW w:w="1160" w:type="dxa"/>
            <w:vAlign w:val="bottom"/>
            <w:vMerge w:val="restart"/>
          </w:tcPr>
          <w:p>
            <w:pPr>
              <w:jc w:val="center"/>
              <w:ind w:right="6"/>
              <w:spacing w:after="0"/>
              <w:rPr>
                <w:sz w:val="20"/>
                <w:szCs w:val="20"/>
                <w:color w:val="auto"/>
              </w:rPr>
            </w:pPr>
            <w:r>
              <w:rPr>
                <w:rFonts w:ascii="Arial" w:cs="Arial" w:eastAsia="Arial" w:hAnsi="Arial"/>
                <w:sz w:val="11"/>
                <w:szCs w:val="11"/>
                <w:color w:val="auto"/>
                <w:w w:val="96"/>
              </w:rPr>
              <w:t>TERM</w:t>
            </w:r>
          </w:p>
        </w:tc>
        <w:tc>
          <w:tcPr>
            <w:tcW w:w="1320" w:type="dxa"/>
            <w:vAlign w:val="bottom"/>
            <w:vMerge w:val="restart"/>
          </w:tcPr>
          <w:p>
            <w:pPr>
              <w:jc w:val="center"/>
              <w:ind w:right="6"/>
              <w:spacing w:after="0"/>
              <w:rPr>
                <w:sz w:val="20"/>
                <w:szCs w:val="20"/>
                <w:color w:val="auto"/>
              </w:rPr>
            </w:pPr>
            <w:r>
              <w:rPr>
                <w:rFonts w:ascii="Arial" w:cs="Arial" w:eastAsia="Arial" w:hAnsi="Arial"/>
                <w:sz w:val="11"/>
                <w:szCs w:val="11"/>
                <w:color w:val="auto"/>
                <w:w w:val="96"/>
              </w:rPr>
              <w:t>TERM</w:t>
            </w:r>
          </w:p>
        </w:tc>
        <w:tc>
          <w:tcPr>
            <w:tcW w:w="1240" w:type="dxa"/>
            <w:vAlign w:val="bottom"/>
            <w:vMerge w:val="restart"/>
          </w:tcPr>
          <w:p>
            <w:pPr>
              <w:jc w:val="center"/>
              <w:spacing w:after="0"/>
              <w:rPr>
                <w:sz w:val="20"/>
                <w:szCs w:val="20"/>
                <w:color w:val="auto"/>
              </w:rPr>
            </w:pPr>
            <w:r>
              <w:rPr>
                <w:rFonts w:ascii="Arial" w:cs="Arial" w:eastAsia="Arial" w:hAnsi="Arial"/>
                <w:sz w:val="11"/>
                <w:szCs w:val="11"/>
                <w:color w:val="auto"/>
                <w:w w:val="96"/>
              </w:rPr>
              <w:t>TERM</w:t>
            </w:r>
          </w:p>
        </w:tc>
        <w:tc>
          <w:tcPr>
            <w:tcW w:w="1260" w:type="dxa"/>
            <w:vAlign w:val="bottom"/>
            <w:vMerge w:val="restart"/>
          </w:tcPr>
          <w:p>
            <w:pPr>
              <w:jc w:val="center"/>
              <w:spacing w:after="0"/>
              <w:rPr>
                <w:sz w:val="20"/>
                <w:szCs w:val="20"/>
                <w:color w:val="auto"/>
              </w:rPr>
            </w:pPr>
            <w:r>
              <w:rPr>
                <w:rFonts w:ascii="Arial" w:cs="Arial" w:eastAsia="Arial" w:hAnsi="Arial"/>
                <w:sz w:val="11"/>
                <w:szCs w:val="11"/>
                <w:color w:val="auto"/>
                <w:w w:val="96"/>
              </w:rPr>
              <w:t>TERM</w:t>
            </w:r>
          </w:p>
        </w:tc>
        <w:tc>
          <w:tcPr>
            <w:tcW w:w="1300" w:type="dxa"/>
            <w:vAlign w:val="bottom"/>
            <w:vMerge w:val="restart"/>
          </w:tcPr>
          <w:p>
            <w:pPr>
              <w:jc w:val="center"/>
              <w:spacing w:after="0"/>
              <w:rPr>
                <w:sz w:val="20"/>
                <w:szCs w:val="20"/>
                <w:color w:val="auto"/>
              </w:rPr>
            </w:pPr>
            <w:r>
              <w:rPr>
                <w:rFonts w:ascii="Arial" w:cs="Arial" w:eastAsia="Arial" w:hAnsi="Arial"/>
                <w:sz w:val="11"/>
                <w:szCs w:val="11"/>
                <w:color w:val="auto"/>
                <w:w w:val="96"/>
              </w:rPr>
              <w:t>TERM</w:t>
            </w:r>
          </w:p>
        </w:tc>
        <w:tc>
          <w:tcPr>
            <w:tcW w:w="1280" w:type="dxa"/>
            <w:vAlign w:val="bottom"/>
            <w:vMerge w:val="restart"/>
          </w:tcPr>
          <w:p>
            <w:pPr>
              <w:jc w:val="center"/>
              <w:spacing w:after="0"/>
              <w:rPr>
                <w:sz w:val="20"/>
                <w:szCs w:val="20"/>
                <w:color w:val="auto"/>
              </w:rPr>
            </w:pPr>
            <w:r>
              <w:rPr>
                <w:rFonts w:ascii="Arial" w:cs="Arial" w:eastAsia="Arial" w:hAnsi="Arial"/>
                <w:sz w:val="11"/>
                <w:szCs w:val="11"/>
                <w:color w:val="auto"/>
                <w:w w:val="96"/>
              </w:rPr>
              <w:t>TERM</w:t>
            </w:r>
          </w:p>
        </w:tc>
        <w:tc>
          <w:tcPr>
            <w:tcW w:w="1320" w:type="dxa"/>
            <w:vAlign w:val="bottom"/>
            <w:vMerge w:val="restart"/>
          </w:tcPr>
          <w:p>
            <w:pPr>
              <w:jc w:val="center"/>
              <w:ind w:right="6"/>
              <w:spacing w:after="0"/>
              <w:rPr>
                <w:sz w:val="20"/>
                <w:szCs w:val="20"/>
                <w:color w:val="auto"/>
              </w:rPr>
            </w:pPr>
            <w:r>
              <w:rPr>
                <w:rFonts w:ascii="Arial" w:cs="Arial" w:eastAsia="Arial" w:hAnsi="Arial"/>
                <w:sz w:val="11"/>
                <w:szCs w:val="11"/>
                <w:color w:val="auto"/>
                <w:w w:val="96"/>
              </w:rPr>
              <w:t>TERM</w:t>
            </w:r>
          </w:p>
        </w:tc>
        <w:tc>
          <w:tcPr>
            <w:tcW w:w="1340" w:type="dxa"/>
            <w:vAlign w:val="bottom"/>
            <w:vMerge w:val="restart"/>
          </w:tcPr>
          <w:p>
            <w:pPr>
              <w:jc w:val="center"/>
              <w:spacing w:after="0"/>
              <w:rPr>
                <w:sz w:val="20"/>
                <w:szCs w:val="20"/>
                <w:color w:val="auto"/>
              </w:rPr>
            </w:pPr>
            <w:r>
              <w:rPr>
                <w:rFonts w:ascii="Arial" w:cs="Arial" w:eastAsia="Arial" w:hAnsi="Arial"/>
                <w:sz w:val="11"/>
                <w:szCs w:val="11"/>
                <w:color w:val="auto"/>
                <w:w w:val="99"/>
              </w:rPr>
              <w:t>COMMITMENT*</w:t>
            </w:r>
          </w:p>
        </w:tc>
        <w:tc>
          <w:tcPr>
            <w:tcW w:w="0" w:type="dxa"/>
            <w:vAlign w:val="bottom"/>
          </w:tcPr>
          <w:p>
            <w:pPr>
              <w:spacing w:after="0"/>
              <w:rPr>
                <w:sz w:val="1"/>
                <w:szCs w:val="1"/>
                <w:color w:val="auto"/>
              </w:rPr>
            </w:pPr>
          </w:p>
        </w:tc>
      </w:tr>
      <w:tr>
        <w:trPr>
          <w:trHeight w:val="108"/>
        </w:trPr>
        <w:tc>
          <w:tcPr>
            <w:tcW w:w="1020" w:type="dxa"/>
            <w:vAlign w:val="bottom"/>
            <w:tcBorders>
              <w:left w:val="single" w:sz="8" w:color="auto"/>
              <w:right w:val="single" w:sz="8" w:color="auto"/>
            </w:tcBorders>
          </w:tcPr>
          <w:p>
            <w:pPr>
              <w:spacing w:after="0"/>
              <w:rPr>
                <w:sz w:val="9"/>
                <w:szCs w:val="9"/>
                <w:color w:val="auto"/>
              </w:rPr>
            </w:pPr>
          </w:p>
        </w:tc>
        <w:tc>
          <w:tcPr>
            <w:tcW w:w="116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280" w:type="dxa"/>
            <w:vAlign w:val="bottom"/>
            <w:vMerge w:val="continue"/>
          </w:tcPr>
          <w:p>
            <w:pPr>
              <w:spacing w:after="0"/>
              <w:rPr>
                <w:sz w:val="9"/>
                <w:szCs w:val="9"/>
                <w:color w:val="auto"/>
              </w:rPr>
            </w:pPr>
          </w:p>
        </w:tc>
        <w:tc>
          <w:tcPr>
            <w:tcW w:w="1320" w:type="dxa"/>
            <w:vAlign w:val="bottom"/>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20" w:type="dxa"/>
            <w:vAlign w:val="bottom"/>
            <w:tcBorders>
              <w:left w:val="single" w:sz="8" w:color="auto"/>
              <w:right w:val="single" w:sz="8" w:color="auto"/>
            </w:tcBorders>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1"/>
                <w:szCs w:val="11"/>
                <w:color w:val="auto"/>
              </w:rPr>
              <w:t>COMMITMENT</w:t>
            </w:r>
          </w:p>
        </w:tc>
        <w:tc>
          <w:tcPr>
            <w:tcW w:w="1320" w:type="dxa"/>
            <w:vAlign w:val="bottom"/>
          </w:tcPr>
          <w:p>
            <w:pPr>
              <w:jc w:val="center"/>
              <w:spacing w:after="0"/>
              <w:rPr>
                <w:sz w:val="20"/>
                <w:szCs w:val="20"/>
                <w:color w:val="auto"/>
              </w:rPr>
            </w:pPr>
            <w:r>
              <w:rPr>
                <w:rFonts w:ascii="Arial" w:cs="Arial" w:eastAsia="Arial" w:hAnsi="Arial"/>
                <w:sz w:val="11"/>
                <w:szCs w:val="11"/>
                <w:color w:val="auto"/>
              </w:rPr>
              <w:t>COMMITMENT**</w:t>
            </w:r>
          </w:p>
        </w:tc>
        <w:tc>
          <w:tcPr>
            <w:tcW w:w="1240" w:type="dxa"/>
            <w:vAlign w:val="bottom"/>
          </w:tcPr>
          <w:p>
            <w:pPr>
              <w:jc w:val="center"/>
              <w:spacing w:after="0"/>
              <w:rPr>
                <w:sz w:val="20"/>
                <w:szCs w:val="20"/>
                <w:color w:val="auto"/>
              </w:rPr>
            </w:pPr>
            <w:r>
              <w:rPr>
                <w:rFonts w:ascii="Arial" w:cs="Arial" w:eastAsia="Arial" w:hAnsi="Arial"/>
                <w:sz w:val="11"/>
                <w:szCs w:val="11"/>
                <w:color w:val="auto"/>
              </w:rPr>
              <w:t>COMMITMENT</w:t>
            </w:r>
          </w:p>
        </w:tc>
        <w:tc>
          <w:tcPr>
            <w:tcW w:w="1260" w:type="dxa"/>
            <w:vAlign w:val="bottom"/>
          </w:tcPr>
          <w:p>
            <w:pPr>
              <w:jc w:val="center"/>
              <w:spacing w:after="0"/>
              <w:rPr>
                <w:sz w:val="20"/>
                <w:szCs w:val="20"/>
                <w:color w:val="auto"/>
              </w:rPr>
            </w:pPr>
            <w:r>
              <w:rPr>
                <w:rFonts w:ascii="Arial" w:cs="Arial" w:eastAsia="Arial" w:hAnsi="Arial"/>
                <w:sz w:val="11"/>
                <w:szCs w:val="11"/>
                <w:color w:val="auto"/>
              </w:rPr>
              <w:t>COMMITMENT</w:t>
            </w:r>
          </w:p>
        </w:tc>
        <w:tc>
          <w:tcPr>
            <w:tcW w:w="1300" w:type="dxa"/>
            <w:vAlign w:val="bottom"/>
          </w:tcPr>
          <w:p>
            <w:pPr>
              <w:jc w:val="center"/>
              <w:spacing w:after="0"/>
              <w:rPr>
                <w:sz w:val="20"/>
                <w:szCs w:val="20"/>
                <w:color w:val="auto"/>
              </w:rPr>
            </w:pPr>
            <w:r>
              <w:rPr>
                <w:rFonts w:ascii="Arial" w:cs="Arial" w:eastAsia="Arial" w:hAnsi="Arial"/>
                <w:sz w:val="11"/>
                <w:szCs w:val="11"/>
                <w:color w:val="auto"/>
                <w:w w:val="98"/>
              </w:rPr>
              <w:t>COMMITMEN T</w:t>
            </w:r>
          </w:p>
        </w:tc>
        <w:tc>
          <w:tcPr>
            <w:tcW w:w="1280" w:type="dxa"/>
            <w:vAlign w:val="bottom"/>
          </w:tcPr>
          <w:p>
            <w:pPr>
              <w:jc w:val="center"/>
              <w:spacing w:after="0"/>
              <w:rPr>
                <w:sz w:val="20"/>
                <w:szCs w:val="20"/>
                <w:color w:val="auto"/>
              </w:rPr>
            </w:pPr>
            <w:r>
              <w:rPr>
                <w:rFonts w:ascii="Arial" w:cs="Arial" w:eastAsia="Arial" w:hAnsi="Arial"/>
                <w:sz w:val="11"/>
                <w:szCs w:val="11"/>
                <w:color w:val="auto"/>
                <w:w w:val="97"/>
              </w:rPr>
              <w:t>COMMITMENT</w:t>
            </w:r>
          </w:p>
        </w:tc>
        <w:tc>
          <w:tcPr>
            <w:tcW w:w="1320" w:type="dxa"/>
            <w:vAlign w:val="bottom"/>
          </w:tcPr>
          <w:p>
            <w:pPr>
              <w:jc w:val="center"/>
              <w:spacing w:after="0"/>
              <w:rPr>
                <w:sz w:val="20"/>
                <w:szCs w:val="20"/>
                <w:color w:val="auto"/>
              </w:rPr>
            </w:pPr>
            <w:r>
              <w:rPr>
                <w:rFonts w:ascii="Arial" w:cs="Arial" w:eastAsia="Arial" w:hAnsi="Arial"/>
                <w:sz w:val="11"/>
                <w:szCs w:val="11"/>
                <w:color w:val="auto"/>
              </w:rPr>
              <w:t>COMMITMENT*</w:t>
            </w: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91"/>
        </w:trPr>
        <w:tc>
          <w:tcPr>
            <w:tcW w:w="1020" w:type="dxa"/>
            <w:vAlign w:val="bottom"/>
            <w:tcBorders>
              <w:left w:val="single" w:sz="8" w:color="auto"/>
              <w:bottom w:val="single" w:sz="8" w:color="auto"/>
              <w:right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-721360</wp:posOffset>
            </wp:positionV>
            <wp:extent cx="7132320" cy="37465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32320" cy="3746500"/>
                    </a:xfrm>
                    <a:prstGeom prst="rect">
                      <a:avLst/>
                    </a:prstGeom>
                    <a:noFill/>
                  </pic:spPr>
                </pic:pic>
              </a:graphicData>
            </a:graphic>
          </wp:anchor>
        </w:drawing>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1100" w:type="dxa"/>
            <w:vAlign w:val="bottom"/>
          </w:tcPr>
          <w:p>
            <w:pPr>
              <w:jc w:val="center"/>
              <w:ind w:right="37"/>
              <w:spacing w:after="0"/>
              <w:rPr>
                <w:sz w:val="20"/>
                <w:szCs w:val="20"/>
                <w:color w:val="auto"/>
              </w:rPr>
            </w:pPr>
            <w:r>
              <w:rPr>
                <w:rFonts w:ascii="Arial" w:cs="Arial" w:eastAsia="Arial" w:hAnsi="Arial"/>
                <w:sz w:val="13"/>
                <w:szCs w:val="13"/>
                <w:color w:val="auto"/>
                <w:w w:val="85"/>
              </w:rPr>
              <w:t>Hercules</w:t>
            </w:r>
          </w:p>
        </w:tc>
        <w:tc>
          <w:tcPr>
            <w:tcW w:w="1200" w:type="dxa"/>
            <w:vAlign w:val="bottom"/>
          </w:tcPr>
          <w:p>
            <w:pPr>
              <w:jc w:val="center"/>
              <w:ind w:right="177"/>
              <w:spacing w:after="0"/>
              <w:rPr>
                <w:sz w:val="20"/>
                <w:szCs w:val="20"/>
                <w:color w:val="auto"/>
              </w:rPr>
            </w:pPr>
            <w:r>
              <w:rPr>
                <w:rFonts w:ascii="Arial" w:cs="Arial" w:eastAsia="Arial" w:hAnsi="Arial"/>
                <w:sz w:val="13"/>
                <w:szCs w:val="13"/>
                <w:color w:val="auto"/>
                <w:w w:val="82"/>
              </w:rPr>
              <w:t>$0</w:t>
            </w:r>
          </w:p>
        </w:tc>
        <w:tc>
          <w:tcPr>
            <w:tcW w:w="1080" w:type="dxa"/>
            <w:vAlign w:val="bottom"/>
          </w:tcPr>
          <w:p>
            <w:pPr>
              <w:jc w:val="right"/>
              <w:ind w:right="377"/>
              <w:spacing w:after="0"/>
              <w:rPr>
                <w:sz w:val="20"/>
                <w:szCs w:val="20"/>
                <w:color w:val="auto"/>
              </w:rPr>
            </w:pPr>
            <w:r>
              <w:rPr>
                <w:rFonts w:ascii="Arial" w:cs="Arial" w:eastAsia="Arial" w:hAnsi="Arial"/>
                <w:sz w:val="13"/>
                <w:szCs w:val="13"/>
                <w:color w:val="auto"/>
              </w:rPr>
              <w:t>$0**</w:t>
            </w:r>
          </w:p>
        </w:tc>
        <w:tc>
          <w:tcPr>
            <w:tcW w:w="1360" w:type="dxa"/>
            <w:vAlign w:val="bottom"/>
          </w:tcPr>
          <w:p>
            <w:pPr>
              <w:jc w:val="center"/>
              <w:ind w:left="57"/>
              <w:spacing w:after="0"/>
              <w:rPr>
                <w:sz w:val="20"/>
                <w:szCs w:val="20"/>
                <w:color w:val="auto"/>
              </w:rPr>
            </w:pPr>
            <w:r>
              <w:rPr>
                <w:rFonts w:ascii="Arial" w:cs="Arial" w:eastAsia="Arial" w:hAnsi="Arial"/>
                <w:sz w:val="13"/>
                <w:szCs w:val="13"/>
                <w:color w:val="auto"/>
                <w:w w:val="88"/>
              </w:rPr>
              <w:t>$40,000,000</w:t>
            </w: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$40,000,000</w:t>
            </w:r>
          </w:p>
        </w:tc>
        <w:tc>
          <w:tcPr>
            <w:tcW w:w="1300" w:type="dxa"/>
            <w:vAlign w:val="bottom"/>
          </w:tcPr>
          <w:p>
            <w:pPr>
              <w:jc w:val="center"/>
              <w:spacing w:after="0"/>
              <w:rPr>
                <w:sz w:val="20"/>
                <w:szCs w:val="20"/>
                <w:color w:val="auto"/>
              </w:rPr>
            </w:pPr>
            <w:r>
              <w:rPr>
                <w:rFonts w:ascii="Arial" w:cs="Arial" w:eastAsia="Arial" w:hAnsi="Arial"/>
                <w:sz w:val="13"/>
                <w:szCs w:val="13"/>
                <w:color w:val="auto"/>
                <w:w w:val="88"/>
              </w:rPr>
              <w:t>$16,000,000</w:t>
            </w:r>
          </w:p>
        </w:tc>
        <w:tc>
          <w:tcPr>
            <w:tcW w:w="1280" w:type="dxa"/>
            <w:vAlign w:val="bottom"/>
          </w:tcPr>
          <w:p>
            <w:pPr>
              <w:jc w:val="center"/>
              <w:spacing w:after="0"/>
              <w:rPr>
                <w:sz w:val="20"/>
                <w:szCs w:val="20"/>
                <w:color w:val="auto"/>
              </w:rPr>
            </w:pPr>
            <w:r>
              <w:rPr>
                <w:rFonts w:ascii="Arial" w:cs="Arial" w:eastAsia="Arial" w:hAnsi="Arial"/>
                <w:sz w:val="13"/>
                <w:szCs w:val="13"/>
                <w:color w:val="auto"/>
                <w:w w:val="85"/>
              </w:rPr>
              <w:t>$55,000,000</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$75,000,000*</w:t>
            </w:r>
          </w:p>
        </w:tc>
        <w:tc>
          <w:tcPr>
            <w:tcW w:w="1360" w:type="dxa"/>
            <w:vAlign w:val="bottom"/>
          </w:tcPr>
          <w:p>
            <w:pPr>
              <w:jc w:val="center"/>
              <w:spacing w:after="0"/>
              <w:rPr>
                <w:sz w:val="20"/>
                <w:szCs w:val="20"/>
                <w:color w:val="auto"/>
              </w:rPr>
            </w:pPr>
            <w:r>
              <w:rPr>
                <w:rFonts w:ascii="Arial" w:cs="Arial" w:eastAsia="Arial" w:hAnsi="Arial"/>
                <w:sz w:val="13"/>
                <w:szCs w:val="13"/>
                <w:color w:val="auto"/>
                <w:w w:val="89"/>
              </w:rPr>
              <w:t>$226,000,000*</w:t>
            </w:r>
          </w:p>
        </w:tc>
      </w:tr>
      <w:tr>
        <w:trPr>
          <w:trHeight w:val="216"/>
        </w:trPr>
        <w:tc>
          <w:tcPr>
            <w:tcW w:w="1100" w:type="dxa"/>
            <w:vAlign w:val="bottom"/>
          </w:tcPr>
          <w:p>
            <w:pPr>
              <w:jc w:val="center"/>
              <w:ind w:right="17"/>
              <w:spacing w:after="0"/>
              <w:rPr>
                <w:sz w:val="20"/>
                <w:szCs w:val="20"/>
                <w:color w:val="auto"/>
              </w:rPr>
            </w:pPr>
            <w:r>
              <w:rPr>
                <w:rFonts w:ascii="Arial" w:cs="Arial" w:eastAsia="Arial" w:hAnsi="Arial"/>
                <w:sz w:val="13"/>
                <w:szCs w:val="13"/>
                <w:color w:val="auto"/>
                <w:w w:val="90"/>
              </w:rPr>
              <w:t>Capital, Inc.</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72"/>
        </w:trPr>
        <w:tc>
          <w:tcPr>
            <w:tcW w:w="11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194"/>
        </w:trPr>
        <w:tc>
          <w:tcPr>
            <w:tcW w:w="1100" w:type="dxa"/>
            <w:vAlign w:val="bottom"/>
          </w:tcPr>
          <w:p>
            <w:pPr>
              <w:jc w:val="center"/>
              <w:ind w:right="37"/>
              <w:spacing w:after="0"/>
              <w:rPr>
                <w:sz w:val="20"/>
                <w:szCs w:val="20"/>
                <w:color w:val="auto"/>
              </w:rPr>
            </w:pPr>
            <w:r>
              <w:rPr>
                <w:rFonts w:ascii="Arial" w:cs="Arial" w:eastAsia="Arial" w:hAnsi="Arial"/>
                <w:sz w:val="13"/>
                <w:szCs w:val="13"/>
                <w:color w:val="auto"/>
                <w:w w:val="85"/>
              </w:rPr>
              <w:t>Hercules</w:t>
            </w:r>
          </w:p>
        </w:tc>
        <w:tc>
          <w:tcPr>
            <w:tcW w:w="1200" w:type="dxa"/>
            <w:vAlign w:val="bottom"/>
          </w:tcPr>
          <w:p>
            <w:pPr>
              <w:jc w:val="center"/>
              <w:ind w:right="177"/>
              <w:spacing w:after="0"/>
              <w:rPr>
                <w:sz w:val="20"/>
                <w:szCs w:val="20"/>
                <w:color w:val="auto"/>
              </w:rPr>
            </w:pPr>
            <w:r>
              <w:rPr>
                <w:rFonts w:ascii="Arial" w:cs="Arial" w:eastAsia="Arial" w:hAnsi="Arial"/>
                <w:sz w:val="13"/>
                <w:szCs w:val="13"/>
                <w:color w:val="auto"/>
                <w:w w:val="88"/>
              </w:rPr>
              <w:t>$50,000,000</w:t>
            </w:r>
          </w:p>
        </w:tc>
        <w:tc>
          <w:tcPr>
            <w:tcW w:w="1080" w:type="dxa"/>
            <w:vAlign w:val="bottom"/>
          </w:tcPr>
          <w:p>
            <w:pPr>
              <w:jc w:val="right"/>
              <w:ind w:right="377"/>
              <w:spacing w:after="0"/>
              <w:rPr>
                <w:sz w:val="20"/>
                <w:szCs w:val="20"/>
                <w:color w:val="auto"/>
              </w:rPr>
            </w:pPr>
            <w:r>
              <w:rPr>
                <w:rFonts w:ascii="Arial" w:cs="Arial" w:eastAsia="Arial" w:hAnsi="Arial"/>
                <w:sz w:val="13"/>
                <w:szCs w:val="13"/>
                <w:color w:val="auto"/>
              </w:rPr>
              <w:t>$0**</w:t>
            </w:r>
          </w:p>
        </w:tc>
        <w:tc>
          <w:tcPr>
            <w:tcW w:w="1360" w:type="dxa"/>
            <w:vAlign w:val="bottom"/>
          </w:tcPr>
          <w:p>
            <w:pPr>
              <w:jc w:val="center"/>
              <w:ind w:left="57"/>
              <w:spacing w:after="0"/>
              <w:rPr>
                <w:sz w:val="20"/>
                <w:szCs w:val="20"/>
                <w:color w:val="auto"/>
              </w:rPr>
            </w:pPr>
            <w:r>
              <w:rPr>
                <w:rFonts w:ascii="Arial" w:cs="Arial" w:eastAsia="Arial" w:hAnsi="Arial"/>
                <w:sz w:val="13"/>
                <w:szCs w:val="13"/>
                <w:color w:val="auto"/>
                <w:w w:val="82"/>
              </w:rPr>
              <w:t>$0</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3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360" w:type="dxa"/>
            <w:vAlign w:val="bottom"/>
          </w:tcPr>
          <w:p>
            <w:pPr>
              <w:jc w:val="center"/>
              <w:spacing w:after="0"/>
              <w:rPr>
                <w:sz w:val="20"/>
                <w:szCs w:val="20"/>
                <w:color w:val="auto"/>
              </w:rPr>
            </w:pPr>
            <w:r>
              <w:rPr>
                <w:rFonts w:ascii="Arial" w:cs="Arial" w:eastAsia="Arial" w:hAnsi="Arial"/>
                <w:sz w:val="13"/>
                <w:szCs w:val="13"/>
                <w:color w:val="auto"/>
                <w:w w:val="85"/>
              </w:rPr>
              <w:t>$50,000,000</w:t>
            </w:r>
          </w:p>
        </w:tc>
      </w:tr>
      <w:tr>
        <w:trPr>
          <w:trHeight w:val="216"/>
        </w:trPr>
        <w:tc>
          <w:tcPr>
            <w:tcW w:w="1100" w:type="dxa"/>
            <w:vAlign w:val="bottom"/>
          </w:tcPr>
          <w:p>
            <w:pPr>
              <w:jc w:val="center"/>
              <w:ind w:right="37"/>
              <w:spacing w:after="0"/>
              <w:rPr>
                <w:sz w:val="20"/>
                <w:szCs w:val="20"/>
                <w:color w:val="auto"/>
              </w:rPr>
            </w:pPr>
            <w:r>
              <w:rPr>
                <w:rFonts w:ascii="Arial" w:cs="Arial" w:eastAsia="Arial" w:hAnsi="Arial"/>
                <w:sz w:val="13"/>
                <w:szCs w:val="13"/>
                <w:color w:val="auto"/>
                <w:w w:val="95"/>
              </w:rPr>
              <w:t>Funding IV</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3"/>
                <w:szCs w:val="13"/>
                <w:color w:val="auto"/>
              </w:rPr>
              <w:t>LLC</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9"/>
        </w:trPr>
        <w:tc>
          <w:tcPr>
            <w:tcW w:w="1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193"/>
        </w:trPr>
        <w:tc>
          <w:tcPr>
            <w:tcW w:w="1100" w:type="dxa"/>
            <w:vAlign w:val="bottom"/>
          </w:tcPr>
          <w:p>
            <w:pPr>
              <w:jc w:val="center"/>
              <w:ind w:right="37"/>
              <w:spacing w:after="0"/>
              <w:rPr>
                <w:sz w:val="20"/>
                <w:szCs w:val="20"/>
                <w:color w:val="auto"/>
              </w:rPr>
            </w:pPr>
            <w:r>
              <w:rPr>
                <w:rFonts w:ascii="Arial" w:cs="Arial" w:eastAsia="Arial" w:hAnsi="Arial"/>
                <w:sz w:val="13"/>
                <w:szCs w:val="13"/>
                <w:color w:val="auto"/>
                <w:w w:val="85"/>
              </w:rPr>
              <w:t>Hercules</w:t>
            </w:r>
          </w:p>
        </w:tc>
        <w:tc>
          <w:tcPr>
            <w:tcW w:w="1200" w:type="dxa"/>
            <w:vAlign w:val="bottom"/>
          </w:tcPr>
          <w:p>
            <w:pPr>
              <w:jc w:val="center"/>
              <w:ind w:right="177"/>
              <w:spacing w:after="0"/>
              <w:rPr>
                <w:sz w:val="20"/>
                <w:szCs w:val="20"/>
                <w:color w:val="auto"/>
              </w:rPr>
            </w:pPr>
            <w:r>
              <w:rPr>
                <w:rFonts w:ascii="Arial" w:cs="Arial" w:eastAsia="Arial" w:hAnsi="Arial"/>
                <w:sz w:val="13"/>
                <w:szCs w:val="13"/>
                <w:color w:val="auto"/>
                <w:w w:val="82"/>
              </w:rPr>
              <w:t>$0</w:t>
            </w:r>
          </w:p>
        </w:tc>
        <w:tc>
          <w:tcPr>
            <w:tcW w:w="1080" w:type="dxa"/>
            <w:vAlign w:val="bottom"/>
          </w:tcPr>
          <w:p>
            <w:pPr>
              <w:jc w:val="right"/>
              <w:ind w:right="377"/>
              <w:spacing w:after="0"/>
              <w:rPr>
                <w:sz w:val="20"/>
                <w:szCs w:val="20"/>
                <w:color w:val="auto"/>
              </w:rPr>
            </w:pPr>
            <w:r>
              <w:rPr>
                <w:rFonts w:ascii="Arial" w:cs="Arial" w:eastAsia="Arial" w:hAnsi="Arial"/>
                <w:sz w:val="13"/>
                <w:szCs w:val="13"/>
                <w:color w:val="auto"/>
              </w:rPr>
              <w:t>$0**</w:t>
            </w:r>
          </w:p>
        </w:tc>
        <w:tc>
          <w:tcPr>
            <w:tcW w:w="1360" w:type="dxa"/>
            <w:vAlign w:val="bottom"/>
          </w:tcPr>
          <w:p>
            <w:pPr>
              <w:jc w:val="center"/>
              <w:ind w:left="57"/>
              <w:spacing w:after="0"/>
              <w:rPr>
                <w:sz w:val="20"/>
                <w:szCs w:val="20"/>
                <w:color w:val="auto"/>
              </w:rPr>
            </w:pPr>
            <w:r>
              <w:rPr>
                <w:rFonts w:ascii="Arial" w:cs="Arial" w:eastAsia="Arial" w:hAnsi="Arial"/>
                <w:sz w:val="13"/>
                <w:szCs w:val="13"/>
                <w:color w:val="auto"/>
                <w:w w:val="86"/>
              </w:rPr>
              <w:t>$6,250,000</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$6,250,000</w:t>
            </w:r>
          </w:p>
        </w:tc>
        <w:tc>
          <w:tcPr>
            <w:tcW w:w="1300" w:type="dxa"/>
            <w:vAlign w:val="bottom"/>
          </w:tcPr>
          <w:p>
            <w:pPr>
              <w:jc w:val="center"/>
              <w:spacing w:after="0"/>
              <w:rPr>
                <w:sz w:val="20"/>
                <w:szCs w:val="20"/>
                <w:color w:val="auto"/>
              </w:rPr>
            </w:pPr>
            <w:r>
              <w:rPr>
                <w:rFonts w:ascii="Arial" w:cs="Arial" w:eastAsia="Arial" w:hAnsi="Arial"/>
                <w:sz w:val="13"/>
                <w:szCs w:val="13"/>
                <w:color w:val="auto"/>
                <w:w w:val="86"/>
              </w:rPr>
              <w:t>$2,500,000</w:t>
            </w: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360" w:type="dxa"/>
            <w:vAlign w:val="bottom"/>
          </w:tcPr>
          <w:p>
            <w:pPr>
              <w:jc w:val="center"/>
              <w:spacing w:after="0"/>
              <w:rPr>
                <w:sz w:val="20"/>
                <w:szCs w:val="20"/>
                <w:color w:val="auto"/>
              </w:rPr>
            </w:pPr>
            <w:r>
              <w:rPr>
                <w:rFonts w:ascii="Arial" w:cs="Arial" w:eastAsia="Arial" w:hAnsi="Arial"/>
                <w:sz w:val="13"/>
                <w:szCs w:val="13"/>
                <w:color w:val="auto"/>
                <w:w w:val="85"/>
              </w:rPr>
              <w:t>$15,000,000</w:t>
            </w:r>
          </w:p>
        </w:tc>
      </w:tr>
      <w:tr>
        <w:trPr>
          <w:trHeight w:val="216"/>
        </w:trPr>
        <w:tc>
          <w:tcPr>
            <w:tcW w:w="1100" w:type="dxa"/>
            <w:vAlign w:val="bottom"/>
          </w:tcPr>
          <w:p>
            <w:pPr>
              <w:jc w:val="center"/>
              <w:ind w:right="37"/>
              <w:spacing w:after="0"/>
              <w:rPr>
                <w:sz w:val="20"/>
                <w:szCs w:val="20"/>
                <w:color w:val="auto"/>
              </w:rPr>
            </w:pPr>
            <w:r>
              <w:rPr>
                <w:rFonts w:ascii="Arial" w:cs="Arial" w:eastAsia="Arial" w:hAnsi="Arial"/>
                <w:sz w:val="13"/>
                <w:szCs w:val="13"/>
                <w:color w:val="auto"/>
                <w:w w:val="88"/>
              </w:rPr>
              <w:t>Private</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00" w:type="dxa"/>
            <w:vAlign w:val="bottom"/>
          </w:tcPr>
          <w:p>
            <w:pPr>
              <w:jc w:val="center"/>
              <w:ind w:right="37"/>
              <w:spacing w:after="0"/>
              <w:rPr>
                <w:sz w:val="20"/>
                <w:szCs w:val="20"/>
                <w:color w:val="auto"/>
              </w:rPr>
            </w:pPr>
            <w:r>
              <w:rPr>
                <w:rFonts w:ascii="Arial" w:cs="Arial" w:eastAsia="Arial" w:hAnsi="Arial"/>
                <w:sz w:val="13"/>
                <w:szCs w:val="13"/>
                <w:color w:val="auto"/>
                <w:w w:val="88"/>
              </w:rPr>
              <w:t>Credit Fund</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00" w:type="dxa"/>
            <w:vAlign w:val="bottom"/>
          </w:tcPr>
          <w:p>
            <w:pPr>
              <w:jc w:val="center"/>
              <w:ind w:right="17"/>
              <w:spacing w:after="0"/>
              <w:rPr>
                <w:sz w:val="20"/>
                <w:szCs w:val="20"/>
                <w:color w:val="auto"/>
              </w:rPr>
            </w:pPr>
            <w:r>
              <w:rPr>
                <w:rFonts w:ascii="Arial" w:cs="Arial" w:eastAsia="Arial" w:hAnsi="Arial"/>
                <w:sz w:val="13"/>
                <w:szCs w:val="13"/>
                <w:color w:val="auto"/>
                <w:w w:val="85"/>
              </w:rPr>
              <w:t>I L.P.</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9"/>
        </w:trPr>
        <w:tc>
          <w:tcPr>
            <w:tcW w:w="1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194"/>
        </w:trPr>
        <w:tc>
          <w:tcPr>
            <w:tcW w:w="1100" w:type="dxa"/>
            <w:vAlign w:val="bottom"/>
          </w:tcPr>
          <w:p>
            <w:pPr>
              <w:jc w:val="center"/>
              <w:ind w:right="17"/>
              <w:spacing w:after="0"/>
              <w:rPr>
                <w:sz w:val="20"/>
                <w:szCs w:val="20"/>
                <w:color w:val="auto"/>
              </w:rPr>
            </w:pPr>
            <w:r>
              <w:rPr>
                <w:rFonts w:ascii="Arial" w:cs="Arial" w:eastAsia="Arial" w:hAnsi="Arial"/>
                <w:sz w:val="13"/>
                <w:szCs w:val="13"/>
                <w:color w:val="auto"/>
                <w:w w:val="85"/>
              </w:rPr>
              <w:t>Hercules Private</w:t>
            </w:r>
          </w:p>
        </w:tc>
        <w:tc>
          <w:tcPr>
            <w:tcW w:w="1200" w:type="dxa"/>
            <w:vAlign w:val="bottom"/>
          </w:tcPr>
          <w:p>
            <w:pPr>
              <w:jc w:val="center"/>
              <w:ind w:right="177"/>
              <w:spacing w:after="0"/>
              <w:rPr>
                <w:sz w:val="20"/>
                <w:szCs w:val="20"/>
                <w:color w:val="auto"/>
              </w:rPr>
            </w:pPr>
            <w:r>
              <w:rPr>
                <w:rFonts w:ascii="Arial" w:cs="Arial" w:eastAsia="Arial" w:hAnsi="Arial"/>
                <w:sz w:val="13"/>
                <w:szCs w:val="13"/>
                <w:color w:val="auto"/>
                <w:w w:val="82"/>
              </w:rPr>
              <w:t>$0</w:t>
            </w:r>
          </w:p>
        </w:tc>
        <w:tc>
          <w:tcPr>
            <w:tcW w:w="1080" w:type="dxa"/>
            <w:vAlign w:val="bottom"/>
          </w:tcPr>
          <w:p>
            <w:pPr>
              <w:jc w:val="right"/>
              <w:ind w:right="377"/>
              <w:spacing w:after="0"/>
              <w:rPr>
                <w:sz w:val="20"/>
                <w:szCs w:val="20"/>
                <w:color w:val="auto"/>
              </w:rPr>
            </w:pPr>
            <w:r>
              <w:rPr>
                <w:rFonts w:ascii="Arial" w:cs="Arial" w:eastAsia="Arial" w:hAnsi="Arial"/>
                <w:sz w:val="13"/>
                <w:szCs w:val="13"/>
                <w:color w:val="auto"/>
              </w:rPr>
              <w:t>$0**</w:t>
            </w:r>
          </w:p>
        </w:tc>
        <w:tc>
          <w:tcPr>
            <w:tcW w:w="1360" w:type="dxa"/>
            <w:vAlign w:val="bottom"/>
          </w:tcPr>
          <w:p>
            <w:pPr>
              <w:jc w:val="center"/>
              <w:ind w:left="57"/>
              <w:spacing w:after="0"/>
              <w:rPr>
                <w:sz w:val="20"/>
                <w:szCs w:val="20"/>
                <w:color w:val="auto"/>
              </w:rPr>
            </w:pPr>
            <w:r>
              <w:rPr>
                <w:rFonts w:ascii="Arial" w:cs="Arial" w:eastAsia="Arial" w:hAnsi="Arial"/>
                <w:sz w:val="13"/>
                <w:szCs w:val="13"/>
                <w:color w:val="auto"/>
                <w:w w:val="86"/>
              </w:rPr>
              <w:t>$3,750,000</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$3,750,000</w:t>
            </w:r>
          </w:p>
        </w:tc>
        <w:tc>
          <w:tcPr>
            <w:tcW w:w="1300" w:type="dxa"/>
            <w:vAlign w:val="bottom"/>
          </w:tcPr>
          <w:p>
            <w:pPr>
              <w:jc w:val="center"/>
              <w:spacing w:after="0"/>
              <w:rPr>
                <w:sz w:val="20"/>
                <w:szCs w:val="20"/>
                <w:color w:val="auto"/>
              </w:rPr>
            </w:pPr>
            <w:r>
              <w:rPr>
                <w:rFonts w:ascii="Arial" w:cs="Arial" w:eastAsia="Arial" w:hAnsi="Arial"/>
                <w:sz w:val="13"/>
                <w:szCs w:val="13"/>
                <w:color w:val="auto"/>
                <w:w w:val="86"/>
              </w:rPr>
              <w:t>$1,500,000</w:t>
            </w:r>
          </w:p>
        </w:tc>
        <w:tc>
          <w:tcPr>
            <w:tcW w:w="12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30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360" w:type="dxa"/>
            <w:vAlign w:val="bottom"/>
          </w:tcPr>
          <w:p>
            <w:pPr>
              <w:jc w:val="center"/>
              <w:spacing w:after="0"/>
              <w:rPr>
                <w:sz w:val="20"/>
                <w:szCs w:val="20"/>
                <w:color w:val="auto"/>
              </w:rPr>
            </w:pPr>
            <w:r>
              <w:rPr>
                <w:rFonts w:ascii="Arial" w:cs="Arial" w:eastAsia="Arial" w:hAnsi="Arial"/>
                <w:sz w:val="13"/>
                <w:szCs w:val="13"/>
                <w:color w:val="auto"/>
                <w:w w:val="86"/>
              </w:rPr>
              <w:t>$9,000,000</w:t>
            </w:r>
          </w:p>
        </w:tc>
      </w:tr>
      <w:tr>
        <w:trPr>
          <w:trHeight w:val="216"/>
        </w:trPr>
        <w:tc>
          <w:tcPr>
            <w:tcW w:w="1100" w:type="dxa"/>
            <w:vAlign w:val="bottom"/>
          </w:tcPr>
          <w:p>
            <w:pPr>
              <w:jc w:val="center"/>
              <w:spacing w:after="0"/>
              <w:rPr>
                <w:sz w:val="20"/>
                <w:szCs w:val="20"/>
                <w:color w:val="auto"/>
              </w:rPr>
            </w:pPr>
            <w:r>
              <w:rPr>
                <w:rFonts w:ascii="Arial" w:cs="Arial" w:eastAsia="Arial" w:hAnsi="Arial"/>
                <w:sz w:val="13"/>
                <w:szCs w:val="13"/>
                <w:color w:val="auto"/>
                <w:w w:val="87"/>
              </w:rPr>
              <w:t>Global Venture</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3"/>
                <w:szCs w:val="13"/>
                <w:color w:val="auto"/>
                <w:w w:val="90"/>
              </w:rPr>
              <w:t>Growth</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00" w:type="dxa"/>
            <w:vAlign w:val="bottom"/>
          </w:tcPr>
          <w:p>
            <w:pPr>
              <w:ind w:left="280"/>
              <w:spacing w:after="0"/>
              <w:rPr>
                <w:sz w:val="20"/>
                <w:szCs w:val="20"/>
                <w:color w:val="auto"/>
              </w:rPr>
            </w:pPr>
            <w:r>
              <w:rPr>
                <w:rFonts w:ascii="Arial" w:cs="Arial" w:eastAsia="Arial" w:hAnsi="Arial"/>
                <w:sz w:val="13"/>
                <w:szCs w:val="13"/>
                <w:color w:val="auto"/>
              </w:rPr>
              <w:t>Fund I L.P.</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59"/>
        </w:trPr>
        <w:tc>
          <w:tcPr>
            <w:tcW w:w="11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spacing w:after="0"/>
              <w:rPr>
                <w:sz w:val="22"/>
                <w:szCs w:val="22"/>
                <w:color w:val="auto"/>
              </w:rPr>
            </w:pPr>
          </w:p>
        </w:tc>
      </w:tr>
      <w:tr>
        <w:trPr>
          <w:trHeight w:val="193"/>
        </w:trPr>
        <w:tc>
          <w:tcPr>
            <w:tcW w:w="1100" w:type="dxa"/>
            <w:vAlign w:val="bottom"/>
          </w:tcPr>
          <w:p>
            <w:pPr>
              <w:jc w:val="center"/>
              <w:ind w:right="37"/>
              <w:spacing w:after="0"/>
              <w:rPr>
                <w:sz w:val="20"/>
                <w:szCs w:val="20"/>
                <w:color w:val="auto"/>
              </w:rPr>
            </w:pPr>
            <w:r>
              <w:rPr>
                <w:rFonts w:ascii="Arial" w:cs="Arial" w:eastAsia="Arial" w:hAnsi="Arial"/>
                <w:sz w:val="13"/>
                <w:szCs w:val="13"/>
                <w:color w:val="auto"/>
                <w:w w:val="95"/>
              </w:rPr>
              <w:t>TOTAL</w:t>
            </w:r>
          </w:p>
        </w:tc>
        <w:tc>
          <w:tcPr>
            <w:tcW w:w="1200" w:type="dxa"/>
            <w:vAlign w:val="bottom"/>
          </w:tcPr>
          <w:p>
            <w:pPr>
              <w:jc w:val="center"/>
              <w:ind w:right="177"/>
              <w:spacing w:after="0"/>
              <w:rPr>
                <w:sz w:val="20"/>
                <w:szCs w:val="20"/>
                <w:color w:val="auto"/>
              </w:rPr>
            </w:pPr>
            <w:r>
              <w:rPr>
                <w:rFonts w:ascii="Arial" w:cs="Arial" w:eastAsia="Arial" w:hAnsi="Arial"/>
                <w:sz w:val="13"/>
                <w:szCs w:val="13"/>
                <w:color w:val="auto"/>
                <w:w w:val="88"/>
              </w:rPr>
              <w:t>$50,000,000</w:t>
            </w:r>
          </w:p>
        </w:tc>
        <w:tc>
          <w:tcPr>
            <w:tcW w:w="1080" w:type="dxa"/>
            <w:vAlign w:val="bottom"/>
          </w:tcPr>
          <w:p>
            <w:pPr>
              <w:jc w:val="right"/>
              <w:ind w:right="377"/>
              <w:spacing w:after="0"/>
              <w:rPr>
                <w:sz w:val="20"/>
                <w:szCs w:val="20"/>
                <w:color w:val="auto"/>
              </w:rPr>
            </w:pPr>
            <w:r>
              <w:rPr>
                <w:rFonts w:ascii="Arial" w:cs="Arial" w:eastAsia="Arial" w:hAnsi="Arial"/>
                <w:sz w:val="13"/>
                <w:szCs w:val="13"/>
                <w:color w:val="auto"/>
              </w:rPr>
              <w:t>$0**</w:t>
            </w:r>
          </w:p>
        </w:tc>
        <w:tc>
          <w:tcPr>
            <w:tcW w:w="1360" w:type="dxa"/>
            <w:vAlign w:val="bottom"/>
          </w:tcPr>
          <w:p>
            <w:pPr>
              <w:jc w:val="center"/>
              <w:ind w:left="57"/>
              <w:spacing w:after="0"/>
              <w:rPr>
                <w:sz w:val="20"/>
                <w:szCs w:val="20"/>
                <w:color w:val="auto"/>
              </w:rPr>
            </w:pPr>
            <w:r>
              <w:rPr>
                <w:rFonts w:ascii="Arial" w:cs="Arial" w:eastAsia="Arial" w:hAnsi="Arial"/>
                <w:sz w:val="13"/>
                <w:szCs w:val="13"/>
                <w:color w:val="auto"/>
                <w:w w:val="88"/>
              </w:rPr>
              <w:t>$50,000,000</w:t>
            </w:r>
          </w:p>
        </w:tc>
        <w:tc>
          <w:tcPr>
            <w:tcW w:w="1260" w:type="dxa"/>
            <w:vAlign w:val="bottom"/>
          </w:tcPr>
          <w:p>
            <w:pPr>
              <w:jc w:val="center"/>
              <w:spacing w:after="0"/>
              <w:rPr>
                <w:sz w:val="20"/>
                <w:szCs w:val="20"/>
                <w:color w:val="auto"/>
              </w:rPr>
            </w:pPr>
            <w:r>
              <w:rPr>
                <w:rFonts w:ascii="Arial" w:cs="Arial" w:eastAsia="Arial" w:hAnsi="Arial"/>
                <w:sz w:val="13"/>
                <w:szCs w:val="13"/>
                <w:color w:val="auto"/>
                <w:w w:val="88"/>
              </w:rPr>
              <w:t>$50,000,000</w:t>
            </w:r>
          </w:p>
        </w:tc>
        <w:tc>
          <w:tcPr>
            <w:tcW w:w="1300" w:type="dxa"/>
            <w:vAlign w:val="bottom"/>
          </w:tcPr>
          <w:p>
            <w:pPr>
              <w:jc w:val="center"/>
              <w:spacing w:after="0"/>
              <w:rPr>
                <w:sz w:val="20"/>
                <w:szCs w:val="20"/>
                <w:color w:val="auto"/>
              </w:rPr>
            </w:pPr>
            <w:r>
              <w:rPr>
                <w:rFonts w:ascii="Arial" w:cs="Arial" w:eastAsia="Arial" w:hAnsi="Arial"/>
                <w:sz w:val="13"/>
                <w:szCs w:val="13"/>
                <w:color w:val="auto"/>
                <w:w w:val="88"/>
              </w:rPr>
              <w:t>$20,000,000</w:t>
            </w:r>
          </w:p>
        </w:tc>
        <w:tc>
          <w:tcPr>
            <w:tcW w:w="1280" w:type="dxa"/>
            <w:vAlign w:val="bottom"/>
          </w:tcPr>
          <w:p>
            <w:pPr>
              <w:jc w:val="center"/>
              <w:spacing w:after="0"/>
              <w:rPr>
                <w:sz w:val="20"/>
                <w:szCs w:val="20"/>
                <w:color w:val="auto"/>
              </w:rPr>
            </w:pPr>
            <w:r>
              <w:rPr>
                <w:rFonts w:ascii="Arial" w:cs="Arial" w:eastAsia="Arial" w:hAnsi="Arial"/>
                <w:sz w:val="13"/>
                <w:szCs w:val="13"/>
                <w:color w:val="auto"/>
                <w:w w:val="85"/>
              </w:rPr>
              <w:t>$55,000,000</w:t>
            </w:r>
          </w:p>
        </w:tc>
        <w:tc>
          <w:tcPr>
            <w:tcW w:w="1300" w:type="dxa"/>
            <w:vAlign w:val="bottom"/>
          </w:tcPr>
          <w:p>
            <w:pPr>
              <w:jc w:val="center"/>
              <w:spacing w:after="0"/>
              <w:rPr>
                <w:sz w:val="20"/>
                <w:szCs w:val="20"/>
                <w:color w:val="auto"/>
              </w:rPr>
            </w:pPr>
            <w:r>
              <w:rPr>
                <w:rFonts w:ascii="Arial" w:cs="Arial" w:eastAsia="Arial" w:hAnsi="Arial"/>
                <w:sz w:val="13"/>
                <w:szCs w:val="13"/>
                <w:color w:val="auto"/>
                <w:w w:val="90"/>
              </w:rPr>
              <w:t>$75,000,000*</w:t>
            </w:r>
          </w:p>
        </w:tc>
        <w:tc>
          <w:tcPr>
            <w:tcW w:w="1360" w:type="dxa"/>
            <w:vAlign w:val="bottom"/>
          </w:tcPr>
          <w:p>
            <w:pPr>
              <w:jc w:val="center"/>
              <w:spacing w:after="0"/>
              <w:rPr>
                <w:sz w:val="20"/>
                <w:szCs w:val="20"/>
                <w:color w:val="auto"/>
              </w:rPr>
            </w:pPr>
            <w:r>
              <w:rPr>
                <w:rFonts w:ascii="Arial" w:cs="Arial" w:eastAsia="Arial" w:hAnsi="Arial"/>
                <w:sz w:val="13"/>
                <w:szCs w:val="13"/>
                <w:color w:val="auto"/>
                <w:w w:val="89"/>
              </w:rPr>
              <w:t>$300,000,000*</w:t>
            </w:r>
          </w:p>
        </w:tc>
      </w:tr>
      <w:tr>
        <w:trPr>
          <w:trHeight w:val="216"/>
        </w:trPr>
        <w:tc>
          <w:tcPr>
            <w:tcW w:w="1100" w:type="dxa"/>
            <w:vAlign w:val="bottom"/>
          </w:tcPr>
          <w:p>
            <w:pPr>
              <w:jc w:val="center"/>
              <w:ind w:right="37"/>
              <w:spacing w:after="0"/>
              <w:rPr>
                <w:sz w:val="20"/>
                <w:szCs w:val="20"/>
                <w:color w:val="auto"/>
              </w:rPr>
            </w:pPr>
            <w:r>
              <w:rPr>
                <w:rFonts w:ascii="Arial" w:cs="Arial" w:eastAsia="Arial" w:hAnsi="Arial"/>
                <w:sz w:val="13"/>
                <w:szCs w:val="13"/>
                <w:color w:val="auto"/>
              </w:rPr>
              <w:t>COMMITM</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1100" w:type="dxa"/>
            <w:vAlign w:val="bottom"/>
          </w:tcPr>
          <w:p>
            <w:pPr>
              <w:jc w:val="center"/>
              <w:spacing w:after="0"/>
              <w:rPr>
                <w:sz w:val="20"/>
                <w:szCs w:val="20"/>
                <w:color w:val="auto"/>
              </w:rPr>
            </w:pPr>
            <w:r>
              <w:rPr>
                <w:rFonts w:ascii="Arial" w:cs="Arial" w:eastAsia="Arial" w:hAnsi="Arial"/>
                <w:sz w:val="13"/>
                <w:szCs w:val="13"/>
                <w:color w:val="auto"/>
                <w:w w:val="92"/>
              </w:rPr>
              <w:t>ENTS</w:t>
            </w: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60" w:type="dxa"/>
            <w:vAlign w:val="bottom"/>
          </w:tcPr>
          <w:p>
            <w:pPr>
              <w:spacing w:after="0"/>
              <w:rPr>
                <w:sz w:val="18"/>
                <w:szCs w:val="18"/>
                <w:color w:val="auto"/>
              </w:rPr>
            </w:pPr>
          </w:p>
        </w:tc>
      </w:tr>
    </w:tbl>
    <w:p>
      <w:pPr>
        <w:spacing w:after="0" w:line="278" w:lineRule="exact"/>
        <w:rPr>
          <w:sz w:val="20"/>
          <w:szCs w:val="20"/>
          <w:color w:val="auto"/>
        </w:rPr>
      </w:pPr>
    </w:p>
    <w:p>
      <w:pPr>
        <w:ind w:left="920" w:hanging="163"/>
        <w:spacing w:after="0"/>
        <w:tabs>
          <w:tab w:leader="none" w:pos="920" w:val="left"/>
        </w:tabs>
        <w:numPr>
          <w:ilvl w:val="1"/>
          <w:numId w:val="116"/>
        </w:numPr>
        <w:rPr>
          <w:rFonts w:ascii="Arial" w:cs="Arial" w:eastAsia="Arial" w:hAnsi="Arial"/>
          <w:sz w:val="22"/>
          <w:szCs w:val="22"/>
          <w:color w:val="auto"/>
        </w:rPr>
      </w:pPr>
      <w:r>
        <w:rPr>
          <w:rFonts w:ascii="Arial" w:cs="Arial" w:eastAsia="Arial" w:hAnsi="Arial"/>
          <w:sz w:val="22"/>
          <w:szCs w:val="22"/>
          <w:color w:val="auto"/>
        </w:rPr>
        <w:t>Funding of Tranche 5 is subject to approval by Lender’s investment committee in its sole discretion.</w:t>
      </w:r>
    </w:p>
    <w:p>
      <w:pPr>
        <w:spacing w:after="0" w:line="233" w:lineRule="exact"/>
        <w:rPr>
          <w:rFonts w:ascii="Arial" w:cs="Arial" w:eastAsia="Arial" w:hAnsi="Arial"/>
          <w:sz w:val="22"/>
          <w:szCs w:val="22"/>
          <w:color w:val="auto"/>
        </w:rPr>
      </w:pPr>
    </w:p>
    <w:p>
      <w:pPr>
        <w:ind w:left="720" w:hanging="280"/>
        <w:spacing w:after="0"/>
        <w:tabs>
          <w:tab w:leader="none" w:pos="72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Tranche 1B Term Commitment expired; no Tranche 1B Advances made.</w:t>
      </w:r>
    </w:p>
    <w:p>
      <w:pPr>
        <w:spacing w:after="0" w:line="200" w:lineRule="exact"/>
        <w:rPr>
          <w:sz w:val="20"/>
          <w:szCs w:val="20"/>
          <w:color w:val="auto"/>
        </w:rPr>
      </w:pPr>
    </w:p>
    <w:p>
      <w:pPr>
        <w:spacing w:after="0" w:line="2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117</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202" w:name="page203"/>
    <w:bookmarkEnd w:id="202"/>
    <w:p>
      <w:pPr>
        <w:jc w:val="center"/>
        <w:ind w:right="-1100"/>
        <w:spacing w:after="0"/>
        <w:rPr>
          <w:sz w:val="20"/>
          <w:szCs w:val="20"/>
          <w:color w:val="auto"/>
        </w:rPr>
      </w:pPr>
      <w:r>
        <w:rPr>
          <w:rFonts w:ascii="Arial" w:cs="Arial" w:eastAsia="Arial" w:hAnsi="Arial"/>
          <w:sz w:val="18"/>
          <w:szCs w:val="18"/>
          <w:b w:val="1"/>
          <w:bCs w:val="1"/>
          <w:u w:val="single" w:color="auto"/>
          <w:color w:val="auto"/>
        </w:rPr>
        <w:t>EXHIBIT B</w:t>
      </w:r>
    </w:p>
    <w:p>
      <w:pPr>
        <w:spacing w:after="0" w:line="243" w:lineRule="exact"/>
        <w:rPr>
          <w:sz w:val="20"/>
          <w:szCs w:val="20"/>
          <w:color w:val="auto"/>
        </w:rPr>
      </w:pPr>
    </w:p>
    <w:p>
      <w:pPr>
        <w:jc w:val="right"/>
        <w:ind w:right="599"/>
        <w:spacing w:after="0"/>
        <w:rPr>
          <w:sz w:val="20"/>
          <w:szCs w:val="20"/>
          <w:color w:val="auto"/>
        </w:rPr>
      </w:pPr>
      <w:r>
        <w:rPr>
          <w:rFonts w:ascii="Arial" w:cs="Arial" w:eastAsia="Arial" w:hAnsi="Arial"/>
          <w:sz w:val="18"/>
          <w:szCs w:val="18"/>
          <w:color w:val="auto"/>
        </w:rPr>
        <w:t>[Exhibit B intentionally omitted. It is not material and would be competitively harmful if publicly disclosed.]</w:t>
      </w:r>
    </w:p>
    <w:p>
      <w:pPr>
        <w:spacing w:after="0" w:line="200" w:lineRule="exact"/>
        <w:rPr>
          <w:sz w:val="20"/>
          <w:szCs w:val="20"/>
          <w:color w:val="auto"/>
        </w:rPr>
      </w:pPr>
    </w:p>
    <w:p>
      <w:pPr>
        <w:spacing w:after="0" w:line="24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118</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US-DOCS\126945775.5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64" w:right="1440" w:bottom="1440" w:gutter="0" w:footer="0" w:header="0"/>
        </w:sectPr>
      </w:pPr>
    </w:p>
    <w:bookmarkStart w:id="203" w:name="page204"/>
    <w:bookmarkEnd w:id="203"/>
    <w:p>
      <w:pPr>
        <w:jc w:val="right"/>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Herriot Tabuteau, M.D., certify that:</w:t>
      </w:r>
    </w:p>
    <w:p>
      <w:pPr>
        <w:spacing w:after="0" w:line="262" w:lineRule="exact"/>
        <w:rPr>
          <w:sz w:val="20"/>
          <w:szCs w:val="20"/>
          <w:color w:val="auto"/>
        </w:rPr>
      </w:pPr>
    </w:p>
    <w:p>
      <w:pPr>
        <w:ind w:left="300" w:hanging="292"/>
        <w:spacing w:after="0"/>
        <w:tabs>
          <w:tab w:leader="none" w:pos="3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248"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1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6"/>
          <w:szCs w:val="16"/>
          <w:color w:val="auto"/>
        </w:rPr>
      </w:pPr>
    </w:p>
    <w:p>
      <w:pPr>
        <w:ind w:firstLine="8"/>
        <w:spacing w:after="0" w:line="328" w:lineRule="auto"/>
        <w:tabs>
          <w:tab w:leader="none" w:pos="281" w:val="left"/>
        </w:tabs>
        <w:numPr>
          <w:ilvl w:val="0"/>
          <w:numId w:val="11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5"/>
          <w:szCs w:val="15"/>
          <w:color w:val="auto"/>
        </w:rPr>
      </w:pPr>
    </w:p>
    <w:p>
      <w:pPr>
        <w:ind w:left="760" w:right="20" w:hanging="365"/>
        <w:spacing w:after="0" w:line="278" w:lineRule="auto"/>
        <w:tabs>
          <w:tab w:leader="none" w:pos="68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760" w:right="20" w:hanging="365"/>
        <w:spacing w:after="0" w:line="278" w:lineRule="auto"/>
        <w:tabs>
          <w:tab w:leader="none" w:pos="69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6"/>
          <w:szCs w:val="16"/>
          <w:color w:val="auto"/>
        </w:rPr>
      </w:pPr>
    </w:p>
    <w:p>
      <w:pPr>
        <w:ind w:left="760" w:right="520" w:hanging="365"/>
        <w:spacing w:after="0" w:line="293" w:lineRule="auto"/>
        <w:tabs>
          <w:tab w:leader="none" w:pos="68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6"/>
          <w:szCs w:val="16"/>
          <w:color w:val="auto"/>
        </w:rPr>
      </w:pPr>
    </w:p>
    <w:p>
      <w:pPr>
        <w:ind w:left="760" w:right="160" w:hanging="365"/>
        <w:spacing w:after="0" w:line="278" w:lineRule="auto"/>
        <w:tabs>
          <w:tab w:leader="none" w:pos="696" w:val="left"/>
        </w:tabs>
        <w:numPr>
          <w:ilvl w:val="1"/>
          <w:numId w:val="1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right="100" w:firstLine="8"/>
        <w:spacing w:after="0" w:line="293" w:lineRule="auto"/>
        <w:tabs>
          <w:tab w:leader="none" w:pos="28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6"/>
          <w:szCs w:val="16"/>
          <w:color w:val="auto"/>
        </w:rPr>
      </w:pPr>
    </w:p>
    <w:p>
      <w:pPr>
        <w:ind w:left="760" w:right="40" w:hanging="365"/>
        <w:spacing w:after="0" w:line="293" w:lineRule="auto"/>
        <w:tabs>
          <w:tab w:leader="none" w:pos="678"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760" w:right="300" w:hanging="365"/>
        <w:spacing w:after="0" w:line="293" w:lineRule="auto"/>
        <w:tabs>
          <w:tab w:leader="none" w:pos="687"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November 8, 2021</w:t>
      </w:r>
      <w:r>
        <w:rPr>
          <w:sz w:val="20"/>
          <w:szCs w:val="20"/>
          <w:color w:val="auto"/>
        </w:rPr>
        <w:tab/>
      </w:r>
      <w:r>
        <w:rPr>
          <w:rFonts w:ascii="Arial" w:cs="Arial" w:eastAsia="Arial" w:hAnsi="Arial"/>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Herriot Tabuteau, M.D.</w:t>
      </w:r>
    </w:p>
    <w:p>
      <w:pPr>
        <w:spacing w:after="0" w:line="1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pacing w:after="0" w:line="1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759460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REPORT</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SECTION 302 OF THE SARBANES-OXLEY ACT OF 2002</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I, Nick Pizzie, certify that:</w:t>
      </w:r>
    </w:p>
    <w:p>
      <w:pPr>
        <w:spacing w:after="0" w:line="248" w:lineRule="exact"/>
        <w:rPr>
          <w:sz w:val="20"/>
          <w:szCs w:val="20"/>
          <w:color w:val="auto"/>
        </w:rPr>
      </w:pPr>
    </w:p>
    <w:p>
      <w:pPr>
        <w:ind w:left="300" w:hanging="292"/>
        <w:spacing w:after="0"/>
        <w:tabs>
          <w:tab w:leader="none" w:pos="30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Axsome Therapeutics, Inc.;</w:t>
      </w:r>
    </w:p>
    <w:p>
      <w:pPr>
        <w:spacing w:after="0" w:line="248"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5" w:lineRule="exact"/>
        <w:rPr>
          <w:rFonts w:ascii="Arial" w:cs="Arial" w:eastAsia="Arial" w:hAnsi="Arial"/>
          <w:sz w:val="16"/>
          <w:szCs w:val="16"/>
          <w:color w:val="auto"/>
        </w:rPr>
      </w:pPr>
    </w:p>
    <w:p>
      <w:pPr>
        <w:ind w:right="200" w:firstLine="8"/>
        <w:spacing w:after="0" w:line="293" w:lineRule="auto"/>
        <w:tabs>
          <w:tab w:leader="none" w:pos="28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5" w:lineRule="exact"/>
        <w:rPr>
          <w:rFonts w:ascii="Arial" w:cs="Arial" w:eastAsia="Arial" w:hAnsi="Arial"/>
          <w:sz w:val="16"/>
          <w:szCs w:val="16"/>
          <w:color w:val="auto"/>
        </w:rPr>
      </w:pPr>
    </w:p>
    <w:p>
      <w:pPr>
        <w:ind w:firstLine="8"/>
        <w:spacing w:after="0" w:line="328" w:lineRule="auto"/>
        <w:tabs>
          <w:tab w:leader="none" w:pos="281" w:val="left"/>
        </w:tabs>
        <w:numPr>
          <w:ilvl w:val="0"/>
          <w:numId w:val="118"/>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5"/>
          <w:szCs w:val="15"/>
          <w:color w:val="auto"/>
        </w:rPr>
      </w:pPr>
    </w:p>
    <w:p>
      <w:pPr>
        <w:ind w:left="760" w:right="20" w:hanging="365"/>
        <w:spacing w:after="0" w:line="278" w:lineRule="auto"/>
        <w:tabs>
          <w:tab w:leader="none" w:pos="6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6"/>
          <w:szCs w:val="16"/>
          <w:color w:val="auto"/>
        </w:rPr>
      </w:pPr>
    </w:p>
    <w:p>
      <w:pPr>
        <w:ind w:left="760" w:right="20" w:hanging="365"/>
        <w:spacing w:after="0" w:line="278" w:lineRule="auto"/>
        <w:tabs>
          <w:tab w:leader="none" w:pos="69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7" w:lineRule="exact"/>
        <w:rPr>
          <w:rFonts w:ascii="Arial" w:cs="Arial" w:eastAsia="Arial" w:hAnsi="Arial"/>
          <w:sz w:val="16"/>
          <w:szCs w:val="16"/>
          <w:color w:val="auto"/>
        </w:rPr>
      </w:pPr>
    </w:p>
    <w:p>
      <w:pPr>
        <w:ind w:left="760" w:right="520" w:hanging="365"/>
        <w:spacing w:after="0" w:line="293" w:lineRule="auto"/>
        <w:tabs>
          <w:tab w:leader="none" w:pos="6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5" w:lineRule="exact"/>
        <w:rPr>
          <w:rFonts w:ascii="Arial" w:cs="Arial" w:eastAsia="Arial" w:hAnsi="Arial"/>
          <w:sz w:val="16"/>
          <w:szCs w:val="16"/>
          <w:color w:val="auto"/>
        </w:rPr>
      </w:pPr>
    </w:p>
    <w:p>
      <w:pPr>
        <w:ind w:left="760" w:right="160" w:hanging="365"/>
        <w:spacing w:after="0" w:line="278" w:lineRule="auto"/>
        <w:tabs>
          <w:tab w:leader="none" w:pos="696"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7" w:lineRule="exact"/>
        <w:rPr>
          <w:rFonts w:ascii="Arial" w:cs="Arial" w:eastAsia="Arial" w:hAnsi="Arial"/>
          <w:sz w:val="16"/>
          <w:szCs w:val="16"/>
          <w:color w:val="auto"/>
        </w:rPr>
      </w:pPr>
    </w:p>
    <w:p>
      <w:pPr>
        <w:ind w:right="100" w:firstLine="8"/>
        <w:spacing w:after="0" w:line="293" w:lineRule="auto"/>
        <w:tabs>
          <w:tab w:leader="none" w:pos="28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5" w:lineRule="exact"/>
        <w:rPr>
          <w:rFonts w:ascii="Arial" w:cs="Arial" w:eastAsia="Arial" w:hAnsi="Arial"/>
          <w:sz w:val="16"/>
          <w:szCs w:val="16"/>
          <w:color w:val="auto"/>
        </w:rPr>
      </w:pPr>
    </w:p>
    <w:p>
      <w:pPr>
        <w:ind w:left="760" w:right="40" w:hanging="365"/>
        <w:spacing w:after="0" w:line="293" w:lineRule="auto"/>
        <w:tabs>
          <w:tab w:leader="none" w:pos="678"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6"/>
          <w:szCs w:val="16"/>
          <w:color w:val="auto"/>
        </w:rPr>
      </w:pPr>
    </w:p>
    <w:p>
      <w:pPr>
        <w:ind w:left="760" w:right="300" w:hanging="365"/>
        <w:spacing w:after="0" w:line="293" w:lineRule="auto"/>
        <w:tabs>
          <w:tab w:leader="none" w:pos="6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226"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November 8, 2021</w:t>
      </w:r>
      <w:r>
        <w:rPr>
          <w:sz w:val="20"/>
          <w:szCs w:val="20"/>
          <w:color w:val="auto"/>
        </w:rPr>
        <w:tab/>
      </w:r>
      <w:r>
        <w:rPr>
          <w:rFonts w:ascii="Arial" w:cs="Arial" w:eastAsia="Arial" w:hAnsi="Arial"/>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Nick Pizzie</w:t>
      </w:r>
    </w:p>
    <w:p>
      <w:pPr>
        <w:spacing w:after="0" w:line="1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pacing w:after="0" w:line="113"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6"/>
          <w:szCs w:val="16"/>
          <w:b w:val="1"/>
          <w:bCs w:val="1"/>
          <w:color w:val="auto"/>
        </w:rPr>
        <w:t>Exhibit 32.1</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EXECUTIVE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85" w:lineRule="exact"/>
        <w:rPr>
          <w:sz w:val="20"/>
          <w:szCs w:val="20"/>
          <w:color w:val="auto"/>
        </w:rPr>
      </w:pPr>
    </w:p>
    <w:p>
      <w:pPr>
        <w:ind w:right="160" w:firstLine="44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September 30, 2021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238"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260" w:hanging="252"/>
        <w:spacing w:after="0"/>
        <w:tabs>
          <w:tab w:leader="none" w:pos="2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November 8, 2021</w:t>
      </w:r>
      <w:r>
        <w:rPr>
          <w:sz w:val="20"/>
          <w:szCs w:val="20"/>
          <w:color w:val="auto"/>
        </w:rPr>
        <w:tab/>
      </w:r>
      <w:r>
        <w:rPr>
          <w:rFonts w:ascii="Arial" w:cs="Arial" w:eastAsia="Arial" w:hAnsi="Arial"/>
          <w:sz w:val="14"/>
          <w:szCs w:val="14"/>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Herriot Tabuteau, M.D.</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Executive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902970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6"/>
          <w:szCs w:val="16"/>
          <w:b w:val="1"/>
          <w:bCs w:val="1"/>
          <w:color w:val="auto"/>
        </w:rPr>
        <w:t>Exhibit 32.2</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 OF PRINCIPAL FINANCIAL OFFICER OF</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AXSOME THERAPEUTICS, INC.</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85" w:lineRule="exact"/>
        <w:rPr>
          <w:sz w:val="20"/>
          <w:szCs w:val="20"/>
          <w:color w:val="auto"/>
        </w:rPr>
      </w:pPr>
    </w:p>
    <w:p>
      <w:pPr>
        <w:ind w:right="220" w:firstLine="449"/>
        <w:spacing w:after="0" w:line="278" w:lineRule="auto"/>
        <w:rPr>
          <w:sz w:val="20"/>
          <w:szCs w:val="20"/>
          <w:color w:val="auto"/>
        </w:rPr>
      </w:pPr>
      <w:r>
        <w:rPr>
          <w:rFonts w:ascii="Arial" w:cs="Arial" w:eastAsia="Arial" w:hAnsi="Arial"/>
          <w:sz w:val="16"/>
          <w:szCs w:val="16"/>
          <w:color w:val="auto"/>
        </w:rPr>
        <w:t>In connection with the quarterly report of Axsome Therapeutics, Inc. (the “Company”) on Form 10-Q for the quarter ended September 30, 2021 as filed with the Securities and Exchange Commission (the “Report”), I, Nick Pizzie, Chief Financial Officer of the Company, certify, pursuant to 18 U.S.C. §1350, as adopted pursuant to §906 of the Sarbanes-Oxley Act of 2002, that, based on my knowledge:</w:t>
      </w:r>
    </w:p>
    <w:p>
      <w:pPr>
        <w:spacing w:after="0" w:line="238"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88" w:lineRule="exact"/>
        <w:rPr>
          <w:rFonts w:ascii="Arial" w:cs="Arial" w:eastAsia="Arial" w:hAnsi="Arial"/>
          <w:sz w:val="16"/>
          <w:szCs w:val="16"/>
          <w:color w:val="auto"/>
        </w:rPr>
      </w:pPr>
    </w:p>
    <w:p>
      <w:pPr>
        <w:ind w:left="260" w:hanging="252"/>
        <w:spacing w:after="0"/>
        <w:tabs>
          <w:tab w:leader="none" w:pos="26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6"/>
          <w:szCs w:val="16"/>
          <w:color w:val="auto"/>
        </w:rPr>
        <w:t>Date: November 8, 2021</w:t>
      </w:r>
      <w:r>
        <w:rPr>
          <w:sz w:val="20"/>
          <w:szCs w:val="20"/>
          <w:color w:val="auto"/>
        </w:rPr>
        <w:tab/>
      </w:r>
      <w:r>
        <w:rPr>
          <w:rFonts w:ascii="Arial" w:cs="Arial" w:eastAsia="Arial" w:hAnsi="Arial"/>
          <w:sz w:val="15"/>
          <w:szCs w:val="15"/>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26670</wp:posOffset>
            </wp:positionV>
            <wp:extent cx="356616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Nick Pizzie</w:t>
      </w:r>
    </w:p>
    <w:p>
      <w:pPr>
        <w:spacing w:after="0" w:line="2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Chief Financial Officer</w:t>
      </w:r>
    </w:p>
    <w:p>
      <w:pPr>
        <w:spacing w:after="0" w:line="19"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911860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07" w:name="page208"/>
    <w:bookmarkEnd w:id="20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1)"/>
      <w:numFmt w:val="lowerLetter"/>
      <w:start w:val="1"/>
    </w:lvl>
  </w:abstractNum>
  <w:abstractNum w:abstractNumId="3">
    <w:nsid w:val="61574095"/>
    <w:multiLevelType w:val="hybridMultilevel"/>
    <w:lvl w:ilvl="0">
      <w:lvlJc w:val="left"/>
      <w:lvlText w:val="(%1)"/>
      <w:numFmt w:val="lowerLetter"/>
      <w:start w:val="1"/>
    </w:lvl>
    <w:lvl w:ilvl="1">
      <w:lvlJc w:val="left"/>
      <w:lvlText w:val="(%2)"/>
      <w:numFmt w:val="lowerRoman"/>
      <w:start w:val="1"/>
    </w:lvl>
  </w:abstractNum>
  <w:abstractNum w:abstractNumId="4">
    <w:nsid w:val="7E0C57B1"/>
    <w:multiLevelType w:val="hybridMultilevel"/>
    <w:lvl w:ilvl="0">
      <w:lvlJc w:val="left"/>
      <w:lvlText w:val="(%1)"/>
      <w:numFmt w:val="lowerLetter"/>
      <w:start w:val="1"/>
    </w:lvl>
  </w:abstractNum>
  <w:abstractNum w:abstractNumId="5">
    <w:nsid w:val="77AE35EB"/>
    <w:multiLevelType w:val="hybridMultilevel"/>
    <w:lvl w:ilvl="0">
      <w:lvlJc w:val="left"/>
      <w:lvlText w:val="(%1)"/>
      <w:numFmt w:val="lowerLetter"/>
      <w:start w:val="3"/>
    </w:lvl>
  </w:abstractNum>
  <w:abstractNum w:abstractNumId="6">
    <w:nsid w:val="579BE4F1"/>
    <w:multiLevelType w:val="hybridMultilevel"/>
    <w:lvl w:ilvl="0">
      <w:lvlJc w:val="left"/>
      <w:lvlText w:val="(%1)"/>
      <w:numFmt w:val="lowerLetter"/>
      <w:start w:val="1"/>
    </w:lvl>
    <w:lvl w:ilvl="1">
      <w:lvlJc w:val="left"/>
      <w:lvlText w:val="(%2)"/>
      <w:numFmt w:val="lowerRoman"/>
      <w:start w:val="1"/>
    </w:lvl>
  </w:abstractNum>
  <w:abstractNum w:abstractNumId="7">
    <w:nsid w:val="310C50B3"/>
    <w:multiLevelType w:val="hybridMultilevel"/>
    <w:lvl w:ilvl="0">
      <w:lvlJc w:val="left"/>
      <w:lvlText w:val="%1"/>
      <w:numFmt w:val="lowerLetter"/>
      <w:start w:val="1"/>
    </w:lvl>
    <w:lvl w:ilvl="1">
      <w:lvlJc w:val="left"/>
      <w:lvlText w:val="(%2)"/>
      <w:numFmt w:val="lowerLetter"/>
      <w:start w:val="61"/>
    </w:lvl>
  </w:abstractNum>
  <w:abstractNum w:abstractNumId="8">
    <w:nsid w:val="5FF87E05"/>
    <w:multiLevelType w:val="hybridMultilevel"/>
    <w:lvl w:ilvl="0">
      <w:lvlJc w:val="left"/>
      <w:lvlText w:val="(%1)"/>
      <w:numFmt w:val="lowerLetter"/>
      <w:start w:val="2"/>
    </w:lvl>
    <w:lvl w:ilvl="1">
      <w:lvlJc w:val="left"/>
      <w:lvlText w:val="%2"/>
      <w:numFmt w:val="lowerLetter"/>
      <w:start w:val="1"/>
    </w:lvl>
  </w:abstractNum>
  <w:abstractNum w:abstractNumId="9">
    <w:nsid w:val="2F305DEF"/>
    <w:multiLevelType w:val="hybridMultilevel"/>
    <w:lvl w:ilvl="0">
      <w:lvlJc w:val="left"/>
      <w:lvlText w:val="%1."/>
      <w:numFmt w:val="upperLetter"/>
      <w:start w:val="1"/>
    </w:lvl>
  </w:abstractNum>
  <w:abstractNum w:abstractNumId="10">
    <w:nsid w:val="25A70BF7"/>
    <w:multiLevelType w:val="hybridMultilevel"/>
    <w:lvl w:ilvl="0">
      <w:lvlJc w:val="left"/>
      <w:lvlText w:val="%1."/>
      <w:numFmt w:val="decimal"/>
      <w:start w:val="1"/>
    </w:lvl>
    <w:lvl w:ilvl="1">
      <w:lvlJc w:val="left"/>
      <w:lvlText w:val="%2"/>
      <w:numFmt w:val="lowerLetter"/>
      <w:start w:val="1"/>
    </w:lvl>
  </w:abstractNum>
  <w:abstractNum w:abstractNumId="11">
    <w:nsid w:val="1DBABF00"/>
    <w:multiLevelType w:val="hybridMultilevel"/>
    <w:lvl w:ilvl="0">
      <w:lvlJc w:val="left"/>
      <w:lvlText w:val="%1."/>
      <w:numFmt w:val="decimal"/>
      <w:start w:val="1"/>
    </w:lvl>
  </w:abstractNum>
  <w:abstractNum w:abstractNumId="12">
    <w:nsid w:val="4AD084E9"/>
    <w:multiLevelType w:val="hybridMultilevel"/>
    <w:lvl w:ilvl="0">
      <w:lvlJc w:val="left"/>
      <w:lvlText w:val="%1."/>
      <w:numFmt w:val="decimal"/>
      <w:start w:val="5"/>
    </w:lvl>
  </w:abstractNum>
  <w:abstractNum w:abstractNumId="13">
    <w:nsid w:val="1F48EAA1"/>
    <w:multiLevelType w:val="hybridMultilevel"/>
    <w:lvl w:ilvl="0">
      <w:lvlJc w:val="left"/>
      <w:lvlText w:val="%1."/>
      <w:numFmt w:val="decimal"/>
      <w:start w:val="8"/>
    </w:lvl>
  </w:abstractNum>
  <w:abstractNum w:abstractNumId="14">
    <w:nsid w:val="1381823A"/>
    <w:multiLevelType w:val="hybridMultilevel"/>
    <w:lvl w:ilvl="0">
      <w:lvlJc w:val="left"/>
      <w:lvlText w:val="%1."/>
      <w:numFmt w:val="decimal"/>
      <w:start w:val="9"/>
    </w:lvl>
  </w:abstractNum>
  <w:abstractNum w:abstractNumId="15">
    <w:nsid w:val="5DB70AE5"/>
    <w:multiLevelType w:val="hybridMultilevel"/>
    <w:lvl w:ilvl="0">
      <w:lvlJc w:val="left"/>
      <w:lvlText w:val="%1."/>
      <w:numFmt w:val="decimal"/>
      <w:start w:val="11"/>
    </w:lvl>
  </w:abstractNum>
  <w:abstractNum w:abstractNumId="16">
    <w:nsid w:val="100F8FCA"/>
    <w:multiLevelType w:val="hybridMultilevel"/>
    <w:lvl w:ilvl="0">
      <w:lvlJc w:val="left"/>
      <w:lvlText w:val="(%1)"/>
      <w:numFmt w:val="lowerRoman"/>
      <w:start w:val="1"/>
    </w:lvl>
    <w:lvl w:ilvl="1">
      <w:lvlJc w:val="left"/>
      <w:lvlText w:val="(%2)"/>
      <w:numFmt w:val="lowerRoman"/>
      <w:start w:val="3"/>
    </w:lvl>
  </w:abstractNum>
  <w:abstractNum w:abstractNumId="17">
    <w:nsid w:val="6590700B"/>
    <w:multiLevelType w:val="hybridMultilevel"/>
    <w:lvl w:ilvl="0">
      <w:lvlJc w:val="left"/>
      <w:lvlText w:val="(%1)"/>
      <w:numFmt w:val="lowerRoman"/>
      <w:start w:val="6"/>
    </w:lvl>
  </w:abstractNum>
  <w:abstractNum w:abstractNumId="18">
    <w:nsid w:val="15014ACB"/>
    <w:multiLevelType w:val="hybridMultilevel"/>
    <w:lvl w:ilvl="0">
      <w:lvlJc w:val="left"/>
      <w:lvlText w:val="%1."/>
      <w:numFmt w:val="decimal"/>
      <w:start w:val="12"/>
    </w:lvl>
  </w:abstractNum>
  <w:abstractNum w:abstractNumId="19">
    <w:nsid w:val="5F5E7FD0"/>
    <w:multiLevelType w:val="hybridMultilevel"/>
    <w:lvl w:ilvl="0">
      <w:lvlJc w:val="left"/>
      <w:lvlText w:val="%1"/>
      <w:numFmt w:val="upperLetter"/>
      <w:start w:val="1"/>
    </w:lvl>
    <w:lvl w:ilvl="1">
      <w:lvlJc w:val="left"/>
      <w:lvlText w:val="(%2)"/>
      <w:numFmt w:val="lowerRoman"/>
      <w:start w:val="1"/>
    </w:lvl>
    <w:lvl w:ilvl="2">
      <w:lvlJc w:val="left"/>
      <w:lvlText w:val="(%3)"/>
      <w:numFmt w:val="lowerRoman"/>
      <w:start w:val="3"/>
    </w:lvl>
    <w:lvl w:ilvl="3">
      <w:lvlJc w:val="left"/>
      <w:lvlText w:val="(%4)"/>
      <w:numFmt w:val="lowerRoman"/>
      <w:start w:val="8"/>
    </w:lvl>
    <w:lvl w:ilvl="4">
      <w:lvlJc w:val="left"/>
      <w:lvlText w:val="(%5)"/>
      <w:numFmt w:val="lowerRoman"/>
      <w:start w:val="8"/>
    </w:lvl>
  </w:abstractNum>
  <w:abstractNum w:abstractNumId="20">
    <w:nsid w:val="98A3148"/>
    <w:multiLevelType w:val="hybridMultilevel"/>
    <w:lvl w:ilvl="0">
      <w:lvlJc w:val="left"/>
      <w:lvlText w:val="(%1)"/>
      <w:numFmt w:val="upperLetter"/>
      <w:start w:val="2"/>
    </w:lvl>
    <w:lvl w:ilvl="1">
      <w:lvlJc w:val="left"/>
      <w:lvlText w:val="(%2)"/>
      <w:numFmt w:val="lowerRoman"/>
      <w:start w:val="10"/>
    </w:lvl>
    <w:lvl w:ilvl="2">
      <w:lvlJc w:val="left"/>
      <w:lvlText w:val="(%3)"/>
      <w:numFmt w:val="lowerRoman"/>
      <w:start w:val="11"/>
    </w:lvl>
    <w:lvl w:ilvl="3">
      <w:lvlJc w:val="left"/>
      <w:lvlText w:val="%4"/>
      <w:numFmt w:val="lowerRoman"/>
      <w:start w:val="1"/>
    </w:lvl>
    <w:lvl w:ilvl="4">
      <w:lvlJc w:val="left"/>
      <w:lvlText w:val="%5"/>
      <w:numFmt w:val="lowerRoman"/>
      <w:start w:val="1"/>
    </w:lvl>
  </w:abstractNum>
  <w:abstractNum w:abstractNumId="21">
    <w:nsid w:val="799D0247"/>
    <w:multiLevelType w:val="hybridMultilevel"/>
    <w:lvl w:ilvl="0">
      <w:lvlJc w:val="left"/>
      <w:lvlText w:val="(%1)"/>
      <w:numFmt w:val="lowerRoman"/>
      <w:start w:val="12"/>
    </w:lvl>
  </w:abstractNum>
  <w:abstractNum w:abstractNumId="22">
    <w:nsid w:val="6B94764"/>
    <w:multiLevelType w:val="hybridMultilevel"/>
    <w:lvl w:ilvl="0">
      <w:lvlJc w:val="left"/>
      <w:lvlText w:val="(%1)"/>
      <w:numFmt w:val="lowerRoman"/>
      <w:start w:val="1"/>
    </w:lvl>
    <w:lvl w:ilvl="1">
      <w:lvlJc w:val="left"/>
      <w:lvlText w:val="(%2)"/>
      <w:numFmt w:val="lowerRoman"/>
      <w:start w:val="3"/>
    </w:lvl>
  </w:abstractNum>
  <w:abstractNum w:abstractNumId="23">
    <w:nsid w:val="42C296BD"/>
    <w:multiLevelType w:val="hybridMultilevel"/>
    <w:lvl w:ilvl="0">
      <w:lvlJc w:val="left"/>
      <w:lvlText w:val="(%1)"/>
      <w:numFmt w:val="lowerRoman"/>
      <w:start w:val="5"/>
    </w:lvl>
    <w:lvl w:ilvl="1">
      <w:lvlJc w:val="left"/>
      <w:lvlText w:val="(%2)"/>
      <w:numFmt w:val="lowerRoman"/>
      <w:start w:val="7"/>
    </w:lvl>
  </w:abstractNum>
  <w:abstractNum w:abstractNumId="24">
    <w:nsid w:val="168E121F"/>
    <w:multiLevelType w:val="hybridMultilevel"/>
    <w:lvl w:ilvl="0">
      <w:lvlJc w:val="left"/>
      <w:lvlText w:val="(%1)"/>
      <w:numFmt w:val="lowerRoman"/>
      <w:start w:val="10"/>
    </w:lvl>
    <w:lvl w:ilvl="1">
      <w:lvlJc w:val="left"/>
      <w:lvlText w:val="(%2)"/>
      <w:numFmt w:val="lowerRoman"/>
      <w:start w:val="12"/>
    </w:lvl>
  </w:abstractNum>
  <w:abstractNum w:abstractNumId="25">
    <w:nsid w:val="1EBA5D23"/>
    <w:multiLevelType w:val="hybridMultilevel"/>
    <w:lvl w:ilvl="0">
      <w:lvlJc w:val="left"/>
      <w:lvlText w:val="(%1)"/>
      <w:numFmt w:val="lowerRoman"/>
      <w:start w:val="1"/>
    </w:lvl>
    <w:lvl w:ilvl="1">
      <w:lvlJc w:val="left"/>
      <w:lvlText w:val="(%2)"/>
      <w:numFmt w:val="lowerRoman"/>
      <w:start w:val="3"/>
    </w:lvl>
    <w:lvl w:ilvl="2">
      <w:lvlJc w:val="left"/>
      <w:lvlText w:val="(%3)"/>
      <w:numFmt w:val="lowerRoman"/>
      <w:start w:val="8"/>
    </w:lvl>
    <w:lvl w:ilvl="3">
      <w:lvlJc w:val="left"/>
      <w:lvlText w:val="(%4)"/>
      <w:numFmt w:val="lowerRoman"/>
      <w:start w:val="8"/>
    </w:lvl>
  </w:abstractNum>
  <w:abstractNum w:abstractNumId="26">
    <w:nsid w:val="661E3F1E"/>
    <w:multiLevelType w:val="hybridMultilevel"/>
    <w:lvl w:ilvl="0">
      <w:lvlJc w:val="left"/>
      <w:lvlText w:val="(%1)"/>
      <w:numFmt w:val="lowerRoman"/>
      <w:start w:val="12"/>
    </w:lvl>
    <w:lvl w:ilvl="1">
      <w:lvlJc w:val="left"/>
      <w:lvlText w:val="(%2)"/>
      <w:numFmt w:val="lowerRoman"/>
      <w:start w:val="17"/>
    </w:lvl>
  </w:abstractNum>
  <w:abstractNum w:abstractNumId="27">
    <w:nsid w:val="5DC79EA8"/>
    <w:multiLevelType w:val="hybridMultilevel"/>
    <w:lvl w:ilvl="0">
      <w:lvlJc w:val="left"/>
      <w:lvlText w:val="(%1)"/>
      <w:numFmt w:val="lowerRoman"/>
      <w:start w:val="1"/>
    </w:lvl>
  </w:abstractNum>
  <w:abstractNum w:abstractNumId="28">
    <w:nsid w:val="540A471C"/>
    <w:multiLevelType w:val="hybridMultilevel"/>
    <w:lvl w:ilvl="0">
      <w:lvlJc w:val="left"/>
      <w:lvlText w:val="%1"/>
      <w:numFmt w:val="upperLetter"/>
      <w:start w:val="1"/>
    </w:lvl>
    <w:lvl w:ilvl="1">
      <w:lvlJc w:val="left"/>
      <w:lvlText w:val="(%2)"/>
      <w:numFmt w:val="lowerRoman"/>
      <w:start w:val="2"/>
    </w:lvl>
    <w:lvl w:ilvl="2">
      <w:lvlJc w:val="left"/>
      <w:lvlText w:val="%3"/>
      <w:numFmt w:val="lowerRoman"/>
      <w:start w:val="1"/>
    </w:lvl>
  </w:abstractNum>
  <w:abstractNum w:abstractNumId="29">
    <w:nsid w:val="7BD3EE7B"/>
    <w:multiLevelType w:val="hybridMultilevel"/>
    <w:lvl w:ilvl="0">
      <w:lvlJc w:val="left"/>
      <w:lvlText w:val="(%1)"/>
      <w:numFmt w:val="upperLetter"/>
      <w:start w:val="2"/>
    </w:lvl>
    <w:lvl w:ilvl="1">
      <w:lvlJc w:val="left"/>
      <w:lvlText w:val="(%2)"/>
      <w:numFmt w:val="lowerRoman"/>
      <w:start w:val="3"/>
    </w:lvl>
    <w:lvl w:ilvl="2">
      <w:lvlJc w:val="left"/>
      <w:lvlText w:val="(%3)"/>
      <w:numFmt w:val="lowerRoman"/>
      <w:start w:val="7"/>
    </w:lvl>
  </w:abstractNum>
  <w:abstractNum w:abstractNumId="30">
    <w:nsid w:val="51D9C564"/>
    <w:multiLevelType w:val="hybridMultilevel"/>
    <w:lvl w:ilvl="0">
      <w:lvlJc w:val="left"/>
      <w:lvlText w:val="%1."/>
      <w:numFmt w:val="decimal"/>
      <w:start w:val="13"/>
    </w:lvl>
  </w:abstractNum>
  <w:abstractNum w:abstractNumId="31">
    <w:nsid w:val="613EFDC5"/>
    <w:multiLevelType w:val="hybridMultilevel"/>
    <w:lvl w:ilvl="0">
      <w:lvlJc w:val="left"/>
      <w:lvlText w:val="%1."/>
      <w:numFmt w:val="lowerLetter"/>
      <w:start w:val="3"/>
    </w:lvl>
  </w:abstractNum>
  <w:abstractNum w:abstractNumId="32">
    <w:nsid w:val="BF72B14"/>
    <w:multiLevelType w:val="hybridMultilevel"/>
    <w:lvl w:ilvl="0">
      <w:lvlJc w:val="left"/>
      <w:lvlText w:val="%1."/>
      <w:numFmt w:val="lowerLetter"/>
      <w:start w:val="4"/>
    </w:lvl>
    <w:lvl w:ilvl="1">
      <w:lvlJc w:val="left"/>
      <w:lvlText w:val="%2."/>
      <w:numFmt w:val="decimal"/>
      <w:start w:val="2"/>
    </w:lvl>
  </w:abstractNum>
  <w:abstractNum w:abstractNumId="33">
    <w:nsid w:val="11447B73"/>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4">
    <w:nsid w:val="42963E5A"/>
    <w:multiLevelType w:val="hybridMultilevel"/>
    <w:lvl w:ilvl="0">
      <w:lvlJc w:val="left"/>
      <w:lvlText w:val="%1"/>
      <w:numFmt w:val="lowerRoman"/>
      <w:start w:val="1"/>
    </w:lvl>
    <w:lvl w:ilvl="1">
      <w:lvlJc w:val="left"/>
      <w:lvlText w:val="%2."/>
      <w:numFmt w:val="decimal"/>
      <w:start w:val="4"/>
    </w:lvl>
  </w:abstractNum>
  <w:abstractNum w:abstractNumId="35">
    <w:nsid w:val="A0382C5"/>
    <w:multiLevelType w:val="hybridMultilevel"/>
    <w:lvl w:ilvl="0">
      <w:lvlJc w:val="left"/>
      <w:lvlText w:val="%1."/>
      <w:numFmt w:val="lowerRoman"/>
      <w:start w:val="2"/>
    </w:lvl>
    <w:lvl w:ilvl="1">
      <w:lvlJc w:val="left"/>
      <w:lvlText w:val="%2."/>
      <w:numFmt w:val="decimal"/>
      <w:start w:val="1"/>
    </w:lvl>
  </w:abstractNum>
  <w:abstractNum w:abstractNumId="36">
    <w:nsid w:val="8F2B15E"/>
    <w:multiLevelType w:val="hybridMultilevel"/>
    <w:lvl w:ilvl="0">
      <w:lvlJc w:val="left"/>
      <w:lvlText w:val="%1"/>
      <w:numFmt w:val="lowerRoman"/>
      <w:start w:val="1"/>
    </w:lvl>
    <w:lvl w:ilvl="1">
      <w:lvlJc w:val="left"/>
      <w:lvlText w:val="%2."/>
      <w:numFmt w:val="decimal"/>
      <w:start w:val="2"/>
    </w:lvl>
  </w:abstractNum>
  <w:abstractNum w:abstractNumId="37">
    <w:nsid w:val="1A32234B"/>
    <w:multiLevelType w:val="hybridMultilevel"/>
    <w:lvl w:ilvl="0">
      <w:lvlJc w:val="left"/>
      <w:lvlText w:val="%1."/>
      <w:numFmt w:val="lowerRoman"/>
      <w:start w:val="4"/>
    </w:lvl>
    <w:lvl w:ilvl="1">
      <w:lvlJc w:val="left"/>
      <w:lvlText w:val="%2"/>
      <w:numFmt w:val="decimal"/>
      <w:start w:val="1"/>
    </w:lvl>
  </w:abstractNum>
  <w:abstractNum w:abstractNumId="38">
    <w:nsid w:val="3B0FD379"/>
    <w:multiLevelType w:val="hybridMultilevel"/>
    <w:lvl w:ilvl="0">
      <w:lvlJc w:val="left"/>
      <w:lvlText w:val="%1."/>
      <w:numFmt w:val="lowerLetter"/>
      <w:start w:val="3"/>
    </w:lvl>
  </w:abstractNum>
  <w:abstractNum w:abstractNumId="39">
    <w:nsid w:val="68EB2F63"/>
    <w:multiLevelType w:val="hybridMultilevel"/>
    <w:lvl w:ilvl="0">
      <w:lvlJc w:val="left"/>
      <w:lvlText w:val="%1."/>
      <w:numFmt w:val="lowerLetter"/>
      <w:start w:val="5"/>
    </w:lvl>
  </w:abstractNum>
  <w:abstractNum w:abstractNumId="40">
    <w:nsid w:val="4962813B"/>
    <w:multiLevelType w:val="hybridMultilevel"/>
    <w:lvl w:ilvl="0">
      <w:lvlJc w:val="left"/>
      <w:lvlText w:val="%1"/>
      <w:numFmt w:val="lowerLetter"/>
      <w:start w:val="1"/>
    </w:lvl>
    <w:lvl w:ilvl="1">
      <w:lvlJc w:val="left"/>
      <w:lvlText w:val="%2."/>
      <w:numFmt w:val="lowerRoman"/>
      <w:start w:val="1"/>
    </w:lvl>
  </w:abstractNum>
  <w:abstractNum w:abstractNumId="41">
    <w:nsid w:val="60B6DF70"/>
    <w:multiLevelType w:val="hybridMultilevel"/>
    <w:lvl w:ilvl="0">
      <w:lvlJc w:val="left"/>
      <w:lvlText w:val="%1."/>
      <w:numFmt w:val="lowerLetter"/>
      <w:start w:val="7"/>
    </w:lvl>
    <w:lvl w:ilvl="1">
      <w:lvlJc w:val="left"/>
      <w:lvlText w:val="%2"/>
      <w:numFmt w:val="lowerRoman"/>
      <w:start w:val="1"/>
    </w:lvl>
  </w:abstractNum>
  <w:abstractNum w:abstractNumId="42">
    <w:nsid w:val="6A5EE64"/>
    <w:multiLevelType w:val="hybridMultilevel"/>
    <w:lvl w:ilvl="0">
      <w:lvlJc w:val="left"/>
      <w:lvlText w:val="%1"/>
      <w:numFmt w:val="decimal"/>
      <w:start w:val="1"/>
    </w:lvl>
    <w:lvl w:ilvl="1">
      <w:lvlJc w:val="left"/>
      <w:lvlText w:val="%2."/>
      <w:numFmt w:val="lowerLetter"/>
      <w:start w:val="8"/>
    </w:lvl>
  </w:abstractNum>
  <w:abstractNum w:abstractNumId="43">
    <w:nsid w:val="14330624"/>
    <w:multiLevelType w:val="hybridMultilevel"/>
    <w:lvl w:ilvl="0">
      <w:lvlJc w:val="left"/>
      <w:lvlText w:val="%1."/>
      <w:numFmt w:val="decimal"/>
      <w:start w:val="3"/>
    </w:lvl>
    <w:lvl w:ilvl="1">
      <w:lvlJc w:val="left"/>
      <w:lvlText w:val="%2."/>
      <w:numFmt w:val="lowerLetter"/>
      <w:start w:val="1"/>
    </w:lvl>
  </w:abstractNum>
  <w:abstractNum w:abstractNumId="44">
    <w:nsid w:val="7FFFCA11"/>
    <w:multiLevelType w:val="hybridMultilevel"/>
    <w:lvl w:ilvl="0">
      <w:lvlJc w:val="left"/>
      <w:lvlText w:val="%1."/>
      <w:numFmt w:val="lowerLetter"/>
      <w:start w:val="2"/>
    </w:lvl>
  </w:abstractNum>
  <w:abstractNum w:abstractNumId="45">
    <w:nsid w:val="1A27709E"/>
    <w:multiLevelType w:val="hybridMultilevel"/>
    <w:lvl w:ilvl="0">
      <w:lvlJc w:val="left"/>
      <w:lvlText w:val="%1."/>
      <w:numFmt w:val="lowerLetter"/>
      <w:start w:val="1"/>
    </w:lvl>
    <w:lvl w:ilvl="1">
      <w:lvlJc w:val="left"/>
      <w:lvlText w:val="%2."/>
      <w:numFmt w:val="lowerRoman"/>
      <w:start w:val="1"/>
    </w:lvl>
  </w:abstractNum>
  <w:abstractNum w:abstractNumId="46">
    <w:nsid w:val="71EA1109"/>
    <w:multiLevelType w:val="hybridMultilevel"/>
    <w:lvl w:ilvl="0">
      <w:lvlJc w:val="left"/>
      <w:lvlText w:val="%1"/>
      <w:numFmt w:val="lowerLetter"/>
      <w:start w:val="1"/>
    </w:lvl>
    <w:lvl w:ilvl="1">
      <w:lvlJc w:val="left"/>
      <w:lvlText w:val="%2."/>
      <w:numFmt w:val="lowerRoman"/>
      <w:start w:val="2"/>
    </w:lvl>
  </w:abstractNum>
  <w:abstractNum w:abstractNumId="47">
    <w:nsid w:val="100F59DC"/>
    <w:multiLevelType w:val="hybridMultilevel"/>
    <w:lvl w:ilvl="0">
      <w:lvlJc w:val="left"/>
      <w:lvlText w:val="%1."/>
      <w:numFmt w:val="lowerLetter"/>
      <w:start w:val="3"/>
    </w:lvl>
    <w:lvl w:ilvl="1">
      <w:lvlJc w:val="left"/>
      <w:lvlText w:val="%2"/>
      <w:numFmt w:val="lowerRoman"/>
      <w:start w:val="1"/>
    </w:lvl>
  </w:abstractNum>
  <w:abstractNum w:abstractNumId="48">
    <w:nsid w:val="7FB7E0AA"/>
    <w:multiLevelType w:val="hybridMultilevel"/>
    <w:lvl w:ilvl="0">
      <w:lvlJc w:val="left"/>
      <w:lvlText w:val="%1."/>
      <w:numFmt w:val="decimal"/>
      <w:start w:val="6"/>
    </w:lvl>
    <w:lvl w:ilvl="1">
      <w:lvlJc w:val="left"/>
      <w:lvlText w:val="%2."/>
      <w:numFmt w:val="lowerLetter"/>
      <w:start w:val="1"/>
    </w:lvl>
  </w:abstractNum>
  <w:abstractNum w:abstractNumId="49">
    <w:nsid w:val="6EB5BD4"/>
    <w:multiLevelType w:val="hybridMultilevel"/>
    <w:lvl w:ilvl="0">
      <w:lvlJc w:val="left"/>
      <w:lvlText w:val="%1."/>
      <w:numFmt w:val="lowerLetter"/>
      <w:start w:val="7"/>
    </w:lvl>
  </w:abstractNum>
  <w:abstractNum w:abstractNumId="50">
    <w:nsid w:val="6F6DD9AC"/>
    <w:multiLevelType w:val="hybridMultilevel"/>
    <w:lvl w:ilvl="0">
      <w:lvlJc w:val="left"/>
      <w:lvlText w:val="%1."/>
      <w:numFmt w:val="lowerLetter"/>
      <w:start w:val="8"/>
    </w:lvl>
  </w:abstractNum>
  <w:abstractNum w:abstractNumId="51">
    <w:nsid w:val="94211F2"/>
    <w:multiLevelType w:val="hybridMultilevel"/>
    <w:lvl w:ilvl="0">
      <w:lvlJc w:val="left"/>
      <w:lvlText w:val="%1"/>
      <w:numFmt w:val="lowerLetter"/>
      <w:start w:val="1"/>
    </w:lvl>
    <w:lvl w:ilvl="1">
      <w:lvlJc w:val="left"/>
      <w:lvlText w:val="%2."/>
      <w:numFmt w:val="lowerLetter"/>
      <w:start w:val="10"/>
    </w:lvl>
  </w:abstractNum>
  <w:abstractNum w:abstractNumId="52">
    <w:nsid w:val="885E1B"/>
    <w:multiLevelType w:val="hybridMultilevel"/>
    <w:lvl w:ilvl="0">
      <w:lvlJc w:val="left"/>
      <w:lvlText w:val="(%1)"/>
      <w:numFmt w:val="lowerLetter"/>
      <w:start w:val="1"/>
    </w:lvl>
    <w:lvl w:ilvl="1">
      <w:lvlJc w:val="left"/>
      <w:lvlText w:val="%2"/>
      <w:numFmt w:val="lowerLetter"/>
      <w:start w:val="1"/>
    </w:lvl>
  </w:abstractNum>
  <w:abstractNum w:abstractNumId="53">
    <w:nsid w:val="76272110"/>
    <w:multiLevelType w:val="hybridMultilevel"/>
    <w:lvl w:ilvl="0">
      <w:lvlJc w:val="left"/>
      <w:lvlText w:val="%1"/>
      <w:numFmt w:val="lowerLetter"/>
      <w:start w:val="1"/>
    </w:lvl>
    <w:lvl w:ilvl="1">
      <w:lvlJc w:val="left"/>
      <w:lvlText w:val="(%2)"/>
      <w:numFmt w:val="lowerLetter"/>
      <w:start w:val="3"/>
    </w:lvl>
  </w:abstractNum>
  <w:abstractNum w:abstractNumId="54">
    <w:nsid w:val="4C04A8AF"/>
    <w:multiLevelType w:val="hybridMultilevel"/>
    <w:lvl w:ilvl="0">
      <w:lvlJc w:val="left"/>
      <w:lvlText w:val="(%1)"/>
      <w:numFmt w:val="lowerLetter"/>
      <w:start w:val="35"/>
    </w:lvl>
    <w:lvl w:ilvl="1">
      <w:lvlJc w:val="left"/>
      <w:lvlText w:val="(%2)"/>
      <w:numFmt w:val="lowerLetter"/>
      <w:start w:val="7"/>
    </w:lvl>
  </w:abstractNum>
  <w:abstractNum w:abstractNumId="55">
    <w:nsid w:val="1716703B"/>
    <w:multiLevelType w:val="hybridMultilevel"/>
    <w:lvl w:ilvl="0">
      <w:lvlJc w:val="left"/>
      <w:lvlText w:val="(%1)"/>
      <w:numFmt w:val="lowerLetter"/>
      <w:start w:val="8"/>
    </w:lvl>
  </w:abstractNum>
  <w:abstractNum w:abstractNumId="56">
    <w:nsid w:val="14E17E33"/>
    <w:multiLevelType w:val="hybridMultilevel"/>
    <w:lvl w:ilvl="0">
      <w:lvlJc w:val="left"/>
      <w:lvlText w:val="%1."/>
      <w:numFmt w:val="lowerLetter"/>
      <w:start w:val="11"/>
    </w:lvl>
  </w:abstractNum>
  <w:abstractNum w:abstractNumId="57">
    <w:nsid w:val="3222E7CD"/>
    <w:multiLevelType w:val="hybridMultilevel"/>
    <w:lvl w:ilvl="0">
      <w:lvlJc w:val="left"/>
      <w:lvlText w:val="%1"/>
      <w:numFmt w:val="decimal"/>
      <w:start w:val="1"/>
    </w:lvl>
    <w:lvl w:ilvl="1">
      <w:lvlJc w:val="left"/>
      <w:lvlText w:val="%2."/>
      <w:numFmt w:val="lowerLetter"/>
      <w:start w:val="12"/>
    </w:lvl>
  </w:abstractNum>
  <w:abstractNum w:abstractNumId="58">
    <w:nsid w:val="74DE0EE3"/>
    <w:multiLevelType w:val="hybridMultilevel"/>
    <w:lvl w:ilvl="0">
      <w:lvlJc w:val="left"/>
      <w:lvlText w:val="%1."/>
      <w:numFmt w:val="decimal"/>
      <w:start w:val="7"/>
    </w:lvl>
    <w:lvl w:ilvl="1">
      <w:lvlJc w:val="left"/>
      <w:lvlText w:val="%2."/>
      <w:numFmt w:val="lowerLetter"/>
      <w:start w:val="1"/>
    </w:lvl>
  </w:abstractNum>
  <w:abstractNum w:abstractNumId="59">
    <w:nsid w:val="68EBC550"/>
    <w:multiLevelType w:val="hybridMultilevel"/>
    <w:lvl w:ilvl="0">
      <w:lvlJc w:val="left"/>
      <w:lvlText w:val="%1."/>
      <w:numFmt w:val="lowerLetter"/>
      <w:start w:val="2"/>
    </w:lvl>
  </w:abstractNum>
  <w:abstractNum w:abstractNumId="60">
    <w:nsid w:val="2DF6D648"/>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61">
    <w:nsid w:val="46B7D447"/>
    <w:multiLevelType w:val="hybridMultilevel"/>
    <w:lvl w:ilvl="0">
      <w:lvlJc w:val="left"/>
      <w:lvlText w:val="%1."/>
      <w:numFmt w:val="lowerRoman"/>
      <w:start w:val="3"/>
    </w:lvl>
  </w:abstractNum>
  <w:abstractNum w:abstractNumId="62">
    <w:nsid w:val="4A2AC315"/>
    <w:multiLevelType w:val="hybridMultilevel"/>
    <w:lvl w:ilvl="0">
      <w:lvlJc w:val="left"/>
      <w:lvlText w:val="%1."/>
      <w:numFmt w:val="lowerLetter"/>
      <w:start w:val="2"/>
    </w:lvl>
  </w:abstractNum>
  <w:abstractNum w:abstractNumId="63">
    <w:nsid w:val="39EE015C"/>
    <w:multiLevelType w:val="hybridMultilevel"/>
    <w:lvl w:ilvl="0">
      <w:lvlJc w:val="left"/>
      <w:lvlText w:val="%1."/>
      <w:numFmt w:val="lowerLetter"/>
      <w:start w:val="4"/>
    </w:lvl>
  </w:abstractNum>
  <w:abstractNum w:abstractNumId="64">
    <w:nsid w:val="57FC4FBB"/>
    <w:multiLevelType w:val="hybridMultilevel"/>
    <w:lvl w:ilvl="0">
      <w:lvlJc w:val="left"/>
      <w:lvlText w:val="%1."/>
      <w:numFmt w:val="lowerLetter"/>
      <w:start w:val="5"/>
    </w:lvl>
  </w:abstractNum>
  <w:abstractNum w:abstractNumId="65">
    <w:nsid w:val="CC1016F"/>
    <w:multiLevelType w:val="hybridMultilevel"/>
    <w:lvl w:ilvl="0">
      <w:lvlJc w:val="left"/>
      <w:lvlText w:val="%1."/>
      <w:numFmt w:val="lowerLetter"/>
      <w:start w:val="7"/>
    </w:lvl>
  </w:abstractNum>
  <w:abstractNum w:abstractNumId="66">
    <w:nsid w:val="43F18422"/>
    <w:multiLevelType w:val="hybridMultilevel"/>
    <w:lvl w:ilvl="0">
      <w:lvlJc w:val="left"/>
      <w:lvlText w:val="%1"/>
      <w:numFmt w:val="lowerLetter"/>
      <w:start w:val="1"/>
    </w:lvl>
    <w:lvl w:ilvl="1">
      <w:lvlJc w:val="left"/>
      <w:lvlText w:val="%2."/>
      <w:numFmt w:val="decimal"/>
      <w:start w:val="1"/>
    </w:lvl>
  </w:abstractNum>
  <w:abstractNum w:abstractNumId="67">
    <w:nsid w:val="60EF0119"/>
    <w:multiLevelType w:val="hybridMultilevel"/>
    <w:lvl w:ilvl="0">
      <w:lvlJc w:val="left"/>
      <w:lvlText w:val="%1."/>
      <w:numFmt w:val="lowerLetter"/>
      <w:start w:val="8"/>
    </w:lvl>
    <w:lvl w:ilvl="1">
      <w:lvlJc w:val="left"/>
      <w:lvlText w:val="%2"/>
      <w:numFmt w:val="decimal"/>
      <w:start w:val="1"/>
    </w:lvl>
  </w:abstractNum>
  <w:abstractNum w:abstractNumId="68">
    <w:nsid w:val="26F324BA"/>
    <w:multiLevelType w:val="hybridMultilevel"/>
    <w:lvl w:ilvl="0">
      <w:lvlJc w:val="left"/>
      <w:lvlText w:val="%1."/>
      <w:numFmt w:val="lowerLetter"/>
      <w:start w:val="10"/>
    </w:lvl>
  </w:abstractNum>
  <w:abstractNum w:abstractNumId="69">
    <w:nsid w:val="7F01579B"/>
    <w:multiLevelType w:val="hybridMultilevel"/>
    <w:lvl w:ilvl="0">
      <w:lvlJc w:val="left"/>
      <w:lvlText w:val="%1."/>
      <w:numFmt w:val="lowerLetter"/>
      <w:start w:val="13"/>
    </w:lvl>
  </w:abstractNum>
  <w:abstractNum w:abstractNumId="70">
    <w:nsid w:val="49DA307D"/>
    <w:multiLevelType w:val="hybridMultilevel"/>
    <w:lvl w:ilvl="0">
      <w:lvlJc w:val="left"/>
      <w:lvlText w:val="%1."/>
      <w:numFmt w:val="lowerLetter"/>
      <w:start w:val="17"/>
    </w:lvl>
  </w:abstractNum>
  <w:abstractNum w:abstractNumId="71">
    <w:nsid w:val="7055A5F5"/>
    <w:multiLevelType w:val="hybridMultilevel"/>
    <w:lvl w:ilvl="0">
      <w:lvlJc w:val="left"/>
      <w:lvlText w:val="%1."/>
      <w:numFmt w:val="lowerLetter"/>
      <w:start w:val="20"/>
    </w:lvl>
    <w:lvl w:ilvl="1">
      <w:lvlJc w:val="left"/>
      <w:lvlText w:val="%2."/>
      <w:numFmt w:val="lowerRoman"/>
      <w:start w:val="1"/>
    </w:lvl>
    <w:lvl w:ilvl="2">
      <w:lvlJc w:val="left"/>
      <w:lvlText w:val="%3."/>
      <w:numFmt w:val="decimal"/>
      <w:start w:val="1"/>
    </w:lvl>
  </w:abstractNum>
  <w:abstractNum w:abstractNumId="72">
    <w:nsid w:val="5FB8370B"/>
    <w:multiLevelType w:val="hybridMultilevel"/>
    <w:lvl w:ilvl="0">
      <w:lvlJc w:val="left"/>
      <w:lvlText w:val="%1."/>
      <w:numFmt w:val="lowerRoman"/>
      <w:start w:val="5"/>
    </w:lvl>
  </w:abstractNum>
  <w:abstractNum w:abstractNumId="73">
    <w:nsid w:val="50801EE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74">
    <w:nsid w:val="488AC1A"/>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1."/>
      <w:numFmt w:val="lowerLetter"/>
      <w:start w:val="2"/>
    </w:lvl>
  </w:abstractNum>
  <w:abstractNum w:abstractNumId="77">
    <w:nsid w:val="7672BD23"/>
    <w:multiLevelType w:val="hybridMultilevel"/>
    <w:lvl w:ilvl="0">
      <w:lvlJc w:val="left"/>
      <w:lvlText w:val="%1."/>
      <w:numFmt w:val="lowerLetter"/>
      <w:start w:val="6"/>
    </w:lvl>
    <w:lvl w:ilvl="1">
      <w:lvlJc w:val="left"/>
      <w:lvlText w:val="%2."/>
      <w:numFmt w:val="lowerRoman"/>
      <w:start w:val="1"/>
    </w:lvl>
  </w:abstractNum>
  <w:abstractNum w:abstractNumId="78">
    <w:nsid w:val="6FC75AF8"/>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lvl w:ilvl="3">
      <w:lvlJc w:val="left"/>
      <w:lvlText w:val="%4."/>
      <w:numFmt w:val="lowerRoman"/>
      <w:start w:val="4"/>
    </w:lvl>
  </w:abstractNum>
  <w:abstractNum w:abstractNumId="79">
    <w:nsid w:val="6A5F7029"/>
    <w:multiLevelType w:val="hybridMultilevel"/>
    <w:lvl w:ilvl="0">
      <w:lvlJc w:val="left"/>
      <w:lvlText w:val="%1"/>
      <w:numFmt w:val="decimal"/>
      <w:start w:val="1"/>
    </w:lvl>
    <w:lvl w:ilvl="1">
      <w:lvlJc w:val="left"/>
      <w:lvlText w:val="%2."/>
      <w:numFmt w:val="lowerLetter"/>
      <w:start w:val="8"/>
    </w:lvl>
    <w:lvl w:ilvl="2">
      <w:lvlJc w:val="left"/>
      <w:lvlText w:val="(%3)"/>
      <w:numFmt w:val="decimal"/>
      <w:start w:val="10"/>
    </w:lvl>
    <w:lvl w:ilvl="3">
      <w:lvlJc w:val="left"/>
      <w:lvlText w:val="%4"/>
      <w:numFmt w:val="lowerRoman"/>
      <w:start w:val="1"/>
    </w:lvl>
  </w:abstractNum>
  <w:abstractNum w:abstractNumId="80">
    <w:nsid w:val="7D5E18F8"/>
    <w:multiLevelType w:val="hybridMultilevel"/>
    <w:lvl w:ilvl="0">
      <w:lvlJc w:val="left"/>
      <w:lvlText w:val="%1."/>
      <w:numFmt w:val="decimal"/>
      <w:start w:val="11"/>
    </w:lvl>
    <w:lvl w:ilvl="1">
      <w:lvlJc w:val="left"/>
      <w:lvlText w:val="%2."/>
      <w:numFmt w:val="lowerLetter"/>
      <w:start w:val="1"/>
    </w:lvl>
    <w:lvl w:ilvl="2">
      <w:lvlJc w:val="left"/>
      <w:lvlText w:val="%3"/>
      <w:numFmt w:val="decimal"/>
      <w:start w:val="1"/>
    </w:lvl>
    <w:lvl w:ilvl="3">
      <w:lvlJc w:val="left"/>
      <w:lvlText w:val="%4"/>
      <w:numFmt w:val="lowerRoman"/>
      <w:start w:val="1"/>
    </w:lvl>
  </w:abstractNum>
  <w:abstractNum w:abstractNumId="81">
    <w:nsid w:val="5F3534A4"/>
    <w:multiLevelType w:val="hybridMultilevel"/>
    <w:lvl w:ilvl="0">
      <w:lvlJc w:val="left"/>
      <w:lvlText w:val="%1."/>
      <w:numFmt w:val="lowerLetter"/>
      <w:start w:val="2"/>
    </w:lvl>
  </w:abstractNum>
  <w:abstractNum w:abstractNumId="82">
    <w:nsid w:val="73A1821B"/>
    <w:multiLevelType w:val="hybridMultilevel"/>
    <w:lvl w:ilvl="0">
      <w:lvlJc w:val="left"/>
      <w:lvlText w:val="%1"/>
      <w:numFmt w:val="decimal"/>
      <w:start w:val="1"/>
    </w:lvl>
    <w:lvl w:ilvl="1">
      <w:lvlJc w:val="left"/>
      <w:lvlText w:val="%2."/>
      <w:numFmt w:val="lowerLetter"/>
      <w:start w:val="3"/>
    </w:lvl>
  </w:abstractNum>
  <w:abstractNum w:abstractNumId="83">
    <w:nsid w:val="7DE67713"/>
    <w:multiLevelType w:val="hybridMultilevel"/>
    <w:lvl w:ilvl="0">
      <w:lvlJc w:val="left"/>
      <w:lvlText w:val="%1."/>
      <w:numFmt w:val="decimal"/>
      <w:start w:val="12"/>
    </w:lvl>
    <w:lvl w:ilvl="1">
      <w:lvlJc w:val="left"/>
      <w:lvlText w:val="%2."/>
      <w:numFmt w:val="lowerLetter"/>
      <w:start w:val="1"/>
    </w:lvl>
  </w:abstractNum>
  <w:abstractNum w:abstractNumId="84">
    <w:nsid w:val="555C55B5"/>
    <w:multiLevelType w:val="hybridMultilevel"/>
    <w:lvl w:ilvl="0">
      <w:lvlJc w:val="left"/>
      <w:lvlText w:val="%1."/>
      <w:numFmt w:val="lowerLetter"/>
      <w:start w:val="3"/>
    </w:lvl>
    <w:lvl w:ilvl="1">
      <w:lvlJc w:val="left"/>
      <w:lvlText w:val="%2."/>
      <w:numFmt w:val="lowerRoman"/>
      <w:start w:val="1"/>
    </w:lvl>
  </w:abstractNum>
  <w:abstractNum w:abstractNumId="85">
    <w:nsid w:val="3FA62ACA"/>
    <w:multiLevelType w:val="hybridMultilevel"/>
    <w:lvl w:ilvl="0">
      <w:lvlJc w:val="left"/>
      <w:lvlText w:val="%1."/>
      <w:numFmt w:val="lowerLetter"/>
      <w:start w:val="4"/>
    </w:lvl>
  </w:abstractNum>
  <w:abstractNum w:abstractNumId="86">
    <w:nsid w:val="14FCE74E"/>
    <w:multiLevelType w:val="hybridMultilevel"/>
    <w:lvl w:ilvl="0">
      <w:lvlJc w:val="left"/>
      <w:lvlText w:val="%1."/>
      <w:numFmt w:val="lowerLetter"/>
      <w:start w:val="7"/>
    </w:lvl>
  </w:abstractNum>
  <w:abstractNum w:abstractNumId="87">
    <w:nsid w:val="6A3DD3E8"/>
    <w:multiLevelType w:val="hybridMultilevel"/>
    <w:lvl w:ilvl="0">
      <w:lvlJc w:val="left"/>
      <w:lvlText w:val="%1."/>
      <w:numFmt w:val="lowerLetter"/>
      <w:start w:val="8"/>
    </w:lvl>
  </w:abstractNum>
  <w:abstractNum w:abstractNumId="88">
    <w:nsid w:val="71C91298"/>
    <w:multiLevelType w:val="hybridMultilevel"/>
    <w:lvl w:ilvl="0">
      <w:lvlJc w:val="left"/>
      <w:lvlText w:val="%1."/>
      <w:numFmt w:val="lowerLetter"/>
      <w:start w:val="10"/>
    </w:lvl>
    <w:lvl w:ilvl="1">
      <w:lvlJc w:val="left"/>
      <w:lvlText w:val="%2."/>
      <w:numFmt w:val="lowerRoman"/>
      <w:start w:val="1"/>
    </w:lvl>
  </w:abstractNum>
  <w:abstractNum w:abstractNumId="89">
    <w:nsid w:val="9DAF632"/>
    <w:multiLevelType w:val="hybridMultilevel"/>
    <w:lvl w:ilvl="0">
      <w:lvlJc w:val="left"/>
      <w:lvlText w:val="%1"/>
      <w:numFmt w:val="lowerLetter"/>
      <w:start w:val="1"/>
    </w:lvl>
    <w:lvl w:ilvl="1">
      <w:lvlJc w:val="left"/>
      <w:lvlText w:val="%2."/>
      <w:numFmt w:val="lowerLetter"/>
      <w:start w:val="61"/>
    </w:lvl>
  </w:abstractNum>
  <w:abstractNum w:abstractNumId="90">
    <w:nsid w:val="53299938"/>
    <w:multiLevelType w:val="hybridMultilevel"/>
    <w:lvl w:ilvl="0">
      <w:lvlJc w:val="left"/>
      <w:lvlText w:val="%1."/>
      <w:numFmt w:val="lowerLetter"/>
      <w:start w:val="12"/>
    </w:lvl>
    <w:lvl w:ilvl="1">
      <w:lvlJc w:val="left"/>
      <w:lvlText w:val="%2"/>
      <w:numFmt w:val="lowerLetter"/>
      <w:start w:val="1"/>
    </w:lvl>
  </w:abstractNum>
  <w:abstractNum w:abstractNumId="91">
    <w:nsid w:val="1FBFE8E0"/>
    <w:multiLevelType w:val="hybridMultilevel"/>
    <w:lvl w:ilvl="0">
      <w:lvlJc w:val="left"/>
      <w:lvlText w:val="%1."/>
      <w:numFmt w:val="lowerLetter"/>
      <w:start w:val="14"/>
    </w:lvl>
  </w:abstractNum>
  <w:abstractNum w:abstractNumId="92">
    <w:nsid w:val="5092CA79"/>
    <w:multiLevelType w:val="hybridMultilevel"/>
    <w:lvl w:ilvl="0">
      <w:lvlJc w:val="left"/>
      <w:lvlText w:val="%1."/>
      <w:numFmt w:val="lowerLetter"/>
      <w:start w:val="15"/>
    </w:lvl>
  </w:abstractNum>
  <w:abstractNum w:abstractNumId="93">
    <w:nsid w:val="1D545C4D"/>
    <w:multiLevelType w:val="hybridMultilevel"/>
    <w:lvl w:ilvl="0">
      <w:lvlJc w:val="left"/>
      <w:lvlText w:val="%1."/>
      <w:numFmt w:val="lowerLetter"/>
      <w:start w:val="19"/>
    </w:lvl>
  </w:abstractNum>
  <w:abstractNum w:abstractNumId="94">
    <w:nsid w:val="59ADEA3D"/>
    <w:multiLevelType w:val="hybridMultilevel"/>
    <w:lvl w:ilvl="0">
      <w:lvlJc w:val="left"/>
      <w:lvlText w:val="%1."/>
      <w:numFmt w:val="decimal"/>
      <w:start w:val="1"/>
    </w:lvl>
    <w:lvl w:ilvl="1">
      <w:lvlJc w:val="left"/>
      <w:lvlText w:val="%2."/>
      <w:numFmt w:val="lowerLetter"/>
      <w:start w:val="1"/>
    </w:lvl>
  </w:abstractNum>
  <w:abstractNum w:abstractNumId="95">
    <w:nsid w:val="288F1A34"/>
    <w:multiLevelType w:val="hybridMultilevel"/>
    <w:lvl w:ilvl="0">
      <w:lvlJc w:val="left"/>
      <w:lvlText w:val="%1."/>
      <w:numFmt w:val="lowerLetter"/>
      <w:start w:val="8"/>
    </w:lvl>
  </w:abstractNum>
  <w:abstractNum w:abstractNumId="96">
    <w:nsid w:val="2A155DBC"/>
    <w:multiLevelType w:val="hybridMultilevel"/>
    <w:lvl w:ilvl="0">
      <w:lvlJc w:val="left"/>
      <w:lvlText w:val="(%1)"/>
      <w:numFmt w:val="lowerLetter"/>
      <w:start w:val="1"/>
    </w:lvl>
  </w:abstractNum>
  <w:abstractNum w:abstractNumId="97">
    <w:nsid w:val="1D9F6E5F"/>
    <w:multiLevelType w:val="hybridMultilevel"/>
    <w:lvl w:ilvl="0">
      <w:lvlJc w:val="left"/>
      <w:lvlText w:val="%1."/>
      <w:numFmt w:val="lowerLetter"/>
      <w:start w:val="1"/>
    </w:lvl>
    <w:lvl w:ilvl="1">
      <w:lvlJc w:val="left"/>
      <w:lvlText w:val="%2."/>
      <w:numFmt w:val="lowerRoman"/>
      <w:start w:val="1"/>
    </w:lvl>
  </w:abstractNum>
  <w:abstractNum w:abstractNumId="98">
    <w:nsid w:val="97E1B4E"/>
    <w:multiLevelType w:val="hybridMultilevel"/>
    <w:lvl w:ilvl="0">
      <w:lvlJc w:val="left"/>
      <w:lvlText w:val="%1"/>
      <w:numFmt w:val="lowerLetter"/>
      <w:start w:val="1"/>
    </w:lvl>
    <w:lvl w:ilvl="1">
      <w:lvlJc w:val="left"/>
      <w:lvlText w:val="%2."/>
      <w:numFmt w:val="lowerRoman"/>
      <w:start w:val="3"/>
    </w:lvl>
  </w:abstractNum>
  <w:abstractNum w:abstractNumId="99">
    <w:nsid w:val="51088277"/>
    <w:multiLevelType w:val="hybridMultilevel"/>
    <w:lvl w:ilvl="0">
      <w:lvlJc w:val="left"/>
      <w:lvlText w:val="%1."/>
      <w:numFmt w:val="lowerLetter"/>
      <w:start w:val="3"/>
    </w:lvl>
    <w:lvl w:ilvl="1">
      <w:lvlJc w:val="left"/>
      <w:lvlText w:val="%2"/>
      <w:numFmt w:val="lowerRoman"/>
      <w:start w:val="1"/>
    </w:lvl>
  </w:abstractNum>
  <w:abstractNum w:abstractNumId="100">
    <w:nsid w:val="1CA0C5FA"/>
    <w:multiLevelType w:val="hybridMultilevel"/>
    <w:lvl w:ilvl="0">
      <w:lvlJc w:val="left"/>
      <w:lvlText w:val="(%1)"/>
      <w:numFmt w:val="upperLetter"/>
      <w:start w:val="2"/>
    </w:lvl>
  </w:abstractNum>
  <w:abstractNum w:abstractNumId="101">
    <w:nsid w:val="53584BCB"/>
    <w:multiLevelType w:val="hybridMultilevel"/>
    <w:lvl w:ilvl="0">
      <w:lvlJc w:val="left"/>
      <w:lvlText w:val="(%1)"/>
      <w:numFmt w:val="lowerLetter"/>
      <w:start w:val="1"/>
    </w:lvl>
  </w:abstractNum>
  <w:abstractNum w:abstractNumId="102">
    <w:nsid w:val="415E286C"/>
    <w:multiLevelType w:val="hybridMultilevel"/>
    <w:lvl w:ilvl="0">
      <w:lvlJc w:val="left"/>
      <w:lvlText w:val="(%1)"/>
      <w:numFmt w:val="lowerLetter"/>
      <w:start w:val="6"/>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
      <w:numFmt w:val="bullet"/>
      <w:start w:val="1"/>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decimal"/>
      <w:start w:val="1"/>
    </w:lvl>
  </w:abstractNum>
  <w:abstractNum w:abstractNumId="107">
    <w:nsid w:val="E7FFA2B"/>
    <w:multiLevelType w:val="hybridMultilevel"/>
    <w:lvl w:ilvl="0">
      <w:lvlJc w:val="left"/>
      <w:lvlText w:val="%1."/>
      <w:numFmt w:val="decimal"/>
      <w:start w:val="2"/>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lowerLetter"/>
      <w:start w:val="2"/>
    </w:lvl>
  </w:abstractNum>
  <w:abstractNum w:abstractNumId="110">
    <w:nsid w:val="78DF6A55"/>
    <w:multiLevelType w:val="hybridMultilevel"/>
    <w:lvl w:ilvl="0">
      <w:lvlJc w:val="left"/>
      <w:lvlText w:val="1"/>
      <w:numFmt w:val="bullet"/>
      <w:start w:val="1"/>
    </w:lvl>
  </w:abstractNum>
  <w:abstractNum w:abstractNumId="111">
    <w:nsid w:val="39B7AAA2"/>
    <w:multiLevelType w:val="hybridMultilevel"/>
    <w:lvl w:ilvl="0">
      <w:lvlJc w:val="left"/>
      <w:lvlText w:val="1"/>
      <w:numFmt w:val="bullet"/>
      <w:start w:val="1"/>
    </w:lvl>
  </w:abstractNum>
  <w:abstractNum w:abstractNumId="112">
    <w:nsid w:val="2B0D8DBE"/>
    <w:multiLevelType w:val="hybridMultilevel"/>
    <w:lvl w:ilvl="0">
      <w:lvlJc w:val="left"/>
      <w:lvlText w:val="%1."/>
      <w:numFmt w:val="upperLetter"/>
      <w:start w:val="1"/>
    </w:lvl>
  </w:abstractNum>
  <w:abstractNum w:abstractNumId="113">
    <w:nsid w:val="6C80EC70"/>
    <w:multiLevelType w:val="hybridMultilevel"/>
    <w:lvl w:ilvl="0">
      <w:lvlJc w:val="left"/>
      <w:lvlText w:val="%1."/>
      <w:numFmt w:val="decimal"/>
      <w:start w:val="1"/>
    </w:lvl>
  </w:abstractNum>
  <w:abstractNum w:abstractNumId="114">
    <w:nsid w:val="379E21B5"/>
    <w:multiLevelType w:val="hybridMultilevel"/>
    <w:lvl w:ilvl="0">
      <w:lvlJc w:val="left"/>
      <w:lvlText w:val="%1."/>
      <w:numFmt w:val="decimal"/>
      <w:start w:val="3"/>
    </w:lvl>
  </w:abstractNum>
  <w:abstractNum w:abstractNumId="115">
    <w:nsid w:val="69E373"/>
    <w:multiLevelType w:val="hybridMultilevel"/>
    <w:lvl w:ilvl="0">
      <w:lvlJc w:val="left"/>
      <w:lvlText w:val="**"/>
      <w:numFmt w:val="bullet"/>
      <w:start w:val="1"/>
    </w:lvl>
    <w:lvl w:ilvl="1">
      <w:lvlJc w:val="left"/>
      <w:lvlText w:val="*"/>
      <w:numFmt w:val="bullet"/>
      <w:start w:val="1"/>
    </w:lvl>
  </w:abstractNum>
  <w:abstractNum w:abstractNumId="116">
    <w:nsid w:val="2C27173B"/>
    <w:multiLevelType w:val="hybridMultilevel"/>
    <w:lvl w:ilvl="0">
      <w:lvlJc w:val="left"/>
      <w:lvlText w:val="%1."/>
      <w:numFmt w:val="decimal"/>
      <w:start w:val="1"/>
    </w:lvl>
    <w:lvl w:ilvl="1">
      <w:lvlJc w:val="left"/>
      <w:lvlText w:val="%2)"/>
      <w:numFmt w:val="lowerLetter"/>
      <w:start w:val="1"/>
    </w:lvl>
  </w:abstractNum>
  <w:abstractNum w:abstractNumId="117">
    <w:nsid w:val="4C9B0904"/>
    <w:multiLevelType w:val="hybridMultilevel"/>
    <w:lvl w:ilvl="0">
      <w:lvlJc w:val="left"/>
      <w:lvlText w:val="%1."/>
      <w:numFmt w:val="decimal"/>
      <w:start w:val="1"/>
    </w:lvl>
    <w:lvl w:ilvl="1">
      <w:lvlJc w:val="left"/>
      <w:lvlText w:val="%2)"/>
      <w:numFmt w:val="lowerLetter"/>
      <w:start w:val="1"/>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2021-11-08T15:25:56Z</dcterms:created>
  <dcterms:modified xsi:type="dcterms:W3CDTF">2021-11-08T15:25:56Z</dcterms:modified>
</cp:coreProperties>
</file>