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717550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47625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82" w:lineRule="exact"/>
        <w:rPr>
          <w:sz w:val="24"/>
          <w:szCs w:val="24"/>
          <w:color w:val="auto"/>
        </w:rPr>
      </w:pPr>
    </w:p>
    <w:p>
      <w:pPr>
        <w:ind w:left="380" w:hanging="21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w:t>
      </w:r>
    </w:p>
    <w:p>
      <w:pPr>
        <w:spacing w:after="0" w:line="15"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118110</wp:posOffset>
            </wp:positionH>
            <wp:positionV relativeFrom="paragraph">
              <wp:posOffset>-245745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13" w:lineRule="exact"/>
        <w:rPr>
          <w:sz w:val="24"/>
          <w:szCs w:val="24"/>
          <w:color w:val="auto"/>
        </w:rPr>
      </w:pPr>
    </w:p>
    <w:p>
      <w:pPr>
        <w:jc w:val="center"/>
        <w:ind w:right="-240"/>
        <w:spacing w:after="0"/>
        <w:rPr>
          <w:sz w:val="20"/>
          <w:szCs w:val="20"/>
          <w:color w:val="auto"/>
        </w:rPr>
      </w:pPr>
      <w:r>
        <w:rPr>
          <w:rFonts w:ascii="Arial" w:cs="Arial" w:eastAsia="Arial" w:hAnsi="Arial"/>
          <w:sz w:val="14"/>
          <w:szCs w:val="14"/>
          <w:b w:val="1"/>
          <w:bCs w:val="1"/>
          <w:color w:val="auto"/>
        </w:rPr>
        <w:t>For the quarterly period ended June 30, 2020</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7" w:lineRule="exact"/>
        <w:rPr>
          <w:sz w:val="24"/>
          <w:szCs w:val="24"/>
          <w:color w:val="auto"/>
        </w:rPr>
      </w:pPr>
    </w:p>
    <w:p>
      <w:pPr>
        <w:ind w:left="380" w:hanging="217"/>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w:t>
      </w:r>
    </w:p>
    <w:p>
      <w:pPr>
        <w:spacing w:after="0" w:line="15"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1934</w:t>
      </w:r>
    </w:p>
    <w:p>
      <w:pPr>
        <w:spacing w:after="0" w:line="201" w:lineRule="exact"/>
        <w:rPr>
          <w:sz w:val="24"/>
          <w:szCs w:val="24"/>
          <w:color w:val="auto"/>
        </w:rPr>
      </w:pPr>
    </w:p>
    <w:p>
      <w:pPr>
        <w:ind w:left="300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60325</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AXSOME THERAPEUTICS,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60"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4280" w:type="dxa"/>
            <w:vAlign w:val="bottom"/>
          </w:tcPr>
          <w:p>
            <w:pPr>
              <w:jc w:val="center"/>
              <w:ind w:right="757"/>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jc w:val="center"/>
              <w:ind w:left="759"/>
              <w:spacing w:after="0"/>
              <w:rPr>
                <w:sz w:val="20"/>
                <w:szCs w:val="20"/>
                <w:color w:val="auto"/>
              </w:rPr>
            </w:pPr>
            <w:r>
              <w:rPr>
                <w:rFonts w:ascii="Arial" w:cs="Arial" w:eastAsia="Arial" w:hAnsi="Arial"/>
                <w:sz w:val="18"/>
                <w:szCs w:val="18"/>
                <w:b w:val="1"/>
                <w:bCs w:val="1"/>
                <w:color w:val="auto"/>
                <w:w w:val="89"/>
              </w:rPr>
              <w:t>45-4241907</w:t>
            </w:r>
          </w:p>
        </w:tc>
      </w:tr>
      <w:tr>
        <w:trPr>
          <w:trHeight w:val="182"/>
        </w:trPr>
        <w:tc>
          <w:tcPr>
            <w:tcW w:w="4280" w:type="dxa"/>
            <w:vAlign w:val="bottom"/>
          </w:tcPr>
          <w:p>
            <w:pPr>
              <w:jc w:val="center"/>
              <w:ind w:right="75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940" w:type="dxa"/>
            <w:vAlign w:val="bottom"/>
          </w:tcPr>
          <w:p>
            <w:pPr>
              <w:jc w:val="center"/>
              <w:ind w:left="759"/>
              <w:spacing w:after="0"/>
              <w:rPr>
                <w:sz w:val="20"/>
                <w:szCs w:val="20"/>
                <w:color w:val="auto"/>
              </w:rPr>
            </w:pPr>
            <w:r>
              <w:rPr>
                <w:rFonts w:ascii="Arial" w:cs="Arial" w:eastAsia="Arial" w:hAnsi="Arial"/>
                <w:sz w:val="14"/>
                <w:szCs w:val="14"/>
                <w:color w:val="auto"/>
                <w:w w:val="97"/>
              </w:rPr>
              <w:t>(I.R.S. Employer Identification No.)</w:t>
            </w:r>
          </w:p>
        </w:tc>
      </w:tr>
      <w:tr>
        <w:trPr>
          <w:trHeight w:val="553"/>
        </w:trPr>
        <w:tc>
          <w:tcPr>
            <w:tcW w:w="4280" w:type="dxa"/>
            <w:vAlign w:val="bottom"/>
          </w:tcPr>
          <w:p>
            <w:pPr>
              <w:jc w:val="center"/>
              <w:ind w:right="757"/>
              <w:spacing w:after="0"/>
              <w:rPr>
                <w:sz w:val="20"/>
                <w:szCs w:val="20"/>
                <w:color w:val="auto"/>
              </w:rPr>
            </w:pPr>
            <w:r>
              <w:rPr>
                <w:rFonts w:ascii="Arial" w:cs="Arial" w:eastAsia="Arial" w:hAnsi="Arial"/>
                <w:sz w:val="18"/>
                <w:szCs w:val="18"/>
                <w:b w:val="1"/>
                <w:bCs w:val="1"/>
                <w:color w:val="auto"/>
                <w:w w:val="91"/>
              </w:rPr>
              <w:t>22 Cortlandt Street</w:t>
            </w:r>
          </w:p>
        </w:tc>
        <w:tc>
          <w:tcPr>
            <w:tcW w:w="2940" w:type="dxa"/>
            <w:vAlign w:val="bottom"/>
          </w:tcPr>
          <w:p>
            <w:pPr>
              <w:spacing w:after="0"/>
              <w:rPr>
                <w:sz w:val="24"/>
                <w:szCs w:val="24"/>
                <w:color w:val="auto"/>
              </w:rPr>
            </w:pPr>
          </w:p>
        </w:tc>
      </w:tr>
      <w:tr>
        <w:trPr>
          <w:trHeight w:val="210"/>
        </w:trPr>
        <w:tc>
          <w:tcPr>
            <w:tcW w:w="4280" w:type="dxa"/>
            <w:vAlign w:val="bottom"/>
          </w:tcPr>
          <w:p>
            <w:pPr>
              <w:jc w:val="center"/>
              <w:ind w:right="757"/>
              <w:spacing w:after="0" w:line="211" w:lineRule="exact"/>
              <w:rPr>
                <w:sz w:val="20"/>
                <w:szCs w:val="20"/>
                <w:color w:val="auto"/>
              </w:rPr>
            </w:pPr>
            <w:r>
              <w:rPr>
                <w:rFonts w:ascii="Arial" w:cs="Arial" w:eastAsia="Arial" w:hAnsi="Arial"/>
                <w:sz w:val="17"/>
                <w:szCs w:val="17"/>
                <w:b w:val="1"/>
                <w:bCs w:val="1"/>
                <w:color w:val="auto"/>
                <w:w w:val="93"/>
              </w:rPr>
              <w:t>16</w:t>
            </w:r>
            <w:r>
              <w:rPr>
                <w:rFonts w:ascii="Arial" w:cs="Arial" w:eastAsia="Arial" w:hAnsi="Arial"/>
                <w:sz w:val="24"/>
                <w:szCs w:val="24"/>
                <w:b w:val="1"/>
                <w:bCs w:val="1"/>
                <w:color w:val="auto"/>
                <w:w w:val="93"/>
                <w:vertAlign w:val="superscript"/>
              </w:rPr>
              <w:t>th</w:t>
            </w:r>
            <w:r>
              <w:rPr>
                <w:rFonts w:ascii="Arial" w:cs="Arial" w:eastAsia="Arial" w:hAnsi="Arial"/>
                <w:sz w:val="17"/>
                <w:szCs w:val="17"/>
                <w:b w:val="1"/>
                <w:bCs w:val="1"/>
                <w:color w:val="auto"/>
                <w:w w:val="93"/>
              </w:rPr>
              <w:t xml:space="preserve"> Floor</w:t>
            </w:r>
          </w:p>
        </w:tc>
        <w:tc>
          <w:tcPr>
            <w:tcW w:w="2940" w:type="dxa"/>
            <w:vAlign w:val="bottom"/>
          </w:tcPr>
          <w:p>
            <w:pPr>
              <w:spacing w:after="0"/>
              <w:rPr>
                <w:sz w:val="18"/>
                <w:szCs w:val="18"/>
                <w:color w:val="auto"/>
              </w:rPr>
            </w:pPr>
          </w:p>
        </w:tc>
      </w:tr>
      <w:tr>
        <w:trPr>
          <w:trHeight w:val="202"/>
        </w:trPr>
        <w:tc>
          <w:tcPr>
            <w:tcW w:w="4280" w:type="dxa"/>
            <w:vAlign w:val="bottom"/>
          </w:tcPr>
          <w:p>
            <w:pPr>
              <w:jc w:val="center"/>
              <w:ind w:right="777"/>
              <w:spacing w:after="0" w:line="202" w:lineRule="exact"/>
              <w:rPr>
                <w:sz w:val="20"/>
                <w:szCs w:val="20"/>
                <w:color w:val="auto"/>
              </w:rPr>
            </w:pPr>
            <w:r>
              <w:rPr>
                <w:rFonts w:ascii="Arial" w:cs="Arial" w:eastAsia="Arial" w:hAnsi="Arial"/>
                <w:sz w:val="18"/>
                <w:szCs w:val="18"/>
                <w:b w:val="1"/>
                <w:bCs w:val="1"/>
                <w:color w:val="auto"/>
                <w:w w:val="93"/>
              </w:rPr>
              <w:t>New York, New York</w:t>
            </w:r>
          </w:p>
        </w:tc>
        <w:tc>
          <w:tcPr>
            <w:tcW w:w="2940" w:type="dxa"/>
            <w:vAlign w:val="bottom"/>
          </w:tcPr>
          <w:p>
            <w:pPr>
              <w:jc w:val="center"/>
              <w:ind w:left="759"/>
              <w:spacing w:after="0" w:line="202" w:lineRule="exact"/>
              <w:rPr>
                <w:sz w:val="20"/>
                <w:szCs w:val="20"/>
                <w:color w:val="auto"/>
              </w:rPr>
            </w:pPr>
            <w:r>
              <w:rPr>
                <w:rFonts w:ascii="Arial" w:cs="Arial" w:eastAsia="Arial" w:hAnsi="Arial"/>
                <w:sz w:val="18"/>
                <w:szCs w:val="18"/>
                <w:b w:val="1"/>
                <w:bCs w:val="1"/>
                <w:color w:val="auto"/>
                <w:w w:val="91"/>
              </w:rPr>
              <w:t>10007</w:t>
            </w:r>
          </w:p>
        </w:tc>
      </w:tr>
      <w:tr>
        <w:trPr>
          <w:trHeight w:val="182"/>
        </w:trPr>
        <w:tc>
          <w:tcPr>
            <w:tcW w:w="4280" w:type="dxa"/>
            <w:vAlign w:val="bottom"/>
          </w:tcPr>
          <w:p>
            <w:pPr>
              <w:jc w:val="center"/>
              <w:ind w:right="757"/>
              <w:spacing w:after="0"/>
              <w:rPr>
                <w:sz w:val="20"/>
                <w:szCs w:val="20"/>
                <w:color w:val="auto"/>
              </w:rPr>
            </w:pPr>
            <w:r>
              <w:rPr>
                <w:rFonts w:ascii="Arial" w:cs="Arial" w:eastAsia="Arial" w:hAnsi="Arial"/>
                <w:sz w:val="14"/>
                <w:szCs w:val="14"/>
                <w:color w:val="auto"/>
                <w:w w:val="95"/>
              </w:rPr>
              <w:t>(Address of principal executive offices)</w:t>
            </w:r>
          </w:p>
        </w:tc>
        <w:tc>
          <w:tcPr>
            <w:tcW w:w="2940" w:type="dxa"/>
            <w:vAlign w:val="bottom"/>
          </w:tcPr>
          <w:p>
            <w:pPr>
              <w:jc w:val="center"/>
              <w:ind w:left="739"/>
              <w:spacing w:after="0"/>
              <w:rPr>
                <w:sz w:val="20"/>
                <w:szCs w:val="20"/>
                <w:color w:val="auto"/>
              </w:rPr>
            </w:pPr>
            <w:r>
              <w:rPr>
                <w:rFonts w:ascii="Arial" w:cs="Arial" w:eastAsia="Arial" w:hAnsi="Arial"/>
                <w:sz w:val="14"/>
                <w:szCs w:val="14"/>
                <w:color w:val="auto"/>
                <w:w w:val="96"/>
              </w:rPr>
              <w:t>(Zip Code)</w:t>
            </w:r>
          </w:p>
        </w:tc>
      </w:tr>
    </w:tbl>
    <w:p>
      <w:pPr>
        <w:spacing w:after="0" w:line="88" w:lineRule="exact"/>
        <w:rPr>
          <w:sz w:val="24"/>
          <w:szCs w:val="24"/>
          <w:color w:val="auto"/>
        </w:rPr>
      </w:pPr>
    </w:p>
    <w:p>
      <w:pPr>
        <w:jc w:val="center"/>
        <w:ind w:left="1520" w:right="1820"/>
        <w:spacing w:after="0" w:line="341" w:lineRule="auto"/>
        <w:rPr>
          <w:sz w:val="20"/>
          <w:szCs w:val="20"/>
          <w:color w:val="auto"/>
        </w:rPr>
      </w:pPr>
      <w:r>
        <w:rPr>
          <w:rFonts w:ascii="Arial" w:cs="Arial" w:eastAsia="Arial" w:hAnsi="Arial"/>
          <w:sz w:val="17"/>
          <w:szCs w:val="17"/>
          <w:b w:val="1"/>
          <w:bCs w:val="1"/>
          <w:color w:val="auto"/>
        </w:rPr>
        <w:t>Registrant’s telephone number, including area code: (212) 332-3241 Former Address: 200 Broadway, 3rd Floor, New York, NY 10038 Securities registered pursuant to Section 12(g) of the Act: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spacing w:after="0" w:line="30" w:lineRule="exact"/>
        <w:rPr>
          <w:sz w:val="24"/>
          <w:szCs w:val="24"/>
          <w:color w:val="auto"/>
        </w:rPr>
      </w:pPr>
    </w:p>
    <w:p>
      <w:pPr>
        <w:ind w:left="60" w:right="179"/>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1458595</wp:posOffset>
            </wp:positionH>
            <wp:positionV relativeFrom="paragraph">
              <wp:posOffset>-133985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7" w:lineRule="exact"/>
        <w:rPr>
          <w:sz w:val="24"/>
          <w:szCs w:val="24"/>
          <w:color w:val="auto"/>
        </w:rPr>
      </w:pPr>
    </w:p>
    <w:p>
      <w:pPr>
        <w:ind w:left="60" w:right="279"/>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left="60" w:right="79"/>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019"/>
          </w:cols>
          <w:pgMar w:left="1440" w:top="665" w:right="1440" w:bottom="1440" w:gutter="0" w:footer="0" w:header="0"/>
        </w:sectPr>
      </w:pPr>
    </w:p>
    <w:p>
      <w:pPr>
        <w:spacing w:after="0" w:line="63" w:lineRule="exact"/>
        <w:rPr>
          <w:sz w:val="24"/>
          <w:szCs w:val="24"/>
          <w:color w:val="auto"/>
        </w:rPr>
      </w:pPr>
    </w:p>
    <w:p>
      <w:pPr>
        <w:ind w:left="6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63" w:lineRule="exact"/>
        <w:rPr>
          <w:sz w:val="24"/>
          <w:szCs w:val="24"/>
          <w:color w:val="auto"/>
        </w:rPr>
      </w:pPr>
    </w:p>
    <w:p>
      <w:pPr>
        <w:ind w:left="6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4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3"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09" w:lineRule="exact"/>
        <w:rPr>
          <w:sz w:val="24"/>
          <w:szCs w:val="24"/>
          <w:color w:val="auto"/>
        </w:rPr>
      </w:pPr>
    </w:p>
    <w:p>
      <w:pPr>
        <w:sectPr>
          <w:pgSz w:w="11900" w:h="16838" w:orient="portrait"/>
          <w:cols w:equalWidth="0" w:num="2">
            <w:col w:w="3780" w:space="720"/>
            <w:col w:w="4519"/>
          </w:cols>
          <w:pgMar w:left="1440" w:top="665" w:right="1440" w:bottom="1440" w:gutter="0" w:footer="0" w:header="0"/>
          <w:type w:val="continuous"/>
        </w:sectPr>
      </w:pPr>
    </w:p>
    <w:p>
      <w:pPr>
        <w:ind w:left="60" w:right="11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4634230</wp:posOffset>
            </wp:positionH>
            <wp:positionV relativeFrom="paragraph">
              <wp:posOffset>-65405</wp:posOffset>
            </wp:positionV>
            <wp:extent cx="69215" cy="70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7" w:lineRule="exact"/>
        <w:rPr>
          <w:sz w:val="24"/>
          <w:szCs w:val="24"/>
          <w:color w:val="auto"/>
        </w:rPr>
      </w:pPr>
    </w:p>
    <w:tbl>
      <w:tblPr>
        <w:tblLayout w:type="fixed"/>
        <w:tblInd w:w="40" w:type="dxa"/>
        <w:tblCellMar>
          <w:top w:w="0" w:type="dxa"/>
          <w:left w:w="0" w:type="dxa"/>
          <w:bottom w:w="0" w:type="dxa"/>
          <w:right w:w="0" w:type="dxa"/>
        </w:tblCellMar>
      </w:tblPr>
      <w:tr>
        <w:trPr>
          <w:trHeight w:val="185"/>
        </w:trPr>
        <w:tc>
          <w:tcPr>
            <w:tcW w:w="3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20" w:type="dxa"/>
            <w:vAlign w:val="bottom"/>
          </w:tcPr>
          <w:p>
            <w:pPr>
              <w:spacing w:after="0"/>
              <w:rPr>
                <w:sz w:val="15"/>
                <w:szCs w:val="15"/>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123" w:lineRule="exact"/>
        <w:rPr>
          <w:sz w:val="24"/>
          <w:szCs w:val="24"/>
          <w:color w:val="auto"/>
        </w:rPr>
      </w:pPr>
    </w:p>
    <w:p>
      <w:pPr>
        <w:ind w:left="60"/>
        <w:spacing w:after="0"/>
        <w:rPr>
          <w:sz w:val="20"/>
          <w:szCs w:val="20"/>
          <w:color w:val="auto"/>
        </w:rPr>
      </w:pPr>
      <w:r>
        <w:rPr>
          <w:rFonts w:ascii="Arial" w:cs="Arial" w:eastAsia="Arial" w:hAnsi="Arial"/>
          <w:sz w:val="14"/>
          <w:szCs w:val="14"/>
          <w:color w:val="auto"/>
        </w:rPr>
        <w:t>There were 37,284,266 shares of the registrant’s common stock, $0.0001 par value, outstanding as of August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240"/>
        <w:spacing w:after="0"/>
        <w:rPr>
          <w:sz w:val="20"/>
          <w:szCs w:val="20"/>
          <w:color w:val="auto"/>
        </w:rPr>
      </w:pPr>
      <w:r>
        <w:rPr>
          <w:rFonts w:ascii="Arial" w:cs="Arial" w:eastAsia="Arial" w:hAnsi="Arial"/>
          <w:sz w:val="18"/>
          <w:szCs w:val="18"/>
          <w:b w:val="1"/>
          <w:bCs w:val="1"/>
          <w:color w:val="auto"/>
        </w:rPr>
        <w:t>AXSOME THERAPEUTICS, INC.</w:t>
      </w:r>
    </w:p>
    <w:p>
      <w:pPr>
        <w:spacing w:after="0" w:line="11" w:lineRule="exact"/>
        <w:rPr>
          <w:sz w:val="20"/>
          <w:szCs w:val="20"/>
          <w:color w:val="auto"/>
        </w:rPr>
      </w:pPr>
    </w:p>
    <w:p>
      <w:pPr>
        <w:jc w:val="center"/>
        <w:ind w:left="1240"/>
        <w:spacing w:after="0"/>
        <w:rPr>
          <w:sz w:val="20"/>
          <w:szCs w:val="20"/>
          <w:color w:val="auto"/>
        </w:rPr>
      </w:pPr>
      <w:r>
        <w:rPr>
          <w:rFonts w:ascii="Arial" w:cs="Arial" w:eastAsia="Arial" w:hAnsi="Arial"/>
          <w:sz w:val="18"/>
          <w:szCs w:val="18"/>
          <w:b w:val="1"/>
          <w:bCs w:val="1"/>
          <w:color w:val="auto"/>
        </w:rPr>
        <w:t>QUARTERLY REPORT ON FORM 10-Q</w:t>
      </w:r>
    </w:p>
    <w:p>
      <w:pPr>
        <w:jc w:val="center"/>
        <w:ind w:left="1240"/>
        <w:spacing w:after="0"/>
        <w:rPr>
          <w:sz w:val="20"/>
          <w:szCs w:val="20"/>
          <w:color w:val="auto"/>
        </w:rPr>
      </w:pPr>
      <w:r>
        <w:rPr>
          <w:rFonts w:ascii="Arial" w:cs="Arial" w:eastAsia="Arial" w:hAnsi="Arial"/>
          <w:sz w:val="17"/>
          <w:szCs w:val="17"/>
          <w:b w:val="1"/>
          <w:bCs w:val="1"/>
          <w:color w:val="auto"/>
        </w:rPr>
        <w:t>FOR THE QUARTER ENDED JUNE 30, 2020</w:t>
      </w:r>
    </w:p>
    <w:p>
      <w:pPr>
        <w:spacing w:after="0" w:line="1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ind w:left="40" w:right="1940"/>
        <w:spacing w:after="0" w:line="367" w:lineRule="auto"/>
        <w:rPr>
          <w:rFonts w:ascii="Arial" w:cs="Arial" w:eastAsia="Arial" w:hAnsi="Arial"/>
          <w:sz w:val="18"/>
          <w:szCs w:val="18"/>
          <w:b w:val="1"/>
          <w:bCs w:val="1"/>
          <w:u w:val="single" w:color="auto"/>
          <w:color w:val="0000EE"/>
        </w:rPr>
      </w:pPr>
      <w:hyperlink w:anchor="page3">
        <w:r>
          <w:rPr>
            <w:rFonts w:ascii="Arial" w:cs="Arial" w:eastAsia="Arial" w:hAnsi="Arial"/>
            <w:sz w:val="18"/>
            <w:szCs w:val="18"/>
            <w:u w:val="single" w:color="auto"/>
            <w:color w:val="0000EE"/>
          </w:rPr>
          <w:t>CAUTIONARY NOTE REGARDING FORWARD LOOKING STATEMENTS</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b w:val="1"/>
            <w:bCs w:val="1"/>
            <w:u w:val="single" w:color="auto"/>
            <w:color w:val="0000EE"/>
          </w:rPr>
          <w:t>PART I — FINANCIAL INFORMATION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8890</wp:posOffset>
            </wp:positionV>
            <wp:extent cx="36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7"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w:t>
      </w:r>
    </w:p>
    <w:p>
      <w:pPr>
        <w:spacing w:after="0" w:line="399" w:lineRule="exact"/>
        <w:rPr>
          <w:sz w:val="20"/>
          <w:szCs w:val="20"/>
          <w:color w:val="auto"/>
        </w:rPr>
      </w:pPr>
    </w:p>
    <w:p>
      <w:pPr>
        <w:sectPr>
          <w:pgSz w:w="11900" w:h="16838" w:orient="portrait"/>
          <w:cols w:equalWidth="0" w:num="2">
            <w:col w:w="7760" w:space="720"/>
            <w:col w:w="539"/>
          </w:cols>
          <w:pgMar w:left="1440" w:top="517" w:right="1440" w:bottom="1440" w:gutter="0" w:footer="0" w:header="0"/>
        </w:sectPr>
      </w:pPr>
    </w:p>
    <w:tbl>
      <w:tblPr>
        <w:tblLayout w:type="fixed"/>
        <w:tblInd w:w="40" w:type="dxa"/>
        <w:tblCellMar>
          <w:top w:w="0" w:type="dxa"/>
          <w:left w:w="0" w:type="dxa"/>
          <w:bottom w:w="0" w:type="dxa"/>
          <w:right w:w="0" w:type="dxa"/>
        </w:tblCellMar>
      </w:tblPr>
      <w:tr>
        <w:trPr>
          <w:trHeight w:val="230"/>
        </w:trPr>
        <w:tc>
          <w:tcPr>
            <w:tcW w:w="8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7180" w:type="dxa"/>
            <w:vAlign w:val="bottom"/>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8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2</w:t>
              </w:r>
            </w:hyperlink>
          </w:p>
        </w:tc>
        <w:tc>
          <w:tcPr>
            <w:tcW w:w="7180" w:type="dxa"/>
            <w:vAlign w:val="bottom"/>
          </w:tcPr>
          <w:p>
            <w:pPr>
              <w:ind w:left="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1"/>
        </w:trPr>
        <w:tc>
          <w:tcPr>
            <w:tcW w:w="8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3</w:t>
              </w:r>
            </w:hyperlink>
          </w:p>
        </w:tc>
        <w:tc>
          <w:tcPr>
            <w:tcW w:w="7180" w:type="dxa"/>
            <w:vAlign w:val="bottom"/>
          </w:tcPr>
          <w:p>
            <w:pPr>
              <w:ind w:left="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Quantitative and Qualitative Disclosure About Market Risk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8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4</w:t>
              </w:r>
            </w:hyperlink>
          </w:p>
        </w:tc>
        <w:tc>
          <w:tcPr>
            <w:tcW w:w="7180" w:type="dxa"/>
            <w:vAlign w:val="bottom"/>
          </w:tcPr>
          <w:p>
            <w:pPr>
              <w:ind w:left="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Controls and Procedures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1"/>
        </w:trPr>
        <w:tc>
          <w:tcPr>
            <w:tcW w:w="7980" w:type="dxa"/>
            <w:vAlign w:val="bottom"/>
            <w:gridSpan w:val="2"/>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PART II — OTHER INFORMATION</w:t>
              </w:r>
            </w:hyperlink>
          </w:p>
        </w:tc>
        <w:tc>
          <w:tcPr>
            <w:tcW w:w="940" w:type="dxa"/>
            <w:vAlign w:val="bottom"/>
          </w:tcPr>
          <w:p>
            <w:pPr>
              <w:spacing w:after="0"/>
              <w:rPr>
                <w:sz w:val="24"/>
                <w:szCs w:val="24"/>
                <w:color w:val="auto"/>
              </w:rPr>
            </w:pPr>
          </w:p>
        </w:tc>
      </w:tr>
      <w:tr>
        <w:trPr>
          <w:trHeight w:val="310"/>
        </w:trPr>
        <w:tc>
          <w:tcPr>
            <w:tcW w:w="80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1</w:t>
              </w:r>
            </w:hyperlink>
          </w:p>
        </w:tc>
        <w:tc>
          <w:tcPr>
            <w:tcW w:w="7180" w:type="dxa"/>
            <w:vAlign w:val="bottom"/>
          </w:tcPr>
          <w:p>
            <w:pPr>
              <w:ind w:left="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Legal Proceedings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1"/>
        </w:trPr>
        <w:tc>
          <w:tcPr>
            <w:tcW w:w="80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1A</w:t>
              </w:r>
            </w:hyperlink>
          </w:p>
        </w:tc>
        <w:tc>
          <w:tcPr>
            <w:tcW w:w="7180" w:type="dxa"/>
            <w:vAlign w:val="bottom"/>
          </w:tcPr>
          <w:p>
            <w:pPr>
              <w:ind w:left="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1"/>
        </w:trPr>
        <w:tc>
          <w:tcPr>
            <w:tcW w:w="800" w:type="dxa"/>
            <w:vAlign w:val="bottom"/>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ITEM 6</w:t>
              </w:r>
            </w:hyperlink>
          </w:p>
        </w:tc>
        <w:tc>
          <w:tcPr>
            <w:tcW w:w="7180" w:type="dxa"/>
            <w:vAlign w:val="bottom"/>
          </w:tcPr>
          <w:p>
            <w:pPr>
              <w:ind w:left="4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Exhibits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10"/>
        </w:trPr>
        <w:tc>
          <w:tcPr>
            <w:tcW w:w="800" w:type="dxa"/>
            <w:vAlign w:val="bottom"/>
          </w:tcPr>
          <w:p>
            <w:pPr>
              <w:spacing w:after="0"/>
              <w:rPr>
                <w:rFonts w:ascii="Arial" w:cs="Arial" w:eastAsia="Arial" w:hAnsi="Arial"/>
                <w:sz w:val="18"/>
                <w:szCs w:val="18"/>
                <w:u w:val="single" w:color="auto"/>
                <w:color w:val="0000EE"/>
                <w:w w:val="90"/>
              </w:rPr>
            </w:pPr>
            <w:hyperlink w:anchor="page102">
              <w:r>
                <w:rPr>
                  <w:rFonts w:ascii="Arial" w:cs="Arial" w:eastAsia="Arial" w:hAnsi="Arial"/>
                  <w:sz w:val="18"/>
                  <w:szCs w:val="18"/>
                  <w:u w:val="single" w:color="auto"/>
                  <w:color w:val="0000EE"/>
                  <w:w w:val="90"/>
                </w:rPr>
                <w:t>Signatures</w:t>
              </w:r>
            </w:hyperlink>
          </w:p>
        </w:tc>
        <w:tc>
          <w:tcPr>
            <w:tcW w:w="7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6"/>
          <w:szCs w:val="16"/>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54" w:lineRule="exact"/>
        <w:rPr>
          <w:sz w:val="20"/>
          <w:szCs w:val="20"/>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increases or decreases in expenses;</w:t>
      </w:r>
    </w:p>
    <w:p>
      <w:pPr>
        <w:spacing w:after="0" w:line="11" w:lineRule="exact"/>
        <w:rPr>
          <w:rFonts w:ascii="Arial" w:cs="Arial" w:eastAsia="Arial" w:hAnsi="Arial"/>
          <w:sz w:val="18"/>
          <w:szCs w:val="18"/>
          <w:color w:val="auto"/>
        </w:rPr>
      </w:pPr>
    </w:p>
    <w:p>
      <w:pPr>
        <w:ind w:left="1040" w:right="99" w:hanging="321"/>
        <w:spacing w:after="0" w:line="23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the clinical and preclinical development, manufacturing, regulatory approval, and commercialization of our pharmaceutical product candidates or any other products that we may acquire or in-license;</w:t>
      </w:r>
    </w:p>
    <w:p>
      <w:pPr>
        <w:spacing w:after="0" w:line="2" w:lineRule="exact"/>
        <w:rPr>
          <w:rFonts w:ascii="Arial" w:cs="Arial" w:eastAsia="Arial" w:hAnsi="Arial"/>
          <w:sz w:val="18"/>
          <w:szCs w:val="18"/>
          <w:color w:val="auto"/>
        </w:rPr>
      </w:pPr>
    </w:p>
    <w:p>
      <w:pPr>
        <w:ind w:left="1040" w:right="139" w:hanging="321"/>
        <w:spacing w:after="0" w:line="23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sufficiency of our existing capital resources combined with future anticipated cash flows to finance our operating requirements;</w:t>
      </w:r>
    </w:p>
    <w:p>
      <w:pPr>
        <w:spacing w:after="0" w:line="1" w:lineRule="exact"/>
        <w:rPr>
          <w:rFonts w:ascii="Arial" w:cs="Arial" w:eastAsia="Arial" w:hAnsi="Arial"/>
          <w:sz w:val="18"/>
          <w:szCs w:val="18"/>
          <w:color w:val="auto"/>
        </w:rPr>
      </w:pPr>
    </w:p>
    <w:p>
      <w:pPr>
        <w:ind w:left="1040" w:right="1079" w:hanging="321"/>
        <w:spacing w:after="0" w:line="23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incurring capital expenditures to expand our research and development and manufacturing capabilities;</w:t>
      </w:r>
    </w:p>
    <w:p>
      <w:pPr>
        <w:spacing w:after="0" w:line="1" w:lineRule="exact"/>
        <w:rPr>
          <w:rFonts w:ascii="Arial" w:cs="Arial" w:eastAsia="Arial" w:hAnsi="Arial"/>
          <w:sz w:val="18"/>
          <w:szCs w:val="18"/>
          <w:color w:val="auto"/>
        </w:rPr>
      </w:pPr>
    </w:p>
    <w:p>
      <w:pPr>
        <w:ind w:left="1040" w:right="639" w:hanging="321"/>
        <w:spacing w:after="0" w:line="23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unforeseen circumstances or other disruptions to normal business operations arising from or related to COVID-19;</w:t>
      </w:r>
    </w:p>
    <w:p>
      <w:pPr>
        <w:spacing w:after="0" w:line="1" w:lineRule="exact"/>
        <w:rPr>
          <w:rFonts w:ascii="Arial" w:cs="Arial" w:eastAsia="Arial" w:hAnsi="Arial"/>
          <w:sz w:val="18"/>
          <w:szCs w:val="18"/>
          <w:color w:val="auto"/>
        </w:rPr>
      </w:pPr>
    </w:p>
    <w:p>
      <w:pPr>
        <w:ind w:left="1040" w:hanging="321"/>
        <w:spacing w:after="0" w:line="23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generating revenue or becoming profitable on a sustained basis;</w:t>
      </w:r>
    </w:p>
    <w:p>
      <w:pPr>
        <w:ind w:left="1040" w:hanging="321"/>
        <w:spacing w:after="0" w:line="23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or ability to enter into marketing and other partnership agreements;</w:t>
      </w:r>
    </w:p>
    <w:p>
      <w:pPr>
        <w:ind w:left="1040" w:hanging="321"/>
        <w:spacing w:after="0" w:line="23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or ability to enter into product acquisition and in-licensing transactions;</w:t>
      </w:r>
    </w:p>
    <w:p>
      <w:pPr>
        <w:ind w:left="1040" w:right="339" w:hanging="321"/>
        <w:spacing w:after="0" w:line="23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or ability to build our own commercial infrastructure to manufacture, market and sell our product candidates;</w:t>
      </w:r>
    </w:p>
    <w:p>
      <w:pPr>
        <w:spacing w:after="0" w:line="1" w:lineRule="exact"/>
        <w:rPr>
          <w:rFonts w:ascii="Arial" w:cs="Arial" w:eastAsia="Arial" w:hAnsi="Arial"/>
          <w:sz w:val="18"/>
          <w:szCs w:val="18"/>
          <w:color w:val="auto"/>
        </w:rPr>
      </w:pPr>
    </w:p>
    <w:p>
      <w:pPr>
        <w:ind w:left="1040" w:hanging="321"/>
        <w:spacing w:after="0" w:line="23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losses;</w:t>
      </w:r>
    </w:p>
    <w:p>
      <w:pPr>
        <w:ind w:left="1040" w:hanging="321"/>
        <w:spacing w:after="0" w:line="23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ind w:left="1040" w:hanging="321"/>
        <w:spacing w:after="0" w:line="23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acceptance of our products by doctors, patients, or payors;</w:t>
      </w:r>
    </w:p>
    <w:p>
      <w:pPr>
        <w:ind w:left="1040" w:hanging="321"/>
        <w:spacing w:after="0" w:line="23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stock price and its volatility;</w:t>
      </w:r>
    </w:p>
    <w:p>
      <w:pPr>
        <w:ind w:left="1040" w:hanging="321"/>
        <w:spacing w:after="0" w:line="23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ind w:left="1040" w:hanging="321"/>
        <w:spacing w:after="0" w:line="23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manufacturers;</w:t>
      </w:r>
    </w:p>
    <w:p>
      <w:pPr>
        <w:ind w:left="1040" w:hanging="321"/>
        <w:spacing w:after="0" w:line="23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future capital requirements; and</w:t>
      </w: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strategy.</w:t>
      </w:r>
    </w:p>
    <w:p>
      <w:pPr>
        <w:spacing w:after="0" w:line="182" w:lineRule="exact"/>
        <w:rPr>
          <w:sz w:val="20"/>
          <w:szCs w:val="20"/>
          <w:color w:val="auto"/>
        </w:rPr>
      </w:pPr>
    </w:p>
    <w:p>
      <w:pPr>
        <w:jc w:val="both"/>
        <w:ind w:left="40" w:right="139" w:firstLine="648"/>
        <w:spacing w:after="0" w:line="324"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11" w:lineRule="exact"/>
        <w:rPr>
          <w:sz w:val="20"/>
          <w:szCs w:val="20"/>
          <w:color w:val="auto"/>
        </w:rPr>
      </w:pPr>
    </w:p>
    <w:p>
      <w:pPr>
        <w:jc w:val="both"/>
        <w:ind w:left="40" w:right="119" w:firstLine="648"/>
        <w:spacing w:after="0" w:line="248" w:lineRule="auto"/>
        <w:rPr>
          <w:sz w:val="20"/>
          <w:szCs w:val="20"/>
          <w:color w:val="auto"/>
        </w:rPr>
      </w:pPr>
      <w:r>
        <w:rPr>
          <w:rFonts w:ascii="Arial" w:cs="Arial" w:eastAsia="Arial" w:hAnsi="Arial"/>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right="2979" w:firstLine="2927"/>
        <w:spacing w:after="0" w:line="422" w:lineRule="auto"/>
        <w:rPr>
          <w:sz w:val="20"/>
          <w:szCs w:val="20"/>
          <w:color w:val="auto"/>
        </w:rPr>
      </w:pPr>
      <w:r>
        <w:rPr>
          <w:rFonts w:ascii="Arial" w:cs="Arial" w:eastAsia="Arial" w:hAnsi="Arial"/>
          <w:sz w:val="18"/>
          <w:szCs w:val="18"/>
          <w:b w:val="1"/>
          <w:bCs w:val="1"/>
          <w:color w:val="auto"/>
        </w:rPr>
        <w:t>PART I. FINANCIAL INFORMATION ITEM 1.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333"/>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156"/>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8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190,682,109</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219,966,167</w:t>
            </w:r>
          </w:p>
        </w:tc>
        <w:tc>
          <w:tcPr>
            <w:tcW w:w="40" w:type="dxa"/>
            <w:vAlign w:val="bottom"/>
            <w:shd w:val="clear" w:color="auto" w:fill="CCEEFF"/>
          </w:tcPr>
          <w:p>
            <w:pPr>
              <w:spacing w:after="0"/>
              <w:rPr>
                <w:sz w:val="17"/>
                <w:szCs w:val="17"/>
                <w:color w:val="auto"/>
              </w:rPr>
            </w:pPr>
          </w:p>
        </w:tc>
      </w:tr>
      <w:tr>
        <w:trPr>
          <w:trHeight w:val="203"/>
        </w:trPr>
        <w:tc>
          <w:tcPr>
            <w:tcW w:w="5840" w:type="dxa"/>
            <w:vAlign w:val="bottom"/>
            <w:tcBorders>
              <w:bottom w:val="single" w:sz="8" w:color="CCEEFF"/>
            </w:tcBorders>
          </w:tcPr>
          <w:p>
            <w:pPr>
              <w:ind w:left="320"/>
              <w:spacing w:after="0" w:line="202" w:lineRule="exact"/>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137,181</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413,095</w:t>
            </w:r>
          </w:p>
        </w:tc>
        <w:tc>
          <w:tcPr>
            <w:tcW w:w="40" w:type="dxa"/>
            <w:vAlign w:val="bottom"/>
            <w:tcBorders>
              <w:bottom w:val="single" w:sz="8" w:color="CCEEFF"/>
            </w:tcBorders>
          </w:tcPr>
          <w:p>
            <w:pPr>
              <w:spacing w:after="0"/>
              <w:rPr>
                <w:sz w:val="17"/>
                <w:szCs w:val="17"/>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190,819,290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220,379,262</w:t>
            </w:r>
          </w:p>
        </w:tc>
        <w:tc>
          <w:tcPr>
            <w:tcW w:w="40" w:type="dxa"/>
            <w:vAlign w:val="bottom"/>
            <w:shd w:val="clear" w:color="auto" w:fill="CCEEFF"/>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Equipment, net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30,422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30,623</w:t>
            </w:r>
          </w:p>
        </w:tc>
        <w:tc>
          <w:tcPr>
            <w:tcW w:w="40" w:type="dxa"/>
            <w:vAlign w:val="bottom"/>
          </w:tcPr>
          <w:p>
            <w:pPr>
              <w:spacing w:after="0"/>
              <w:rPr>
                <w:sz w:val="17"/>
                <w:szCs w:val="17"/>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139,875</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139,875</w:t>
            </w:r>
          </w:p>
        </w:tc>
        <w:tc>
          <w:tcPr>
            <w:tcW w:w="40" w:type="dxa"/>
            <w:vAlign w:val="bottom"/>
            <w:shd w:val="clear" w:color="auto" w:fill="CCEEFF"/>
          </w:tcPr>
          <w:p>
            <w:pPr>
              <w:spacing w:after="0"/>
              <w:rPr>
                <w:sz w:val="17"/>
                <w:szCs w:val="17"/>
                <w:color w:val="auto"/>
              </w:rPr>
            </w:pPr>
          </w:p>
        </w:tc>
      </w:tr>
      <w:tr>
        <w:trPr>
          <w:trHeight w:val="236"/>
        </w:trPr>
        <w:tc>
          <w:tcPr>
            <w:tcW w:w="58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190,989,587</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220,549,760</w:t>
            </w:r>
          </w:p>
        </w:tc>
        <w:tc>
          <w:tcPr>
            <w:tcW w:w="40" w:type="dxa"/>
            <w:vAlign w:val="bottom"/>
            <w:tcBorders>
              <w:bottom w:val="single" w:sz="8" w:color="CCEEFF"/>
            </w:tcBorders>
          </w:tcPr>
          <w:p>
            <w:pPr>
              <w:spacing w:after="0"/>
              <w:rPr>
                <w:sz w:val="20"/>
                <w:szCs w:val="20"/>
                <w:color w:val="auto"/>
              </w:rPr>
            </w:pPr>
          </w:p>
        </w:tc>
      </w:tr>
      <w:tr>
        <w:trPr>
          <w:trHeight w:val="183"/>
        </w:trPr>
        <w:tc>
          <w:tcPr>
            <w:tcW w:w="584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8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9,363,225</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10,943,325</w:t>
            </w:r>
          </w:p>
        </w:tc>
        <w:tc>
          <w:tcPr>
            <w:tcW w:w="40" w:type="dxa"/>
            <w:vAlign w:val="bottom"/>
            <w:shd w:val="clear" w:color="auto" w:fill="CCEEFF"/>
          </w:tcPr>
          <w:p>
            <w:pPr>
              <w:spacing w:after="0"/>
              <w:rPr>
                <w:sz w:val="17"/>
                <w:szCs w:val="17"/>
                <w:color w:val="auto"/>
              </w:rPr>
            </w:pPr>
          </w:p>
        </w:tc>
      </w:tr>
      <w:tr>
        <w:trPr>
          <w:trHeight w:val="203"/>
        </w:trPr>
        <w:tc>
          <w:tcPr>
            <w:tcW w:w="5840" w:type="dxa"/>
            <w:vAlign w:val="bottom"/>
          </w:tcPr>
          <w:p>
            <w:pPr>
              <w:ind w:left="3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7,091,470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10,949,128</w:t>
            </w:r>
          </w:p>
        </w:tc>
        <w:tc>
          <w:tcPr>
            <w:tcW w:w="40" w:type="dxa"/>
            <w:vAlign w:val="bottom"/>
          </w:tcPr>
          <w:p>
            <w:pPr>
              <w:spacing w:after="0"/>
              <w:rPr>
                <w:sz w:val="17"/>
                <w:szCs w:val="17"/>
                <w:color w:val="auto"/>
              </w:rPr>
            </w:pPr>
          </w:p>
        </w:tc>
      </w:tr>
      <w:tr>
        <w:trPr>
          <w:trHeight w:val="203"/>
        </w:trPr>
        <w:tc>
          <w:tcPr>
            <w:tcW w:w="58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Loan payable, current portion</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6,547,261</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2,602,292</w:t>
            </w:r>
          </w:p>
        </w:tc>
        <w:tc>
          <w:tcPr>
            <w:tcW w:w="40" w:type="dxa"/>
            <w:vAlign w:val="bottom"/>
            <w:shd w:val="clear" w:color="auto" w:fill="CCEEFF"/>
          </w:tcPr>
          <w:p>
            <w:pPr>
              <w:spacing w:after="0"/>
              <w:rPr>
                <w:sz w:val="17"/>
                <w:szCs w:val="17"/>
                <w:color w:val="auto"/>
              </w:rPr>
            </w:pPr>
          </w:p>
        </w:tc>
      </w:tr>
      <w:tr>
        <w:trPr>
          <w:trHeight w:val="196"/>
        </w:trPr>
        <w:tc>
          <w:tcPr>
            <w:tcW w:w="5840" w:type="dxa"/>
            <w:vAlign w:val="bottom"/>
          </w:tcPr>
          <w:p>
            <w:pPr>
              <w:spacing w:after="0" w:line="196"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23,001,956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24,494,745</w:t>
            </w:r>
          </w:p>
        </w:tc>
        <w:tc>
          <w:tcPr>
            <w:tcW w:w="40" w:type="dxa"/>
            <w:vAlign w:val="bottom"/>
          </w:tcPr>
          <w:p>
            <w:pPr>
              <w:spacing w:after="0"/>
              <w:rPr>
                <w:sz w:val="17"/>
                <w:szCs w:val="17"/>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Loan payable, long-term</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13,744,321</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17,332,626</w:t>
            </w:r>
          </w:p>
        </w:tc>
        <w:tc>
          <w:tcPr>
            <w:tcW w:w="40" w:type="dxa"/>
            <w:vAlign w:val="bottom"/>
            <w:shd w:val="clear" w:color="auto" w:fill="CCEEFF"/>
          </w:tcPr>
          <w:p>
            <w:pPr>
              <w:spacing w:after="0"/>
              <w:rPr>
                <w:sz w:val="17"/>
                <w:szCs w:val="17"/>
                <w:color w:val="auto"/>
              </w:rPr>
            </w:pPr>
          </w:p>
        </w:tc>
      </w:tr>
      <w:tr>
        <w:trPr>
          <w:trHeight w:val="196"/>
        </w:trPr>
        <w:tc>
          <w:tcPr>
            <w:tcW w:w="58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36,746,277</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41,827,371</w:t>
            </w:r>
          </w:p>
        </w:tc>
        <w:tc>
          <w:tcPr>
            <w:tcW w:w="40" w:type="dxa"/>
            <w:vAlign w:val="bottom"/>
            <w:tcBorders>
              <w:bottom w:val="single" w:sz="8" w:color="CCEEFF"/>
            </w:tcBorders>
          </w:tcPr>
          <w:p>
            <w:pPr>
              <w:spacing w:after="0"/>
              <w:rPr>
                <w:sz w:val="17"/>
                <w:szCs w:val="17"/>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88"/>
        </w:trPr>
        <w:tc>
          <w:tcPr>
            <w:tcW w:w="5840" w:type="dxa"/>
            <w:vAlign w:val="bottom"/>
          </w:tcPr>
          <w:p>
            <w:pPr>
              <w:spacing w:after="0" w:line="189" w:lineRule="exact"/>
              <w:rPr>
                <w:sz w:val="20"/>
                <w:szCs w:val="20"/>
                <w:color w:val="auto"/>
              </w:rPr>
            </w:pPr>
            <w:r>
              <w:rPr>
                <w:rFonts w:ascii="Arial" w:cs="Arial" w:eastAsia="Arial" w:hAnsi="Arial"/>
                <w:sz w:val="18"/>
                <w:szCs w:val="18"/>
                <w:color w:val="auto"/>
                <w:w w:val="95"/>
              </w:rPr>
              <w:t>Preferred stock, $0.0001 par value per share (10,000,000 shares authorized,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none issued and outstanding at June 30, 2020 and December 31, 2019,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7"/>
        </w:trPr>
        <w:tc>
          <w:tcPr>
            <w:tcW w:w="5840" w:type="dxa"/>
            <w:vAlign w:val="bottom"/>
          </w:tcPr>
          <w:p>
            <w:pPr>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88"/>
        </w:trPr>
        <w:tc>
          <w:tcPr>
            <w:tcW w:w="5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rPr>
              <w:t>Common stock, $0.0001 par value per share (150,000,000 shares authorized,</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0"/>
              </w:rPr>
              <w:t>37,267,510 and 36,933,217 shares issued and outstanding at June 30, 2020 and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7"/>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respectively)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40" w:type="dxa"/>
            <w:vAlign w:val="bottom"/>
            <w:shd w:val="clear" w:color="auto" w:fill="CCEEFF"/>
          </w:tcPr>
          <w:p>
            <w:pPr>
              <w:spacing w:after="0"/>
              <w:rPr>
                <w:sz w:val="18"/>
                <w:szCs w:val="18"/>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380,946,215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354,614,189</w:t>
            </w:r>
          </w:p>
        </w:tc>
        <w:tc>
          <w:tcPr>
            <w:tcW w:w="40" w:type="dxa"/>
            <w:vAlign w:val="bottom"/>
          </w:tcPr>
          <w:p>
            <w:pPr>
              <w:spacing w:after="0"/>
              <w:rPr>
                <w:sz w:val="17"/>
                <w:szCs w:val="17"/>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(226,706,631)</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(175,895,493)</w:t>
            </w:r>
          </w:p>
        </w:tc>
        <w:tc>
          <w:tcPr>
            <w:tcW w:w="40" w:type="dxa"/>
            <w:vAlign w:val="bottom"/>
            <w:shd w:val="clear" w:color="auto" w:fill="CCEEFF"/>
          </w:tcPr>
          <w:p>
            <w:pPr>
              <w:spacing w:after="0"/>
              <w:rPr>
                <w:sz w:val="17"/>
                <w:szCs w:val="17"/>
                <w:color w:val="auto"/>
              </w:rPr>
            </w:pPr>
          </w:p>
        </w:tc>
      </w:tr>
      <w:tr>
        <w:trPr>
          <w:trHeight w:val="196"/>
        </w:trPr>
        <w:tc>
          <w:tcPr>
            <w:tcW w:w="58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154,243,310</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178,722,389</w:t>
            </w:r>
          </w:p>
        </w:tc>
        <w:tc>
          <w:tcPr>
            <w:tcW w:w="40" w:type="dxa"/>
            <w:vAlign w:val="bottom"/>
            <w:tcBorders>
              <w:bottom w:val="single" w:sz="8" w:color="CCEEFF"/>
            </w:tcBorders>
          </w:tcPr>
          <w:p>
            <w:pPr>
              <w:spacing w:after="0"/>
              <w:rPr>
                <w:sz w:val="17"/>
                <w:szCs w:val="17"/>
                <w:color w:val="auto"/>
              </w:rPr>
            </w:pPr>
          </w:p>
        </w:tc>
      </w:tr>
      <w:tr>
        <w:trPr>
          <w:trHeight w:val="196"/>
        </w:trPr>
        <w:tc>
          <w:tcPr>
            <w:tcW w:w="58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190,989,587</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220,549,760</w:t>
            </w:r>
          </w:p>
        </w:tc>
        <w:tc>
          <w:tcPr>
            <w:tcW w:w="40" w:type="dxa"/>
            <w:vAlign w:val="bottom"/>
            <w:tcBorders>
              <w:bottom w:val="single" w:sz="8" w:color="CCEEFF"/>
            </w:tcBorders>
            <w:shd w:val="clear" w:color="auto" w:fill="CCEEFF"/>
          </w:tcPr>
          <w:p>
            <w:pPr>
              <w:spacing w:after="0"/>
              <w:rPr>
                <w:sz w:val="17"/>
                <w:szCs w:val="17"/>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w w:val="99"/>
              </w:rPr>
              <w:t>10,542,957</w:t>
            </w:r>
          </w:p>
        </w:tc>
        <w:tc>
          <w:tcPr>
            <w:tcW w:w="24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w w:val="95"/>
              </w:rPr>
              <w:t>11,003,142</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38,064,357</w:t>
            </w:r>
          </w:p>
        </w:tc>
        <w:tc>
          <w:tcPr>
            <w:tcW w:w="280" w:type="dxa"/>
            <w:vAlign w:val="bottom"/>
            <w:gridSpan w:val="2"/>
          </w:tcPr>
          <w:p>
            <w:pPr>
              <w:jc w:val="right"/>
              <w:ind w:right="67"/>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w w:val="93"/>
              </w:rPr>
              <w:t>18,606,223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7,235,877</w:t>
            </w: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2,445,077</w:t>
            </w: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12,205,934</w:t>
            </w: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5,263,469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17,778,834</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13,448,219</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50,270,291</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23,869,692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(17,778,834)</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(13,448,219)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(50,270,291)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(23,869,692)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 (expense)</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(548,158)</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(313,995)</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(540,847)</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(532,898)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(18,326,992)</w:t>
            </w: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(13,762,214)</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(50,811,138)</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(24,402,590)</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(0.49)</w:t>
            </w:r>
          </w:p>
        </w:tc>
        <w:tc>
          <w:tcPr>
            <w:tcW w:w="4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(0.41)</w:t>
            </w:r>
          </w:p>
        </w:tc>
        <w:tc>
          <w:tcPr>
            <w:tcW w:w="60" w:type="dxa"/>
            <w:vAlign w:val="bottom"/>
            <w:vMerge w:val="continue"/>
          </w:tcPr>
          <w:p>
            <w:pPr>
              <w:spacing w:after="0"/>
              <w:rPr>
                <w:sz w:val="19"/>
                <w:szCs w:val="19"/>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(1.37)</w:t>
            </w:r>
          </w:p>
        </w:tc>
        <w:tc>
          <w:tcPr>
            <w:tcW w:w="60" w:type="dxa"/>
            <w:vAlign w:val="bottom"/>
            <w:vMerge w:val="continue"/>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Weighted average common shares outstanding, basic</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37,100,770</w:t>
            </w: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33,801,749</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37,081,064</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33,429,178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and diluted</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46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6"/>
                <w:szCs w:val="16"/>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Total stockholders’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paid-in capital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8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30,087,213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3,009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108,485,219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(107,550,307)</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937,921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1,256,310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1,256,310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 upon exercise of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52,819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410,157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410,162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Issuance of warrants upon debt financing</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426,000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426,000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 upon financing</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3,164,015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24,983,366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24,983,682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(10,640,376)</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(10,640,376)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at March 31, 2019</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33,304,047</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6"/>
              </w:rPr>
              <w:t>3,330</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7"/>
              </w:rPr>
              <w:t>135,561,052</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(118,190,683)</w:t>
            </w:r>
          </w:p>
        </w:tc>
        <w:tc>
          <w:tcPr>
            <w:tcW w:w="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17,373,699</w:t>
            </w: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4"/>
                <w:szCs w:val="14"/>
                <w:color w:val="auto"/>
              </w:rPr>
              <w:t>Stock-based compensation</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60" w:type="dxa"/>
            <w:vAlign w:val="bottom"/>
            <w:gridSpan w:val="2"/>
            <w:vMerge w:val="continue"/>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888,556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888,556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 upon exercise of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59,720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205,330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205,336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Issuance of common stock upon exercise of warrants</w:t>
            </w:r>
          </w:p>
        </w:tc>
        <w:tc>
          <w:tcPr>
            <w:tcW w:w="780" w:type="dxa"/>
            <w:vAlign w:val="bottom"/>
          </w:tcPr>
          <w:p>
            <w:pPr>
              <w:jc w:val="right"/>
              <w:spacing w:after="0"/>
              <w:rPr>
                <w:sz w:val="20"/>
                <w:szCs w:val="20"/>
                <w:color w:val="auto"/>
              </w:rPr>
            </w:pPr>
            <w:r>
              <w:rPr>
                <w:rFonts w:ascii="Arial" w:cs="Arial" w:eastAsia="Arial" w:hAnsi="Arial"/>
                <w:sz w:val="14"/>
                <w:szCs w:val="14"/>
                <w:color w:val="auto"/>
              </w:rPr>
              <w:t>24,389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144,868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144,870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Issuance of warrants upon debt financing</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Issuance of common stock upon financing</w:t>
            </w:r>
          </w:p>
        </w:tc>
        <w:tc>
          <w:tcPr>
            <w:tcW w:w="780" w:type="dxa"/>
            <w:vAlign w:val="bottom"/>
          </w:tcPr>
          <w:p>
            <w:pPr>
              <w:jc w:val="right"/>
              <w:spacing w:after="0"/>
              <w:rPr>
                <w:sz w:val="20"/>
                <w:szCs w:val="20"/>
                <w:color w:val="auto"/>
              </w:rPr>
            </w:pPr>
            <w:r>
              <w:rPr>
                <w:rFonts w:ascii="Arial" w:cs="Arial" w:eastAsia="Arial" w:hAnsi="Arial"/>
                <w:sz w:val="14"/>
                <w:szCs w:val="14"/>
                <w:color w:val="auto"/>
              </w:rPr>
              <w:t>942,285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19,471,603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19,471,698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(13,762,214)</w:t>
            </w: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(13,762,214)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Balance at June 30, 2019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34,330,441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3,433</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156,232,409</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(131,952,897)</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24,282,945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8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Balance at December 31, 2019</w:t>
            </w:r>
          </w:p>
        </w:tc>
        <w:tc>
          <w:tcPr>
            <w:tcW w:w="780" w:type="dxa"/>
            <w:vAlign w:val="bottom"/>
          </w:tcPr>
          <w:p>
            <w:pPr>
              <w:jc w:val="right"/>
              <w:spacing w:after="0"/>
              <w:rPr>
                <w:sz w:val="20"/>
                <w:szCs w:val="20"/>
                <w:color w:val="auto"/>
              </w:rPr>
            </w:pPr>
            <w:r>
              <w:rPr>
                <w:rFonts w:ascii="Arial" w:cs="Arial" w:eastAsia="Arial" w:hAnsi="Arial"/>
                <w:sz w:val="14"/>
                <w:szCs w:val="14"/>
                <w:color w:val="auto"/>
              </w:rPr>
              <w:t>36,933,217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3,693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97"/>
              </w:rPr>
              <w:t>354,614,189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(175,895,493)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178,722,389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2,133,530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2,133,530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Issuance of common stock upon exercise of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60,186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629,750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629,756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 related to license agreement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82,019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7,155,329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7,155,337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(32,484,146)</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(32,484,146)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at March 31, 2020</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37,075,422</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6"/>
              </w:rPr>
              <w:t>3,707</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7"/>
              </w:rPr>
              <w:t>364,532,798</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(208,379,639)</w:t>
            </w:r>
          </w:p>
        </w:tc>
        <w:tc>
          <w:tcPr>
            <w:tcW w:w="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156,156,866</w:t>
            </w: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4"/>
                <w:szCs w:val="14"/>
                <w:color w:val="auto"/>
              </w:rPr>
              <w:t>Stock-based compensation</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60" w:type="dxa"/>
            <w:vAlign w:val="bottom"/>
            <w:gridSpan w:val="2"/>
            <w:vMerge w:val="continue"/>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4,148,025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4,148,025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 upon exercise of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190,407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190,409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Issuance of common stock upon exercise of warrants</w:t>
            </w:r>
          </w:p>
        </w:tc>
        <w:tc>
          <w:tcPr>
            <w:tcW w:w="780" w:type="dxa"/>
            <w:vAlign w:val="bottom"/>
          </w:tcPr>
          <w:p>
            <w:pPr>
              <w:jc w:val="right"/>
              <w:spacing w:after="0"/>
              <w:rPr>
                <w:sz w:val="20"/>
                <w:szCs w:val="20"/>
                <w:color w:val="auto"/>
              </w:rPr>
            </w:pPr>
            <w:r>
              <w:rPr>
                <w:rFonts w:ascii="Arial" w:cs="Arial" w:eastAsia="Arial" w:hAnsi="Arial"/>
                <w:sz w:val="14"/>
                <w:szCs w:val="14"/>
                <w:color w:val="auto"/>
              </w:rPr>
              <w:t>29,982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 upon financing</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141,678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12,074,985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12,074,999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(18,326,992)</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(18,326,992)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at June 30, 2020</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37,267,510</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6"/>
              </w:rPr>
              <w:t>3,726</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7"/>
              </w:rPr>
              <w:t>380,946,215</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(226,706,631)</w:t>
            </w:r>
          </w:p>
        </w:tc>
        <w:tc>
          <w:tcPr>
            <w:tcW w:w="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154,243,310</w:t>
            </w: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5"/>
          </w:tcPr>
          <w:p>
            <w:pPr>
              <w:ind w:lef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40"/>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(50,811,138)</w:t>
            </w:r>
          </w:p>
        </w:tc>
        <w:tc>
          <w:tcPr>
            <w:tcW w:w="62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(24,402,590)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w w:val="98"/>
              </w:rPr>
              <w:t>Adjustments to reconcile net loss to net cash used in operating activities:</w:t>
            </w: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6,281,555</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2,144,866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Non-cash research and development license expense</w:t>
            </w: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7,155,337</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Amortization of debt discount</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356,664</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294,818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10,960</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275,914</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431,447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200"/>
              <w:spacing w:after="0"/>
              <w:rPr>
                <w:sz w:val="20"/>
                <w:szCs w:val="20"/>
                <w:color w:val="auto"/>
              </w:rPr>
            </w:pPr>
            <w:r>
              <w:rPr>
                <w:rFonts w:ascii="Arial" w:cs="Arial" w:eastAsia="Arial" w:hAnsi="Arial"/>
                <w:sz w:val="16"/>
                <w:szCs w:val="16"/>
                <w:color w:val="auto"/>
              </w:rPr>
              <w:t>Other assets</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(56,624)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(1,580,100)</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2,449,875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4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(3,857,658)</w:t>
            </w:r>
          </w:p>
        </w:tc>
        <w:tc>
          <w:tcPr>
            <w:tcW w:w="2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934,659</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cash used in operating activities</w:t>
            </w:r>
          </w:p>
        </w:tc>
        <w:tc>
          <w:tcPr>
            <w:tcW w:w="4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(42,168,466)</w:t>
            </w:r>
          </w:p>
        </w:tc>
        <w:tc>
          <w:tcPr>
            <w:tcW w:w="2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(18,181,000)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Purchases of equipment</w:t>
            </w:r>
          </w:p>
        </w:tc>
        <w:tc>
          <w:tcPr>
            <w:tcW w:w="4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(10,759)</w:t>
            </w:r>
          </w:p>
        </w:tc>
        <w:tc>
          <w:tcPr>
            <w:tcW w:w="2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20" w:type="dxa"/>
            <w:vAlign w:val="bottom"/>
            <w:gridSpan w:val="2"/>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(10,759)</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(11,464)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4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Proceeds from issuance of common stock upon financing, net</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12,074,999</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44,455,380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term loan</w:t>
            </w: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Repayment of principal on term loan</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(7,238,889)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common stock upon exercise of options</w:t>
            </w: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820,165</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615,498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Proceeds from issuance of common stock upon exercise of warrants</w:t>
            </w:r>
          </w:p>
        </w:tc>
        <w:tc>
          <w:tcPr>
            <w:tcW w:w="4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144,870</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cash (used in) provided by financing activities</w:t>
            </w:r>
          </w:p>
        </w:tc>
        <w:tc>
          <w:tcPr>
            <w:tcW w:w="4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12,895,167</w:t>
            </w:r>
          </w:p>
        </w:tc>
        <w:tc>
          <w:tcPr>
            <w:tcW w:w="2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57,976,859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gridSpan w:val="2"/>
          </w:tcPr>
          <w:p>
            <w:pPr>
              <w:spacing w:after="0" w:line="183" w:lineRule="exact"/>
              <w:rPr>
                <w:sz w:val="20"/>
                <w:szCs w:val="20"/>
                <w:color w:val="auto"/>
              </w:rPr>
            </w:pPr>
            <w:r>
              <w:rPr>
                <w:rFonts w:ascii="Arial" w:cs="Arial" w:eastAsia="Arial" w:hAnsi="Arial"/>
                <w:sz w:val="16"/>
                <w:szCs w:val="16"/>
                <w:color w:val="auto"/>
              </w:rPr>
              <w:t>Net (decrease) increase in cash</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(29,284,058)</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39,784,395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Cash at beginning of period</w:t>
            </w:r>
          </w:p>
        </w:tc>
        <w:tc>
          <w:tcPr>
            <w:tcW w:w="4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219,966,167</w:t>
            </w:r>
          </w:p>
        </w:tc>
        <w:tc>
          <w:tcPr>
            <w:tcW w:w="2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13,968,742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line="183" w:lineRule="exact"/>
              <w:rPr>
                <w:sz w:val="20"/>
                <w:szCs w:val="20"/>
                <w:color w:val="auto"/>
              </w:rPr>
            </w:pPr>
            <w:r>
              <w:rPr>
                <w:rFonts w:ascii="Arial" w:cs="Arial" w:eastAsia="Arial" w:hAnsi="Arial"/>
                <w:sz w:val="16"/>
                <w:szCs w:val="16"/>
                <w:color w:val="auto"/>
              </w:rPr>
              <w:t>Cash at end of period</w:t>
            </w:r>
          </w:p>
        </w:tc>
        <w:tc>
          <w:tcPr>
            <w:tcW w:w="420" w:type="dxa"/>
            <w:vAlign w:val="bottom"/>
          </w:tcPr>
          <w:p>
            <w:pPr>
              <w:spacing w:after="0"/>
              <w:rPr>
                <w:sz w:val="19"/>
                <w:szCs w:val="19"/>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190,682,109</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53,753,137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4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Interest paid</w:t>
            </w:r>
          </w:p>
        </w:tc>
        <w:tc>
          <w:tcPr>
            <w:tcW w:w="76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762,501</w:t>
            </w:r>
          </w:p>
        </w:tc>
        <w:tc>
          <w:tcPr>
            <w:tcW w:w="62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595,833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of non-cash financing activity:</w:t>
            </w: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Issuance of warrants in connection with debt financing</w:t>
            </w:r>
          </w:p>
        </w:tc>
        <w:tc>
          <w:tcPr>
            <w:tcW w:w="76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387,000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Nature of Business and Basis of Presentation</w:t>
      </w:r>
    </w:p>
    <w:p>
      <w:pPr>
        <w:spacing w:after="0" w:line="216"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7"/>
          <w:szCs w:val="17"/>
          <w:color w:val="auto"/>
        </w:rPr>
        <w:t>Axsome Therapeutics, Inc. (“Axsome” or the “Company”) is a biopharmaceutical company developing novel therapies for central nervous system (“CNS”) disorders for which there are limited treatment options. By focusing on this therapeutic area, the Company is addressing significant and growing markets where current treatment options are limited or inadequate. The Company’s core CNS portfolio includes five product candidates, AXS-05, AXS-07, AXS-09, AXS-12, and AXS-14, which are being developed for multiple indications.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w:t>
      </w:r>
    </w:p>
    <w:p>
      <w:pPr>
        <w:spacing w:after="0" w:line="181" w:lineRule="exact"/>
        <w:rPr>
          <w:sz w:val="20"/>
          <w:szCs w:val="20"/>
          <w:color w:val="auto"/>
        </w:rPr>
      </w:pPr>
    </w:p>
    <w:p>
      <w:pPr>
        <w:ind w:left="40" w:right="79" w:firstLine="648"/>
        <w:spacing w:after="0" w:line="238" w:lineRule="auto"/>
        <w:rPr>
          <w:sz w:val="20"/>
          <w:szCs w:val="20"/>
          <w:color w:val="auto"/>
        </w:rPr>
      </w:pPr>
      <w:r>
        <w:rPr>
          <w:rFonts w:ascii="Arial" w:cs="Arial" w:eastAsia="Arial" w:hAnsi="Arial"/>
          <w:sz w:val="18"/>
          <w:szCs w:val="18"/>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disclosures normally included in financial statements prepared in accordance with U.S.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2019 filed with the SEC on March 12, 2020.</w:t>
      </w:r>
    </w:p>
    <w:p>
      <w:pPr>
        <w:spacing w:after="0" w:line="194" w:lineRule="exact"/>
        <w:rPr>
          <w:sz w:val="20"/>
          <w:szCs w:val="20"/>
          <w:color w:val="auto"/>
        </w:rPr>
      </w:pPr>
    </w:p>
    <w:p>
      <w:pPr>
        <w:jc w:val="both"/>
        <w:ind w:left="40" w:right="399" w:firstLine="648"/>
        <w:spacing w:after="0" w:line="243" w:lineRule="auto"/>
        <w:rPr>
          <w:sz w:val="20"/>
          <w:szCs w:val="20"/>
          <w:color w:val="auto"/>
        </w:rPr>
      </w:pPr>
      <w:r>
        <w:rPr>
          <w:rFonts w:ascii="Arial" w:cs="Arial" w:eastAsia="Arial" w:hAnsi="Arial"/>
          <w:sz w:val="18"/>
          <w:szCs w:val="18"/>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and six months ended June 30, 2020 are not necessarily indicative of the operating results for the full fiscal year or any future period.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ind w:left="40" w:right="139" w:firstLine="648"/>
        <w:spacing w:after="0" w:line="248" w:lineRule="auto"/>
        <w:rPr>
          <w:sz w:val="20"/>
          <w:szCs w:val="20"/>
          <w:color w:val="auto"/>
        </w:rPr>
      </w:pPr>
      <w:r>
        <w:rPr>
          <w:rFonts w:ascii="Arial" w:cs="Arial" w:eastAsia="Arial" w:hAnsi="Arial"/>
          <w:sz w:val="18"/>
          <w:szCs w:val="18"/>
          <w:color w:val="auto"/>
        </w:rPr>
        <w:t>The Company has incurred operating losses since its inception, and expects to continue to incur operating losses for the foreseeable future and may never become profitable. As of June 30, 2020, the Company had an accumulated deficit of $226.7 million.</w:t>
      </w:r>
    </w:p>
    <w:p>
      <w:pPr>
        <w:spacing w:after="0" w:line="182" w:lineRule="exact"/>
        <w:rPr>
          <w:sz w:val="20"/>
          <w:szCs w:val="20"/>
          <w:color w:val="auto"/>
        </w:rPr>
      </w:pPr>
    </w:p>
    <w:p>
      <w:pPr>
        <w:ind w:left="40" w:right="159" w:firstLine="648"/>
        <w:spacing w:after="0" w:line="257" w:lineRule="auto"/>
        <w:rPr>
          <w:sz w:val="20"/>
          <w:szCs w:val="20"/>
          <w:color w:val="auto"/>
        </w:rPr>
      </w:pPr>
      <w:r>
        <w:rPr>
          <w:rFonts w:ascii="Arial" w:cs="Arial" w:eastAsia="Arial" w:hAnsi="Arial"/>
          <w:sz w:val="17"/>
          <w:szCs w:val="17"/>
          <w:color w:val="auto"/>
        </w:rPr>
        <w:t>The Company’s primary sources of cash have been proceeds from the issuance and sale of its common stock in public offerings. The Company has not yet commercialized any of its product candidates and cannot be sure if it will ever be able to do so.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75"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7"/>
          <w:szCs w:val="17"/>
          <w:color w:val="auto"/>
        </w:rPr>
        <w:t>The Company believes its existing cash will be sufficient to fund its anticipated operating cash requirements for at least twelve months following the date of this filing. The actual amount of cash that the Company will need to operate is subject to many factors, including, but not limited to, the timing, design and conduct of clinical trials for its product candidates. The Company may use a combination of public and private equity offerings, debt financings, other third-party funding, strategic alliances, licensing arrangements or marketing and distribution arrangements if market conditions are favorable or in light of other strategic considerations to finance its future cash needs.</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Company’s common stock is listed on the Nasdaq Global Market and trades under the symbol “AXSM”.</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Impact of COVID-19</w:t>
      </w:r>
    </w:p>
    <w:p>
      <w:pPr>
        <w:spacing w:after="0" w:line="216" w:lineRule="exact"/>
        <w:rPr>
          <w:sz w:val="20"/>
          <w:szCs w:val="20"/>
          <w:color w:val="auto"/>
        </w:rPr>
      </w:pPr>
    </w:p>
    <w:p>
      <w:pPr>
        <w:jc w:val="both"/>
        <w:ind w:left="40" w:right="59" w:firstLine="648"/>
        <w:spacing w:after="0" w:line="252" w:lineRule="auto"/>
        <w:rPr>
          <w:sz w:val="20"/>
          <w:szCs w:val="20"/>
          <w:color w:val="auto"/>
        </w:rPr>
      </w:pPr>
      <w:r>
        <w:rPr>
          <w:rFonts w:ascii="Arial" w:cs="Arial" w:eastAsia="Arial" w:hAnsi="Arial"/>
          <w:sz w:val="17"/>
          <w:szCs w:val="17"/>
          <w:color w:val="auto"/>
        </w:rPr>
        <w:t>In December 2019, a novel (new) coronavirus known as SARS-CoV-2 was first detected in Wuhan, Hubei Province, People’s Republic of China, causing outbreaks of the coronavirus disease, known as COVID-19, that has now spread globally. On January 30, 2020, the World Health Organization (WHO) declared COVID-19 a public health emergency. The Secretary of Health and Human Services declared a public health emergency in the United States on January 31, 2020, under section 319 of the Public Health Service Act (42 U.S.C. 247d), in response to the COVID-19 outbreak. On March 11, 2020, the WHO declared COVID-19 a pandemic. 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the Company’s liquidity. In addition, a recession or market volatility resulting from the COVID-19 pandemic could affect the Company’s business. Given the nature and type of the Company’s short-term investments, the Company does not believe the COVID-19 pandemic has had or will have a material impact on the Company’s current investment liquidity.</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Risks and Uncertainties</w:t>
      </w:r>
    </w:p>
    <w:p>
      <w:pPr>
        <w:spacing w:after="0" w:line="216" w:lineRule="exact"/>
        <w:rPr>
          <w:sz w:val="20"/>
          <w:szCs w:val="20"/>
          <w:color w:val="auto"/>
        </w:rPr>
      </w:pPr>
    </w:p>
    <w:p>
      <w:pPr>
        <w:ind w:left="40" w:right="79" w:firstLine="648"/>
        <w:spacing w:after="0" w:line="238"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if approved; competition from products manufactured and sold or being developed by other companies; the price of, and demand for, the Company’s products, if approved; the Company’s ability to negotiate favorable licensing or other manufacturing and marketing agreements for its products, if approved; and the Company’s ability to raise additional financing. If the Company does not successfully commercialize any of its product candidates, it will be unable to generate recurring product revenue or achieve and maintain profitability.</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Use of Estimates</w:t>
      </w:r>
    </w:p>
    <w:p>
      <w:pPr>
        <w:spacing w:after="0" w:line="216" w:lineRule="exact"/>
        <w:rPr>
          <w:sz w:val="20"/>
          <w:szCs w:val="20"/>
          <w:color w:val="auto"/>
        </w:rPr>
      </w:pPr>
    </w:p>
    <w:p>
      <w:pPr>
        <w:ind w:left="40" w:right="59" w:firstLine="648"/>
        <w:spacing w:after="0" w:line="252" w:lineRule="auto"/>
        <w:rPr>
          <w:sz w:val="20"/>
          <w:szCs w:val="20"/>
          <w:color w:val="auto"/>
        </w:rPr>
      </w:pPr>
      <w:r>
        <w:rPr>
          <w:rFonts w:ascii="Arial" w:cs="Arial" w:eastAsia="Arial" w:hAnsi="Arial"/>
          <w:sz w:val="17"/>
          <w:szCs w:val="17"/>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stock-based compensation expense; the determination of the fair value of the warrants; the accounting for research and development costs; and the recoverability of the Company’s net deferred tax assets and related valuation allowance.</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Foreign Currency Translation</w:t>
      </w:r>
    </w:p>
    <w:p>
      <w:pPr>
        <w:spacing w:after="0" w:line="216" w:lineRule="exact"/>
        <w:rPr>
          <w:sz w:val="20"/>
          <w:szCs w:val="20"/>
          <w:color w:val="auto"/>
        </w:rPr>
      </w:pPr>
    </w:p>
    <w:p>
      <w:pPr>
        <w:ind w:left="40" w:right="139" w:firstLine="648"/>
        <w:spacing w:after="0" w:line="243" w:lineRule="auto"/>
        <w:rPr>
          <w:sz w:val="20"/>
          <w:szCs w:val="20"/>
          <w:color w:val="auto"/>
        </w:rPr>
      </w:pPr>
      <w:r>
        <w:rPr>
          <w:rFonts w:ascii="Arial" w:cs="Arial" w:eastAsia="Arial" w:hAnsi="Arial"/>
          <w:sz w:val="18"/>
          <w:szCs w:val="18"/>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 and Geographic Information</w:t>
      </w:r>
    </w:p>
    <w:p>
      <w:pPr>
        <w:spacing w:after="0" w:line="216" w:lineRule="exact"/>
        <w:rPr>
          <w:sz w:val="20"/>
          <w:szCs w:val="20"/>
          <w:color w:val="auto"/>
        </w:rPr>
      </w:pPr>
    </w:p>
    <w:p>
      <w:pPr>
        <w:ind w:left="40" w:right="479" w:firstLine="648"/>
        <w:spacing w:after="0" w:line="284" w:lineRule="auto"/>
        <w:rPr>
          <w:sz w:val="20"/>
          <w:szCs w:val="20"/>
          <w:color w:val="auto"/>
        </w:rPr>
      </w:pPr>
      <w:r>
        <w:rPr>
          <w:rFonts w:ascii="Arial" w:cs="Arial" w:eastAsia="Arial" w:hAnsi="Arial"/>
          <w:sz w:val="16"/>
          <w:szCs w:val="16"/>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which is the business of developing novel therapies for the management of CNS disorders.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Equivalents</w:t>
      </w:r>
    </w:p>
    <w:p>
      <w:pPr>
        <w:spacing w:after="0" w:line="216" w:lineRule="exact"/>
        <w:rPr>
          <w:sz w:val="20"/>
          <w:szCs w:val="20"/>
          <w:color w:val="auto"/>
        </w:rPr>
      </w:pPr>
    </w:p>
    <w:p>
      <w:pPr>
        <w:ind w:left="40" w:right="179" w:firstLine="648"/>
        <w:spacing w:after="0" w:line="276" w:lineRule="auto"/>
        <w:rPr>
          <w:sz w:val="20"/>
          <w:szCs w:val="20"/>
          <w:color w:val="auto"/>
        </w:rPr>
      </w:pPr>
      <w:r>
        <w:rPr>
          <w:rFonts w:ascii="Arial" w:cs="Arial" w:eastAsia="Arial" w:hAnsi="Arial"/>
          <w:sz w:val="16"/>
          <w:szCs w:val="16"/>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June 30, 2020, the balance of cash and cash equivalents was $190.7 million, which approximates fair value and was determined based upon Level 1 inputs. The sweep account is valued using quoted market prices with no valuation adjustments applied. Accordingly, these securities are categorized as Level 1.</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Concentration of Credit Risk</w:t>
      </w:r>
    </w:p>
    <w:p>
      <w:pPr>
        <w:spacing w:after="0" w:line="216" w:lineRule="exact"/>
        <w:rPr>
          <w:sz w:val="20"/>
          <w:szCs w:val="20"/>
          <w:color w:val="auto"/>
        </w:rPr>
      </w:pPr>
    </w:p>
    <w:p>
      <w:pPr>
        <w:ind w:left="40" w:right="179" w:firstLine="648"/>
        <w:spacing w:after="0" w:line="279"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The Company maintains its cash at financial institutions, which at times, exceed federally insured limits. At June 30, 2020,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16" w:lineRule="exact"/>
        <w:rPr>
          <w:sz w:val="20"/>
          <w:szCs w:val="20"/>
          <w:color w:val="auto"/>
        </w:rPr>
      </w:pPr>
    </w:p>
    <w:p>
      <w:pPr>
        <w:ind w:left="40" w:right="79" w:firstLine="648"/>
        <w:spacing w:after="0" w:line="279"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59" w:lineRule="exact"/>
        <w:rPr>
          <w:sz w:val="20"/>
          <w:szCs w:val="20"/>
          <w:color w:val="auto"/>
        </w:rPr>
      </w:pPr>
    </w:p>
    <w:p>
      <w:pPr>
        <w:ind w:left="40" w:right="479" w:firstLine="648"/>
        <w:spacing w:after="0" w:line="261"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 that the Company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71" w:lineRule="exact"/>
        <w:rPr>
          <w:sz w:val="20"/>
          <w:szCs w:val="20"/>
          <w:color w:val="auto"/>
        </w:rPr>
      </w:pPr>
    </w:p>
    <w:p>
      <w:pPr>
        <w:ind w:left="40" w:right="519" w:firstLine="648"/>
        <w:spacing w:after="0" w:line="261"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prices in active markets that are observable for the asset or liability,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unobservable for the asset or liability.</w:t>
      </w:r>
    </w:p>
    <w:p>
      <w:pPr>
        <w:spacing w:after="0" w:line="212" w:lineRule="exact"/>
        <w:rPr>
          <w:sz w:val="20"/>
          <w:szCs w:val="20"/>
          <w:color w:val="auto"/>
        </w:rPr>
      </w:pPr>
    </w:p>
    <w:p>
      <w:pPr>
        <w:ind w:left="40" w:right="99" w:firstLine="648"/>
        <w:spacing w:after="0" w:line="284"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5" w:lineRule="exact"/>
        <w:rPr>
          <w:sz w:val="20"/>
          <w:szCs w:val="20"/>
          <w:color w:val="auto"/>
        </w:rPr>
      </w:pPr>
    </w:p>
    <w:p>
      <w:pPr>
        <w:ind w:left="40" w:right="179" w:firstLine="648"/>
        <w:spacing w:after="0" w:line="279" w:lineRule="auto"/>
        <w:rPr>
          <w:sz w:val="20"/>
          <w:szCs w:val="20"/>
          <w:color w:val="auto"/>
        </w:rPr>
      </w:pPr>
      <w:r>
        <w:rPr>
          <w:rFonts w:ascii="Arial" w:cs="Arial" w:eastAsia="Arial" w:hAnsi="Arial"/>
          <w:sz w:val="16"/>
          <w:szCs w:val="16"/>
          <w:color w:val="auto"/>
        </w:rPr>
        <w:t>The Company’s financial instruments are cash, accounts payable, accrued liabilities, and current and long-term debt. The carrying values for cash, accounts payable and accrued liabilities reported in the accompanying consolidated financial statements approximate their respective fair values due to their short-term maturities. The carrying value of debt, the 2019 Term Loan (see Note 4 – Loan and Security Agreement), is estimated to approximate its fair value as the interest rate approximates the market rate for loans with similar terms and risk characteristics.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ind w:left="40" w:right="219" w:firstLine="648"/>
        <w:spacing w:after="0" w:line="259" w:lineRule="auto"/>
        <w:rPr>
          <w:sz w:val="20"/>
          <w:szCs w:val="20"/>
          <w:color w:val="auto"/>
        </w:rPr>
      </w:pPr>
      <w:r>
        <w:rPr>
          <w:rFonts w:ascii="Arial" w:cs="Arial" w:eastAsia="Arial" w:hAnsi="Arial"/>
          <w:sz w:val="18"/>
          <w:szCs w:val="18"/>
          <w:color w:val="auto"/>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Equipment</w:t>
      </w:r>
    </w:p>
    <w:p>
      <w:pPr>
        <w:spacing w:after="0" w:line="229"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Equipment consists primarily of computer equipment and is recorded at cost. Equipment is depreciated on a straight-line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Research and Development Costs</w:t>
      </w:r>
    </w:p>
    <w:p>
      <w:pPr>
        <w:spacing w:after="0" w:line="216" w:lineRule="exact"/>
        <w:rPr>
          <w:sz w:val="20"/>
          <w:szCs w:val="20"/>
          <w:color w:val="auto"/>
        </w:rPr>
      </w:pPr>
    </w:p>
    <w:p>
      <w:pPr>
        <w:ind w:left="40" w:right="59" w:firstLine="648"/>
        <w:spacing w:after="0" w:line="241" w:lineRule="auto"/>
        <w:rPr>
          <w:sz w:val="20"/>
          <w:szCs w:val="20"/>
          <w:color w:val="auto"/>
        </w:rPr>
      </w:pPr>
      <w:r>
        <w:rPr>
          <w:rFonts w:ascii="Arial" w:cs="Arial" w:eastAsia="Arial" w:hAnsi="Arial"/>
          <w:sz w:val="18"/>
          <w:szCs w:val="18"/>
          <w:color w:val="auto"/>
        </w:rPr>
        <w:t>Research and development expenses primarily consist of costs incurred in performing research and development activities, including preclinical studies, clinical trials, manufacturing costs, regulatory costs, employee salaries and benefits, stock-based compensation expense, contract services, including external research and development expenses incurred under arrangements with third parties, such as contract research organizations (“CROs”), facilities costs, overhead costs, depreciation, and other related costs.</w:t>
      </w:r>
    </w:p>
    <w:p>
      <w:pPr>
        <w:spacing w:after="0" w:line="189"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The Company makes estimates of costs incurred in relation to clinical site costs. The Company analyzes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The Company reviews and accrues clinical trial study expenses based on work performed and relies upon estimates of those costs applicable to the stage of completion of a study.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the Company’s policy is to match the recording of expenses in its financial statements to the actual services received and efforts expended. As such, expense accruals related to clinical site costs are recognized based on the Company’s estimate of the degree of completion of the event or events specified in the specific clinical study or trial contract.</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81" w:lineRule="exact"/>
        <w:rPr>
          <w:sz w:val="20"/>
          <w:szCs w:val="20"/>
          <w:color w:val="auto"/>
        </w:rPr>
      </w:pPr>
    </w:p>
    <w:p>
      <w:pPr>
        <w:jc w:val="both"/>
        <w:ind w:left="40" w:right="299" w:firstLine="648"/>
        <w:spacing w:after="0" w:line="248" w:lineRule="auto"/>
        <w:rPr>
          <w:sz w:val="20"/>
          <w:szCs w:val="20"/>
          <w:color w:val="auto"/>
        </w:rPr>
      </w:pPr>
      <w:r>
        <w:rPr>
          <w:rFonts w:ascii="Arial" w:cs="Arial" w:eastAsia="Arial" w:hAnsi="Arial"/>
          <w:sz w:val="18"/>
          <w:szCs w:val="18"/>
          <w:color w:val="auto"/>
        </w:rPr>
        <w:t>The Company estimates an annual effective tax rate of 0% for the year ending December 31, 2020 and has not recorded an income tax benefit for the six months ended June 30, 2020 and 2019 since it determined that a full valuation allowance is required against the Company’s deferred tax assets.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7"/>
          <w:szCs w:val="17"/>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June 30, 2020,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Stock-Based Compensation</w:t>
      </w:r>
    </w:p>
    <w:p>
      <w:pPr>
        <w:spacing w:after="0" w:line="216"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7"/>
          <w:szCs w:val="17"/>
          <w:color w:val="auto"/>
        </w:rPr>
        <w:t>For stock options issued, the Company estimates the grant date fair value of each option using the Black-Scholes option pricing model. The Black-Scholes model takes into account the expected volatility of the Company’s common stock, expected dividends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awards forfeitures as they occur.</w:t>
      </w:r>
    </w:p>
    <w:p>
      <w:pPr>
        <w:spacing w:after="0" w:line="175" w:lineRule="exact"/>
        <w:rPr>
          <w:sz w:val="20"/>
          <w:szCs w:val="20"/>
          <w:color w:val="auto"/>
        </w:rPr>
      </w:pPr>
    </w:p>
    <w:p>
      <w:pPr>
        <w:ind w:left="40" w:right="119" w:firstLine="648"/>
        <w:spacing w:after="0" w:line="243" w:lineRule="auto"/>
        <w:rPr>
          <w:sz w:val="20"/>
          <w:szCs w:val="20"/>
          <w:color w:val="auto"/>
        </w:rPr>
      </w:pPr>
      <w:r>
        <w:rPr>
          <w:rFonts w:ascii="Arial" w:cs="Arial" w:eastAsia="Arial" w:hAnsi="Arial"/>
          <w:sz w:val="18"/>
          <w:szCs w:val="18"/>
          <w:color w:val="auto"/>
        </w:rPr>
        <w:t>For restricted stock units (“RSUs”) issued, the Company issues them in the form of Company common stock. The fair value of these awards is based on the market close price per share on the grant date. Prior to January 1, 2020, the Company only granted stock options. Beginning in 2020, for grants to employees, the Company granted a mix of stock options and RSUs.</w:t>
      </w:r>
    </w:p>
    <w:p>
      <w:pPr>
        <w:spacing w:after="0" w:line="188"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6"/>
          <w:szCs w:val="16"/>
          <w:color w:val="auto"/>
        </w:rPr>
        <w:t>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59" w:lineRule="exact"/>
        <w:rPr>
          <w:sz w:val="20"/>
          <w:szCs w:val="20"/>
          <w:color w:val="auto"/>
        </w:rPr>
      </w:pPr>
    </w:p>
    <w:p>
      <w:pPr>
        <w:ind w:left="40" w:right="239" w:firstLine="648"/>
        <w:spacing w:after="0" w:line="261" w:lineRule="auto"/>
        <w:rPr>
          <w:sz w:val="20"/>
          <w:szCs w:val="20"/>
          <w:color w:val="auto"/>
        </w:rPr>
      </w:pPr>
      <w:r>
        <w:rPr>
          <w:rFonts w:ascii="Arial" w:cs="Arial" w:eastAsia="Arial" w:hAnsi="Arial"/>
          <w:sz w:val="18"/>
          <w:szCs w:val="18"/>
          <w:color w:val="auto"/>
        </w:rPr>
        <w:t>The Company’s policy upon exercise of stock options and RSUs is that shares will be issued as new shares from the Company’s 2015 Omnibus Incentive Compensation Plan available share pool.</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16" w:lineRule="exact"/>
        <w:rPr>
          <w:sz w:val="20"/>
          <w:szCs w:val="20"/>
          <w:color w:val="auto"/>
        </w:rPr>
      </w:pPr>
    </w:p>
    <w:p>
      <w:pPr>
        <w:ind w:left="40" w:right="159" w:firstLine="648"/>
        <w:spacing w:after="0"/>
        <w:rPr>
          <w:sz w:val="20"/>
          <w:szCs w:val="20"/>
          <w:color w:val="auto"/>
        </w:rPr>
      </w:pPr>
      <w:r>
        <w:rPr>
          <w:rFonts w:ascii="Arial" w:cs="Arial" w:eastAsia="Arial" w:hAnsi="Arial"/>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and RSUs, which would result in the issuance of incremental shares of common stock. As the impact of these items is anti-dilutive during periods of net loss, there was no difference between basic and diluted net loss per share of common stock for the three and six months ended June 30, 2020 and 2019.</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left="40" w:right="119" w:firstLine="647"/>
        <w:spacing w:after="0" w:line="274"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(ASU 2019-12) enhances and simplifies various aspects of the income tax accounting guidance,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such as tax basis step-up in goodwill obtained in a transaction that is not a business combination, ownership changes in investments, and interim-period accounting for enacted changes in tax law. ASU 2019-12 is effective for annual periods, and interim periods within those annual periods, beginning after December 15, 2020. Early adoption is permitted, including adoption in an interim period. The Company is currently evaluating the expected impact of this standard, but does not expect it to have a material impact on its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Accrued Expenses and Other Current Liabilities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At June 30, 2020 and December 31, 2019 accrued expenses and other current liabilities consisted of the following:</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48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4"/>
              </w:rPr>
              <w:t>4,432,159</w:t>
            </w:r>
          </w:p>
        </w:tc>
        <w:tc>
          <w:tcPr>
            <w:tcW w:w="2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8,209,594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Accrued compensation</w:t>
            </w:r>
          </w:p>
        </w:tc>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ind w:left="100"/>
              <w:spacing w:after="0" w:line="202" w:lineRule="exact"/>
              <w:rPr>
                <w:sz w:val="20"/>
                <w:szCs w:val="20"/>
                <w:color w:val="auto"/>
              </w:rPr>
            </w:pPr>
            <w:r>
              <w:rPr>
                <w:rFonts w:ascii="Arial" w:cs="Arial" w:eastAsia="Arial" w:hAnsi="Arial"/>
                <w:sz w:val="18"/>
                <w:szCs w:val="18"/>
                <w:color w:val="auto"/>
                <w:w w:val="94"/>
              </w:rPr>
              <w:t>1,446,891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2,056,356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100"/>
              <w:spacing w:after="0" w:line="202" w:lineRule="exact"/>
              <w:rPr>
                <w:sz w:val="20"/>
                <w:szCs w:val="20"/>
                <w:color w:val="auto"/>
              </w:rPr>
            </w:pPr>
            <w:r>
              <w:rPr>
                <w:rFonts w:ascii="Arial" w:cs="Arial" w:eastAsia="Arial" w:hAnsi="Arial"/>
                <w:sz w:val="18"/>
                <w:szCs w:val="18"/>
                <w:color w:val="auto"/>
                <w:w w:val="94"/>
              </w:rPr>
              <w:t>1,212,420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683,178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232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w w:val="94"/>
              </w:rPr>
              <w:t>7,091,470</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10,949,128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Loan and Security Agreement</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Term Loan</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2019 Term Loan</w:t>
      </w:r>
    </w:p>
    <w:p>
      <w:pPr>
        <w:spacing w:after="0" w:line="212"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6"/>
          <w:szCs w:val="16"/>
          <w:color w:val="auto"/>
        </w:rPr>
        <w:t>In March 2019, the Company entered into a $24.0 million growth capital term loan facility (the “2019 Term Loan”) with Silicon Valley Bank (“SVB”) and WestRiver Innovation Lending Fund VIII, L.P. (“WestRiver”). The two-tranche loan agreement consists of an initial $20.0 million tranche (the “Term A Loan Advance”), which was funded upon closing, with the remaining $4.0 million (the “Term B Loan Advance”) initially available to be drawn, at the Company’s option, subject to the achievement of positive data, on or prior to August 15, 2019 (which was extended to December 31, 2019, in connection with the First Amendment to the 2019 Term Loan, as discussed below), with respect to the Company’s Phase 2 clinical trial for AXS-12 in narcolepsy, sufficient to submit a Phase 3 protocol to FDA, provided that the Company has not received any objections from the FDA within thirty days after submission of such Phase 3 protocol (the “Milestone Event”). A portion of the first tranche was used to satisfy the Company’s existing obligations under the 2016 Amended Term Loan (as defined below) with SVB, which consisted of $5.6 million in outstanding principal balance and $0.85 million as a final payment fee, and such obligations are considered to be fully repaid and performed. The Term B Loan Advance of $4.0 million was not drawn down by the Company and has since expired.</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loan bears interest at an annual rate equal to the greater of (i) seven and one-half of one percent (7.50%) and</w:t>
      </w:r>
    </w:p>
    <w:p>
      <w:pPr>
        <w:spacing w:after="0" w:line="35" w:lineRule="exact"/>
        <w:rPr>
          <w:sz w:val="20"/>
          <w:szCs w:val="20"/>
          <w:color w:val="auto"/>
        </w:rPr>
      </w:pPr>
    </w:p>
    <w:p>
      <w:pPr>
        <w:ind w:left="40" w:right="79" w:firstLine="4"/>
        <w:spacing w:after="0" w:line="251" w:lineRule="auto"/>
        <w:tabs>
          <w:tab w:leader="none" w:pos="305" w:val="left"/>
        </w:tabs>
        <w:numPr>
          <w:ilvl w:val="0"/>
          <w:numId w:val="4"/>
        </w:numPr>
        <w:rPr>
          <w:rFonts w:ascii="Arial" w:cs="Arial" w:eastAsia="Arial" w:hAnsi="Arial"/>
          <w:sz w:val="17"/>
          <w:szCs w:val="17"/>
          <w:color w:val="auto"/>
        </w:rPr>
      </w:pPr>
      <w:r>
        <w:rPr>
          <w:rFonts w:ascii="Arial" w:cs="Arial" w:eastAsia="Arial" w:hAnsi="Arial"/>
          <w:sz w:val="17"/>
          <w:szCs w:val="17"/>
          <w:color w:val="auto"/>
        </w:rPr>
        <w:t>two percent (2%) above the Prime Rate. The loan advances mature in February 2023 and initially had an interest-only payment period of 12 months (which was extended to 18 months in connection with the First Amendment to the 2019 Term Loan, as discussed below), extendable to 18 months upon the drawing of the Term B Loan Advance (which is now extendable to 24 months as a result of the First Amendment to the 2019 Term Loan). The Company did not draw down on the Term B Loan Advance, and therefore, the interest-only monthly payment period was not extended. Principal payments coming due within twelve months have been classified as current liabilities in the accompanying balance sheet. In addition, the Company was initially required to pay a final payment fee of 6.0% of the principal amount extended on the date of repayment of the 2019 Term Loan (which was increased to 6.3% in connection with the First Amendment to the 2019 Term Loan, as discussed below), which is being accreted and amortized into interest expense using the effective interest rate method over the term of the loan.</w:t>
      </w:r>
    </w:p>
    <w:p>
      <w:pPr>
        <w:spacing w:after="0" w:line="208" w:lineRule="exact"/>
        <w:rPr>
          <w:sz w:val="20"/>
          <w:szCs w:val="20"/>
          <w:color w:val="auto"/>
        </w:rPr>
      </w:pPr>
    </w:p>
    <w:p>
      <w:pPr>
        <w:ind w:left="40" w:right="219" w:firstLine="648"/>
        <w:spacing w:after="0" w:line="257" w:lineRule="auto"/>
        <w:rPr>
          <w:sz w:val="20"/>
          <w:szCs w:val="20"/>
          <w:color w:val="auto"/>
        </w:rPr>
      </w:pPr>
      <w:r>
        <w:rPr>
          <w:rFonts w:ascii="Arial" w:cs="Arial" w:eastAsia="Arial" w:hAnsi="Arial"/>
          <w:sz w:val="17"/>
          <w:szCs w:val="17"/>
          <w:color w:val="auto"/>
        </w:rPr>
        <w:t>The Company could initially prepay all, but not less than all, of the 2019 Term Loan, subject to a prepayment premium of 3.0% of the outstanding principal if prepaid within one year of the effective date of the loan, 2.0% of the outstanding principal if prepaid after the first anniversary of the effective date but on or prior to the second anniversary of the effective date, and 1.0% of the outstanding principal if prepaid after the second anniversary of the effective date. The 2019 Term Loan is collateralized by a security interest in all of the Company’s assets except intellectual property. The Company’s intellectual property is subject to a negative pledge.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First Amendment to the 2019 Term Loan</w:t>
      </w:r>
    </w:p>
    <w:p>
      <w:pPr>
        <w:spacing w:after="0" w:line="252"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7"/>
          <w:szCs w:val="17"/>
          <w:color w:val="auto"/>
        </w:rPr>
        <w:t>On July 25, 2019 (the “First Amendment Effective Date”), the Company entered into the first amendment to the 2019 Term Loan (the “First Amendment to the 2019 Term Loan”). Under the First Amendment to the 2019 Term Loan, the interest-only monthly payment period was extended to 18 months after the date of the 2019 Term Loan, which may be further extended to 24 months upon receipt by the Company of the Term B Loan Advance. The Company’s ability to draw down the Term B Loan Advance was extended to December 31, 2019, subject to the Company’s achievement of the Milestone Event prior to or on December 31, 2019. The Term B Loan Advance and the Term A Loan Advance (together, the “Loan Advances”) mature on February 1, 2023 (the “Maturity Date”).</w:t>
      </w:r>
    </w:p>
    <w:p>
      <w:pPr>
        <w:spacing w:after="0" w:line="207" w:lineRule="exact"/>
        <w:rPr>
          <w:sz w:val="20"/>
          <w:szCs w:val="20"/>
          <w:color w:val="auto"/>
        </w:rPr>
      </w:pPr>
    </w:p>
    <w:p>
      <w:pPr>
        <w:ind w:left="40" w:right="239" w:firstLine="648"/>
        <w:spacing w:after="0" w:line="254" w:lineRule="auto"/>
        <w:rPr>
          <w:sz w:val="20"/>
          <w:szCs w:val="20"/>
          <w:color w:val="auto"/>
        </w:rPr>
      </w:pPr>
      <w:r>
        <w:rPr>
          <w:rFonts w:ascii="Arial" w:cs="Arial" w:eastAsia="Arial" w:hAnsi="Arial"/>
          <w:sz w:val="17"/>
          <w:szCs w:val="17"/>
          <w:color w:val="auto"/>
        </w:rPr>
        <w:t>Pursuant to the 2019 Term Loan, as amended by the First Amendment to the 2019 Term Loan, following the interest-only payment period, the Company will begin making monthly payments of principal in equal monthly installments for 30 consecutive months (provided, that, upon the occurrence of the Milestone Event, the repayment schedule will be decreased to 24 consecutive months) and monthly payments of interest, until the Maturity Date. Interest will accrue on the unpaid principal balance of the outstanding Loan Advances at a floating per annum rate equal to the greater of (i) seven and one-half of one percent (7.50%) and (ii) two percent (2.0%) above the prime rate. The First Amendment to the 2019 Term Loan increased the final payment fee, payable upon the Company’s repayment of the Loan Advances from 6.0% to 6.3% of the original principal amount of the Loan Advances.</w:t>
      </w:r>
    </w:p>
    <w:p>
      <w:pPr>
        <w:spacing w:after="0" w:line="181" w:lineRule="exact"/>
        <w:rPr>
          <w:sz w:val="20"/>
          <w:szCs w:val="20"/>
          <w:color w:val="auto"/>
        </w:rPr>
      </w:pPr>
    </w:p>
    <w:p>
      <w:pPr>
        <w:ind w:left="40" w:right="119" w:firstLine="648"/>
        <w:spacing w:after="0"/>
        <w:rPr>
          <w:sz w:val="20"/>
          <w:szCs w:val="20"/>
          <w:color w:val="auto"/>
        </w:rPr>
      </w:pPr>
      <w:r>
        <w:rPr>
          <w:rFonts w:ascii="Arial" w:cs="Arial" w:eastAsia="Arial" w:hAnsi="Arial"/>
          <w:sz w:val="18"/>
          <w:szCs w:val="18"/>
          <w:color w:val="auto"/>
        </w:rPr>
        <w:t>The Company may prepay all, but not less than all of the Loan Advances, subject to a prepayment fee of 3.0% of any amount prepaid prior to the first anniversary of the First Amendment Effective Date, 2.0% of the amount prepaid if the prepayment occurs after the first anniversary of the First Amendment Effective Date through and including the second anniversary of the First Amendment Effective Date, or 1.0% of the amount prepaid if the prepayment occurs after the second anniversary of the First Amendment Effective Date, but prior to the Maturity Date. These percentages are unchanged from the original 2019 Term Loan.</w:t>
      </w:r>
    </w:p>
    <w:p>
      <w:pPr>
        <w:spacing w:after="0" w:line="230" w:lineRule="exact"/>
        <w:rPr>
          <w:sz w:val="20"/>
          <w:szCs w:val="20"/>
          <w:color w:val="auto"/>
        </w:rPr>
      </w:pPr>
    </w:p>
    <w:p>
      <w:pPr>
        <w:ind w:left="40" w:right="139" w:firstLine="648"/>
        <w:spacing w:after="0" w:line="239" w:lineRule="auto"/>
        <w:rPr>
          <w:sz w:val="20"/>
          <w:szCs w:val="20"/>
          <w:color w:val="auto"/>
        </w:rPr>
      </w:pPr>
      <w:r>
        <w:rPr>
          <w:rFonts w:ascii="Arial" w:cs="Arial" w:eastAsia="Arial" w:hAnsi="Arial"/>
          <w:sz w:val="18"/>
          <w:szCs w:val="18"/>
          <w:color w:val="auto"/>
        </w:rPr>
        <w:t xml:space="preserve">The Company evaluated whether the First Amendment to the 2019 Term Loan entered into in July 2019 represented a debt modification or extinguishment in accordance with ASC 470-50, </w:t>
      </w:r>
      <w:r>
        <w:rPr>
          <w:rFonts w:ascii="Arial" w:cs="Arial" w:eastAsia="Arial" w:hAnsi="Arial"/>
          <w:sz w:val="18"/>
          <w:szCs w:val="18"/>
          <w:i w:val="1"/>
          <w:iCs w:val="1"/>
          <w:color w:val="auto"/>
        </w:rPr>
        <w:t>Debt – Modifications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Extinguishments</w:t>
      </w:r>
      <w:r>
        <w:rPr>
          <w:rFonts w:ascii="Arial" w:cs="Arial" w:eastAsia="Arial" w:hAnsi="Arial"/>
          <w:sz w:val="18"/>
          <w:szCs w:val="18"/>
          <w:color w:val="auto"/>
        </w:rPr>
        <w:t>. As the present value of the cash flows under the terms of the First Amendment to the 2019 Term Loan is</w:t>
      </w:r>
      <w:r>
        <w:rPr>
          <w:rFonts w:ascii="Arial" w:cs="Arial" w:eastAsia="Arial" w:hAnsi="Arial"/>
          <w:sz w:val="18"/>
          <w:szCs w:val="18"/>
          <w:i w:val="1"/>
          <w:iCs w:val="1"/>
          <w:color w:val="auto"/>
        </w:rPr>
        <w:t xml:space="preserve"> </w:t>
      </w:r>
      <w:r>
        <w:rPr>
          <w:rFonts w:ascii="Arial" w:cs="Arial" w:eastAsia="Arial" w:hAnsi="Arial"/>
          <w:sz w:val="18"/>
          <w:szCs w:val="18"/>
          <w:color w:val="auto"/>
        </w:rPr>
        <w:t>less than 10% different from the remaining cash flows under the terms of the 2019 Term Loan, the First Amendment to the 2019 Term Loan was accounted for as a debt modification. Therefore, the unamortized balance of debt discount costs incurred in connection with 2019 Term Loan are being amortized through maturity in February 2023 utilizing the effective interest rate method.</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Previous Term Loan</w:t>
      </w:r>
    </w:p>
    <w:p>
      <w:pPr>
        <w:spacing w:after="0" w:line="239" w:lineRule="exact"/>
        <w:rPr>
          <w:sz w:val="20"/>
          <w:szCs w:val="20"/>
          <w:color w:val="auto"/>
        </w:rPr>
      </w:pPr>
    </w:p>
    <w:p>
      <w:pPr>
        <w:ind w:left="40" w:right="79" w:firstLine="648"/>
        <w:spacing w:after="0"/>
        <w:rPr>
          <w:sz w:val="20"/>
          <w:szCs w:val="20"/>
          <w:color w:val="auto"/>
        </w:rPr>
      </w:pPr>
      <w:r>
        <w:rPr>
          <w:rFonts w:ascii="Arial" w:cs="Arial" w:eastAsia="Arial" w:hAnsi="Arial"/>
          <w:sz w:val="18"/>
          <w:szCs w:val="18"/>
          <w:color w:val="auto"/>
        </w:rPr>
        <w:t>Prior to the 2019 Term Loan, the Company had a $20.0 million Term Loan Agreement with SVB which was executed in November 2016 (“2016 Original Term Loan”). The three-tranche term loan consisted of an initial $10.0 million tranche triggered upon closing, with the remaining $10.0 million available to be drawn in two $5.0 million tranches, at the Company’s option, subject to the achievement of certain clinical and financial milestones. The Company did not achieve the conditional criteria to access the second and third tranches before the specified dates and the $10.0 million in additional term loan advances subsequently expired.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648"/>
        <w:spacing w:after="0" w:line="252" w:lineRule="auto"/>
        <w:rPr>
          <w:sz w:val="20"/>
          <w:szCs w:val="20"/>
          <w:color w:val="auto"/>
        </w:rPr>
      </w:pPr>
      <w:r>
        <w:rPr>
          <w:rFonts w:ascii="Arial" w:cs="Arial" w:eastAsia="Arial" w:hAnsi="Arial"/>
          <w:sz w:val="17"/>
          <w:szCs w:val="17"/>
          <w:color w:val="auto"/>
        </w:rPr>
        <w:t>The 2016 Original Term Loan bore interest at an annual rate equal to 4.50% plus the prime rate, which is the greater of 3.50% or the Wall Street Journal prime rate, and was payable monthly. It was to mature in November 2020 and had an interest-only payment period until December 1, 2017, which was extendable to May 2018 upon the drawing of the second tranche. Because the Company did not achieve the conditional criteria to access the second and third term advances before the specified dates, the $10.0 million in additional term loan advances expired and the Company began to repay principal in December 2017. Following the interest-only payment period, the Company began making monthly payments of principal and interest and such payments would continue until the maturity date. Principal payments coming due within twelve months had been classified as current liabilities in the accompanying balance sheet. In addition to principal and interest payments under the 2016 Original Term Loan, the Company was required to pay a final payment fee of 8.5% of the principal amount extended on the date of repayment of the 2016 Original Term Loan. The Company accrued the final payment fee into interest expense using the effective interest rate method until the entry into the 2019 Term Loan in March 2019, at which time the Company paid SVB $0.85 million in satisfaction of all final payment fee liabilities due under the 2016 Original Term Loan.</w:t>
      </w:r>
    </w:p>
    <w:p>
      <w:pPr>
        <w:spacing w:after="0" w:line="221" w:lineRule="exact"/>
        <w:rPr>
          <w:sz w:val="20"/>
          <w:szCs w:val="20"/>
          <w:color w:val="auto"/>
        </w:rPr>
      </w:pPr>
    </w:p>
    <w:p>
      <w:pPr>
        <w:ind w:left="40" w:right="199" w:firstLine="648"/>
        <w:spacing w:after="0" w:line="279" w:lineRule="auto"/>
        <w:rPr>
          <w:sz w:val="20"/>
          <w:szCs w:val="20"/>
          <w:color w:val="auto"/>
        </w:rPr>
      </w:pPr>
      <w:r>
        <w:rPr>
          <w:rFonts w:ascii="Arial" w:cs="Arial" w:eastAsia="Arial" w:hAnsi="Arial"/>
          <w:sz w:val="16"/>
          <w:szCs w:val="16"/>
          <w:color w:val="auto"/>
        </w:rPr>
        <w:t>The Company was permitted to prepay all, but not less than all, of the 2016 Original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2016 Original Term Loan was collateralized by a security interest in all of the Company’s assets except intellectual property. The Company’s intellectual property was subject to a negative pledge.</w:t>
      </w:r>
    </w:p>
    <w:p>
      <w:pPr>
        <w:spacing w:after="0" w:line="186"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6"/>
          <w:szCs w:val="16"/>
          <w:color w:val="auto"/>
        </w:rPr>
        <w:t>In November 2018, the Company amended the 2016 Original Term Loan with SVB to provide an additional $4.0 million growth capital loan. The additional capital was available to be drawn on the amendment effective date which was November 26, 2018 through May 31, 2019, at the Company’s option, conditioned upon the achievement of a clinical milestone, which required the Company’s receipt of positive data of the Company’s Phase 2 clinical trial of AXS-12 for the treatment of narcolepsy, sufficient to submit a Phase 3 protocol to the FDA and to proceed to a Phase 3 trial (“2016 Amended Term Loan”). The financial terms for this additional growth capital were more favorable than those of the 2016 Original Term Loan. All other terms and conditions from the 2016 Original Term Loan agreement remained in place. The additional $4.0 million growth capital loan had to be drawn by May 31, 2019 and would bear interest at an annual rate equal to the greater of the prime rate plus 2.00%, or 7.25%, if drawn. The Company’s obligations under the 2016 Amended Term Loan, along with the ability of the Company to draw down on the additional $4.0 million tranche, were considered performed and completed in connection with the establishment of the 2019 Term Loan.</w:t>
      </w:r>
    </w:p>
    <w:p>
      <w:pPr>
        <w:spacing w:after="0" w:line="207"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6"/>
          <w:szCs w:val="16"/>
          <w:color w:val="auto"/>
        </w:rPr>
        <w:t xml:space="preserve">The Company evaluated whether the 2019 Term Loan entered into in March 2019 represented a debt modification or extinguishment in accordance with ASC 470-50, </w:t>
      </w:r>
      <w:r>
        <w:rPr>
          <w:rFonts w:ascii="Arial" w:cs="Arial" w:eastAsia="Arial" w:hAnsi="Arial"/>
          <w:sz w:val="16"/>
          <w:szCs w:val="16"/>
          <w:i w:val="1"/>
          <w:iCs w:val="1"/>
          <w:color w:val="auto"/>
        </w:rPr>
        <w:t>Debt – Modifications and Extinguishments</w:t>
      </w:r>
      <w:r>
        <w:rPr>
          <w:rFonts w:ascii="Arial" w:cs="Arial" w:eastAsia="Arial" w:hAnsi="Arial"/>
          <w:sz w:val="16"/>
          <w:szCs w:val="16"/>
          <w:color w:val="auto"/>
        </w:rPr>
        <w:t>. As the present value of the cash flows under the terms of the 2019 Term Loan is less than 10% different from the remaining cash flows under the terms of the 2016 Original Term Loan and the 2016 Amended Term Loan, the 2019 Term Loan was accounted for as a debt modification. Since the borrowing capacity of the 2019 Term Loan is greater than the borrowing capacity from the 2016 Original Term Loan and the 2016 Amended Term Loan, the unamortized balance of debt discount costs incurred in connection with those loans and additional debt discount costs incurred in connection with entry into the 2019 Term Loan, are being amortized through maturity in February 2023 utilizing the effective interest rate method.</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Loan Interest Expense and Amortization</w:t>
      </w:r>
    </w:p>
    <w:p>
      <w:pPr>
        <w:spacing w:after="0" w:line="212" w:lineRule="exact"/>
        <w:rPr>
          <w:sz w:val="20"/>
          <w:szCs w:val="20"/>
          <w:color w:val="auto"/>
        </w:rPr>
      </w:pPr>
    </w:p>
    <w:p>
      <w:pPr>
        <w:ind w:left="40" w:right="179" w:firstLine="648"/>
        <w:spacing w:after="0" w:line="284" w:lineRule="auto"/>
        <w:rPr>
          <w:sz w:val="20"/>
          <w:szCs w:val="20"/>
          <w:color w:val="auto"/>
        </w:rPr>
      </w:pPr>
      <w:r>
        <w:rPr>
          <w:rFonts w:ascii="Arial" w:cs="Arial" w:eastAsia="Arial" w:hAnsi="Arial"/>
          <w:sz w:val="16"/>
          <w:szCs w:val="16"/>
          <w:color w:val="auto"/>
        </w:rPr>
        <w:t>The Company incurred interest expense of $379,167 and $758,334 for the three and six months ended June 30, 2020, respectively, as compared to $379,166 and $595,833 for the three and six months ended June 30, 2019, respectively. In addition, amortization of the final payment fee was $119,014 and $238,028 for the three and six months ended June 30, 2020, respectively, as compared to $126,259 and $195,924 for the three and six months ended June 30, 2019, respectively.</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outstanding debt and unamortized debt discount balances are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4"/>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Outstanding Debt</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20,000,000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20,000,000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100"/>
              <w:spacing w:after="0" w:line="202" w:lineRule="exact"/>
              <w:rPr>
                <w:sz w:val="20"/>
                <w:szCs w:val="20"/>
                <w:color w:val="auto"/>
              </w:rPr>
            </w:pPr>
            <w:r>
              <w:rPr>
                <w:rFonts w:ascii="Arial" w:cs="Arial" w:eastAsia="Arial" w:hAnsi="Arial"/>
                <w:sz w:val="18"/>
                <w:szCs w:val="18"/>
                <w:color w:val="auto"/>
              </w:rPr>
              <w:t>Add: accreted liability of final payment fee</w:t>
            </w: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642,392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404,364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Less: unamortized debt discount, long-term</w:t>
            </w: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(231,404)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Less: current portion of long-term debt</w:t>
            </w:r>
          </w:p>
        </w:tc>
        <w:tc>
          <w:tcPr>
            <w:tcW w:w="14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(6,666,667)</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(2,666,667)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Loan payable, long-term</w:t>
            </w:r>
          </w:p>
        </w:tc>
        <w:tc>
          <w:tcPr>
            <w:tcW w:w="14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13,744,321</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17,332,626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6,666,667</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2,666,667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Less: current portion of unamortized debt discount</w:t>
            </w:r>
          </w:p>
        </w:tc>
        <w:tc>
          <w:tcPr>
            <w:tcW w:w="14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(119,406)</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(64,375)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Loan payable, current portion</w:t>
            </w:r>
          </w:p>
        </w:tc>
        <w:tc>
          <w:tcPr>
            <w:tcW w:w="14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6,547,261</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2,602,292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0" w:right="319" w:firstLine="648"/>
        <w:spacing w:after="0" w:line="261" w:lineRule="auto"/>
        <w:rPr>
          <w:sz w:val="20"/>
          <w:szCs w:val="20"/>
          <w:color w:val="auto"/>
        </w:rPr>
      </w:pPr>
      <w:r>
        <w:rPr>
          <w:rFonts w:ascii="Arial" w:cs="Arial" w:eastAsia="Arial" w:hAnsi="Arial"/>
          <w:sz w:val="18"/>
          <w:szCs w:val="18"/>
          <w:color w:val="auto"/>
        </w:rPr>
        <w:t>Further information on warrants issued related to the debt financings and amendments are disclosed in Note 6 - Stockholders’ Equity under the “Warrants” section.</w:t>
      </w:r>
    </w:p>
    <w:p>
      <w:pPr>
        <w:spacing w:after="0" w:line="157" w:lineRule="exact"/>
        <w:rPr>
          <w:sz w:val="20"/>
          <w:szCs w:val="20"/>
          <w:color w:val="auto"/>
        </w:rPr>
      </w:pPr>
    </w:p>
    <w:p>
      <w:pPr>
        <w:jc w:val="both"/>
        <w:ind w:left="40" w:right="59" w:firstLine="648"/>
        <w:spacing w:after="0" w:line="248" w:lineRule="auto"/>
        <w:rPr>
          <w:sz w:val="20"/>
          <w:szCs w:val="20"/>
          <w:color w:val="auto"/>
        </w:rPr>
      </w:pPr>
      <w:r>
        <w:rPr>
          <w:rFonts w:ascii="Arial" w:cs="Arial" w:eastAsia="Arial" w:hAnsi="Arial"/>
          <w:sz w:val="18"/>
          <w:szCs w:val="18"/>
          <w:color w:val="auto"/>
        </w:rPr>
        <w:t>Amortization of the debt discount in relation to warrants issued as described above was $59,998 and $118,636 for three and six months ended June 30, 2020, as compared to $61,126 and $98,894 for the three and six months ended June 30, 2019, respectively.</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20" w:type="dxa"/>
            <w:vAlign w:val="bottom"/>
          </w:tcPr>
          <w:p>
            <w:pPr>
              <w:ind w:left="640"/>
              <w:spacing w:after="0"/>
              <w:rPr>
                <w:sz w:val="20"/>
                <w:szCs w:val="20"/>
                <w:color w:val="auto"/>
              </w:rPr>
            </w:pPr>
            <w:r>
              <w:rPr>
                <w:rFonts w:ascii="Arial" w:cs="Arial" w:eastAsia="Arial" w:hAnsi="Arial"/>
                <w:sz w:val="18"/>
                <w:szCs w:val="18"/>
                <w:color w:val="auto"/>
                <w:w w:val="98"/>
              </w:rPr>
              <w:t>Scheduled Principal Payments on Outstanding Debt, as of June 30, 2020, are as follows: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2,666,667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8,000,000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2023</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1,333,333</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principal payments outstanding</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20,000,000</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right="439" w:firstLine="648"/>
        <w:spacing w:after="0" w:line="261" w:lineRule="auto"/>
        <w:rPr>
          <w:sz w:val="20"/>
          <w:szCs w:val="20"/>
          <w:color w:val="auto"/>
        </w:rPr>
      </w:pPr>
      <w:r>
        <w:rPr>
          <w:rFonts w:ascii="Arial" w:cs="Arial" w:eastAsia="Arial" w:hAnsi="Arial"/>
          <w:sz w:val="18"/>
          <w:szCs w:val="18"/>
          <w:color w:val="auto"/>
        </w:rPr>
        <w:t>The Company was in compliance with all covenants and requirements of its financing arrangements as of and during the six months ended June 30, 2020.</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Net Loss per Common Share</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w w:val="98"/>
              </w:rPr>
              <w:t>Three months ended June 30,</w:t>
            </w: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and diluted net loss per common share:</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w w:val="95"/>
              </w:rPr>
              <w:t>(18,326,992)</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w w:val="94"/>
              </w:rPr>
              <w:t>(13,762,214)</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w w:val="95"/>
              </w:rPr>
              <w:t>(50,811,138)</w:t>
            </w:r>
          </w:p>
        </w:tc>
        <w:tc>
          <w:tcPr>
            <w:tcW w:w="32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w w:val="95"/>
              </w:rPr>
              <w:t>(24,402,590)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rPr>
              <w:t>Weighted average common shares outstanding—</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37,100,770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33,801,749</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37,081,064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33,429,178</w:t>
            </w:r>
          </w:p>
        </w:tc>
        <w:tc>
          <w:tcPr>
            <w:tcW w:w="0" w:type="dxa"/>
            <w:vAlign w:val="bottom"/>
          </w:tcPr>
          <w:p>
            <w:pPr>
              <w:spacing w:after="0"/>
              <w:rPr>
                <w:sz w:val="1"/>
                <w:szCs w:val="1"/>
                <w:color w:val="auto"/>
              </w:rPr>
            </w:pPr>
          </w:p>
        </w:tc>
      </w:tr>
      <w:tr>
        <w:trPr>
          <w:trHeight w:val="196"/>
        </w:trPr>
        <w:tc>
          <w:tcPr>
            <w:tcW w:w="3740" w:type="dxa"/>
            <w:vAlign w:val="bottom"/>
            <w:gridSpan w:val="2"/>
          </w:tcPr>
          <w:p>
            <w:pPr>
              <w:spacing w:after="0" w:line="196" w:lineRule="exact"/>
              <w:rPr>
                <w:sz w:val="20"/>
                <w:szCs w:val="20"/>
                <w:color w:val="auto"/>
              </w:rPr>
            </w:pPr>
            <w:r>
              <w:rPr>
                <w:rFonts w:ascii="Arial" w:cs="Arial" w:eastAsia="Arial" w:hAnsi="Arial"/>
                <w:sz w:val="18"/>
                <w:szCs w:val="18"/>
                <w:color w:val="auto"/>
                <w:w w:val="99"/>
              </w:rPr>
              <w:t>Net loss per common share—basic and diluted</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(0.49)</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(0.41)</w:t>
            </w:r>
          </w:p>
        </w:tc>
        <w:tc>
          <w:tcPr>
            <w:tcW w:w="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firstLine="648"/>
        <w:spacing w:after="0" w:line="261" w:lineRule="auto"/>
        <w:rPr>
          <w:sz w:val="20"/>
          <w:szCs w:val="20"/>
          <w:color w:val="auto"/>
        </w:rPr>
      </w:pPr>
      <w:r>
        <w:rPr>
          <w:rFonts w:ascii="Arial" w:cs="Arial" w:eastAsia="Arial" w:hAnsi="Arial"/>
          <w:sz w:val="18"/>
          <w:szCs w:val="18"/>
          <w:color w:val="auto"/>
        </w:rPr>
        <w:t>The following potentially dilutive securities outstanding at June 30, 2020 and 2019 have been excluded from the computation of diluted weighted average shares outstanding, as they would be anti-dilutive: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30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96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3,979,607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3,113,891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150,143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37,042</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156,982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4,166,792</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3,270,873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Stockholders’ Equity</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Capital Structure</w:t>
      </w:r>
    </w:p>
    <w:p>
      <w:pPr>
        <w:spacing w:after="0" w:line="216" w:lineRule="exact"/>
        <w:rPr>
          <w:sz w:val="20"/>
          <w:szCs w:val="20"/>
          <w:color w:val="auto"/>
        </w:rPr>
      </w:pPr>
    </w:p>
    <w:p>
      <w:pPr>
        <w:ind w:left="40" w:right="119" w:firstLine="648"/>
        <w:spacing w:after="0" w:line="239" w:lineRule="auto"/>
        <w:rPr>
          <w:sz w:val="20"/>
          <w:szCs w:val="20"/>
          <w:color w:val="auto"/>
        </w:rPr>
      </w:pPr>
      <w:r>
        <w:rPr>
          <w:rFonts w:ascii="Arial" w:cs="Arial" w:eastAsia="Arial" w:hAnsi="Arial"/>
          <w:sz w:val="18"/>
          <w:szCs w:val="18"/>
          <w:color w:val="auto"/>
        </w:rPr>
        <w:t>In May 2019, the Company entered into a Sales Agreement with SVB Leerink (the “May 2019 Sales Agreement”), pursuant to which the Company could sell up to $50 million in shares of its common stock from time to time through SVB Leerink, acting as the Company’s sales agent, in one or more at-the-market offerings utilizing the 2016 Shelf Registration Statement (as defined below). SVB Leerink was entitled to receive a commission of 3.0% of the gross proceeds for any shares sold under the May 2019 Sales Agreement. The shares that were unsold under the May 2019 Sales Agreement at the time of the expiration of the 2016 Shelf Registration Statement were rolled over to the December 2019 Sales Agreement (see below).</w:t>
      </w:r>
    </w:p>
    <w:p>
      <w:pPr>
        <w:spacing w:after="0" w:line="191" w:lineRule="exact"/>
        <w:rPr>
          <w:sz w:val="20"/>
          <w:szCs w:val="20"/>
          <w:color w:val="auto"/>
        </w:rPr>
      </w:pPr>
    </w:p>
    <w:p>
      <w:pPr>
        <w:ind w:left="40" w:right="179" w:firstLine="648"/>
        <w:spacing w:after="0" w:line="239" w:lineRule="auto"/>
        <w:rPr>
          <w:sz w:val="20"/>
          <w:szCs w:val="20"/>
          <w:color w:val="auto"/>
        </w:rPr>
      </w:pPr>
      <w:r>
        <w:rPr>
          <w:rFonts w:ascii="Arial" w:cs="Arial" w:eastAsia="Arial" w:hAnsi="Arial"/>
          <w:sz w:val="18"/>
          <w:szCs w:val="18"/>
          <w:color w:val="auto"/>
        </w:rPr>
        <w:t>In December 2019, the Company entered into a new Sales Agreement with SVB Leerink (the “December 2019 Sales Agreement”), pursuant to which the Company may sell up to $80 million in shares of the Company’s common stock from time to time through SVB Leerink, acting as the Company’s sales agent, in one or more at-the-market offerings utilizing the 2019 Shelf Registration Statement. SVB Leerink is entitled to receive a commission of 3.0% of the gross proceeds for any shares sold under the December 2019 Sales Agreement. The Company received approximately $12.4 million in gross proceeds through the sale of 141,678 shares, of which net proceeds were approximately $12.1 million during the six months ended June 30, 2020.</w:t>
      </w:r>
    </w:p>
    <w:p>
      <w:pPr>
        <w:spacing w:after="0" w:line="191" w:lineRule="exact"/>
        <w:rPr>
          <w:sz w:val="20"/>
          <w:szCs w:val="20"/>
          <w:color w:val="auto"/>
        </w:rPr>
      </w:pPr>
    </w:p>
    <w:p>
      <w:pPr>
        <w:ind w:left="40" w:right="139" w:firstLine="648"/>
        <w:spacing w:after="0" w:line="243" w:lineRule="auto"/>
        <w:rPr>
          <w:sz w:val="20"/>
          <w:szCs w:val="20"/>
          <w:color w:val="auto"/>
        </w:rPr>
      </w:pPr>
      <w:r>
        <w:rPr>
          <w:rFonts w:ascii="Arial" w:cs="Arial" w:eastAsia="Arial" w:hAnsi="Arial"/>
          <w:sz w:val="18"/>
          <w:szCs w:val="18"/>
          <w:color w:val="auto"/>
        </w:rPr>
        <w:t>In December 2019, the Company completed an underwritten public offering, whereby the Company sold 2,300,000 shares of common stock at a public offering price of $87.00 per share. The Company received gross proceeds of approximately $200.1 million and net proceeds of approximately $187.1 million, after deducting underwriting discounts and offering expenses.</w:t>
      </w:r>
    </w:p>
    <w:p>
      <w:pPr>
        <w:spacing w:after="0" w:line="188" w:lineRule="exact"/>
        <w:rPr>
          <w:sz w:val="20"/>
          <w:szCs w:val="20"/>
          <w:color w:val="auto"/>
        </w:rPr>
      </w:pPr>
    </w:p>
    <w:p>
      <w:pPr>
        <w:ind w:left="40" w:right="419" w:firstLine="648"/>
        <w:spacing w:after="0" w:line="248"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Shelf Registration Statement</w:t>
      </w:r>
    </w:p>
    <w:p>
      <w:pPr>
        <w:spacing w:after="0" w:line="256" w:lineRule="exact"/>
        <w:rPr>
          <w:sz w:val="20"/>
          <w:szCs w:val="20"/>
          <w:color w:val="auto"/>
        </w:rPr>
      </w:pPr>
    </w:p>
    <w:p>
      <w:pPr>
        <w:ind w:left="40" w:right="79" w:firstLine="648"/>
        <w:spacing w:after="0" w:line="271" w:lineRule="auto"/>
        <w:rPr>
          <w:sz w:val="20"/>
          <w:szCs w:val="20"/>
          <w:color w:val="auto"/>
        </w:rPr>
      </w:pPr>
      <w:r>
        <w:rPr>
          <w:rFonts w:ascii="Arial" w:cs="Arial" w:eastAsia="Arial" w:hAnsi="Arial"/>
          <w:sz w:val="16"/>
          <w:szCs w:val="16"/>
          <w:color w:val="auto"/>
        </w:rPr>
        <w:t>On December 5, 2019, the Company filed an automatic shelf registration statement (“2019 Shelf Registration Statement”) with the Securities and Exchange Commission (“SEC”) for the issuance of common stock, preferred stock, warrants, rights, debt securities and units. The 2019 Shelf Registration Statement was automatically effective upon filing with the SEC and is currently the Company’s only active shelf registration statement. The 2019 Shelf Registration Statement was filed in part to replace the Company’s previous non-automatic shelf registration statement, which became effective on December 16, 2016, and provided for the issuance of common stock, preferred stock, warrants, rights, debt securities and units up to an aggregate amount of $150.0 million (the “2016 Shelf Registration Statement”). The 2016 Shelf Registration Statement expired on December 16, 2019. Through the date of this report, the Company has issued common stock of approximately $219.8 million pursuant to the 2019 Shelf Registration Statement.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648"/>
        <w:spacing w:after="0" w:line="241" w:lineRule="auto"/>
        <w:rPr>
          <w:sz w:val="20"/>
          <w:szCs w:val="20"/>
          <w:color w:val="auto"/>
        </w:rPr>
      </w:pPr>
      <w:r>
        <w:rPr>
          <w:rFonts w:ascii="Arial" w:cs="Arial" w:eastAsia="Arial" w:hAnsi="Arial"/>
          <w:sz w:val="18"/>
          <w:szCs w:val="18"/>
          <w:color w:val="auto"/>
        </w:rPr>
        <w:t>Under SEC rules, the 2019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2019 Shelf Registration Statement are offered for sale, a prospectus supplement will be prepared and filed with the SEC containing specific information about the terms of any such offering.</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Equity Incentive Plans</w:t>
      </w:r>
    </w:p>
    <w:p>
      <w:pPr>
        <w:spacing w:after="0" w:line="202" w:lineRule="exact"/>
        <w:rPr>
          <w:sz w:val="20"/>
          <w:szCs w:val="20"/>
          <w:color w:val="auto"/>
        </w:rPr>
      </w:pPr>
    </w:p>
    <w:p>
      <w:pPr>
        <w:ind w:left="40" w:right="819" w:firstLine="648"/>
        <w:spacing w:after="0" w:line="261" w:lineRule="auto"/>
        <w:rPr>
          <w:sz w:val="20"/>
          <w:szCs w:val="20"/>
          <w:color w:val="auto"/>
        </w:rPr>
      </w:pPr>
      <w:r>
        <w:rPr>
          <w:rFonts w:ascii="Arial" w:cs="Arial" w:eastAsia="Arial" w:hAnsi="Arial"/>
          <w:sz w:val="18"/>
          <w:szCs w:val="18"/>
          <w:color w:val="auto"/>
        </w:rPr>
        <w:t>There were 2,635,527 shares available for the issuance of stock options or stock-based awards under the Company’s 2015 Omnibus Incentive Compensation Plan at June 30, 2020.</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 Options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stock option activity for the six months ended June 30, 2020:</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Weighted</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900" w:type="dxa"/>
            <w:vAlign w:val="bottom"/>
          </w:tcPr>
          <w:p>
            <w:pPr>
              <w:jc w:val="right"/>
              <w:ind w:right="114"/>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contractual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900" w:type="dxa"/>
            <w:vAlign w:val="bottom"/>
          </w:tcPr>
          <w:p>
            <w:pPr>
              <w:jc w:val="right"/>
              <w:ind w:right="94"/>
              <w:spacing w:after="0"/>
              <w:rPr>
                <w:sz w:val="20"/>
                <w:szCs w:val="20"/>
                <w:color w:val="auto"/>
              </w:rPr>
            </w:pPr>
            <w:r>
              <w:rPr>
                <w:rFonts w:ascii="Arial" w:cs="Arial" w:eastAsia="Arial" w:hAnsi="Arial"/>
                <w:sz w:val="14"/>
                <w:szCs w:val="14"/>
                <w:b w:val="1"/>
                <w:bCs w:val="1"/>
                <w:color w:val="auto"/>
              </w:rPr>
              <w:t>of shares</w:t>
            </w:r>
          </w:p>
        </w:tc>
        <w:tc>
          <w:tcPr>
            <w:tcW w:w="1140" w:type="dxa"/>
            <w:vAlign w:val="bottom"/>
            <w:gridSpan w:val="4"/>
          </w:tcPr>
          <w:p>
            <w:pPr>
              <w:ind w:left="140"/>
              <w:spacing w:after="0"/>
              <w:rPr>
                <w:sz w:val="20"/>
                <w:szCs w:val="20"/>
                <w:color w:val="auto"/>
              </w:rPr>
            </w:pPr>
            <w:r>
              <w:rPr>
                <w:rFonts w:ascii="Arial" w:cs="Arial" w:eastAsia="Arial" w:hAnsi="Arial"/>
                <w:sz w:val="14"/>
                <w:szCs w:val="14"/>
                <w:b w:val="1"/>
                <w:bCs w:val="1"/>
                <w:color w:val="auto"/>
              </w:rPr>
              <w:t>exercise price</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term</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2019</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3,458,447</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10.19</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630,135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53.75</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(80,614)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10.17</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Forfeited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(28,361)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14.23</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Expired</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20" w:type="dxa"/>
            <w:vAlign w:val="bottom"/>
          </w:tcPr>
          <w:p>
            <w:pPr>
              <w:spacing w:after="0" w:line="196" w:lineRule="exact"/>
              <w:rPr>
                <w:sz w:val="20"/>
                <w:szCs w:val="20"/>
                <w:color w:val="auto"/>
              </w:rPr>
            </w:pPr>
            <w:r>
              <w:rPr>
                <w:rFonts w:ascii="Arial" w:cs="Arial" w:eastAsia="Arial" w:hAnsi="Arial"/>
                <w:sz w:val="18"/>
                <w:szCs w:val="18"/>
                <w:color w:val="auto"/>
              </w:rPr>
              <w:t>Outstanding at June 30, 2020</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w w:val="99"/>
              </w:rPr>
              <w:t>3,979,607</w:t>
            </w:r>
          </w:p>
        </w:tc>
        <w:tc>
          <w:tcPr>
            <w:tcW w:w="26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17.06</w:t>
            </w:r>
          </w:p>
        </w:tc>
        <w:tc>
          <w:tcPr>
            <w:tcW w:w="160" w:type="dxa"/>
            <w:vAlign w:val="bottom"/>
          </w:tcPr>
          <w:p>
            <w:pPr>
              <w:spacing w:after="0"/>
              <w:rPr>
                <w:sz w:val="20"/>
                <w:szCs w:val="20"/>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160" w:type="dxa"/>
            <w:vAlign w:val="bottom"/>
          </w:tcPr>
          <w:p>
            <w:pPr>
              <w:spacing w:after="0"/>
              <w:rPr>
                <w:sz w:val="20"/>
                <w:szCs w:val="20"/>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w w:val="91"/>
              </w:rPr>
              <w:t>259,886,170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2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Vested and expected to vest at June 30, 2020</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99"/>
              </w:rPr>
              <w:t>3,973,438</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17.08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7.8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91"/>
              </w:rPr>
              <w:t>259,386,596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Exercisable at June 30, 2020</w:t>
            </w: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vMerge w:val="continue"/>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2,177,471</w:t>
            </w:r>
          </w:p>
        </w:tc>
        <w:tc>
          <w:tcPr>
            <w:tcW w:w="14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9.07</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6.3</w:t>
            </w:r>
          </w:p>
        </w:tc>
        <w:tc>
          <w:tcPr>
            <w:tcW w:w="16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1"/>
              </w:rPr>
              <w:t>159,414,994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648"/>
        <w:spacing w:after="0" w:line="253" w:lineRule="auto"/>
        <w:rPr>
          <w:sz w:val="20"/>
          <w:szCs w:val="20"/>
          <w:color w:val="auto"/>
        </w:rPr>
      </w:pPr>
      <w:r>
        <w:rPr>
          <w:rFonts w:ascii="Arial" w:cs="Arial" w:eastAsia="Arial" w:hAnsi="Arial"/>
          <w:sz w:val="17"/>
          <w:szCs w:val="17"/>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w:t>
      </w:r>
    </w:p>
    <w:p>
      <w:pPr>
        <w:spacing w:after="0" w:line="184" w:lineRule="exact"/>
        <w:rPr>
          <w:sz w:val="20"/>
          <w:szCs w:val="20"/>
          <w:color w:val="auto"/>
        </w:rPr>
      </w:pPr>
    </w:p>
    <w:p>
      <w:pPr>
        <w:ind w:left="40" w:right="139" w:firstLine="648"/>
        <w:spacing w:after="0" w:line="207" w:lineRule="exact"/>
        <w:rPr>
          <w:sz w:val="20"/>
          <w:szCs w:val="20"/>
          <w:color w:val="auto"/>
        </w:rPr>
      </w:pPr>
      <w:r>
        <w:rPr>
          <w:rFonts w:ascii="Arial" w:cs="Arial" w:eastAsia="Arial" w:hAnsi="Arial"/>
          <w:sz w:val="18"/>
          <w:szCs w:val="18"/>
          <w:color w:val="auto"/>
        </w:rPr>
        <w:t>The weighted average grant date fair value of options granted was $34.24 per option for the six months ended June 30, 2020. As of June 30, 2020, there was $30.2 million of total unrecognized compensation cost related to non-vested stock options which is expected to be recognized over a weighted average period of 3.2 years. These amounts do not include 11,295 options outstanding as of June 30, 2020, which are performance-based and vest upon the achievement of certain corporate milestones.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will be measured and recorded if and when it is probable that the milestone will occur.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Restricted Stock Units</w:t>
      </w:r>
    </w:p>
    <w:p>
      <w:pPr>
        <w:spacing w:after="0" w:line="216" w:lineRule="exact"/>
        <w:rPr>
          <w:sz w:val="20"/>
          <w:szCs w:val="20"/>
          <w:color w:val="auto"/>
        </w:rPr>
      </w:pPr>
    </w:p>
    <w:p>
      <w:pPr>
        <w:ind w:left="40" w:right="119" w:firstLine="648"/>
        <w:spacing w:after="0"/>
        <w:rPr>
          <w:sz w:val="20"/>
          <w:szCs w:val="20"/>
          <w:color w:val="auto"/>
        </w:rPr>
      </w:pPr>
      <w:r>
        <w:rPr>
          <w:rFonts w:ascii="Arial" w:cs="Arial" w:eastAsia="Arial" w:hAnsi="Arial"/>
          <w:sz w:val="18"/>
          <w:szCs w:val="18"/>
          <w:color w:val="auto"/>
        </w:rPr>
        <w:t>In 2020, the Company began granting RSUs covering an equal number of its shares of common stock to employees. For the six months ended June 30, 2020 the weighted-average grant date fair value was $32.79. The fair value of RSUs is determined on the date of the grant based on the market price of its shares of common stock as of that date. The fair value of the RSUs is recognized as an expense ratably over the vesting period of four years. As of June 30, 2020, total compensation cost not yet recognized related to unvested RSUs was $4.6 million, which is expected to be recognized over a weighted-average period of 3.7 years.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RSU activity for the six months ended June 30, 2020:</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5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r>
      <w:tr>
        <w:trPr>
          <w:trHeight w:val="203"/>
        </w:trPr>
        <w:tc>
          <w:tcPr>
            <w:tcW w:w="5160" w:type="dxa"/>
            <w:vAlign w:val="bottom"/>
          </w:tcPr>
          <w:p>
            <w:pPr>
              <w:spacing w:after="0"/>
              <w:rPr>
                <w:sz w:val="17"/>
                <w:szCs w:val="17"/>
                <w:color w:val="auto"/>
              </w:rPr>
            </w:pPr>
          </w:p>
        </w:tc>
        <w:tc>
          <w:tcPr>
            <w:tcW w:w="740" w:type="dxa"/>
            <w:vAlign w:val="bottom"/>
          </w:tcPr>
          <w:p>
            <w:pPr>
              <w:jc w:val="right"/>
              <w:ind w:right="35"/>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7"/>
                <w:szCs w:val="17"/>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grant date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intrinsic</w:t>
            </w:r>
          </w:p>
        </w:tc>
      </w:tr>
      <w:tr>
        <w:trPr>
          <w:trHeight w:val="201"/>
        </w:trPr>
        <w:tc>
          <w:tcPr>
            <w:tcW w:w="5160" w:type="dxa"/>
            <w:vAlign w:val="bottom"/>
          </w:tcPr>
          <w:p>
            <w:pPr>
              <w:spacing w:after="0"/>
              <w:rPr>
                <w:sz w:val="17"/>
                <w:szCs w:val="17"/>
                <w:color w:val="auto"/>
              </w:rPr>
            </w:pPr>
          </w:p>
        </w:tc>
        <w:tc>
          <w:tcPr>
            <w:tcW w:w="740" w:type="dxa"/>
            <w:vAlign w:val="bottom"/>
          </w:tcPr>
          <w:p>
            <w:pPr>
              <w:jc w:val="right"/>
              <w:ind w:right="15"/>
              <w:spacing w:after="0"/>
              <w:rPr>
                <w:sz w:val="20"/>
                <w:szCs w:val="20"/>
                <w:color w:val="auto"/>
              </w:rPr>
            </w:pPr>
            <w:r>
              <w:rPr>
                <w:rFonts w:ascii="Arial" w:cs="Arial" w:eastAsia="Arial" w:hAnsi="Arial"/>
                <w:sz w:val="14"/>
                <w:szCs w:val="14"/>
                <w:b w:val="1"/>
                <w:bCs w:val="1"/>
                <w:color w:val="auto"/>
                <w:w w:val="99"/>
              </w:rPr>
              <w:t>of shares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fair value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term</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value</w:t>
            </w: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2019</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5160" w:type="dxa"/>
            <w:vAlign w:val="bottom"/>
          </w:tcPr>
          <w:p>
            <w:pPr>
              <w:ind w:left="220"/>
              <w:spacing w:after="0" w:line="202" w:lineRule="exact"/>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150,295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32.80</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Released</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1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Forfeited</w:t>
            </w: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June 30, 2020</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150,143</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32.79</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line="196" w:lineRule="exact"/>
              <w:rPr>
                <w:sz w:val="20"/>
                <w:szCs w:val="20"/>
                <w:color w:val="auto"/>
              </w:rPr>
            </w:pPr>
            <w:r>
              <w:rPr>
                <w:rFonts w:ascii="Arial" w:cs="Arial" w:eastAsia="Arial" w:hAnsi="Arial"/>
                <w:sz w:val="18"/>
                <w:szCs w:val="18"/>
                <w:color w:val="auto"/>
              </w:rPr>
              <w:t>3.7</w:t>
            </w:r>
          </w:p>
        </w:tc>
        <w:tc>
          <w:tcPr>
            <w:tcW w:w="2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12,353,766</w:t>
            </w:r>
          </w:p>
        </w:tc>
        <w:tc>
          <w:tcPr>
            <w:tcW w:w="40" w:type="dxa"/>
            <w:vAlign w:val="bottom"/>
            <w:shd w:val="clear" w:color="auto" w:fill="CCEEFF"/>
          </w:tcPr>
          <w:p>
            <w:pPr>
              <w:spacing w:after="0"/>
              <w:rPr>
                <w:sz w:val="17"/>
                <w:szCs w:val="17"/>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40" w:right="319" w:firstLine="648"/>
        <w:spacing w:after="0" w:line="261" w:lineRule="auto"/>
        <w:rPr>
          <w:sz w:val="20"/>
          <w:szCs w:val="20"/>
          <w:color w:val="auto"/>
        </w:rPr>
      </w:pPr>
      <w:r>
        <w:rPr>
          <w:rFonts w:ascii="Arial" w:cs="Arial" w:eastAsia="Arial" w:hAnsi="Arial"/>
          <w:sz w:val="18"/>
          <w:szCs w:val="18"/>
          <w:color w:val="auto"/>
        </w:rPr>
        <w:t>Stock-based compensation expense recognized for the three and six months ended June 30, 2020 and 2019 was allocated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4"/>
                <w:szCs w:val="14"/>
                <w:b w:val="1"/>
                <w:bCs w:val="1"/>
                <w:color w:val="auto"/>
                <w:w w:val="90"/>
              </w:rPr>
              <w:t>Three months ended June 30,</w:t>
            </w: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1,037,530</w:t>
            </w:r>
          </w:p>
        </w:tc>
        <w:tc>
          <w:tcPr>
            <w:tcW w:w="32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264,731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1,671,905</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366,432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3,110,495</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5"/>
              </w:rPr>
              <w:t>623,825</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4,609,650</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1,778,434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4,148,025</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888,556</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6,281,555</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2,144,866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Warrants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warrant activity for the six months ended June 30, 2020:</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6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average</w:t>
            </w:r>
          </w:p>
        </w:tc>
      </w:tr>
      <w:tr>
        <w:trPr>
          <w:trHeight w:val="185"/>
        </w:trPr>
        <w:tc>
          <w:tcPr>
            <w:tcW w:w="650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exercise price</w:t>
            </w: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2019</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69,656</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7.21</w:t>
            </w:r>
          </w:p>
        </w:tc>
      </w:tr>
      <w:tr>
        <w:trPr>
          <w:trHeight w:val="203"/>
        </w:trPr>
        <w:tc>
          <w:tcPr>
            <w:tcW w:w="6500" w:type="dxa"/>
            <w:vAlign w:val="bottom"/>
          </w:tcPr>
          <w:p>
            <w:pPr>
              <w:ind w:left="220"/>
              <w:spacing w:after="0" w:line="202" w:lineRule="exact"/>
              <w:rPr>
                <w:sz w:val="20"/>
                <w:szCs w:val="20"/>
                <w:color w:val="auto"/>
              </w:rPr>
            </w:pPr>
            <w:r>
              <w:rPr>
                <w:rFonts w:ascii="Arial" w:cs="Arial" w:eastAsia="Arial" w:hAnsi="Arial"/>
                <w:sz w:val="18"/>
                <w:szCs w:val="18"/>
                <w:color w:val="auto"/>
              </w:rPr>
              <w:t>Issued</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Exercised</w:t>
            </w: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(32,614)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7.41</w:t>
            </w:r>
          </w:p>
        </w:tc>
      </w:tr>
      <w:tr>
        <w:trPr>
          <w:trHeight w:val="196"/>
        </w:trPr>
        <w:tc>
          <w:tcPr>
            <w:tcW w:w="6500" w:type="dxa"/>
            <w:vAlign w:val="bottom"/>
          </w:tcPr>
          <w:p>
            <w:pPr>
              <w:spacing w:after="0" w:line="196" w:lineRule="exact"/>
              <w:rPr>
                <w:sz w:val="20"/>
                <w:szCs w:val="20"/>
                <w:color w:val="auto"/>
              </w:rPr>
            </w:pPr>
            <w:r>
              <w:rPr>
                <w:rFonts w:ascii="Arial" w:cs="Arial" w:eastAsia="Arial" w:hAnsi="Arial"/>
                <w:sz w:val="18"/>
                <w:szCs w:val="18"/>
                <w:color w:val="auto"/>
              </w:rPr>
              <w:t>Outstanding at June 30, 2020</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37,042</w:t>
            </w:r>
          </w:p>
        </w:tc>
        <w:tc>
          <w:tcPr>
            <w:tcW w:w="18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7.03</w:t>
            </w:r>
          </w:p>
        </w:tc>
      </w:tr>
      <w:tr>
        <w:trPr>
          <w:trHeight w:val="20"/>
        </w:trPr>
        <w:tc>
          <w:tcPr>
            <w:tcW w:w="6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7"/>
          <w:szCs w:val="17"/>
          <w:color w:val="auto"/>
        </w:rPr>
        <w:t>In connection with the 2016 Original Term Loan, SVB and Life Science Loans, LLC (“Life Science”) received warrants to purchase an aggregate 65,228 shares of the Company’s common stock at an exercise price of $7.41 per share, which are exercisable for seven years from the date of issuance. The warrants were classified as a component of stockholders’ equity. In September 2019, SVB exercised in full the 32,614 warrants it received in connection with the 2016 Original Term Loan via a cashless exercise. The Company issued SVB 24,328 shares of its common stock in connection with the warrant exercise, and did not receive any cash proceeds. In addition, in May 2020, Life Science exercised in full the 32,614 warrants it received in connection with the 2016 Original Term Loan via a cashless exercise. The Company issued Life Science 29,982 shares of its common stock in connection with the warrant exercise and did not receive any cash proceeds. As of June 30, 2020, none of the warrants issued in connection with the 2016 Original Term Loan were outstanding.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648"/>
        <w:spacing w:after="0" w:line="271" w:lineRule="auto"/>
        <w:rPr>
          <w:sz w:val="20"/>
          <w:szCs w:val="20"/>
          <w:color w:val="auto"/>
        </w:rPr>
      </w:pPr>
      <w:r>
        <w:rPr>
          <w:rFonts w:ascii="Arial" w:cs="Arial" w:eastAsia="Arial" w:hAnsi="Arial"/>
          <w:sz w:val="16"/>
          <w:szCs w:val="16"/>
          <w:color w:val="auto"/>
        </w:rPr>
        <w:t>Additionally, in connection with the 2016 Amended Term Loan, SVB and WestRiver Innovation Lending Fund VIII, L.P. received warrants to purchase an aggregate 15,750 shares of the Company’s common stock at an exercise price of $3.06 per share, which are exercisable for seven years from the date of issuance. Both of these warrants were classified as a component of stockholders’ equity. Prior to entering into the 2019 Term Loan, the fair value of these warrants and the closing costs were recorded as debt discounts and were being amortized using the effective interest rate method over the term of the loan. In August 2019, SVB exercised in full the 7,875 warrants it received in connection with the 2016 Amended Term Loan via a cashless exercise. The Company issued SVB 6,969 shares of its common stock in connection with the warrant exercise, and did not receive any cash proceeds. The 2018 warrants have a seven-year term and expire on November 25, 2025. As of June 30, 2020, WestRiver’s portion of 7,875 warrants remain outstanding.</w:t>
      </w:r>
    </w:p>
    <w:p>
      <w:pPr>
        <w:spacing w:after="0" w:line="155" w:lineRule="exact"/>
        <w:rPr>
          <w:sz w:val="20"/>
          <w:szCs w:val="20"/>
          <w:color w:val="auto"/>
        </w:rPr>
      </w:pPr>
    </w:p>
    <w:p>
      <w:pPr>
        <w:jc w:val="both"/>
        <w:ind w:left="40" w:right="399" w:firstLine="648"/>
        <w:spacing w:after="0" w:line="294" w:lineRule="auto"/>
        <w:rPr>
          <w:sz w:val="20"/>
          <w:szCs w:val="20"/>
          <w:color w:val="auto"/>
        </w:rPr>
      </w:pPr>
      <w:r>
        <w:rPr>
          <w:rFonts w:ascii="Arial" w:cs="Arial" w:eastAsia="Arial" w:hAnsi="Arial"/>
          <w:sz w:val="16"/>
          <w:szCs w:val="16"/>
          <w:color w:val="auto"/>
        </w:rPr>
        <w:t>Due to the debt modification upon entry of the 2019 Term Loan, the unamortized balance of the deferred debt issuance costs incurred with the 2016 Amended Term Loan will continue to be amortized through maturity in February 2023 along with the debt issuance costs of the 2019 Term Loan utilizing the effective interest rate method.</w:t>
      </w:r>
    </w:p>
    <w:p>
      <w:pPr>
        <w:spacing w:after="0" w:line="134" w:lineRule="exact"/>
        <w:rPr>
          <w:sz w:val="20"/>
          <w:szCs w:val="20"/>
          <w:color w:val="auto"/>
        </w:rPr>
      </w:pPr>
    </w:p>
    <w:p>
      <w:pPr>
        <w:ind w:left="40" w:right="159" w:firstLine="648"/>
        <w:spacing w:after="0" w:line="252" w:lineRule="auto"/>
        <w:rPr>
          <w:sz w:val="20"/>
          <w:szCs w:val="20"/>
          <w:color w:val="auto"/>
        </w:rPr>
      </w:pPr>
      <w:r>
        <w:rPr>
          <w:rFonts w:ascii="Arial" w:cs="Arial" w:eastAsia="Arial" w:hAnsi="Arial"/>
          <w:sz w:val="17"/>
          <w:szCs w:val="17"/>
          <w:color w:val="auto"/>
        </w:rPr>
        <w:t>In connection with the 2019 Term Loan, SVB and WestRiver received warrants to purchase an aggregate 70,000 shares of the Company’s common stock at a price per share equal to $8.10 (the “March 2019 Warrants”). The warrants would initially be earned based upon the usage of the facility and are exercisable until March 4, 2026. The warrants were classified as a component of stockholder’s equity, of which 58,332 warrants were immediately exercisable and the remaining 11,668 warrants could be earned based on usage of the second tranche of the 2019 Term Loan. The additional warrants were initially immediately exercisable if and when the Term B Loan Advance was funded (however, the March 2019 Warrants were amended in connection with the First Amendment to the 2019 Term Loan, as discussed below). The relative fair value of the warrants of approximately $0.4 million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172"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6"/>
          <w:szCs w:val="16"/>
          <w:color w:val="auto"/>
        </w:rPr>
        <w:t>In connection with the First Amendment to the 2019 Term Loan, the March 2019 Warrants were amended to fix the number of shares that may be issued upon exercise of each such March 2019 Warrant at 29,167 shares of common stock, and SVB and WestRiver were issued new warrants (the “July 2019 Warrants”), which become exercisable only upon funding of the Term B Loan Advance, to purchase 5,750 shares of the Company’s common stock at a price per share equal to $25.71. The July 2019 Warrants replace the portion of the March 2019 Warrants that could originally be earned by SVB and WestRiver upon funding of the Term B Loan Advance. Due to the Company not drawing down on the Term B Loan Advance by December 31, 2019, the July 2019 Warrants have been terminated. In December 2019, SVB exercised in full its portion of 29,167 warrants it received in connection with the 2019 Term Loan via a cashless exercise. The Company issued SVB 24,185 shares of its common stock in connection with the warrant exercise and did not receive any cash proceeds. As of June 30, 2020, WestRiver’s portion of 29,167 warrants remain outstanding.</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License Agreements</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Exclusive License Agreement with Pfizer</w:t>
      </w:r>
    </w:p>
    <w:p>
      <w:pPr>
        <w:spacing w:after="0" w:line="252" w:lineRule="exact"/>
        <w:rPr>
          <w:sz w:val="20"/>
          <w:szCs w:val="20"/>
          <w:color w:val="auto"/>
        </w:rPr>
      </w:pPr>
    </w:p>
    <w:p>
      <w:pPr>
        <w:ind w:left="40" w:right="159" w:firstLine="648"/>
        <w:spacing w:after="0" w:line="241" w:lineRule="auto"/>
        <w:rPr>
          <w:sz w:val="20"/>
          <w:szCs w:val="20"/>
          <w:color w:val="auto"/>
        </w:rPr>
      </w:pPr>
      <w:r>
        <w:rPr>
          <w:rFonts w:ascii="Arial" w:cs="Arial" w:eastAsia="Arial" w:hAnsi="Arial"/>
          <w:sz w:val="18"/>
          <w:szCs w:val="18"/>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now referred to as AXS-14, in the U.S. for the treatment of fibromyalgia.</w:t>
      </w:r>
    </w:p>
    <w:p>
      <w:pPr>
        <w:spacing w:after="0" w:line="176"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7"/>
          <w:szCs w:val="17"/>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six months ended June 30, 2020.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119" w:firstLine="648"/>
        <w:spacing w:after="0" w:line="243" w:lineRule="auto"/>
        <w:rPr>
          <w:sz w:val="20"/>
          <w:szCs w:val="20"/>
          <w:color w:val="auto"/>
        </w:rPr>
      </w:pPr>
      <w:r>
        <w:rPr>
          <w:rFonts w:ascii="Arial" w:cs="Arial" w:eastAsia="Arial" w:hAnsi="Arial"/>
          <w:sz w:val="18"/>
          <w:szCs w:val="18"/>
          <w:color w:val="auto"/>
        </w:rPr>
        <w:t>Pfizer can also receive up to $323 million in regulatory and sales milestones, and tiered mid-single to low double-digit royalties on future sales. Pfizer will also have a right of first negotiation on any potential future strategic transactions involving AXS-12 and AXS-14. During the six months ended June 30, 2020, no milestone payments or royalties were paid to Pfizer by the Company.</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Exclusive License Agreements with Antecip</w:t>
      </w:r>
    </w:p>
    <w:p>
      <w:pPr>
        <w:spacing w:after="0" w:line="198" w:lineRule="exact"/>
        <w:rPr>
          <w:sz w:val="20"/>
          <w:szCs w:val="20"/>
          <w:color w:val="auto"/>
        </w:rPr>
      </w:pPr>
    </w:p>
    <w:p>
      <w:pPr>
        <w:ind w:left="40" w:right="59" w:firstLine="648"/>
        <w:spacing w:after="0" w:line="251" w:lineRule="auto"/>
        <w:rPr>
          <w:sz w:val="20"/>
          <w:szCs w:val="20"/>
          <w:color w:val="auto"/>
        </w:rPr>
      </w:pPr>
      <w:r>
        <w:rPr>
          <w:rFonts w:ascii="Arial" w:cs="Arial" w:eastAsia="Arial" w:hAnsi="Arial"/>
          <w:sz w:val="17"/>
          <w:szCs w:val="17"/>
          <w:color w:val="auto"/>
        </w:rPr>
        <w:t>In 2012, the Company entered into three exclusive license agreements with Antecip Bioventures II LLC, or Antecip, an entity owned by Axsome’s Chief Executive Officer and Chairman of the Board, Herriot Tabuteau, M.D., in which it was granted exclusive licenses to develop, manufacture, and commercialize Antecip’s patents and applications related to the development of AXS-02, AXS-05, and AXS-04, a product candidate that is currently in early stage development, anywhere in the world for human therapeutic, veterinary, and diagnostic use. Pursuant to the agreements, the Company is required to use commercially reasonable efforts to develop, obtain regulatory approval for and commercialize AXS-02, AXS-05, and AXS-04. Under the terms of the agreements, the Company is required to pay to Antecip a royalty equal to 4.5% for AXS-02, 3.0% for AXS-05, and 1.5% for AXS-04,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To date, the Company has not been required to make any payments to Antecip under any of the license agreements.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199"/>
        <w:spacing w:after="0" w:line="26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53" w:lineRule="exact"/>
        <w:rPr>
          <w:sz w:val="20"/>
          <w:szCs w:val="20"/>
          <w:color w:val="auto"/>
        </w:rPr>
      </w:pPr>
    </w:p>
    <w:p>
      <w:pPr>
        <w:ind w:left="40" w:right="179" w:firstLine="648"/>
        <w:spacing w:after="0"/>
        <w:rPr>
          <w:sz w:val="20"/>
          <w:szCs w:val="20"/>
          <w:color w:val="auto"/>
        </w:rPr>
      </w:pPr>
      <w:r>
        <w:rPr>
          <w:rFonts w:ascii="Arial" w:cs="Arial" w:eastAsia="Arial" w:hAnsi="Arial"/>
          <w:sz w:val="18"/>
          <w:szCs w:val="18"/>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76" w:lineRule="exact"/>
        <w:rPr>
          <w:sz w:val="20"/>
          <w:szCs w:val="20"/>
          <w:color w:val="auto"/>
        </w:rPr>
      </w:pPr>
    </w:p>
    <w:p>
      <w:pPr>
        <w:ind w:left="40" w:right="119" w:firstLine="648"/>
        <w:spacing w:after="0" w:line="241" w:lineRule="auto"/>
        <w:rPr>
          <w:sz w:val="20"/>
          <w:szCs w:val="20"/>
          <w:color w:val="auto"/>
        </w:rPr>
      </w:pPr>
      <w:r>
        <w:rPr>
          <w:rFonts w:ascii="Arial" w:cs="Arial" w:eastAsia="Arial" w:hAnsi="Arial"/>
          <w:sz w:val="18"/>
          <w:szCs w:val="18"/>
          <w:i w:val="1"/>
          <w:iCs w:val="1"/>
          <w:color w:val="auto"/>
        </w:rPr>
        <w:t>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2019 which was filed with the Securities and Exchange Commission, or SEC, on March 12, 2020</w:t>
      </w:r>
      <w:r>
        <w:rPr>
          <w:rFonts w:ascii="Arial" w:cs="Arial" w:eastAsia="Arial" w:hAnsi="Arial"/>
          <w:sz w:val="18"/>
          <w:szCs w:val="18"/>
          <w:color w:val="auto"/>
        </w:rPr>
        <w:t>.</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left="40" w:right="99" w:firstLine="648"/>
        <w:spacing w:after="0" w:line="252" w:lineRule="auto"/>
        <w:rPr>
          <w:sz w:val="20"/>
          <w:szCs w:val="20"/>
          <w:color w:val="auto"/>
        </w:rPr>
      </w:pPr>
      <w:r>
        <w:rPr>
          <w:rFonts w:ascii="Arial" w:cs="Arial" w:eastAsia="Arial" w:hAnsi="Arial"/>
          <w:sz w:val="17"/>
          <w:szCs w:val="17"/>
          <w:color w:val="auto"/>
        </w:rPr>
        <w:t>We are a biopharmaceutical company developing novel therapies for the management of central nervous system, or CNS, disorders for which there are limited treatment options. For the many people facing unsatisfactory treatments for CNS disorders, we accelerate the invention and adoption of life-changing medicines. Our core CNS portfolio includes five CNS product candidates, AXS-05, AXS-07, AXS-09, AXS-12, and AXS-14 which are being developed for multiple indications. AXS-05 is being developed for the treatment of major depressive disorder (MDD), treatment resistant depression (TRD), Alzheimer’s disease (AD) agitation, and as an aid to smoking cessation treatment. AXS-07 is being developed for the acute treatment of migraine. AXS-12 is being developed for the treatment of narcolepsy. AXS-14 is being developed for the treatment of fibromyalgia. Additionally, we are currently evaluating other product candidates, such as AXS-09, which we intend to develop for CNS disorders. The Axsome Pain and Primary Care business unit, or Axsome PPC, houses our pain and primary care assets. We aim to become a fully integrated biopharmaceutical company that develops and commercializes differentiated therapies that expand the treatment options available and improves the lives of patients living with CNS disorders.</w:t>
      </w:r>
    </w:p>
    <w:p>
      <w:pPr>
        <w:spacing w:after="0" w:line="183" w:lineRule="exact"/>
        <w:rPr>
          <w:sz w:val="20"/>
          <w:szCs w:val="20"/>
          <w:color w:val="auto"/>
        </w:rPr>
      </w:pPr>
    </w:p>
    <w:p>
      <w:pPr>
        <w:ind w:left="40" w:right="79" w:firstLine="648"/>
        <w:spacing w:after="0" w:line="205" w:lineRule="exact"/>
        <w:rPr>
          <w:sz w:val="20"/>
          <w:szCs w:val="20"/>
          <w:color w:val="auto"/>
        </w:rPr>
      </w:pPr>
      <w:r>
        <w:rPr>
          <w:rFonts w:ascii="Arial" w:cs="Arial" w:eastAsia="Arial" w:hAnsi="Arial"/>
          <w:sz w:val="17"/>
          <w:szCs w:val="17"/>
          <w:color w:val="auto"/>
        </w:rPr>
        <w:t>AXS-05 is a novel, oral, investigational NMDA, or N-methyl-D-aspartate, receptor antagonist with multimodal activity under development for the treatment of CNS disorders. AXS-05 consists of a proprietary formulation and dose of bupropion and dextromethorphan, or DM, and utilizes our metabolic inhibition technology. The DM component of AXS-05 is a non-competitive NMDA, receptor antagonist, also known as a glutamate receptor modulator. The DM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We intend to seek U.S. Food and Drug Administration, or FDA, approval for AXS</w:t>
      </w:r>
      <w:r>
        <w:rPr>
          <w:rFonts w:ascii="MS PGothic" w:cs="MS PGothic" w:eastAsia="MS PGothic" w:hAnsi="MS PGothic"/>
          <w:sz w:val="17"/>
          <w:szCs w:val="17"/>
          <w:color w:val="auto"/>
        </w:rPr>
        <w:t>‑</w:t>
      </w:r>
      <w:r>
        <w:rPr>
          <w:rFonts w:ascii="Arial" w:cs="Arial" w:eastAsia="Arial" w:hAnsi="Arial"/>
          <w:sz w:val="17"/>
          <w:szCs w:val="17"/>
          <w:color w:val="auto"/>
        </w:rPr>
        <w:t>05 utilizing the 505(b)(2) regulatory development pathway. AXS-05 has been granted FDA Breakthrough Therapy designation for both the treatment of MDD and the treatment of Alzheimer’s disease agitation, as well as Fast Track designations for the treatment of Alzheimer’s disease agitation and treatment resistant depression.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648"/>
        <w:spacing w:after="0" w:line="251" w:lineRule="auto"/>
        <w:rPr>
          <w:sz w:val="20"/>
          <w:szCs w:val="20"/>
          <w:color w:val="auto"/>
        </w:rPr>
      </w:pPr>
      <w:r>
        <w:rPr>
          <w:rFonts w:ascii="Arial" w:cs="Arial" w:eastAsia="Arial" w:hAnsi="Arial"/>
          <w:sz w:val="17"/>
          <w:szCs w:val="17"/>
          <w:color w:val="auto"/>
        </w:rPr>
        <w:t>We have completed two pivotal, one Phase 2 and one Phase 3, trials of AXS-05 in MDD, which we refer to as the ASCEND and GEMINI trials, respectively. AXS-05 achieved the primary endpoint in both the ASCEND and GEMINI trials. We plan to submit a New Drug Application, or NDA, for AXS-05 for the treatment of MDD supported by the positive results from the ASCEND and GEMINI trials. AXS-05 is currently in a Phase 3, open-label, long-term safety extension study in patients with MDD and TRD known as the COMET trial to further support the NDA filing. Additionally, AXS-05 is in three Phase 2 open-label efficacy sub-studies of the COMET trial which will evaluate the efficacy and safety of AXS-05 in three clinically pertinent MDD patient populations: the COMET-TRD trial in treatment resistant MDD (TRD), the COMET-AU trial in antidepressant unresponsive MDD, and the COMET-SI trial in MDD with suicidal ideation. We have completed a Phase 3 trial of AXS-05 in TRD, which we refer to as the STRIDE-1 trial, which met key secondary endpoints but did not reach statistical significance on the primary endpoint. Additionally, we have initiated the MERIT (Mechanistic Evaluation of Response in TRD) trial, a Phase 2, double-blind, placebo-controlled, randomized withdrawal study in patients with TRD. We have also completed a Phase 2/3 trial of AXS-05 in AD agitation, which we refer to as the ADVANCE-1 trial. AXS-05 achieved the primary endpoint in the ADVANCE-1 trial. AXS-05 is also being developed as an aid to smoking cessation treatment and a positive Phase 2 trial in this indication has been completed under a research collaboration between us and Duke University.</w:t>
      </w:r>
    </w:p>
    <w:p>
      <w:pPr>
        <w:spacing w:after="0" w:line="187"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6"/>
          <w:szCs w:val="16"/>
          <w:color w:val="auto"/>
        </w:rPr>
        <w:t>AXS-07 is a novel, oral, rapidly absorbed, multi-mechanistic, investigational medicine under development for the acute treatment of migraine. AXS-07 consists of MoSEIC™, or Molecular Solubility Enhanced Inclusion Complex, meloxicam and rizatriptan. Meloxicam is a long-acting nonsteroidal anti-inflammatory drug, or NSAID, with COX-2, an enzyme involved in inflammation and pain pathways, preferential inhibition and potent pain-relieving effects. However, standard meloxicam has an extended time to maximum plasma concentration, or T</w:t>
      </w:r>
      <w:r>
        <w:rPr>
          <w:rFonts w:ascii="Arial" w:cs="Arial" w:eastAsia="Arial" w:hAnsi="Arial"/>
          <w:sz w:val="23"/>
          <w:szCs w:val="23"/>
          <w:color w:val="auto"/>
          <w:vertAlign w:val="subscript"/>
        </w:rPr>
        <w:t>max</w:t>
      </w:r>
      <w:r>
        <w:rPr>
          <w:rFonts w:ascii="Arial" w:cs="Arial" w:eastAsia="Arial" w:hAnsi="Arial"/>
          <w:sz w:val="16"/>
          <w:szCs w:val="16"/>
          <w:color w:val="auto"/>
        </w:rPr>
        <w:t>, which delays its onset of action. 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w:t>
      </w:r>
      <w:r>
        <w:rPr>
          <w:rFonts w:ascii="Arial" w:cs="Arial" w:eastAsia="Arial" w:hAnsi="Arial"/>
          <w:sz w:val="23"/>
          <w:szCs w:val="23"/>
          <w:color w:val="auto"/>
          <w:vertAlign w:val="subscript"/>
        </w:rPr>
        <w:t>1B/D</w:t>
      </w:r>
      <w:r>
        <w:rPr>
          <w:rFonts w:ascii="Arial" w:cs="Arial" w:eastAsia="Arial" w:hAnsi="Arial"/>
          <w:sz w:val="16"/>
          <w:szCs w:val="16"/>
          <w:color w:val="auto"/>
        </w:rPr>
        <w:t xml:space="preserve"> agonist that inhibits calcitonin gene-related peptide (CGRP)-mediated vasodilation, 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185" w:lineRule="exact"/>
        <w:rPr>
          <w:sz w:val="20"/>
          <w:szCs w:val="20"/>
          <w:color w:val="auto"/>
        </w:rPr>
      </w:pPr>
    </w:p>
    <w:p>
      <w:pPr>
        <w:ind w:left="40" w:right="239" w:firstLine="648"/>
        <w:spacing w:after="0" w:line="279" w:lineRule="auto"/>
        <w:rPr>
          <w:sz w:val="20"/>
          <w:szCs w:val="20"/>
          <w:color w:val="auto"/>
        </w:rPr>
      </w:pPr>
      <w:r>
        <w:rPr>
          <w:rFonts w:ascii="Arial" w:cs="Arial" w:eastAsia="Arial" w:hAnsi="Arial"/>
          <w:sz w:val="16"/>
          <w:szCs w:val="16"/>
          <w:color w:val="auto"/>
        </w:rPr>
        <w:t>We have completed two Phase 3 trials of AXS-07 for the acute treatment of migraine, which we refer to as the MOMENTUM and INTERCEPT trials. AXS-07 achieved the co-primary endpoints in both the MOMENTUM and INTERCEPT trials. We plan to submit an NDA for AXS-07 for the acute treatment of migraine supported by the positive results from the MOMENTUM and INTERCEPT trials. AXS-07 is currently in a Phase 3 open-label, long-term safety extension study in patients with migraine known as the MOVEMENT trial to further support the NDA filing.</w:t>
      </w:r>
    </w:p>
    <w:p>
      <w:pPr>
        <w:spacing w:after="0" w:line="159"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7"/>
          <w:szCs w:val="17"/>
          <w:color w:val="auto"/>
        </w:rPr>
        <w:t>AXS-09 is an oral, investigational NMDA receptor antagonist with multimodal activity consisting of esbupropion and DM, which is being developed for the treatment of CNS disorders. AXS-09 contains esbupropion, the chirally pure S-enantiomer of bupropion, as compared to the company’s first generation product candidate AXS-05 which contains racemic bupropion, equal amounts of the S- and R-enantiomers. We have demonstrated in a Phase 1 trial that DM plasma levels are substantially increased into a potentially therapeutic range with repeated administration of AXS-09. Results of this Phase 1 trial coupled with preclinical data also indicate the potential for enhanced absorption and therapeutic effect of the S-enantiomer as compared to the R-enantiomer.</w:t>
      </w:r>
    </w:p>
    <w:p>
      <w:pPr>
        <w:spacing w:after="0" w:line="180" w:lineRule="exact"/>
        <w:rPr>
          <w:sz w:val="20"/>
          <w:szCs w:val="20"/>
          <w:color w:val="auto"/>
        </w:rPr>
      </w:pPr>
    </w:p>
    <w:p>
      <w:pPr>
        <w:ind w:left="40" w:right="99" w:firstLine="648"/>
        <w:spacing w:after="0" w:line="284" w:lineRule="auto"/>
        <w:rPr>
          <w:sz w:val="20"/>
          <w:szCs w:val="20"/>
          <w:color w:val="auto"/>
        </w:rPr>
      </w:pPr>
      <w:r>
        <w:rPr>
          <w:rFonts w:ascii="Arial" w:cs="Arial" w:eastAsia="Arial" w:hAnsi="Arial"/>
          <w:sz w:val="16"/>
          <w:szCs w:val="16"/>
          <w:color w:val="auto"/>
        </w:rPr>
        <w:t>AXS-12, reboxetine, is a novel, oral, investigational medicine in development for the treatment of narcolepsy. AXS-12 is a highly selective and potent norepinephrine reuptake inhibitor. AXS-12 has been granted FDA Breakthrough Therapy designation and Orphan Drug Designation for the treatment of narcolepsy. We have completed a Phase 2 trial with AXS-12, which we refer to as the CONCERT trial. AXS-12 achieved the primary endpoint in the CONCERT trial.</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648"/>
        <w:spacing w:after="0" w:line="241" w:lineRule="auto"/>
        <w:rPr>
          <w:sz w:val="20"/>
          <w:szCs w:val="20"/>
          <w:color w:val="auto"/>
        </w:rPr>
      </w:pPr>
      <w:r>
        <w:rPr>
          <w:rFonts w:ascii="Arial" w:cs="Arial" w:eastAsia="Arial" w:hAnsi="Arial"/>
          <w:sz w:val="18"/>
          <w:szCs w:val="18"/>
          <w:color w:val="auto"/>
        </w:rPr>
        <w:t>AXS-14, esreboxetine, is a novel, oral, investigational medicine in development for the treatment of fibromyalgia. AXS-14 is a highly selective and potent norepinephrine reuptake inhibitor. We are initially developing esreboxetine for the treatment of fibromyalgia. Esreboxetine, the SS-enantiomer of reboxetine, is more potent and selective than racemic reboxetine. We have in-licensed data from Pfizer which includes a completed Phase 2 trial and Phase 3 trial in fibromyalgia, both of which were positive.</w:t>
      </w:r>
    </w:p>
    <w:p>
      <w:pPr>
        <w:spacing w:after="0" w:line="176"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7"/>
          <w:szCs w:val="17"/>
          <w:color w:val="auto"/>
        </w:rPr>
        <w:t>Since our incorporation in January 2012, our operations to date have included organizing and staffing our company, business planning, raising capital, developing our compounds, and engaging in other discovery and preclinical activities. Prior to our initial public offering, or IPO, in November 2015, we financed our operations primarily through private placements of our convertible notes and subsequent to our IPO, through proceeds from sales of our common stock and warrants to purchase shares of our common stock to equity investors and debt borrowings. For a further discussion, see the section entitled “Liquidity and Capital Resources” below.</w:t>
      </w:r>
    </w:p>
    <w:p>
      <w:pPr>
        <w:spacing w:after="0" w:line="162" w:lineRule="exact"/>
        <w:rPr>
          <w:sz w:val="20"/>
          <w:szCs w:val="20"/>
          <w:color w:val="auto"/>
        </w:rPr>
      </w:pPr>
    </w:p>
    <w:p>
      <w:pPr>
        <w:ind w:left="40" w:right="179" w:firstLine="648"/>
        <w:spacing w:after="0" w:line="248" w:lineRule="auto"/>
        <w:rPr>
          <w:sz w:val="20"/>
          <w:szCs w:val="20"/>
          <w:color w:val="auto"/>
        </w:rPr>
      </w:pPr>
      <w:r>
        <w:rPr>
          <w:rFonts w:ascii="Arial" w:cs="Arial" w:eastAsia="Arial" w:hAnsi="Arial"/>
          <w:sz w:val="18"/>
          <w:szCs w:val="18"/>
          <w:color w:val="auto"/>
        </w:rPr>
        <w:t>Our ability to become profitable depends on our ability to generate revenue. We do not expect to generate significant revenue unless and until we or our collaborators obtain marketing approval for and successfully commercialize one of our product candidates.</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We have incurred significant operating expenses and net losses since inception. We incurred net losses of</w:t>
      </w:r>
    </w:p>
    <w:p>
      <w:pPr>
        <w:spacing w:after="0" w:line="12" w:lineRule="exact"/>
        <w:rPr>
          <w:sz w:val="20"/>
          <w:szCs w:val="20"/>
          <w:color w:val="auto"/>
        </w:rPr>
      </w:pPr>
    </w:p>
    <w:p>
      <w:pPr>
        <w:ind w:left="40" w:right="79"/>
        <w:spacing w:after="0" w:line="267" w:lineRule="auto"/>
        <w:rPr>
          <w:sz w:val="20"/>
          <w:szCs w:val="20"/>
          <w:color w:val="auto"/>
        </w:rPr>
      </w:pPr>
      <w:r>
        <w:rPr>
          <w:rFonts w:ascii="Arial" w:cs="Arial" w:eastAsia="Arial" w:hAnsi="Arial"/>
          <w:sz w:val="16"/>
          <w:szCs w:val="16"/>
          <w:color w:val="auto"/>
        </w:rPr>
        <w:t>$50.8 million and $24.4 million for the six months ended June 30, 2020 and 2019, respectively. Our accumulated deficit as of June 30, 2020 was $226.7 million, and we expect to incur significant expenses and increasing operating losses for the foreseeable future. We expect to continue to incur expenses in connection with the development of our product candidates, including with respect to conducting clinical trials and seeking regulatory approval for our current product candidates and any other product candidates that we develop or in-license and advance to clinical development. In preparation for obtaining regulatory approval for our product candidates, we expect to incur significant expenses in order to create an infrastructure and market readiness to support the commercialization of the product candidate, including manufacturing, sales, marketing, and distribution functions. Further, we have incurred and will continue to incur additional costs associated with operating as a public company. Accordingly, we will need additional financing to support our continuing operations. We will seek to fund our operations through public and/or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Year to Date and Recent Developments</w:t>
      </w:r>
    </w:p>
    <w:p>
      <w:pPr>
        <w:spacing w:after="0" w:line="216" w:lineRule="exact"/>
        <w:rPr>
          <w:sz w:val="20"/>
          <w:szCs w:val="20"/>
          <w:color w:val="auto"/>
        </w:rPr>
      </w:pPr>
    </w:p>
    <w:p>
      <w:pPr>
        <w:ind w:left="40" w:right="819" w:firstLine="648"/>
        <w:spacing w:after="0" w:line="248" w:lineRule="auto"/>
        <w:rPr>
          <w:sz w:val="20"/>
          <w:szCs w:val="20"/>
          <w:color w:val="auto"/>
        </w:rPr>
      </w:pPr>
      <w:r>
        <w:rPr>
          <w:rFonts w:ascii="Arial" w:cs="Arial" w:eastAsia="Arial" w:hAnsi="Arial"/>
          <w:sz w:val="18"/>
          <w:szCs w:val="18"/>
          <w:color w:val="auto"/>
        </w:rPr>
        <w:t>In January 2020, we entered into an exclusive license agreement with Pfizer Inc. for Pfizer's clinical and nonclinical data, and intellectual property for reboxetine, the active pharmaceutical ingredient in AXS-12, and esreboxetine, the active pharmaceutical ingredient in AXS-14.</w:t>
      </w:r>
    </w:p>
    <w:p>
      <w:pPr>
        <w:spacing w:after="0" w:line="182" w:lineRule="exact"/>
        <w:rPr>
          <w:sz w:val="20"/>
          <w:szCs w:val="20"/>
          <w:color w:val="auto"/>
        </w:rPr>
      </w:pPr>
    </w:p>
    <w:p>
      <w:pPr>
        <w:ind w:left="40" w:right="279" w:firstLine="648"/>
        <w:spacing w:after="0" w:line="261" w:lineRule="auto"/>
        <w:rPr>
          <w:sz w:val="20"/>
          <w:szCs w:val="20"/>
          <w:color w:val="auto"/>
        </w:rPr>
      </w:pPr>
      <w:r>
        <w:rPr>
          <w:rFonts w:ascii="Arial" w:cs="Arial" w:eastAsia="Arial" w:hAnsi="Arial"/>
          <w:sz w:val="18"/>
          <w:szCs w:val="18"/>
          <w:color w:val="auto"/>
        </w:rPr>
        <w:t>In February 2020, we promoted Mark Jacobson from his role of Senior Vice President, Operations to the role of Chief Operating Officer.</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March 2020, we announced topline results of the STRIDE-1 Phase 3 trial of AXS-05 in TRD.</w:t>
      </w:r>
    </w:p>
    <w:p>
      <w:pPr>
        <w:spacing w:after="0" w:line="212" w:lineRule="exact"/>
        <w:rPr>
          <w:sz w:val="20"/>
          <w:szCs w:val="20"/>
          <w:color w:val="auto"/>
        </w:rPr>
      </w:pPr>
    </w:p>
    <w:p>
      <w:pPr>
        <w:ind w:left="40" w:right="239" w:firstLine="648"/>
        <w:spacing w:after="0" w:line="216" w:lineRule="exact"/>
        <w:rPr>
          <w:sz w:val="20"/>
          <w:szCs w:val="20"/>
          <w:color w:val="auto"/>
        </w:rPr>
      </w:pPr>
      <w:r>
        <w:rPr>
          <w:rFonts w:ascii="Arial" w:cs="Arial" w:eastAsia="Arial" w:hAnsi="Arial"/>
          <w:sz w:val="18"/>
          <w:szCs w:val="18"/>
          <w:color w:val="auto"/>
        </w:rPr>
        <w:t>In April 2020, we announced that AXS-07 met the co</w:t>
      </w:r>
      <w:r>
        <w:rPr>
          <w:rFonts w:ascii="MS PGothic" w:cs="MS PGothic" w:eastAsia="MS PGothic" w:hAnsi="MS PGothic"/>
          <w:sz w:val="18"/>
          <w:szCs w:val="18"/>
          <w:color w:val="auto"/>
        </w:rPr>
        <w:t>‑</w:t>
      </w:r>
      <w:r>
        <w:rPr>
          <w:rFonts w:ascii="Arial" w:cs="Arial" w:eastAsia="Arial" w:hAnsi="Arial"/>
          <w:sz w:val="18"/>
          <w:szCs w:val="18"/>
          <w:color w:val="auto"/>
        </w:rPr>
        <w:t>primary endpoints in the INTERCEPT Phase 3 trial in the early treatment of migraine.</w:t>
      </w:r>
    </w:p>
    <w:p>
      <w:pPr>
        <w:spacing w:after="0" w:line="190" w:lineRule="exact"/>
        <w:rPr>
          <w:sz w:val="20"/>
          <w:szCs w:val="20"/>
          <w:color w:val="auto"/>
        </w:rPr>
      </w:pPr>
    </w:p>
    <w:p>
      <w:pPr>
        <w:ind w:left="40" w:right="559" w:firstLine="648"/>
        <w:spacing w:after="0" w:line="261" w:lineRule="auto"/>
        <w:rPr>
          <w:sz w:val="20"/>
          <w:szCs w:val="20"/>
          <w:color w:val="auto"/>
        </w:rPr>
      </w:pPr>
      <w:r>
        <w:rPr>
          <w:rFonts w:ascii="Arial" w:cs="Arial" w:eastAsia="Arial" w:hAnsi="Arial"/>
          <w:sz w:val="18"/>
          <w:szCs w:val="18"/>
          <w:color w:val="auto"/>
        </w:rPr>
        <w:t>In April 2020, we disclosed that Myrtle Potter will not stand for re-election as a director at our 2020 Annual Meeting of Stockholders because of her other professional responsibilities.</w:t>
      </w:r>
    </w:p>
    <w:p>
      <w:pPr>
        <w:spacing w:after="0" w:line="171" w:lineRule="exact"/>
        <w:rPr>
          <w:sz w:val="20"/>
          <w:szCs w:val="20"/>
          <w:color w:val="auto"/>
        </w:rPr>
      </w:pPr>
    </w:p>
    <w:p>
      <w:pPr>
        <w:ind w:left="40" w:right="339" w:firstLine="648"/>
        <w:spacing w:after="0" w:line="261" w:lineRule="auto"/>
        <w:rPr>
          <w:sz w:val="20"/>
          <w:szCs w:val="20"/>
          <w:color w:val="auto"/>
        </w:rPr>
      </w:pPr>
      <w:r>
        <w:rPr>
          <w:rFonts w:ascii="Arial" w:cs="Arial" w:eastAsia="Arial" w:hAnsi="Arial"/>
          <w:sz w:val="18"/>
          <w:szCs w:val="18"/>
          <w:color w:val="auto"/>
        </w:rPr>
        <w:t>In April 2020, we announced that AXS-05 met the primary endpoint in the ADVANCE-1 Phase 2/3 trial in AD agitation.</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June 2020, we received FDA Breakthrough Therapy designation for AXS-05 for the treatment of AD.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9" w:firstLine="648"/>
        <w:spacing w:after="0" w:line="261" w:lineRule="auto"/>
        <w:rPr>
          <w:sz w:val="20"/>
          <w:szCs w:val="20"/>
          <w:color w:val="auto"/>
        </w:rPr>
      </w:pPr>
      <w:r>
        <w:rPr>
          <w:rFonts w:ascii="Arial" w:cs="Arial" w:eastAsia="Arial" w:hAnsi="Arial"/>
          <w:sz w:val="18"/>
          <w:szCs w:val="18"/>
          <w:color w:val="auto"/>
        </w:rPr>
        <w:t>In June 2020, we entered into a 12-month lease at 22 Cortlandt Street, New York, NY 10007 effective as of August 1, 2020.</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July 2020, we completed a successful FDA pre-NDA meeting for AXS-05 for the treatment of MDD.</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August 2020, we received FDA Breakthrough Therapy designation for AXS-12 for the treatment of narcolepsy.</w:t>
      </w:r>
    </w:p>
    <w:p>
      <w:pPr>
        <w:spacing w:after="0" w:line="235" w:lineRule="exact"/>
        <w:rPr>
          <w:sz w:val="20"/>
          <w:szCs w:val="20"/>
          <w:color w:val="auto"/>
        </w:rPr>
      </w:pPr>
    </w:p>
    <w:p>
      <w:pPr>
        <w:jc w:val="both"/>
        <w:ind w:left="40" w:right="59" w:firstLine="648"/>
        <w:spacing w:after="0" w:line="243" w:lineRule="auto"/>
        <w:rPr>
          <w:sz w:val="20"/>
          <w:szCs w:val="20"/>
          <w:color w:val="auto"/>
        </w:rPr>
      </w:pPr>
      <w:r>
        <w:rPr>
          <w:rFonts w:ascii="Arial" w:cs="Arial" w:eastAsia="Arial" w:hAnsi="Arial"/>
          <w:sz w:val="18"/>
          <w:szCs w:val="18"/>
          <w:color w:val="auto"/>
        </w:rPr>
        <w:t>In August 2020, we announced the initiation of three Phase 2 open-label efficacy sub-studies of the COMET trial which will evaluate the efficacy and safety of AXS-05 in three clinically pertinent MDD patient populations: the COMET-TRD trial in treatment resistant MDD (TRD), the COMET-AU trial in antidepressant unresponsive MDD, and the COMET-SI trial in MDD with suicidal ideation.</w:t>
      </w:r>
    </w:p>
    <w:p>
      <w:pPr>
        <w:spacing w:after="0" w:line="188" w:lineRule="exact"/>
        <w:rPr>
          <w:sz w:val="20"/>
          <w:szCs w:val="20"/>
          <w:color w:val="auto"/>
        </w:rPr>
      </w:pPr>
    </w:p>
    <w:p>
      <w:pPr>
        <w:ind w:left="40" w:right="159" w:firstLine="648"/>
        <w:spacing w:after="0" w:line="261" w:lineRule="auto"/>
        <w:rPr>
          <w:sz w:val="20"/>
          <w:szCs w:val="20"/>
          <w:color w:val="auto"/>
        </w:rPr>
      </w:pPr>
      <w:r>
        <w:rPr>
          <w:rFonts w:ascii="Arial" w:cs="Arial" w:eastAsia="Arial" w:hAnsi="Arial"/>
          <w:sz w:val="18"/>
          <w:szCs w:val="18"/>
          <w:color w:val="auto"/>
        </w:rPr>
        <w:t>In August 2020, we announced the initiation of the MERIT (Mechanistic Evaluation of Response in TRD) trial, a Phase 2, double-blind, placebo-controlled, randomized withdrawal study in patients with TRD.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Overview</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w:t>
      </w:r>
    </w:p>
    <w:p>
      <w:pPr>
        <w:spacing w:after="0" w:line="212"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6"/>
          <w:szCs w:val="16"/>
          <w:color w:val="auto"/>
        </w:rPr>
        <w:t>We have not generated any revenue since we commenced operations and we do not expect to generate any revenue in the near future. To the extent we enter into additional licensing or collaboration arrangements, we may have sources of revenue in the future. We expect that any revenue we generate will fluctuate from quarter to quarter as a result of the amount and timing of payments that we may recognize upon the sale of our product candidates, to the extent that any product candidates are successfully commercialized, and the amount and timing of fees, reimbursements, and milestone and other payments received under any future licensing or collaboration arrangements. If we fail to complete the development of our product candidates in a timely manner or obtain regulatory approval for them, our ability to generate future revenue, and our results of operations and financial position, would be materially and adversely affected.</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2" w:lineRule="exact"/>
        <w:rPr>
          <w:sz w:val="20"/>
          <w:szCs w:val="20"/>
          <w:color w:val="auto"/>
        </w:rPr>
      </w:pPr>
    </w:p>
    <w:p>
      <w:pPr>
        <w:ind w:left="40" w:right="79" w:firstLine="648"/>
        <w:spacing w:after="0" w:line="262" w:lineRule="auto"/>
        <w:rPr>
          <w:sz w:val="20"/>
          <w:szCs w:val="20"/>
          <w:color w:val="auto"/>
        </w:rPr>
      </w:pPr>
      <w:r>
        <w:rPr>
          <w:rFonts w:ascii="Arial" w:cs="Arial" w:eastAsia="Arial" w:hAnsi="Arial"/>
          <w:sz w:val="17"/>
          <w:szCs w:val="17"/>
          <w:color w:val="auto"/>
        </w:rPr>
        <w:t>Research and development expenses primarily include preclinical studies, clinical trials, manufacturing costs, regulatory costs, employee salaries and benefits, stock-based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172"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6"/>
          <w:szCs w:val="16"/>
          <w:color w:val="auto"/>
        </w:rPr>
        <w:t>Research and development activities are central to our business model. We will incur substantial costs beyond our present and planned clinical trials in order to file a New Drug Application, or an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 Management considers many factors in developing the estimates and assumptions that are used in the preparation of our unaudited interim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firstLine="648"/>
        <w:spacing w:after="0" w:line="254" w:lineRule="auto"/>
        <w:rPr>
          <w:sz w:val="20"/>
          <w:szCs w:val="20"/>
          <w:color w:val="auto"/>
        </w:rPr>
      </w:pPr>
      <w:r>
        <w:rPr>
          <w:rFonts w:ascii="Arial" w:cs="Arial" w:eastAsia="Arial" w:hAnsi="Arial"/>
          <w:sz w:val="17"/>
          <w:szCs w:val="17"/>
          <w:color w:val="auto"/>
        </w:rPr>
        <w:t>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our unaudited interim consolidated financial statements if these results differ from historical experience, or other assumptions do not turn out to be substantially accurate, even if such assumptions are reasonable when made.</w:t>
      </w:r>
    </w:p>
    <w:p>
      <w:pPr>
        <w:spacing w:after="0" w:line="181" w:lineRule="exact"/>
        <w:rPr>
          <w:sz w:val="20"/>
          <w:szCs w:val="20"/>
          <w:color w:val="auto"/>
        </w:rPr>
      </w:pPr>
    </w:p>
    <w:p>
      <w:pPr>
        <w:ind w:left="40" w:right="299" w:firstLine="648"/>
        <w:spacing w:after="0" w:line="261" w:lineRule="auto"/>
        <w:rPr>
          <w:sz w:val="20"/>
          <w:szCs w:val="20"/>
          <w:color w:val="auto"/>
        </w:rPr>
      </w:pPr>
      <w:r>
        <w:rPr>
          <w:rFonts w:ascii="Arial" w:cs="Arial" w:eastAsia="Arial" w:hAnsi="Arial"/>
          <w:sz w:val="18"/>
          <w:szCs w:val="18"/>
          <w:color w:val="auto"/>
        </w:rPr>
        <w:t>The following table summarizes our research and development expenses for our primary programs for the three and six months ended June 30, 2020 and 2019:</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Six months ended</w:t>
            </w:r>
          </w:p>
        </w:tc>
      </w:tr>
      <w:tr>
        <w:trPr>
          <w:trHeight w:val="185"/>
        </w:trPr>
        <w:tc>
          <w:tcPr>
            <w:tcW w:w="3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3"/>
          </w:tcPr>
          <w:p>
            <w:pPr>
              <w:jc w:val="right"/>
              <w:ind w:right="712"/>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2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r>
      <w:tr>
        <w:trPr>
          <w:trHeight w:val="628"/>
        </w:trPr>
        <w:tc>
          <w:tcPr>
            <w:tcW w:w="3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4"/>
                <w:szCs w:val="24"/>
                <w:color w:val="auto"/>
              </w:rPr>
            </w:pPr>
          </w:p>
        </w:tc>
      </w:tr>
      <w:tr>
        <w:trPr>
          <w:trHeight w:val="156"/>
        </w:trPr>
        <w:tc>
          <w:tcPr>
            <w:tcW w:w="3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3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AXS-05</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5,257,477</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4,312,909</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14,575,299</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7,662,053</w:t>
            </w:r>
          </w:p>
        </w:tc>
        <w:tc>
          <w:tcPr>
            <w:tcW w:w="40" w:type="dxa"/>
            <w:vAlign w:val="bottom"/>
            <w:shd w:val="clear" w:color="auto" w:fill="CCEEFF"/>
          </w:tcPr>
          <w:p>
            <w:pPr>
              <w:spacing w:after="0"/>
              <w:rPr>
                <w:sz w:val="17"/>
                <w:szCs w:val="17"/>
                <w:color w:val="auto"/>
              </w:rPr>
            </w:pPr>
          </w:p>
        </w:tc>
      </w:tr>
      <w:tr>
        <w:trPr>
          <w:trHeight w:val="203"/>
        </w:trPr>
        <w:tc>
          <w:tcPr>
            <w:tcW w:w="3780" w:type="dxa"/>
            <w:vAlign w:val="bottom"/>
          </w:tcPr>
          <w:p>
            <w:pPr>
              <w:ind w:left="220"/>
              <w:spacing w:after="0" w:line="202" w:lineRule="exact"/>
              <w:rPr>
                <w:sz w:val="20"/>
                <w:szCs w:val="20"/>
                <w:color w:val="auto"/>
              </w:rPr>
            </w:pPr>
            <w:r>
              <w:rPr>
                <w:rFonts w:ascii="Arial" w:cs="Arial" w:eastAsia="Arial" w:hAnsi="Arial"/>
                <w:sz w:val="18"/>
                <w:szCs w:val="18"/>
                <w:color w:val="auto"/>
              </w:rPr>
              <w:t>AXS-07</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2,920,493</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5,204,570</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8,930,771</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7,737,188</w:t>
            </w:r>
          </w:p>
        </w:tc>
        <w:tc>
          <w:tcPr>
            <w:tcW w:w="40" w:type="dxa"/>
            <w:vAlign w:val="bottom"/>
          </w:tcPr>
          <w:p>
            <w:pPr>
              <w:spacing w:after="0"/>
              <w:rPr>
                <w:sz w:val="17"/>
                <w:szCs w:val="17"/>
                <w:color w:val="auto"/>
              </w:rPr>
            </w:pPr>
          </w:p>
        </w:tc>
      </w:tr>
      <w:tr>
        <w:trPr>
          <w:trHeight w:val="203"/>
        </w:trPr>
        <w:tc>
          <w:tcPr>
            <w:tcW w:w="3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AXS-12</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153,901</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429,122</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5,710,963</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876,149</w:t>
            </w:r>
          </w:p>
        </w:tc>
        <w:tc>
          <w:tcPr>
            <w:tcW w:w="40" w:type="dxa"/>
            <w:vAlign w:val="bottom"/>
            <w:shd w:val="clear" w:color="auto" w:fill="CCEEFF"/>
          </w:tcPr>
          <w:p>
            <w:pPr>
              <w:spacing w:after="0"/>
              <w:rPr>
                <w:sz w:val="17"/>
                <w:szCs w:val="17"/>
                <w:color w:val="auto"/>
              </w:rPr>
            </w:pPr>
          </w:p>
        </w:tc>
      </w:tr>
      <w:tr>
        <w:trPr>
          <w:trHeight w:val="203"/>
        </w:trPr>
        <w:tc>
          <w:tcPr>
            <w:tcW w:w="3780" w:type="dxa"/>
            <w:vAlign w:val="bottom"/>
          </w:tcPr>
          <w:p>
            <w:pPr>
              <w:ind w:left="220"/>
              <w:spacing w:after="0" w:line="202" w:lineRule="exact"/>
              <w:rPr>
                <w:sz w:val="20"/>
                <w:szCs w:val="20"/>
                <w:color w:val="auto"/>
              </w:rPr>
            </w:pPr>
            <w:r>
              <w:rPr>
                <w:rFonts w:ascii="Arial" w:cs="Arial" w:eastAsia="Arial" w:hAnsi="Arial"/>
                <w:sz w:val="18"/>
                <w:szCs w:val="18"/>
                <w:color w:val="auto"/>
              </w:rPr>
              <w:t>AXS-14</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5,077,669</w:t>
            </w:r>
          </w:p>
        </w:tc>
        <w:tc>
          <w:tcPr>
            <w:tcW w:w="18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3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AXS-02</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43,274</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41,895</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91,267</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89,902</w:t>
            </w:r>
          </w:p>
        </w:tc>
        <w:tc>
          <w:tcPr>
            <w:tcW w:w="40" w:type="dxa"/>
            <w:vAlign w:val="bottom"/>
            <w:shd w:val="clear" w:color="auto" w:fill="CCEEFF"/>
          </w:tcPr>
          <w:p>
            <w:pPr>
              <w:spacing w:after="0"/>
              <w:rPr>
                <w:sz w:val="17"/>
                <w:szCs w:val="17"/>
                <w:color w:val="auto"/>
              </w:rPr>
            </w:pPr>
          </w:p>
        </w:tc>
      </w:tr>
      <w:tr>
        <w:trPr>
          <w:trHeight w:val="202"/>
        </w:trPr>
        <w:tc>
          <w:tcPr>
            <w:tcW w:w="3780" w:type="dxa"/>
            <w:vAlign w:val="bottom"/>
          </w:tcPr>
          <w:p>
            <w:pPr>
              <w:ind w:left="220"/>
              <w:spacing w:after="0" w:line="202" w:lineRule="exact"/>
              <w:rPr>
                <w:sz w:val="20"/>
                <w:szCs w:val="20"/>
                <w:color w:val="auto"/>
              </w:rPr>
            </w:pPr>
            <w:r>
              <w:rPr>
                <w:rFonts w:ascii="Arial" w:cs="Arial" w:eastAsia="Arial" w:hAnsi="Arial"/>
                <w:sz w:val="18"/>
                <w:szCs w:val="18"/>
                <w:color w:val="auto"/>
              </w:rPr>
              <w:t>AXS-06</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805</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4,476</w:t>
            </w:r>
          </w:p>
        </w:tc>
        <w:tc>
          <w:tcPr>
            <w:tcW w:w="40" w:type="dxa"/>
            <w:vAlign w:val="bottom"/>
          </w:tcPr>
          <w:p>
            <w:pPr>
              <w:spacing w:after="0"/>
              <w:rPr>
                <w:sz w:val="17"/>
                <w:szCs w:val="17"/>
                <w:color w:val="auto"/>
              </w:rPr>
            </w:pPr>
          </w:p>
        </w:tc>
      </w:tr>
      <w:tr>
        <w:trPr>
          <w:trHeight w:val="203"/>
        </w:trPr>
        <w:tc>
          <w:tcPr>
            <w:tcW w:w="3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research and development</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1,130,282</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749,110</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2,006,483</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1,870,023</w:t>
            </w:r>
          </w:p>
        </w:tc>
        <w:tc>
          <w:tcPr>
            <w:tcW w:w="40" w:type="dxa"/>
            <w:vAlign w:val="bottom"/>
            <w:shd w:val="clear" w:color="auto" w:fill="CCEEFF"/>
          </w:tcPr>
          <w:p>
            <w:pPr>
              <w:spacing w:after="0"/>
              <w:rPr>
                <w:sz w:val="17"/>
                <w:szCs w:val="17"/>
                <w:color w:val="auto"/>
              </w:rPr>
            </w:pPr>
          </w:p>
        </w:tc>
      </w:tr>
      <w:tr>
        <w:trPr>
          <w:trHeight w:val="203"/>
        </w:trPr>
        <w:tc>
          <w:tcPr>
            <w:tcW w:w="37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7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1,037,530</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264,731</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1,671,905</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366,432</w:t>
            </w:r>
          </w:p>
        </w:tc>
        <w:tc>
          <w:tcPr>
            <w:tcW w:w="40" w:type="dxa"/>
            <w:vAlign w:val="bottom"/>
            <w:tcBorders>
              <w:bottom w:val="single" w:sz="8" w:color="CCEEFF"/>
            </w:tcBorders>
          </w:tcPr>
          <w:p>
            <w:pPr>
              <w:spacing w:after="0"/>
              <w:rPr>
                <w:sz w:val="17"/>
                <w:szCs w:val="17"/>
                <w:color w:val="auto"/>
              </w:rPr>
            </w:pPr>
          </w:p>
        </w:tc>
      </w:tr>
      <w:tr>
        <w:trPr>
          <w:trHeight w:val="196"/>
        </w:trPr>
        <w:tc>
          <w:tcPr>
            <w:tcW w:w="37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7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10,542,957</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11,003,142</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38,064,357</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18,606,223</w:t>
            </w:r>
          </w:p>
        </w:tc>
        <w:tc>
          <w:tcPr>
            <w:tcW w:w="40" w:type="dxa"/>
            <w:vAlign w:val="bottom"/>
            <w:tcBorders>
              <w:bottom w:val="single" w:sz="8" w:color="CCEEFF"/>
            </w:tcBorders>
            <w:shd w:val="clear" w:color="auto" w:fill="CCEEFF"/>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40" w:right="579" w:firstLine="648"/>
        <w:spacing w:after="0" w:line="261" w:lineRule="auto"/>
        <w:rPr>
          <w:sz w:val="20"/>
          <w:szCs w:val="20"/>
          <w:color w:val="auto"/>
        </w:rPr>
      </w:pPr>
      <w:r>
        <w:rPr>
          <w:rFonts w:ascii="Arial" w:cs="Arial" w:eastAsia="Arial" w:hAnsi="Arial"/>
          <w:sz w:val="18"/>
          <w:szCs w:val="18"/>
          <w:color w:val="auto"/>
        </w:rPr>
        <w:t>Other research and development expenses primarily consist of employee salaries and benefits, facilities and overhead costs.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2" w:lineRule="exact"/>
        <w:rPr>
          <w:sz w:val="20"/>
          <w:szCs w:val="20"/>
          <w:color w:val="auto"/>
        </w:rPr>
      </w:pPr>
    </w:p>
    <w:p>
      <w:pPr>
        <w:ind w:left="40" w:right="59" w:firstLine="648"/>
        <w:spacing w:after="0" w:line="284" w:lineRule="auto"/>
        <w:rPr>
          <w:sz w:val="20"/>
          <w:szCs w:val="20"/>
          <w:color w:val="auto"/>
        </w:rPr>
      </w:pPr>
      <w:r>
        <w:rPr>
          <w:rFonts w:ascii="Arial" w:cs="Arial" w:eastAsia="Arial" w:hAnsi="Arial"/>
          <w:sz w:val="16"/>
          <w:szCs w:val="16"/>
          <w:color w:val="auto"/>
        </w:rPr>
        <w:t>General and administrative expenses primarily consist of salaries and related costs for personnel in executive, finance, commercial, and operational functions, including stock-based compensation and travel expenses. Other general and administrative expenses include facility-related costs, insurance expense, and professional fees for legal and accounting services and patent filing and prosecution costs. General and administrative expenses are expensed when incurred.</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income (expense)</w:t>
      </w:r>
    </w:p>
    <w:p>
      <w:pPr>
        <w:spacing w:after="0" w:line="212" w:lineRule="exact"/>
        <w:rPr>
          <w:sz w:val="20"/>
          <w:szCs w:val="20"/>
          <w:color w:val="auto"/>
        </w:rPr>
      </w:pPr>
    </w:p>
    <w:p>
      <w:pPr>
        <w:ind w:left="40" w:right="99" w:firstLine="648"/>
        <w:spacing w:after="0" w:line="284" w:lineRule="auto"/>
        <w:rPr>
          <w:sz w:val="20"/>
          <w:szCs w:val="20"/>
          <w:color w:val="auto"/>
        </w:rPr>
      </w:pPr>
      <w:r>
        <w:rPr>
          <w:rFonts w:ascii="Arial" w:cs="Arial" w:eastAsia="Arial" w:hAnsi="Arial"/>
          <w:sz w:val="16"/>
          <w:szCs w:val="16"/>
          <w:color w:val="auto"/>
        </w:rPr>
        <w:t>Interest income (expense) primarily consists of cash interest and non-cash costs related to our term loan with SVB (see “Liquidity and Capital Resources” below for a further discussion) and also the interest we receive from SVB on our cash sweep account. We record costs incurred in connection with the issuance of debt as a direct deduction from the debt liability. We amortize these costs over the term of our debt agreements in our consolidated statement of operations.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6" w:lineRule="exact"/>
        <w:rPr>
          <w:sz w:val="20"/>
          <w:szCs w:val="20"/>
          <w:color w:val="auto"/>
        </w:rPr>
      </w:pPr>
    </w:p>
    <w:p>
      <w:pPr>
        <w:ind w:left="40" w:right="119" w:firstLine="648"/>
        <w:spacing w:after="0" w:line="238" w:lineRule="auto"/>
        <w:rPr>
          <w:sz w:val="20"/>
          <w:szCs w:val="20"/>
          <w:color w:val="auto"/>
        </w:rPr>
      </w:pPr>
      <w:r>
        <w:rPr>
          <w:rFonts w:ascii="Arial" w:cs="Arial" w:eastAsia="Arial" w:hAnsi="Arial"/>
          <w:sz w:val="18"/>
          <w:szCs w:val="18"/>
          <w:color w:val="auto"/>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80" w:lineRule="exact"/>
        <w:rPr>
          <w:sz w:val="20"/>
          <w:szCs w:val="20"/>
          <w:color w:val="auto"/>
        </w:rPr>
      </w:pPr>
    </w:p>
    <w:p>
      <w:pPr>
        <w:ind w:left="40" w:right="99" w:firstLine="648"/>
        <w:spacing w:after="0" w:line="284" w:lineRule="auto"/>
        <w:rPr>
          <w:sz w:val="20"/>
          <w:szCs w:val="20"/>
          <w:color w:val="auto"/>
        </w:rPr>
      </w:pPr>
      <w:r>
        <w:rPr>
          <w:rFonts w:ascii="Arial" w:cs="Arial" w:eastAsia="Arial" w:hAnsi="Arial"/>
          <w:sz w:val="16"/>
          <w:szCs w:val="16"/>
          <w:color w:val="auto"/>
        </w:rPr>
        <w:t>There have been no material changes to our critical accounting policies since the beginning of our fiscal year. Our critical accounting policies are described in “Management’s Discussion and Analysis of Financial Condition and Results of Operations” included in our Annual Report on Form 10-K for the year ended December 31, 2019 and in the notes to the condensed consolidated financial statements appearing elsewhere in this Quarterly Report on Form 10-Q.</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w w:val="99"/>
              </w:rPr>
              <w:t>10,542,957</w:t>
            </w:r>
          </w:p>
        </w:tc>
        <w:tc>
          <w:tcPr>
            <w:tcW w:w="34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w w:val="95"/>
              </w:rPr>
              <w:t>11,003,142</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w w:val="99"/>
              </w:rPr>
              <w:t>38,064,357</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w w:val="99"/>
              </w:rPr>
              <w:t>18,606,223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7,235,877</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2,445,077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12,205,934</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5,263,469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17,778,834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13,448,219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50,270,291</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23,869,692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from operations</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(17,778,834)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(13,448,219)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(50,270,291)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(23,869,692)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 (expense)</w:t>
            </w:r>
          </w:p>
        </w:tc>
        <w:tc>
          <w:tcPr>
            <w:tcW w:w="9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(548,158)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(313,995)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(540,847)</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(532,898)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9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(18,326,992)</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(13,762,214)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(50,811,138)</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(24,402,590)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w:t>
      </w:r>
    </w:p>
    <w:p>
      <w:pPr>
        <w:spacing w:after="0" w:line="212" w:lineRule="exact"/>
        <w:rPr>
          <w:sz w:val="20"/>
          <w:szCs w:val="20"/>
          <w:color w:val="auto"/>
        </w:rPr>
      </w:pPr>
    </w:p>
    <w:p>
      <w:pPr>
        <w:ind w:left="40" w:right="199" w:firstLine="648"/>
        <w:spacing w:after="0" w:line="24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for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2020 were $10.5 million, compared to $11.0 million for the three months ended June 30, 2019, a decrease of $0.5 million. The decrease was driven by the completion of several of our clinical trials which were ongoing in the comparable prior period.</w:t>
      </w:r>
    </w:p>
    <w:p>
      <w:pPr>
        <w:spacing w:after="0" w:line="174" w:lineRule="exact"/>
        <w:rPr>
          <w:sz w:val="20"/>
          <w:szCs w:val="20"/>
          <w:color w:val="auto"/>
        </w:rPr>
      </w:pPr>
    </w:p>
    <w:p>
      <w:pPr>
        <w:ind w:left="40" w:right="99" w:firstLine="648"/>
        <w:spacing w:after="0" w:line="243"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for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2020 was $7.2 million, compared to $2.4 million for the three months ended June 30, 2019, an increase of $4.8 million. The change was primarily due to an increase in stock compensation expense, along with the build-out of the commercial function.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648"/>
        <w:spacing w:after="0" w:line="284" w:lineRule="auto"/>
        <w:rPr>
          <w:sz w:val="20"/>
          <w:szCs w:val="20"/>
          <w:color w:val="auto"/>
        </w:rPr>
      </w:pPr>
      <w:r>
        <w:rPr>
          <w:rFonts w:ascii="Arial" w:cs="Arial" w:eastAsia="Arial" w:hAnsi="Arial"/>
          <w:sz w:val="16"/>
          <w:szCs w:val="16"/>
          <w:i w:val="1"/>
          <w:iCs w:val="1"/>
          <w:color w:val="auto"/>
        </w:rPr>
        <w:t xml:space="preserve">Interest Income (Expense). </w:t>
      </w:r>
      <w:r>
        <w:rPr>
          <w:rFonts w:ascii="Arial" w:cs="Arial" w:eastAsia="Arial" w:hAnsi="Arial"/>
          <w:sz w:val="16"/>
          <w:szCs w:val="16"/>
          <w:color w:val="auto"/>
        </w:rPr>
        <w:t>Interest income (expense) for the three months ended June 30, 2020 was an expense of</w:t>
      </w:r>
      <w:r>
        <w:rPr>
          <w:rFonts w:ascii="Arial" w:cs="Arial" w:eastAsia="Arial" w:hAnsi="Arial"/>
          <w:sz w:val="16"/>
          <w:szCs w:val="16"/>
          <w:i w:val="1"/>
          <w:iCs w:val="1"/>
          <w:color w:val="auto"/>
        </w:rPr>
        <w:t xml:space="preserve"> </w:t>
      </w:r>
      <w:r>
        <w:rPr>
          <w:rFonts w:ascii="Arial" w:cs="Arial" w:eastAsia="Arial" w:hAnsi="Arial"/>
          <w:sz w:val="16"/>
          <w:szCs w:val="16"/>
          <w:color w:val="auto"/>
        </w:rPr>
        <w:t>$0.5 million, compared to an expense of $0.3 million for the three months ended June 30, 2019, an increase of $0.2 million. The interest expense incurred during these periods was consistent, however, the interest income earned during the three months ended June 30, 2020 was lower by $0.2 million due to a lower interest rate on our cash sweep account.</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212" w:lineRule="exact"/>
        <w:rPr>
          <w:sz w:val="20"/>
          <w:szCs w:val="20"/>
          <w:color w:val="auto"/>
        </w:rPr>
      </w:pPr>
    </w:p>
    <w:p>
      <w:pPr>
        <w:ind w:left="40" w:right="59" w:firstLine="648"/>
        <w:spacing w:after="0" w:line="23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were $38.1 million, compared to $18.6 million for the six months ended June 30, 2019, an increase of $19.5 million. R&amp;D expense during the 2020 fiscal year included a one-time charge of $10.2 million for the Pfizer license agreement, of which $7.2 million was non-cash related. The remaining increase was due primarily to ongoing spend for our active clinical trials during the first half of the year which include the STRIDE-1, ADVANCE-1, and INTERCEPT trials, close-out costs for our previously completed GEMINI, MOMENTUM, and CONCERT trials, along with costs associated with the AXS-05 and AXS-07 open-label safety studies.</w:t>
      </w:r>
    </w:p>
    <w:p>
      <w:pPr>
        <w:spacing w:after="0" w:line="191" w:lineRule="exact"/>
        <w:rPr>
          <w:sz w:val="20"/>
          <w:szCs w:val="20"/>
          <w:color w:val="auto"/>
        </w:rPr>
      </w:pPr>
    </w:p>
    <w:p>
      <w:pPr>
        <w:ind w:left="40" w:right="79" w:firstLine="648"/>
        <w:spacing w:after="0" w:line="243"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was $12.2 million, compared to $5.3 million for the six months ended June 30, 2019, an increase of $6.9 million. The change was primarily due to an increase in stock compensation expense, along with the build-out of the commercial function.</w:t>
      </w:r>
    </w:p>
    <w:p>
      <w:pPr>
        <w:spacing w:after="0" w:line="188" w:lineRule="exact"/>
        <w:rPr>
          <w:sz w:val="20"/>
          <w:szCs w:val="20"/>
          <w:color w:val="auto"/>
        </w:rPr>
      </w:pPr>
    </w:p>
    <w:p>
      <w:pPr>
        <w:jc w:val="both"/>
        <w:ind w:left="40" w:right="279" w:firstLine="648"/>
        <w:spacing w:after="0" w:line="248" w:lineRule="auto"/>
        <w:rPr>
          <w:sz w:val="20"/>
          <w:szCs w:val="20"/>
          <w:color w:val="auto"/>
        </w:rPr>
      </w:pPr>
      <w:r>
        <w:rPr>
          <w:rFonts w:ascii="Arial" w:cs="Arial" w:eastAsia="Arial" w:hAnsi="Arial"/>
          <w:sz w:val="18"/>
          <w:szCs w:val="18"/>
          <w:i w:val="1"/>
          <w:iCs w:val="1"/>
          <w:color w:val="auto"/>
        </w:rPr>
        <w:t xml:space="preserve">Interest Income (Expense). </w:t>
      </w:r>
      <w:r>
        <w:rPr>
          <w:rFonts w:ascii="Arial" w:cs="Arial" w:eastAsia="Arial" w:hAnsi="Arial"/>
          <w:sz w:val="18"/>
          <w:szCs w:val="18"/>
          <w:color w:val="auto"/>
        </w:rPr>
        <w:t>Interest income (expense) for the six months ended June 30, 2020 and 2019 was an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$0.5 million which is related to the interest expense and amortization of the debt discount associated with our March 2019 loan and security agreement with SVB for $20 million.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ind w:left="40" w:right="439" w:firstLine="648"/>
        <w:spacing w:after="0" w:line="261" w:lineRule="auto"/>
        <w:rPr>
          <w:sz w:val="20"/>
          <w:szCs w:val="20"/>
          <w:color w:val="auto"/>
        </w:rPr>
      </w:pPr>
      <w:r>
        <w:rPr>
          <w:rFonts w:ascii="Arial" w:cs="Arial" w:eastAsia="Arial" w:hAnsi="Arial"/>
          <w:sz w:val="18"/>
          <w:szCs w:val="18"/>
          <w:color w:val="auto"/>
        </w:rPr>
        <w:t>Since our inception through June 30, 2020, we have financed our operations primarily through proceeds from equity offerings and debt borrowings. See discussion below.</w:t>
      </w:r>
    </w:p>
    <w:p>
      <w:pPr>
        <w:spacing w:after="0" w:line="171" w:lineRule="exact"/>
        <w:rPr>
          <w:sz w:val="20"/>
          <w:szCs w:val="20"/>
          <w:color w:val="auto"/>
        </w:rPr>
      </w:pPr>
    </w:p>
    <w:p>
      <w:pPr>
        <w:ind w:left="40" w:right="379" w:firstLine="648"/>
        <w:spacing w:after="0" w:line="243" w:lineRule="auto"/>
        <w:rPr>
          <w:sz w:val="20"/>
          <w:szCs w:val="20"/>
          <w:color w:val="auto"/>
        </w:rPr>
      </w:pPr>
      <w:r>
        <w:rPr>
          <w:rFonts w:ascii="Arial" w:cs="Arial" w:eastAsia="Arial" w:hAnsi="Arial"/>
          <w:sz w:val="18"/>
          <w:szCs w:val="18"/>
          <w:color w:val="auto"/>
        </w:rPr>
        <w:t>In November 2015, we completed our IPO, in which we sold 5,666,667 shares of common stock at an offering price to the public of $9.00 per share. We received gross proceeds of approximately $51.0 million and net proceeds of approximately $45.5 million, after deducting underwriting discounts and commissions and offering-related transaction costs.</w:t>
      </w:r>
    </w:p>
    <w:p>
      <w:pPr>
        <w:spacing w:after="0" w:line="188" w:lineRule="exact"/>
        <w:rPr>
          <w:sz w:val="20"/>
          <w:szCs w:val="20"/>
          <w:color w:val="auto"/>
        </w:rPr>
      </w:pPr>
    </w:p>
    <w:p>
      <w:pPr>
        <w:ind w:left="40" w:right="119" w:firstLine="648"/>
        <w:spacing w:after="0" w:line="253" w:lineRule="auto"/>
        <w:rPr>
          <w:sz w:val="20"/>
          <w:szCs w:val="20"/>
          <w:color w:val="auto"/>
        </w:rPr>
      </w:pPr>
      <w:r>
        <w:rPr>
          <w:rFonts w:ascii="Arial" w:cs="Arial" w:eastAsia="Arial" w:hAnsi="Arial"/>
          <w:sz w:val="17"/>
          <w:szCs w:val="17"/>
          <w:color w:val="auto"/>
        </w:rPr>
        <w:t>In November 2016, we entered into a loan and security agreement with SVB for a term loan of up to $20.0 million, which we refer to as the 2016 Original Term Loan. The initial tranche of $10.0 million was funded shortly after executing the loan agreement. Because we did not achieve the conditional criteria to access the second and third tranches before the specified dates, the $10.0 million in additional term loan advances expired. In November 2018, we amended the 2016 Original Term Loan to provide an additional $4.0 million growth capital loan, related to our narcolepsy clinical program with AXS-12. We refer to the 2016 Original Term Loan, as amended in November 2018, as the 2016 Amended Term Loan. The additional capital under the 2016 Amended Term Loan was available to be drawn, at our option, subject to the achievement of a specified clinical milestone. Our obligations under the 2016 Amended Term Loan, along with our ability to draw down on the additional $4.0 million tranche, were considered to be performed and completed in connection with the establishment of the 2019 Term Loan (see below).</w:t>
      </w:r>
    </w:p>
    <w:p>
      <w:pPr>
        <w:spacing w:after="0" w:line="221"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7"/>
          <w:szCs w:val="17"/>
          <w:color w:val="auto"/>
        </w:rPr>
        <w:t>On December 1, 2016, we filed a shelf registration statement with the SEC for the issuance of common stock, preferred stock, warrants, rights, debt securities and units up to an aggregate amount of $150.0 million, which we refer to as the 2016 Shelf Registration Statement. On December 16, 2016, the 2016 Shelf Registration Statement was declared effective by the SEC. As discussed in greater detail below, we completed an offering of common stock in March 2017, entered into a sales agreement in October 2017 pursuant to which we sold shares of our common stock from time to time in an at-the-market offering until completion of the offering in January 2019, and completed a registered direct offering priced at the market in December 2017 and September 2018, each utilizing the 2016 Shelf Registration Statement. The 2016 Shelf Registration Statement expired on December 16, 2019.</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648"/>
        <w:spacing w:after="0" w:line="270" w:lineRule="auto"/>
        <w:rPr>
          <w:sz w:val="20"/>
          <w:szCs w:val="20"/>
          <w:color w:val="auto"/>
        </w:rPr>
      </w:pPr>
      <w:r>
        <w:rPr>
          <w:rFonts w:ascii="Arial" w:cs="Arial" w:eastAsia="Arial" w:hAnsi="Arial"/>
          <w:sz w:val="17"/>
          <w:szCs w:val="17"/>
          <w:color w:val="auto"/>
        </w:rPr>
        <w:t>In March 2017, we completed an underwritten public offering, whereby we sold 4,304,813 shares of our common stock at a public offering price of $3.74 per share. We received gross proceeds of approximately $16.1 million and net proceeds of approximately $14.8 million, net of underwriting discounts and offering expenses.</w:t>
      </w:r>
    </w:p>
    <w:p>
      <w:pPr>
        <w:spacing w:after="0" w:line="150"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7"/>
          <w:szCs w:val="17"/>
          <w:color w:val="auto"/>
        </w:rPr>
        <w:t>In October 2017, we entered into an “at-the-market” sales agreement, or the 2017 Sales Agreement, with Leerink Partners LLC, or now known as SVB Leerink, pursuant to which we could sell up to $30 million in shares of our common stock from time to time through SVB Leerink, acting as our sales agent, in one or more at-the-market offerings. In January 2019, we raised approximately $25.8 million in gross proceeds through the sale of 3,164,015 shares under the 2017 Sales Agreement. Upon completion of the final sale fully exhausting the $30 million of shares available for sale, the 2017 Sales Agreement was automatically terminated, SVB Leerink received a commission of 3.0% of the gross proceeds for all shares sold under the 2017 Sales Agreement.</w:t>
      </w:r>
    </w:p>
    <w:p>
      <w:pPr>
        <w:spacing w:after="0" w:line="166"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6"/>
          <w:szCs w:val="16"/>
          <w:color w:val="auto"/>
        </w:rPr>
        <w:t>In December 2017, we completed a registered direct offering priced at the market, which we refer to the as the 2017 Registered Direct Offering, whereby we sold an aggregate of $9.5 million worth of units, or Units, at a purchase price of $5.325 per Unit, with each Unit consisting of (i) one share of our common stock, and (ii) a warrant to purchase one share of our common stock, or Common Warrant, at an exercise price equal to $5.25 per share. We sold an aggregate of</w:t>
      </w:r>
    </w:p>
    <w:p>
      <w:pPr>
        <w:spacing w:after="0" w:line="1" w:lineRule="exact"/>
        <w:rPr>
          <w:sz w:val="20"/>
          <w:szCs w:val="20"/>
          <w:color w:val="auto"/>
        </w:rPr>
      </w:pPr>
    </w:p>
    <w:p>
      <w:pPr>
        <w:ind w:left="40" w:right="59"/>
        <w:spacing w:after="0" w:line="272" w:lineRule="auto"/>
        <w:rPr>
          <w:sz w:val="20"/>
          <w:szCs w:val="20"/>
          <w:color w:val="auto"/>
        </w:rPr>
      </w:pPr>
      <w:r>
        <w:rPr>
          <w:rFonts w:ascii="Arial" w:cs="Arial" w:eastAsia="Arial" w:hAnsi="Arial"/>
          <w:sz w:val="16"/>
          <w:szCs w:val="16"/>
          <w:color w:val="auto"/>
        </w:rPr>
        <w:t>1,783,587 Units in the 2017 Registered Direct Offering for gross proceeds of approximately $9.5 million and net proceeds of approximately $8.8 million, after deducting placement agent fees and offering expenses. Additionally, we issued warrants to purchase up to 107,015 shares of our common stock at an exercise price of $6.6562 per share to certain investors affiliated with H.C. Wainwright &amp; Co., LLC, placement agent for the offering, which we refer to as the Placement Agent Warrants. The Placement Agent Warrants had the same terms as the Common Warrants, except for the difference in exercise price noted above. Both the Common Warrants and the Placement Agent Warrants expired on December 11, 2018.</w:t>
      </w:r>
    </w:p>
    <w:p>
      <w:pPr>
        <w:spacing w:after="0" w:line="164" w:lineRule="exact"/>
        <w:rPr>
          <w:sz w:val="20"/>
          <w:szCs w:val="20"/>
          <w:color w:val="auto"/>
        </w:rPr>
      </w:pPr>
    </w:p>
    <w:p>
      <w:pPr>
        <w:ind w:left="40" w:right="219" w:firstLine="648"/>
        <w:spacing w:after="0" w:line="255" w:lineRule="auto"/>
        <w:rPr>
          <w:sz w:val="20"/>
          <w:szCs w:val="20"/>
          <w:color w:val="auto"/>
        </w:rPr>
      </w:pPr>
      <w:r>
        <w:rPr>
          <w:rFonts w:ascii="Arial" w:cs="Arial" w:eastAsia="Arial" w:hAnsi="Arial"/>
          <w:sz w:val="17"/>
          <w:szCs w:val="17"/>
          <w:color w:val="auto"/>
        </w:rPr>
        <w:t>In September 2018, we entered into a purchase agreement with certain institutional and accredited investors, which we refer to as the RDO Investors, for the sale by us directly to the RDO Investors of an aggregate of 2,966,667 shares of our common stock, at a purchase price of $3.00 per share, which we refer to as the 2018 Registered Direct Offering, for gross proceeds of approximately $8.9 million. The 2018 Registered Direct Offering closed on October 1, 2018, and we received estimated net proceeds of approximately $8.8 million, after deducting transaction expenses. The 2,966,667 shares of common stock sold in the 2018 Registered Direct Offering were offered and sold by us directly to the RDO Investors, without a placement agent, underwriter, broker or dealer.</w:t>
      </w:r>
    </w:p>
    <w:p>
      <w:pPr>
        <w:spacing w:after="0" w:line="180" w:lineRule="exact"/>
        <w:rPr>
          <w:sz w:val="20"/>
          <w:szCs w:val="20"/>
          <w:color w:val="auto"/>
        </w:rPr>
      </w:pPr>
    </w:p>
    <w:p>
      <w:pPr>
        <w:ind w:left="40" w:right="119" w:firstLine="648"/>
        <w:spacing w:after="0" w:line="253" w:lineRule="auto"/>
        <w:rPr>
          <w:sz w:val="20"/>
          <w:szCs w:val="20"/>
          <w:color w:val="auto"/>
        </w:rPr>
      </w:pPr>
      <w:r>
        <w:rPr>
          <w:rFonts w:ascii="Arial" w:cs="Arial" w:eastAsia="Arial" w:hAnsi="Arial"/>
          <w:sz w:val="17"/>
          <w:szCs w:val="17"/>
          <w:color w:val="auto"/>
        </w:rPr>
        <w:t>In March 2019, we entered into a loan and security agreement with SVB and WestRiver Innovation Lending Fund VIII, L.P., or WestRiver, for a term loan up to $24.0 million, which completely replaces the Original Term Loan and the First Amendment to the Original Term Loan. The initial tranche of $20.0 million was funded shortly after executing the loan agreement. The second tranche of $4.0 million is available to be drawn, at our option, subject to the achievement of positive data, on or prior to August 15, 2019, with respect to our ongoing Phase 2 clinical trial for AXS-12 in narcolepsy, sufficient to submit a Phase 3 protocol to FDA, provided that we have not received any objections from the FDA within thirty days after submission of such Phase 3 protocol A portion of the initial tranche was used to satisfy our existing obligations under our November 2016 term loan facility with SVB, as amended in November 2018, and such obligations are considered fully repaid and extinguished.</w:t>
      </w:r>
    </w:p>
    <w:p>
      <w:pPr>
        <w:spacing w:after="0" w:line="184" w:lineRule="exact"/>
        <w:rPr>
          <w:sz w:val="20"/>
          <w:szCs w:val="20"/>
          <w:color w:val="auto"/>
        </w:rPr>
      </w:pPr>
    </w:p>
    <w:p>
      <w:pPr>
        <w:ind w:left="40" w:right="159" w:firstLine="648"/>
        <w:spacing w:after="0" w:line="276" w:lineRule="auto"/>
        <w:rPr>
          <w:sz w:val="20"/>
          <w:szCs w:val="20"/>
          <w:color w:val="auto"/>
        </w:rPr>
      </w:pPr>
      <w:r>
        <w:rPr>
          <w:rFonts w:ascii="Arial" w:cs="Arial" w:eastAsia="Arial" w:hAnsi="Arial"/>
          <w:sz w:val="16"/>
          <w:szCs w:val="16"/>
          <w:color w:val="auto"/>
        </w:rPr>
        <w:t>In May 2019, we entered into a Sales Agreement with SVB Leerink, or the May 2019 Sales Agreement, pursuant to which we could sell up to $50 million in shares of our common stock from time to time through SVB Leerink, acting as our sale’s agent, in one or more at-the-market offerings utilizing the 2016 Shelf Registration Statement (as defined below). SVB Leerink was entitled to receive a commission of 3.0% of the gross proceeds for any shares sold under the May 2019 Sales Agreement. The shares that were unsold under the May 2019 Sales Agreement at the time of the expiration of the 2016 Shelf Registration Statement were rolled over to the December 2019 Sales Agreement (see below).</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firstLine="648"/>
        <w:spacing w:after="0" w:line="253" w:lineRule="auto"/>
        <w:rPr>
          <w:sz w:val="20"/>
          <w:szCs w:val="20"/>
          <w:color w:val="auto"/>
        </w:rPr>
      </w:pPr>
      <w:r>
        <w:rPr>
          <w:rFonts w:ascii="Arial" w:cs="Arial" w:eastAsia="Arial" w:hAnsi="Arial"/>
          <w:sz w:val="17"/>
          <w:szCs w:val="17"/>
          <w:color w:val="auto"/>
        </w:rPr>
        <w:t>In July 2019, we entered into the first amendment to the 2019 Term Loan, or the First Amendment to the 2019 Term Loan. Under the First Amendment to the 2019 Term Loan, the interest-only monthly payment period of the 2019 Term Loan was extended to 18 months after the date of the 2019 Term Loan, which may be further extended to 24 months upon receipt by us of the Term B Loan Advance. Our ability to draw down the Term B Loan Advance was extended to December 31, 2019, subject to our achievement of the Milestone Event prior to or on December 31, 2019. We did not draw down on the Term B Loan Advance, and therefore, the interest-only monthly payment period was not extended. The Loan Advances mature on February 1, 2023. See the subsection titled “July 2019 First Amendment to Loan and Security Agreement – Silicon Valley Bank” under the “Contractual Obligations and Commitments” section below for a further description of the First Amendment to the 2019 Term Loan.</w:t>
      </w:r>
    </w:p>
    <w:p>
      <w:pPr>
        <w:spacing w:after="0" w:line="184" w:lineRule="exact"/>
        <w:rPr>
          <w:sz w:val="20"/>
          <w:szCs w:val="20"/>
          <w:color w:val="auto"/>
        </w:rPr>
      </w:pPr>
    </w:p>
    <w:p>
      <w:pPr>
        <w:ind w:left="40" w:right="219" w:firstLine="648"/>
        <w:spacing w:after="0" w:line="270" w:lineRule="auto"/>
        <w:rPr>
          <w:sz w:val="20"/>
          <w:szCs w:val="20"/>
          <w:color w:val="auto"/>
        </w:rPr>
      </w:pPr>
      <w:r>
        <w:rPr>
          <w:rFonts w:ascii="Arial" w:cs="Arial" w:eastAsia="Arial" w:hAnsi="Arial"/>
          <w:sz w:val="17"/>
          <w:szCs w:val="17"/>
          <w:color w:val="auto"/>
        </w:rPr>
        <w:t>On December 5, 2019, we filed an automatic shelf registration statement with the SEC for the issuance of common stock, preferred stock, warrants, rights, debt securities and units up to an unlimited amount, which we refer to as the 2019 Shelf Registration Statement. It was declared effective by the SEC upon filing.</w:t>
      </w:r>
    </w:p>
    <w:p>
      <w:pPr>
        <w:spacing w:after="0" w:line="150" w:lineRule="exact"/>
        <w:rPr>
          <w:sz w:val="20"/>
          <w:szCs w:val="20"/>
          <w:color w:val="auto"/>
        </w:rPr>
      </w:pPr>
    </w:p>
    <w:p>
      <w:pPr>
        <w:ind w:left="40" w:right="179" w:firstLine="648"/>
        <w:spacing w:after="0" w:line="276" w:lineRule="auto"/>
        <w:rPr>
          <w:sz w:val="20"/>
          <w:szCs w:val="20"/>
          <w:color w:val="auto"/>
        </w:rPr>
      </w:pPr>
      <w:r>
        <w:rPr>
          <w:rFonts w:ascii="Arial" w:cs="Arial" w:eastAsia="Arial" w:hAnsi="Arial"/>
          <w:sz w:val="16"/>
          <w:szCs w:val="16"/>
          <w:color w:val="auto"/>
        </w:rPr>
        <w:t>In December 2019, we entered into a new Sales Agreement with SVB Leerink, or the December 2019 Sales Agreement, pursuant to which we may sell up to $80 million in shares of our common stock from time to time through SVB Leerink, acting as our sales agent, in one or more at-the-market offerings utilizing the 2019 Shelf Registration Statement. SVB Leerink is entitled to receive a commission of 3.0% of the gross proceeds for any shares sold under the December 2019 Sales Agreement. We received approximately $12.4 million in gross proceeds through the sale of 141,678 shares, of which net proceeds were approximately $12.1 million during the six months ended June 30, 2020.</w:t>
      </w:r>
    </w:p>
    <w:p>
      <w:pPr>
        <w:spacing w:after="0" w:line="162" w:lineRule="exact"/>
        <w:rPr>
          <w:sz w:val="20"/>
          <w:szCs w:val="20"/>
          <w:color w:val="auto"/>
        </w:rPr>
      </w:pPr>
    </w:p>
    <w:p>
      <w:pPr>
        <w:ind w:left="40" w:right="199" w:firstLine="648"/>
        <w:spacing w:after="0" w:line="294" w:lineRule="auto"/>
        <w:rPr>
          <w:sz w:val="20"/>
          <w:szCs w:val="20"/>
          <w:color w:val="auto"/>
        </w:rPr>
      </w:pPr>
      <w:r>
        <w:rPr>
          <w:rFonts w:ascii="Arial" w:cs="Arial" w:eastAsia="Arial" w:hAnsi="Arial"/>
          <w:sz w:val="16"/>
          <w:szCs w:val="16"/>
          <w:color w:val="auto"/>
        </w:rPr>
        <w:t>In December 2019, we completed an underwritten public offering, whereby we sold 2,300,000 shares of our common stock at a public offering price of $87.00 per share. We received gross proceeds of approximately $200.1 million and net proceeds of approximately $187.1 million, after deducting underwriting discounts and offering expenses.</w:t>
      </w:r>
    </w:p>
    <w:p>
      <w:pPr>
        <w:spacing w:after="0" w:line="147" w:lineRule="exact"/>
        <w:rPr>
          <w:sz w:val="20"/>
          <w:szCs w:val="20"/>
          <w:color w:val="auto"/>
        </w:rPr>
      </w:pPr>
    </w:p>
    <w:p>
      <w:pPr>
        <w:ind w:left="40" w:right="259" w:firstLine="648"/>
        <w:spacing w:after="0" w:line="284" w:lineRule="auto"/>
        <w:rPr>
          <w:sz w:val="20"/>
          <w:szCs w:val="20"/>
          <w:color w:val="auto"/>
        </w:rPr>
      </w:pPr>
      <w:r>
        <w:rPr>
          <w:rFonts w:ascii="Arial" w:cs="Arial" w:eastAsia="Arial" w:hAnsi="Arial"/>
          <w:sz w:val="16"/>
          <w:szCs w:val="16"/>
          <w:color w:val="auto"/>
        </w:rPr>
        <w:t>In the future, we may conduct additional offerings of one or more of the securities covered by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155" w:lineRule="exact"/>
        <w:rPr>
          <w:sz w:val="20"/>
          <w:szCs w:val="20"/>
          <w:color w:val="auto"/>
        </w:rPr>
      </w:pPr>
    </w:p>
    <w:p>
      <w:pPr>
        <w:ind w:left="40" w:right="219" w:firstLine="648"/>
        <w:spacing w:after="0" w:line="284" w:lineRule="auto"/>
        <w:rPr>
          <w:sz w:val="20"/>
          <w:szCs w:val="20"/>
          <w:color w:val="auto"/>
        </w:rPr>
      </w:pPr>
      <w:r>
        <w:rPr>
          <w:rFonts w:ascii="Arial" w:cs="Arial" w:eastAsia="Arial" w:hAnsi="Arial"/>
          <w:sz w:val="16"/>
          <w:szCs w:val="16"/>
          <w:color w:val="auto"/>
        </w:rPr>
        <w:t>We believe our currently available cash will be sufficient to fund our anticipated operating cash requirements for at least two years from the date of this report. Because the process of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primary sources and uses of cash for the periods indicated: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4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w:t>
            </w: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200"/>
              <w:spacing w:after="0" w:line="202" w:lineRule="exact"/>
              <w:rPr>
                <w:sz w:val="20"/>
                <w:szCs w:val="20"/>
                <w:color w:val="auto"/>
              </w:rPr>
            </w:pPr>
            <w:r>
              <w:rPr>
                <w:rFonts w:ascii="Arial" w:cs="Arial" w:eastAsia="Arial" w:hAnsi="Arial"/>
                <w:sz w:val="18"/>
                <w:szCs w:val="18"/>
                <w:color w:val="auto"/>
              </w:rPr>
              <w:t>Operating activities</w:t>
            </w:r>
          </w:p>
        </w:tc>
        <w:tc>
          <w:tcPr>
            <w:tcW w:w="2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w w:val="94"/>
              </w:rPr>
              <w:t>(42,168,466)</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w w:val="94"/>
              </w:rPr>
              <w:t>(18,181,000)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Investing activities</w:t>
            </w: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(10,759)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(11,464)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Financing activities</w:t>
            </w:r>
          </w:p>
        </w:tc>
        <w:tc>
          <w:tcPr>
            <w:tcW w:w="2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12,895,167</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57,976,859</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increase (decrease) in cash</w:t>
            </w:r>
          </w:p>
        </w:tc>
        <w:tc>
          <w:tcPr>
            <w:tcW w:w="2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(29,284,058)</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39,784,395</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0" w:right="179" w:firstLine="648"/>
        <w:spacing w:after="0" w:line="24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used in operating activities for the six months ended June 30, 2020 was $42.2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$18.2 million for the six months ended June 30, 2019. The increase of $24.0 million in net cash used included the upfront cash payment of $3.0 million to Pfizer along with a higher cash outlay as a result of the multiple product candidates that were in clinical trials.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39" w:firstLine="648"/>
        <w:spacing w:after="0" w:line="261"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for the purchase of property and equipment was less than</w:t>
      </w:r>
      <w:r>
        <w:rPr>
          <w:rFonts w:ascii="Arial" w:cs="Arial" w:eastAsia="Arial" w:hAnsi="Arial"/>
          <w:sz w:val="18"/>
          <w:szCs w:val="18"/>
          <w:i w:val="1"/>
          <w:iCs w:val="1"/>
          <w:color w:val="auto"/>
        </w:rPr>
        <w:t xml:space="preserve"> </w:t>
      </w:r>
      <w:r>
        <w:rPr>
          <w:rFonts w:ascii="Arial" w:cs="Arial" w:eastAsia="Arial" w:hAnsi="Arial"/>
          <w:sz w:val="18"/>
          <w:szCs w:val="18"/>
          <w:color w:val="auto"/>
        </w:rPr>
        <w:t>$0.1 million for the six months ended June 30, 2020 and 2019.</w:t>
      </w:r>
    </w:p>
    <w:p>
      <w:pPr>
        <w:spacing w:after="0" w:line="171" w:lineRule="exact"/>
        <w:rPr>
          <w:sz w:val="20"/>
          <w:szCs w:val="20"/>
          <w:color w:val="auto"/>
        </w:rPr>
      </w:pPr>
    </w:p>
    <w:p>
      <w:pPr>
        <w:ind w:left="40" w:right="79" w:firstLine="648"/>
        <w:spacing w:after="0" w:line="274"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Cash provided by financing activities was $12.9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2020, which included net proceeds from the sale of common stock through our Sales Agreement with Leerink of $12.1 million and proceeds from the issuance of common stock upon exercise of employee stock options of $0.8 million. For the six months ended June 30, 2019, cash provided by financing activities was $58.0 million, which included net proceeds from the sale of common stock through our Sales Agreement with Leerink of $44.5 million, proceeds from the 2019 Term Loan of $20.0 million, and proceeds from issuance of common stock upon exercise of options and warrants of $0.7 million. These proceeds were offset by the repayment on our 2016 Amended Term Loan of $7.2 million.</w:t>
      </w:r>
    </w:p>
    <w:p>
      <w:pPr>
        <w:spacing w:after="0" w:line="3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Funding requirements</w:t>
      </w:r>
    </w:p>
    <w:p>
      <w:pPr>
        <w:spacing w:after="0" w:line="202"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7"/>
          <w:szCs w:val="17"/>
          <w:color w:val="auto"/>
        </w:rPr>
        <w:t>We have not achieved profitability since our inception and we expect to continue to incur significant losses for the foreseeable future. We expect our cumulative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74" w:lineRule="exact"/>
        <w:rPr>
          <w:sz w:val="20"/>
          <w:szCs w:val="20"/>
          <w:color w:val="auto"/>
        </w:rPr>
      </w:pPr>
    </w:p>
    <w:p>
      <w:pPr>
        <w:ind w:left="40" w:right="99" w:firstLine="648"/>
        <w:spacing w:after="0" w:line="239" w:lineRule="auto"/>
        <w:rPr>
          <w:sz w:val="20"/>
          <w:szCs w:val="20"/>
          <w:color w:val="auto"/>
        </w:rPr>
      </w:pPr>
      <w:r>
        <w:rPr>
          <w:rFonts w:ascii="Arial" w:cs="Arial" w:eastAsia="Arial" w:hAnsi="Arial"/>
          <w:sz w:val="18"/>
          <w:szCs w:val="18"/>
          <w:color w:val="auto"/>
        </w:rPr>
        <w:t>We anticipate that we will likely need to raise additional financing in the future to fund our operations. In order to meet these additional cash requirements, we may incur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91" w:lineRule="exact"/>
        <w:rPr>
          <w:sz w:val="20"/>
          <w:szCs w:val="20"/>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studies and other related activities;</w:t>
      </w:r>
    </w:p>
    <w:p>
      <w:pPr>
        <w:spacing w:after="0" w:line="144" w:lineRule="exact"/>
        <w:rPr>
          <w:rFonts w:ascii="Arial" w:cs="Arial" w:eastAsia="Arial" w:hAnsi="Arial"/>
          <w:sz w:val="18"/>
          <w:szCs w:val="18"/>
          <w:color w:val="auto"/>
        </w:rPr>
      </w:pPr>
    </w:p>
    <w:p>
      <w:pPr>
        <w:ind w:left="1040" w:right="219" w:hanging="321"/>
        <w:spacing w:after="0" w:line="261"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enter into collaborative agreements for the development and commercialization of our product candidates;</w:t>
      </w:r>
    </w:p>
    <w:p>
      <w:pPr>
        <w:spacing w:after="0" w:line="89" w:lineRule="exact"/>
        <w:rPr>
          <w:rFonts w:ascii="Arial" w:cs="Arial" w:eastAsia="Arial" w:hAnsi="Arial"/>
          <w:sz w:val="18"/>
          <w:szCs w:val="18"/>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and development requirements of any other product candidates that we pursue;</w:t>
      </w:r>
    </w:p>
    <w:p>
      <w:pPr>
        <w:spacing w:after="0" w:line="144" w:lineRule="exact"/>
        <w:rPr>
          <w:rFonts w:ascii="Arial" w:cs="Arial" w:eastAsia="Arial" w:hAnsi="Arial"/>
          <w:sz w:val="18"/>
          <w:szCs w:val="18"/>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reviews of our product candidates;</w:t>
      </w:r>
    </w:p>
    <w:p>
      <w:pPr>
        <w:spacing w:after="0" w:line="144" w:lineRule="exact"/>
        <w:rPr>
          <w:rFonts w:ascii="Arial" w:cs="Arial" w:eastAsia="Arial" w:hAnsi="Arial"/>
          <w:sz w:val="18"/>
          <w:szCs w:val="18"/>
          <w:color w:val="auto"/>
        </w:rPr>
      </w:pPr>
    </w:p>
    <w:p>
      <w:pPr>
        <w:ind w:left="1040" w:right="459" w:hanging="321"/>
        <w:spacing w:after="0" w:line="324"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costs and timing of future commercialization activities, including product manufacturing, marketing, sales, and distribution, for any of our product candidates for which we receive marketing approval;</w:t>
      </w:r>
    </w:p>
    <w:p>
      <w:pPr>
        <w:spacing w:after="0" w:line="43" w:lineRule="exact"/>
        <w:rPr>
          <w:rFonts w:ascii="Arial" w:cs="Arial" w:eastAsia="Arial" w:hAnsi="Arial"/>
          <w:sz w:val="16"/>
          <w:szCs w:val="16"/>
          <w:color w:val="auto"/>
        </w:rPr>
      </w:pPr>
    </w:p>
    <w:p>
      <w:pPr>
        <w:ind w:left="1040" w:right="639" w:hanging="321"/>
        <w:spacing w:after="0" w:line="261"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unforeseen circumstances or other disruptions to normal business operations arising from or related to COVID-19;</w:t>
      </w:r>
    </w:p>
    <w:p>
      <w:pPr>
        <w:spacing w:after="0" w:line="103" w:lineRule="exact"/>
        <w:rPr>
          <w:rFonts w:ascii="Arial" w:cs="Arial" w:eastAsia="Arial" w:hAnsi="Arial"/>
          <w:sz w:val="18"/>
          <w:szCs w:val="18"/>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 candidates;</w:t>
      </w:r>
    </w:p>
    <w:p>
      <w:pPr>
        <w:spacing w:after="0" w:line="144" w:lineRule="exact"/>
        <w:rPr>
          <w:rFonts w:ascii="Arial" w:cs="Arial" w:eastAsia="Arial" w:hAnsi="Arial"/>
          <w:sz w:val="18"/>
          <w:szCs w:val="18"/>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general and administrative expenses related to being a public company;</w:t>
      </w:r>
    </w:p>
    <w:p>
      <w:pPr>
        <w:spacing w:after="0" w:line="144" w:lineRule="exact"/>
        <w:rPr>
          <w:rFonts w:ascii="Arial" w:cs="Arial" w:eastAsia="Arial" w:hAnsi="Arial"/>
          <w:sz w:val="18"/>
          <w:szCs w:val="18"/>
          <w:color w:val="auto"/>
        </w:rPr>
      </w:pPr>
    </w:p>
    <w:p>
      <w:pPr>
        <w:ind w:left="1040" w:right="819" w:hanging="321"/>
        <w:spacing w:after="0" w:line="261"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103" w:lineRule="exact"/>
        <w:rPr>
          <w:rFonts w:ascii="Arial" w:cs="Arial" w:eastAsia="Arial" w:hAnsi="Arial"/>
          <w:sz w:val="18"/>
          <w:szCs w:val="18"/>
          <w:color w:val="auto"/>
        </w:rPr>
      </w:pPr>
    </w:p>
    <w:p>
      <w:pPr>
        <w:ind w:left="1040" w:right="379" w:hanging="321"/>
        <w:spacing w:after="0" w:line="261"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involved in preparing, filing, and prosecuting patent applications, maintaining and enforcing our intellectual property rights, and defending our intellectual property-related claims.</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Please see “Risk Factors” for additional risks associated with our substantial capital requirements.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License agreement with Pfizer</w:t>
      </w:r>
    </w:p>
    <w:p>
      <w:pPr>
        <w:spacing w:after="0" w:line="21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7"/>
          <w:szCs w:val="17"/>
          <w:color w:val="auto"/>
        </w:rPr>
        <w:t>In January 2020, we entered into a license agreement with Pfizer. Under the terms of our exclusive license agreement with Pfizer, Pfizer received 82,019 shares of our common stock having a stated value of $8.0 million, based on the average closing price of the Company’s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162" w:lineRule="exact"/>
        <w:rPr>
          <w:sz w:val="20"/>
          <w:szCs w:val="20"/>
          <w:color w:val="auto"/>
        </w:rPr>
      </w:pPr>
    </w:p>
    <w:p>
      <w:pPr>
        <w:ind w:left="40" w:right="279" w:firstLine="693"/>
        <w:spacing w:after="0" w:line="248" w:lineRule="auto"/>
        <w:rPr>
          <w:sz w:val="20"/>
          <w:szCs w:val="20"/>
          <w:color w:val="auto"/>
        </w:rPr>
      </w:pPr>
      <w:r>
        <w:rPr>
          <w:rFonts w:ascii="Arial" w:cs="Arial" w:eastAsia="Arial" w:hAnsi="Arial"/>
          <w:sz w:val="18"/>
          <w:szCs w:val="18"/>
          <w:color w:val="auto"/>
        </w:rPr>
        <w:t>Pfizer can also receive up to $323 million upon the achievement of certain regulatory and sales milestones, and tiered mid-single to low double-digit royalties on future sales. Pfizer will also have a right of first negotiation on any potential future strategic transactions involving AXS-12 and AXS-14.</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License agreements with Antecip Bioventures</w:t>
      </w:r>
    </w:p>
    <w:p>
      <w:pPr>
        <w:spacing w:after="0" w:line="212" w:lineRule="exact"/>
        <w:rPr>
          <w:sz w:val="20"/>
          <w:szCs w:val="20"/>
          <w:color w:val="auto"/>
        </w:rPr>
      </w:pPr>
    </w:p>
    <w:p>
      <w:pPr>
        <w:ind w:left="40" w:right="99" w:firstLine="648"/>
        <w:spacing w:after="0" w:line="262" w:lineRule="auto"/>
        <w:rPr>
          <w:sz w:val="20"/>
          <w:szCs w:val="20"/>
          <w:color w:val="auto"/>
        </w:rPr>
      </w:pPr>
      <w:r>
        <w:rPr>
          <w:rFonts w:ascii="Arial" w:cs="Arial" w:eastAsia="Arial" w:hAnsi="Arial"/>
          <w:sz w:val="17"/>
          <w:szCs w:val="17"/>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November 2016 Loan and Security Agreement—Silicon Valley Bank</w:t>
      </w:r>
    </w:p>
    <w:p>
      <w:pPr>
        <w:spacing w:after="0" w:line="212" w:lineRule="exact"/>
        <w:rPr>
          <w:sz w:val="20"/>
          <w:szCs w:val="20"/>
          <w:color w:val="auto"/>
        </w:rPr>
      </w:pPr>
    </w:p>
    <w:p>
      <w:pPr>
        <w:ind w:left="40" w:right="159" w:firstLine="648"/>
        <w:spacing w:after="0" w:line="255" w:lineRule="auto"/>
        <w:rPr>
          <w:sz w:val="20"/>
          <w:szCs w:val="20"/>
          <w:color w:val="auto"/>
        </w:rPr>
      </w:pPr>
      <w:r>
        <w:rPr>
          <w:rFonts w:ascii="Arial" w:cs="Arial" w:eastAsia="Arial" w:hAnsi="Arial"/>
          <w:sz w:val="17"/>
          <w:szCs w:val="17"/>
          <w:color w:val="auto"/>
        </w:rPr>
        <w:t>In November 2016, we entered into the 2016 Original Term Loan with SVB, for a term loan of up to $20.0 million. The initial tranche of $10.0 million was funded shortly after executing the loan agreement. We were scheduled to make interest only payments on the loan until December 1, 2017, which could have been extended under certain circumstances. Under the terms of the loan, we had the opportunity, but not the obligation to, draw two additional tranches of $5.0 million each prior to November 9, 2017 and December 31, 2017, subject to the achievement of certain clinical and financial milestones. Because we did not achieve the conditional criteria to access the second and third tranches before the specified dates, the $10.0 million in additional term loan advances expired.</w:t>
      </w:r>
    </w:p>
    <w:p>
      <w:pPr>
        <w:spacing w:after="0" w:line="180" w:lineRule="exact"/>
        <w:rPr>
          <w:sz w:val="20"/>
          <w:szCs w:val="20"/>
          <w:color w:val="auto"/>
        </w:rPr>
      </w:pPr>
    </w:p>
    <w:p>
      <w:pPr>
        <w:ind w:left="40" w:right="119" w:firstLine="648"/>
        <w:spacing w:after="0" w:line="262" w:lineRule="auto"/>
        <w:rPr>
          <w:sz w:val="20"/>
          <w:szCs w:val="20"/>
          <w:color w:val="auto"/>
        </w:rPr>
      </w:pPr>
      <w:r>
        <w:rPr>
          <w:rFonts w:ascii="Arial" w:cs="Arial" w:eastAsia="Arial" w:hAnsi="Arial"/>
          <w:sz w:val="17"/>
          <w:szCs w:val="17"/>
          <w:color w:val="auto"/>
        </w:rPr>
        <w:t>The 2016 Original Term Loan accrued interest at an annual rate equal to 4.50% plus the prime rate, which was the greater of 3.50% or the Wall Street Journal prime rate, and was payable monthly. Following the interest only payment period, we began making monthly payments of principal and interest. In addition, we were required to pay a final payment fee of 8.5% of the principal amount extended to us on the date of repayment of the outstanding loan.</w:t>
      </w:r>
    </w:p>
    <w:p>
      <w:pPr>
        <w:spacing w:after="0" w:line="172" w:lineRule="exact"/>
        <w:rPr>
          <w:sz w:val="20"/>
          <w:szCs w:val="20"/>
          <w:color w:val="auto"/>
        </w:rPr>
      </w:pPr>
    </w:p>
    <w:p>
      <w:pPr>
        <w:ind w:left="40" w:right="199" w:firstLine="648"/>
        <w:spacing w:after="0" w:line="241" w:lineRule="auto"/>
        <w:rPr>
          <w:sz w:val="20"/>
          <w:szCs w:val="20"/>
          <w:color w:val="auto"/>
        </w:rPr>
      </w:pPr>
      <w:r>
        <w:rPr>
          <w:rFonts w:ascii="Arial" w:cs="Arial" w:eastAsia="Arial" w:hAnsi="Arial"/>
          <w:sz w:val="18"/>
          <w:szCs w:val="18"/>
          <w:color w:val="auto"/>
        </w:rPr>
        <w:t>We were permitted to prepay all, but not less than all, of the 2016 Original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was collateralized by a security interest in all of our assets except intellectual property. Our intellectual property was subject to a negative pledge.</w:t>
      </w:r>
    </w:p>
    <w:p>
      <w:pPr>
        <w:spacing w:after="0" w:line="189" w:lineRule="exact"/>
        <w:rPr>
          <w:sz w:val="20"/>
          <w:szCs w:val="20"/>
          <w:color w:val="auto"/>
        </w:rPr>
      </w:pPr>
    </w:p>
    <w:p>
      <w:pPr>
        <w:jc w:val="both"/>
        <w:ind w:left="40" w:right="59" w:firstLine="648"/>
        <w:spacing w:after="0" w:line="248" w:lineRule="auto"/>
        <w:rPr>
          <w:sz w:val="20"/>
          <w:szCs w:val="20"/>
          <w:color w:val="auto"/>
        </w:rPr>
      </w:pPr>
      <w:r>
        <w:rPr>
          <w:rFonts w:ascii="Arial" w:cs="Arial" w:eastAsia="Arial" w:hAnsi="Arial"/>
          <w:sz w:val="18"/>
          <w:szCs w:val="18"/>
          <w:color w:val="auto"/>
        </w:rPr>
        <w:t>In connection with the loan, SVB and Life Science Loans, LLC, received warrants to purchase an aggregate 65,228 shares of our common stock at an exercise price of $7.41 per share, which were exercisable for seven years from the date of issuance.</w:t>
      </w:r>
    </w:p>
    <w:p>
      <w:pPr>
        <w:spacing w:after="0" w:line="182" w:lineRule="exact"/>
        <w:rPr>
          <w:sz w:val="20"/>
          <w:szCs w:val="20"/>
          <w:color w:val="auto"/>
        </w:rPr>
      </w:pPr>
    </w:p>
    <w:p>
      <w:pPr>
        <w:ind w:left="40" w:right="119" w:firstLine="648"/>
        <w:spacing w:after="0" w:line="284" w:lineRule="auto"/>
        <w:rPr>
          <w:sz w:val="20"/>
          <w:szCs w:val="20"/>
          <w:color w:val="auto"/>
        </w:rPr>
      </w:pPr>
      <w:r>
        <w:rPr>
          <w:rFonts w:ascii="Arial" w:cs="Arial" w:eastAsia="Arial" w:hAnsi="Arial"/>
          <w:sz w:val="16"/>
          <w:szCs w:val="16"/>
          <w:color w:val="auto"/>
        </w:rPr>
        <w:t>We allocated the proceeds of $10.0 million based on the relative fair values of the debt instrument and the warrant instrument. The relative fair value of the warrants of approximately $0.3 million at the time of issuance, which was determined using the Black-Scholes option-pricing model, was recorded as additional paid-in capital and reduced the carrying value of the debt. The discount on the debt was being amortized to interest expense over the term of the debt.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648"/>
        <w:spacing w:after="0" w:line="259" w:lineRule="auto"/>
        <w:rPr>
          <w:sz w:val="20"/>
          <w:szCs w:val="20"/>
          <w:color w:val="auto"/>
        </w:rPr>
      </w:pPr>
      <w:r>
        <w:rPr>
          <w:rFonts w:ascii="Arial" w:cs="Arial" w:eastAsia="Arial" w:hAnsi="Arial"/>
          <w:sz w:val="17"/>
          <w:szCs w:val="17"/>
          <w:color w:val="auto"/>
        </w:rPr>
        <w:t>In November 2018, we amended the 2016 Original Term Loan to provide an additional $4 million growth capital loan, related to our narcolepsy clinical program with AXS-12. The additional capital was available to be drawn, at our option, subject to the achievement of a specified clinical milestone. In connection with the 2016 Amended Term Loan, SVB and WestRiver received warrants to purchase an aggregate 15,750 shares of our common stock at an exercise price of $3.06 per share, which are exercisable for seven years from the date of issuance.</w:t>
      </w:r>
    </w:p>
    <w:p>
      <w:pPr>
        <w:spacing w:after="0" w:line="174" w:lineRule="exact"/>
        <w:rPr>
          <w:sz w:val="20"/>
          <w:szCs w:val="20"/>
          <w:color w:val="auto"/>
        </w:rPr>
      </w:pPr>
    </w:p>
    <w:p>
      <w:pPr>
        <w:ind w:left="40" w:right="219" w:firstLine="648"/>
        <w:spacing w:after="0" w:line="248" w:lineRule="auto"/>
        <w:rPr>
          <w:sz w:val="20"/>
          <w:szCs w:val="20"/>
          <w:color w:val="auto"/>
        </w:rPr>
      </w:pPr>
      <w:r>
        <w:rPr>
          <w:rFonts w:ascii="Arial" w:cs="Arial" w:eastAsia="Arial" w:hAnsi="Arial"/>
          <w:sz w:val="18"/>
          <w:szCs w:val="18"/>
          <w:color w:val="auto"/>
        </w:rPr>
        <w:t>Our obligations under the 2016 Amended Term Loan, along with the ability to draw down on the additional $4.0 million tranche, were considered to be performed and completed in connection with the establishment of the 2019 Term Loan during March 2019.</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March 2019 Loan and Security Agreement—Silicon Valley Bank</w:t>
      </w:r>
    </w:p>
    <w:p>
      <w:pPr>
        <w:spacing w:after="0" w:line="212" w:lineRule="exact"/>
        <w:rPr>
          <w:sz w:val="20"/>
          <w:szCs w:val="20"/>
          <w:color w:val="auto"/>
        </w:rPr>
      </w:pPr>
    </w:p>
    <w:p>
      <w:pPr>
        <w:ind w:left="40" w:right="99" w:firstLine="648"/>
        <w:spacing w:after="0" w:line="239" w:lineRule="auto"/>
        <w:rPr>
          <w:sz w:val="20"/>
          <w:szCs w:val="20"/>
          <w:color w:val="auto"/>
        </w:rPr>
      </w:pPr>
      <w:r>
        <w:rPr>
          <w:rFonts w:ascii="Arial" w:cs="Arial" w:eastAsia="Arial" w:hAnsi="Arial"/>
          <w:sz w:val="18"/>
          <w:szCs w:val="18"/>
          <w:color w:val="auto"/>
        </w:rPr>
        <w:t>In March 2019, we entered into the 2019 Term Loan with SVB and WestRiver consisting of an initial $20.0 million tranche, which was funded shortly upon closing, with the remaining $4.0 million available to be drawn, at our option, subject to the achievement of positive data, on or prior to August 15, 2019, with respect to our Phase 2 clinical trial for AXS-12 in narcolepsy, sufficient to submit a Phase 3 protocol to the FDA, provided that we have not received any objections from the FDA within thirty days after submission of such Phase 3 protocol. A portion of the first tranche was used to satisfy our then-existing obligations under our 2016 Amended Term Loan and such obligations are considered to be fully repaid and completed.</w:t>
      </w:r>
    </w:p>
    <w:p>
      <w:pPr>
        <w:spacing w:after="0" w:line="191" w:lineRule="exact"/>
        <w:rPr>
          <w:sz w:val="20"/>
          <w:szCs w:val="20"/>
          <w:color w:val="auto"/>
        </w:rPr>
      </w:pPr>
    </w:p>
    <w:p>
      <w:pPr>
        <w:ind w:left="40" w:right="239" w:firstLine="648"/>
        <w:spacing w:after="0" w:line="272" w:lineRule="auto"/>
        <w:rPr>
          <w:sz w:val="20"/>
          <w:szCs w:val="20"/>
          <w:color w:val="auto"/>
        </w:rPr>
      </w:pPr>
      <w:r>
        <w:rPr>
          <w:rFonts w:ascii="Arial" w:cs="Arial" w:eastAsia="Arial" w:hAnsi="Arial"/>
          <w:sz w:val="16"/>
          <w:szCs w:val="16"/>
          <w:color w:val="auto"/>
        </w:rPr>
        <w:t>The 2019 Term Loan accrues interest on the unpaid principal balance of the outstanding loan advances at a floating per annum rate equal to the greater of (i) seven and one-half of one percent (7.50%) and (ii) two percent (2.0%) above the prime rate and is payable monthly. The 2019 Term Loan initially had an interest-only monthly payment period for twelve months which was extendable to 18 months upon drawing of the second tranche. Following the interest only payment period, we will begin making monthly payments of principal and interest and these payments will continue until the maturity date of February 1, 2023. In addition, we were initially required to pay a final payment fee of 6.0% of the principal amount extended to us on the date of repayment of the outstanding loan, which was increased to 6.3% in connection with the First Amendment to the 2019 Term Loan, as described below.</w:t>
      </w:r>
    </w:p>
    <w:p>
      <w:pPr>
        <w:spacing w:after="0" w:line="168" w:lineRule="exact"/>
        <w:rPr>
          <w:sz w:val="20"/>
          <w:szCs w:val="20"/>
          <w:color w:val="auto"/>
        </w:rPr>
      </w:pPr>
    </w:p>
    <w:p>
      <w:pPr>
        <w:ind w:left="40" w:right="139" w:firstLine="648"/>
        <w:spacing w:after="0"/>
        <w:rPr>
          <w:sz w:val="20"/>
          <w:szCs w:val="20"/>
          <w:color w:val="auto"/>
        </w:rPr>
      </w:pPr>
      <w:r>
        <w:rPr>
          <w:rFonts w:ascii="Arial" w:cs="Arial" w:eastAsia="Arial" w:hAnsi="Arial"/>
          <w:sz w:val="18"/>
          <w:szCs w:val="18"/>
          <w:color w:val="auto"/>
        </w:rPr>
        <w:t>We were initially permitted to prepay all, but not less than all, of the 2019 Term Loan, subject to a prepayment premium of 3.0% of the outstanding principal if prepaid within one year of the effective date of the loan, 2.0% of the outstanding principal if prepaid after the first anniversary of the effective date but on prior to the second anniversary of the effective date, and 1.0% of the outstanding principal if prepaid after the second anniversary of the effective date. The term loan is collateralized by a security interest in all of our assets except intellectual property. Our intellectual property is subject to a negative pledge.</w:t>
      </w:r>
    </w:p>
    <w:p>
      <w:pPr>
        <w:spacing w:after="0" w:line="189" w:lineRule="exact"/>
        <w:rPr>
          <w:sz w:val="20"/>
          <w:szCs w:val="20"/>
          <w:color w:val="auto"/>
        </w:rPr>
      </w:pPr>
    </w:p>
    <w:p>
      <w:pPr>
        <w:ind w:left="40" w:right="59" w:firstLine="648"/>
        <w:spacing w:after="0" w:line="274" w:lineRule="auto"/>
        <w:rPr>
          <w:sz w:val="20"/>
          <w:szCs w:val="20"/>
          <w:color w:val="auto"/>
        </w:rPr>
      </w:pPr>
      <w:r>
        <w:rPr>
          <w:rFonts w:ascii="Arial" w:cs="Arial" w:eastAsia="Arial" w:hAnsi="Arial"/>
          <w:sz w:val="16"/>
          <w:szCs w:val="16"/>
          <w:color w:val="auto"/>
        </w:rPr>
        <w:t>In connection with the 2019 Term Loan, SVB and WestRiver received warrants, or the March 2019 Warrants, to purchase an aggregate 70,000 shares of our common stock at an exercise price of $8.10 per share, which are exercisable for seven years from the date of issuance. The warrants were to be earned based upon the usage of the facility and are exercisable until March 4, 2026. The warrants were classified as a component of stockholders’ equity, of which 58,332 warrants were immediately exercisable and the remaining 11,668 warrants would be earned upon drawing of the second $4.0 million tranche under the loan. In connection with the First Amendment to the 2019 Term Loan, the shares of common stock issuable under each of the March 2019 Warrants were fixed at 29,167 shares, as described further below.</w:t>
      </w:r>
    </w:p>
    <w:p>
      <w:pPr>
        <w:spacing w:after="0" w:line="204" w:lineRule="exact"/>
        <w:rPr>
          <w:sz w:val="20"/>
          <w:szCs w:val="20"/>
          <w:color w:val="auto"/>
        </w:rPr>
      </w:pPr>
    </w:p>
    <w:p>
      <w:pPr>
        <w:ind w:left="40" w:right="119" w:firstLine="648"/>
        <w:spacing w:after="0" w:line="284" w:lineRule="auto"/>
        <w:rPr>
          <w:sz w:val="20"/>
          <w:szCs w:val="20"/>
          <w:color w:val="auto"/>
        </w:rPr>
      </w:pPr>
      <w:r>
        <w:rPr>
          <w:rFonts w:ascii="Arial" w:cs="Arial" w:eastAsia="Arial" w:hAnsi="Arial"/>
          <w:sz w:val="16"/>
          <w:szCs w:val="16"/>
          <w:color w:val="auto"/>
        </w:rPr>
        <w:t>We allocated the proceeds of $20.0 million based on the relative fair values of the debt instrument and the warrant instrument. The relative fair value of the warrants of approximately $0.4 million at the time of issuance, which was determined using the Black-Scholes option-pricing model, was recorded as additional paid-in capital and reduced the carrying value of the debt. The discount on the debt is being amortized to interest expense over the term of the debt.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July 2019 First Amendment to Loan and Security Agreement—Silicon Valley Bank</w:t>
      </w:r>
    </w:p>
    <w:p>
      <w:pPr>
        <w:spacing w:after="0" w:line="252" w:lineRule="exact"/>
        <w:rPr>
          <w:sz w:val="20"/>
          <w:szCs w:val="20"/>
          <w:color w:val="auto"/>
        </w:rPr>
      </w:pPr>
    </w:p>
    <w:p>
      <w:pPr>
        <w:ind w:left="40" w:right="59" w:firstLine="648"/>
        <w:spacing w:after="0" w:line="276" w:lineRule="auto"/>
        <w:rPr>
          <w:sz w:val="20"/>
          <w:szCs w:val="20"/>
          <w:color w:val="auto"/>
        </w:rPr>
      </w:pPr>
      <w:r>
        <w:rPr>
          <w:rFonts w:ascii="Arial" w:cs="Arial" w:eastAsia="Arial" w:hAnsi="Arial"/>
          <w:sz w:val="16"/>
          <w:szCs w:val="16"/>
          <w:color w:val="auto"/>
        </w:rPr>
        <w:t>In July 2019, we entered into the First Amendment to the 2019 Term Loan. Under the First Amendment to the 2019 Term Loan, the interest-only monthly payment period of the 2019 Term Loan was extended to 18 months after the date of the 2019 Term Loan, which may be further extended to 24 months upon receipt by us of the Term B Loan Advance. Our ability to draw down the Term B Loan Advance was extended to December 31, 2019, subject to our achievement of the Milestone Event prior to or on December 31, 2019. We did not draw down on the Term B Loan Advance, and therefore, the interest-only monthly payment period was not extended. The Loan Advances mature on February 1, 2023.</w:t>
      </w:r>
    </w:p>
    <w:p>
      <w:pPr>
        <w:spacing w:after="0" w:line="162"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7"/>
          <w:szCs w:val="17"/>
          <w:color w:val="auto"/>
        </w:rPr>
        <w:t>Pursuant to the 2019 Term Loan, as amended by the First Amendment to the 2019 Term Loan, following the interest-only payment period, we will begin making monthly payments of principal in equal monthly installments for 30 consecutive months (provided, that, upon the occurrence of the Milestone Event, the repayment schedule will be decreased to 24 consecutive months) and monthly payments of interest, until the Maturity Date. Interest will accrue on the unpaid principal balance of the outstanding Loan Advances at a floating per annum rate equal to the greater of (i) seven and one-half of one percent (7.50%) and (ii) two percent (2.0%) above the prime rate. The First Amendment to the 2019 Term Loan increased the final payment fee, payable upon our repayment of the Loan Advances from 6.0% to 6.30% of the original principal amount of the Loan Advances.</w:t>
      </w:r>
    </w:p>
    <w:p>
      <w:pPr>
        <w:spacing w:after="0" w:line="181" w:lineRule="exact"/>
        <w:rPr>
          <w:sz w:val="20"/>
          <w:szCs w:val="20"/>
          <w:color w:val="auto"/>
        </w:rPr>
      </w:pPr>
    </w:p>
    <w:p>
      <w:pPr>
        <w:ind w:left="40" w:right="99" w:firstLine="648"/>
        <w:spacing w:after="0"/>
        <w:rPr>
          <w:sz w:val="20"/>
          <w:szCs w:val="20"/>
          <w:color w:val="auto"/>
        </w:rPr>
      </w:pPr>
      <w:r>
        <w:rPr>
          <w:rFonts w:ascii="Arial" w:cs="Arial" w:eastAsia="Arial" w:hAnsi="Arial"/>
          <w:sz w:val="18"/>
          <w:szCs w:val="18"/>
          <w:color w:val="auto"/>
        </w:rPr>
        <w:t>We may prepay all, but not less than all of the Loan Advances, subject to a prepayment fee of 3.0% of any amount prepaid prior to the first anniversary of July 25, 2019, or the First Amendment Effective Date, 2.0% of the amount prepaid if the prepayment occurs after the first anniversary of the First Amendment Effective Date through and including the second anniversary of the First Amendment Effective Date, or 1.0% of the amount prepaid if the prepayment occurs after the second anniversary of the First Amendment Effective Date, but prior to the Maturity Date. These percentages are unchanged from the original 2019 Term Loan.</w:t>
      </w:r>
    </w:p>
    <w:p>
      <w:pPr>
        <w:spacing w:after="0" w:line="216" w:lineRule="exact"/>
        <w:rPr>
          <w:sz w:val="20"/>
          <w:szCs w:val="20"/>
          <w:color w:val="auto"/>
        </w:rPr>
      </w:pPr>
    </w:p>
    <w:p>
      <w:pPr>
        <w:ind w:left="40" w:right="219" w:firstLine="648"/>
        <w:spacing w:after="0" w:line="239" w:lineRule="auto"/>
        <w:rPr>
          <w:sz w:val="20"/>
          <w:szCs w:val="20"/>
          <w:color w:val="auto"/>
        </w:rPr>
      </w:pPr>
      <w:r>
        <w:rPr>
          <w:rFonts w:ascii="Arial" w:cs="Arial" w:eastAsia="Arial" w:hAnsi="Arial"/>
          <w:sz w:val="18"/>
          <w:szCs w:val="18"/>
          <w:color w:val="auto"/>
        </w:rPr>
        <w:t>In connection with the First Amendment to the 2019 Term Loan, the March 2019 Warrants were amended to fix the number of shares that may be issued upon exercise of each such March 2019 Warrant at 29,167 shares of common stock, and SVB and WestRiver were issued the July 2019 Warrants, which become exercisable only upon funding of the Term B Loan Advance, to purchase 5,750 shares of our common stock at a price per share equal to $25.71. The July 2019 Warrants replace the portion of the March 2019 Warrants that could originally be earned by SVB and WestRiver upon funding of the Term B Loan Advance. Since we did not draw down the Term B Loan Advance, SVB did not earn the July 2019 Warrants.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Impact of the CARES Act</w:t>
      </w:r>
    </w:p>
    <w:p>
      <w:pPr>
        <w:spacing w:after="0" w:line="202" w:lineRule="exact"/>
        <w:rPr>
          <w:sz w:val="20"/>
          <w:szCs w:val="20"/>
          <w:color w:val="auto"/>
        </w:rPr>
      </w:pPr>
    </w:p>
    <w:p>
      <w:pPr>
        <w:ind w:left="40" w:right="139" w:firstLine="492"/>
        <w:spacing w:after="0" w:line="253" w:lineRule="auto"/>
        <w:rPr>
          <w:sz w:val="20"/>
          <w:szCs w:val="20"/>
          <w:color w:val="auto"/>
        </w:rPr>
      </w:pPr>
      <w:r>
        <w:rPr>
          <w:rFonts w:ascii="Arial" w:cs="Arial" w:eastAsia="Arial" w:hAnsi="Arial"/>
          <w:sz w:val="17"/>
          <w:szCs w:val="17"/>
          <w:color w:val="auto"/>
        </w:rPr>
        <w:t>On March 27, 2020, the Coronavirus Aid, Relief, and Economic Security Act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net operating losses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are currently evaluating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Impact of COVID-19 on our Business</w:t>
      </w:r>
    </w:p>
    <w:p>
      <w:pPr>
        <w:spacing w:after="0" w:line="229" w:lineRule="exact"/>
        <w:rPr>
          <w:sz w:val="20"/>
          <w:szCs w:val="20"/>
          <w:color w:val="auto"/>
        </w:rPr>
      </w:pPr>
    </w:p>
    <w:p>
      <w:pPr>
        <w:ind w:left="40" w:right="99" w:firstLine="492"/>
        <w:spacing w:after="0" w:line="279" w:lineRule="auto"/>
        <w:rPr>
          <w:sz w:val="20"/>
          <w:szCs w:val="20"/>
          <w:color w:val="auto"/>
        </w:rPr>
      </w:pPr>
      <w:r>
        <w:rPr>
          <w:rFonts w:ascii="Arial" w:cs="Arial" w:eastAsia="Arial" w:hAnsi="Arial"/>
          <w:sz w:val="16"/>
          <w:szCs w:val="16"/>
          <w:color w:val="auto"/>
        </w:rPr>
        <w:t>In December 2019, a novel coronavirus known as SARS-CoV-2 was first detected in Wuhan, Hubei Province, People’s Republic of China, causing outbreaks of the coronavirus disease, known as COVID-19, that has now spread globally. On January 30, 2020, the World Health Organization (WHO) declared COVID-19 a public health emergency. The Secretary of Health and Human Services declared a public health emergency in the United States on January 31, 2020, under section 319 of the Public Health Service Act (42 U.S.C. 247d), in response to the COVID-19 outbreak. On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11, 2020, the WHO declared COVID-19 a pandemic.</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Operations and Liquidity</w:t>
      </w:r>
    </w:p>
    <w:p>
      <w:pPr>
        <w:spacing w:after="0" w:line="225" w:lineRule="exact"/>
        <w:rPr>
          <w:sz w:val="20"/>
          <w:szCs w:val="20"/>
          <w:color w:val="auto"/>
        </w:rPr>
      </w:pPr>
    </w:p>
    <w:p>
      <w:pPr>
        <w:ind w:left="40" w:right="99" w:firstLine="492"/>
        <w:spacing w:after="0" w:line="268" w:lineRule="auto"/>
        <w:rPr>
          <w:sz w:val="20"/>
          <w:szCs w:val="20"/>
          <w:color w:val="auto"/>
        </w:rPr>
      </w:pPr>
      <w:r>
        <w:rPr>
          <w:rFonts w:ascii="Arial" w:cs="Arial" w:eastAsia="Arial" w:hAnsi="Arial"/>
          <w:sz w:val="16"/>
          <w:szCs w:val="16"/>
          <w:color w:val="auto"/>
        </w:rPr>
        <w:t>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w:t>
      </w:r>
    </w:p>
    <w:p>
      <w:pPr>
        <w:spacing w:after="0" w:line="1" w:lineRule="exact"/>
        <w:rPr>
          <w:sz w:val="20"/>
          <w:szCs w:val="20"/>
          <w:color w:val="auto"/>
        </w:rPr>
      </w:pPr>
    </w:p>
    <w:p>
      <w:pPr>
        <w:ind w:left="40" w:right="199"/>
        <w:spacing w:after="0" w:line="274"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color w:val="212529"/>
        </w:rPr>
        <w:t>employees</w:t>
      </w:r>
      <w:r>
        <w:rPr>
          <w:rFonts w:ascii="Arial" w:cs="Arial" w:eastAsia="Arial" w:hAnsi="Arial"/>
          <w:sz w:val="16"/>
          <w:szCs w:val="16"/>
          <w:color w:val="auto"/>
        </w:rPr>
        <w:t>, and expect to continue to implement these measures until we determine that the COVID-19 pandemic is adequately contained for purposes of our business. W</w:t>
      </w:r>
      <w:r>
        <w:rPr>
          <w:rFonts w:ascii="Arial" w:cs="Arial" w:eastAsia="Arial" w:hAnsi="Arial"/>
          <w:sz w:val="16"/>
          <w:szCs w:val="16"/>
          <w:color w:val="212529"/>
        </w:rPr>
        <w:t>e may take further actions as government authorities require or</w:t>
      </w:r>
      <w:r>
        <w:rPr>
          <w:rFonts w:ascii="Arial" w:cs="Arial" w:eastAsia="Arial" w:hAnsi="Arial"/>
          <w:sz w:val="16"/>
          <w:szCs w:val="16"/>
          <w:color w:val="auto"/>
        </w:rPr>
        <w:t xml:space="preserve"> </w:t>
      </w:r>
      <w:r>
        <w:rPr>
          <w:rFonts w:ascii="Arial" w:cs="Arial" w:eastAsia="Arial" w:hAnsi="Arial"/>
          <w:sz w:val="16"/>
          <w:szCs w:val="16"/>
          <w:color w:val="212529"/>
        </w:rPr>
        <w:t xml:space="preserve">recommend or as we determine to be in the best interests of our employees. </w:t>
      </w:r>
      <w:r>
        <w:rPr>
          <w:rFonts w:ascii="Arial" w:cs="Arial" w:eastAsia="Arial" w:hAnsi="Arial"/>
          <w:sz w:val="16"/>
          <w:szCs w:val="16"/>
          <w:color w:val="000000"/>
        </w:rPr>
        <w:t>To date, the COVID-19 pandemic has not had</w:t>
      </w:r>
      <w:r>
        <w:rPr>
          <w:rFonts w:ascii="Arial" w:cs="Arial" w:eastAsia="Arial" w:hAnsi="Arial"/>
          <w:sz w:val="16"/>
          <w:szCs w:val="16"/>
          <w:color w:val="212529"/>
        </w:rPr>
        <w:t xml:space="preserve"> </w:t>
      </w:r>
      <w:r>
        <w:rPr>
          <w:rFonts w:ascii="Arial" w:cs="Arial" w:eastAsia="Arial" w:hAnsi="Arial"/>
          <w:sz w:val="16"/>
          <w:szCs w:val="16"/>
          <w:color w:val="000000"/>
        </w:rPr>
        <w:t>significant effects on the progression of our clinical trials. Given the nature and type of our short-term investments, we do not believe that the COVID-19 pandemic will have a material impact on our current investment liquidity.</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212529"/>
        </w:rPr>
        <w:t>Outlook</w:t>
      </w:r>
    </w:p>
    <w:p>
      <w:pPr>
        <w:spacing w:after="0" w:line="225" w:lineRule="exact"/>
        <w:rPr>
          <w:sz w:val="20"/>
          <w:szCs w:val="20"/>
          <w:color w:val="auto"/>
        </w:rPr>
      </w:pPr>
    </w:p>
    <w:p>
      <w:pPr>
        <w:ind w:left="40" w:right="259" w:firstLine="648"/>
        <w:spacing w:after="0" w:line="257" w:lineRule="auto"/>
        <w:rPr>
          <w:sz w:val="20"/>
          <w:szCs w:val="20"/>
          <w:color w:val="auto"/>
        </w:rPr>
      </w:pPr>
      <w:r>
        <w:rPr>
          <w:rFonts w:ascii="Arial" w:cs="Arial" w:eastAsia="Arial" w:hAnsi="Arial"/>
          <w:sz w:val="18"/>
          <w:szCs w:val="18"/>
          <w:color w:val="auto"/>
        </w:rPr>
        <w:t>Although there is uncertainty related to the anticipated impact of the COVID-19 pandemic on our future results, we believe our current cash reserves, coupled with our access to additional capital through the December 2019 Sales Agreement, leave us well-positioned to manage our business through this crisis as it continues to unfold. However, the impacts of the COVID-19 pandemic are broad-reaching and continuing and the financial impacts associated with the COVID-19 pandemic are still uncertain.</w:t>
      </w:r>
    </w:p>
    <w:p>
      <w:pPr>
        <w:spacing w:after="0" w:line="188" w:lineRule="exact"/>
        <w:rPr>
          <w:sz w:val="20"/>
          <w:szCs w:val="20"/>
          <w:color w:val="auto"/>
        </w:rPr>
      </w:pPr>
    </w:p>
    <w:p>
      <w:pPr>
        <w:ind w:left="40" w:right="59" w:firstLine="648"/>
        <w:spacing w:after="0" w:line="279" w:lineRule="auto"/>
        <w:rPr>
          <w:sz w:val="20"/>
          <w:szCs w:val="20"/>
          <w:color w:val="auto"/>
        </w:rPr>
      </w:pPr>
      <w:r>
        <w:rPr>
          <w:rFonts w:ascii="Arial" w:cs="Arial" w:eastAsia="Arial" w:hAnsi="Arial"/>
          <w:sz w:val="17"/>
          <w:szCs w:val="17"/>
          <w:color w:val="auto"/>
        </w:rPr>
        <w:t>As a result of the ongoing COVID-19 pandemic and its dynamic nature, including uncertainties relating to the ultimate geographic spread of the virus, the severity of the disease, the duration of the pandemic, and actions that have been or may be taken by governmental authorities to contain the pandemic or to treat its impact, it is difficult to forecast the effects of the COVID-19 pandemic on our results for the fiscal year ending December 31, 2020.</w:t>
      </w:r>
    </w:p>
    <w:p>
      <w:pPr>
        <w:spacing w:after="0" w:line="171" w:lineRule="exact"/>
        <w:rPr>
          <w:sz w:val="20"/>
          <w:szCs w:val="20"/>
          <w:color w:val="auto"/>
        </w:rPr>
      </w:pPr>
    </w:p>
    <w:p>
      <w:pPr>
        <w:ind w:left="40" w:right="139" w:firstLine="648"/>
        <w:spacing w:after="0" w:line="254" w:lineRule="auto"/>
        <w:rPr>
          <w:sz w:val="20"/>
          <w:szCs w:val="20"/>
          <w:color w:val="auto"/>
        </w:rPr>
      </w:pPr>
      <w:r>
        <w:rPr>
          <w:rFonts w:ascii="Arial" w:cs="Arial" w:eastAsia="Arial" w:hAnsi="Arial"/>
          <w:sz w:val="18"/>
          <w:szCs w:val="18"/>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we may take additional actions based on their recommendations. In these circumstances, there may be developments outside of our control requiring us to adjust our operating plan. As such, given the dynamic nature of this situation, we cannot reasonably estimate the impacts of the COVID-19 pandemic on our financial condition, results of operations or cash flows in the future.</w:t>
      </w:r>
    </w:p>
    <w:p>
      <w:pPr>
        <w:spacing w:after="0" w:line="3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16" w:lineRule="exact"/>
        <w:rPr>
          <w:sz w:val="20"/>
          <w:szCs w:val="20"/>
          <w:color w:val="auto"/>
        </w:rPr>
      </w:pPr>
    </w:p>
    <w:p>
      <w:pPr>
        <w:ind w:left="40" w:right="199" w:firstLine="648"/>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by applicable SEC regulations.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JOBS Act</w:t>
      </w:r>
    </w:p>
    <w:p>
      <w:pPr>
        <w:spacing w:after="0" w:line="216" w:lineRule="exact"/>
        <w:rPr>
          <w:sz w:val="20"/>
          <w:szCs w:val="20"/>
          <w:color w:val="auto"/>
        </w:rPr>
      </w:pPr>
    </w:p>
    <w:p>
      <w:pPr>
        <w:ind w:left="40" w:right="59" w:firstLine="648"/>
        <w:spacing w:after="0" w:line="276"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Furthermore, we anticipate that we will no longer be an emerging growth company as of December 31, 2020.</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jc w:val="both"/>
        <w:ind w:left="40" w:right="239" w:firstLine="647"/>
        <w:spacing w:after="0" w:line="248" w:lineRule="auto"/>
        <w:rPr>
          <w:sz w:val="20"/>
          <w:szCs w:val="20"/>
          <w:color w:val="auto"/>
        </w:rPr>
      </w:pPr>
      <w:r>
        <w:rPr>
          <w:rFonts w:ascii="Arial" w:cs="Arial" w:eastAsia="Arial" w:hAnsi="Arial"/>
          <w:sz w:val="18"/>
          <w:szCs w:val="18"/>
          <w:color w:val="auto"/>
        </w:rPr>
        <w:t>Refer to Note 2 –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Rate Risk</w:t>
      </w:r>
    </w:p>
    <w:p>
      <w:pPr>
        <w:spacing w:after="0" w:line="212" w:lineRule="exact"/>
        <w:rPr>
          <w:sz w:val="20"/>
          <w:szCs w:val="20"/>
          <w:color w:val="auto"/>
        </w:rPr>
      </w:pPr>
    </w:p>
    <w:p>
      <w:pPr>
        <w:ind w:left="40" w:right="59" w:firstLine="648"/>
        <w:spacing w:after="0" w:line="238" w:lineRule="auto"/>
        <w:rPr>
          <w:sz w:val="20"/>
          <w:szCs w:val="20"/>
          <w:color w:val="auto"/>
        </w:rPr>
      </w:pPr>
      <w:r>
        <w:rPr>
          <w:rFonts w:ascii="Arial" w:cs="Arial" w:eastAsia="Arial" w:hAnsi="Arial"/>
          <w:sz w:val="18"/>
          <w:szCs w:val="18"/>
          <w:color w:val="auto"/>
        </w:rPr>
        <w:t>We are exposed to market risks in the ordinary course of our business and from changes in the interest rate on our debt borrowings. These market risks are principally limited to interest rate fluctuations. We had cash of $190.7 million and $220.0 million as of June 30, 2020 and December 31, 2019, respectively. The primary objective of our investment activities is to preserve principal and liquidity while maximizing income without significantly increasing risk. We do not enter into investments for trading or speculative purposes. Due to the short-term nature of our investment portfolio, we do not believe an immediate 10% increase in interest rates would have a material effect on the fair market value of our portfolio, and, accordingly, we do not expect our operating results or cash flows to be materially affected by a sudden change in market interest rates.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Foreign Currency Exchange Risk</w:t>
      </w:r>
    </w:p>
    <w:p>
      <w:pPr>
        <w:spacing w:after="0" w:line="212" w:lineRule="exact"/>
        <w:rPr>
          <w:sz w:val="20"/>
          <w:szCs w:val="20"/>
          <w:color w:val="auto"/>
        </w:rPr>
      </w:pPr>
    </w:p>
    <w:p>
      <w:pPr>
        <w:ind w:left="40" w:right="79" w:firstLine="648"/>
        <w:spacing w:after="0" w:line="241" w:lineRule="auto"/>
        <w:rPr>
          <w:sz w:val="20"/>
          <w:szCs w:val="20"/>
          <w:color w:val="auto"/>
        </w:rPr>
      </w:pPr>
      <w:r>
        <w:rPr>
          <w:rFonts w:ascii="Arial" w:cs="Arial" w:eastAsia="Arial" w:hAnsi="Arial"/>
          <w:sz w:val="18"/>
          <w:szCs w:val="18"/>
          <w:color w:val="auto"/>
        </w:rPr>
        <w:t>We contract with vendors and third-party manufacturers in several foreign countries. Several of these contracts are denominated in Euros, British pounds, and Australian dollars.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89" w:lineRule="exact"/>
        <w:rPr>
          <w:sz w:val="20"/>
          <w:szCs w:val="20"/>
          <w:color w:val="auto"/>
        </w:rPr>
      </w:pPr>
    </w:p>
    <w:p>
      <w:pPr>
        <w:ind w:left="40" w:right="419" w:firstLine="648"/>
        <w:spacing w:after="0" w:line="261" w:lineRule="auto"/>
        <w:rPr>
          <w:sz w:val="20"/>
          <w:szCs w:val="20"/>
          <w:color w:val="auto"/>
        </w:rPr>
      </w:pPr>
      <w:r>
        <w:rPr>
          <w:rFonts w:ascii="Arial" w:cs="Arial" w:eastAsia="Arial" w:hAnsi="Arial"/>
          <w:sz w:val="18"/>
          <w:szCs w:val="18"/>
          <w:color w:val="auto"/>
        </w:rPr>
        <w:t>We do not believe a 10% change in these currencies on June 30, 2020 would have had a material effect on our results of operations or financial condition.</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Inflation Risk</w:t>
      </w:r>
    </w:p>
    <w:p>
      <w:pPr>
        <w:spacing w:after="0" w:line="212" w:lineRule="exact"/>
        <w:rPr>
          <w:sz w:val="20"/>
          <w:szCs w:val="20"/>
          <w:color w:val="auto"/>
        </w:rPr>
      </w:pPr>
    </w:p>
    <w:p>
      <w:pPr>
        <w:ind w:left="40" w:right="139" w:firstLine="648"/>
        <w:spacing w:after="0" w:line="248" w:lineRule="auto"/>
        <w:rPr>
          <w:sz w:val="20"/>
          <w:szCs w:val="20"/>
          <w:color w:val="auto"/>
        </w:rPr>
      </w:pPr>
      <w:r>
        <w:rPr>
          <w:rFonts w:ascii="Arial" w:cs="Arial" w:eastAsia="Arial" w:hAnsi="Arial"/>
          <w:sz w:val="18"/>
          <w:szCs w:val="18"/>
          <w:color w:val="auto"/>
        </w:rPr>
        <w:t>Inflation generally affects us by increasing our cost of labor and pricing of contracts. We do not believe that inflation has had a material effect on our business, financial condition, or results of operations during the six months ended June 30, 2020.</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Our management, with the participation of our principal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and our principal financial 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71" w:lineRule="exact"/>
        <w:rPr>
          <w:sz w:val="20"/>
          <w:szCs w:val="20"/>
          <w:color w:val="auto"/>
        </w:rPr>
      </w:pPr>
    </w:p>
    <w:p>
      <w:pPr>
        <w:ind w:left="40" w:right="79" w:firstLine="648"/>
        <w:spacing w:after="0" w:line="248"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internal controls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left="40" w:right="139" w:firstLine="648"/>
        <w:spacing w:after="0" w:line="248" w:lineRule="auto"/>
        <w:rPr>
          <w:sz w:val="20"/>
          <w:szCs w:val="20"/>
          <w:color w:val="auto"/>
        </w:rPr>
      </w:pPr>
      <w:r>
        <w:rPr>
          <w:rFonts w:ascii="Arial" w:cs="Arial" w:eastAsia="Arial" w:hAnsi="Arial"/>
          <w:sz w:val="18"/>
          <w:szCs w:val="18"/>
          <w:color w:val="auto"/>
        </w:rPr>
        <w:t>We, and our subsidiaries, are currently not a party to, and our property is not currently the subject of, any material pending legal proceedings; however, we may become involved in various claims and legal actions arising in the ordinary course of business.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left="40" w:right="119" w:firstLine="648"/>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 factors set forth below as well as the other information contained in this Quarterly Report on Form 10-Q and in our other public filings in evaluating our business.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16" w:lineRule="exact"/>
        <w:rPr>
          <w:sz w:val="20"/>
          <w:szCs w:val="20"/>
          <w:color w:val="auto"/>
        </w:rPr>
      </w:pPr>
    </w:p>
    <w:p>
      <w:pPr>
        <w:ind w:left="40" w:right="859"/>
        <w:spacing w:after="0" w:line="261" w:lineRule="auto"/>
        <w:rPr>
          <w:sz w:val="20"/>
          <w:szCs w:val="20"/>
          <w:color w:val="auto"/>
        </w:rPr>
      </w:pPr>
      <w:r>
        <w:rPr>
          <w:rFonts w:ascii="Arial" w:cs="Arial" w:eastAsia="Arial" w:hAnsi="Arial"/>
          <w:sz w:val="18"/>
          <w:szCs w:val="18"/>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71" w:lineRule="exact"/>
        <w:rPr>
          <w:sz w:val="20"/>
          <w:szCs w:val="20"/>
          <w:color w:val="auto"/>
        </w:rPr>
      </w:pPr>
    </w:p>
    <w:p>
      <w:pPr>
        <w:ind w:left="40" w:right="79" w:firstLine="648"/>
        <w:spacing w:after="0" w:line="252" w:lineRule="auto"/>
        <w:rPr>
          <w:sz w:val="20"/>
          <w:szCs w:val="20"/>
          <w:color w:val="auto"/>
        </w:rPr>
      </w:pPr>
      <w:r>
        <w:rPr>
          <w:rFonts w:ascii="Arial" w:cs="Arial" w:eastAsia="Arial" w:hAnsi="Arial"/>
          <w:sz w:val="17"/>
          <w:szCs w:val="17"/>
          <w:color w:val="auto"/>
        </w:rPr>
        <w:t>We are a biopharmaceutical company with a limited operating history. For the last several years, we have focused our efforts primarily on developing CNS product candidates, AXS-05, AXS-07, AXS-09, AXS-12, and AXS-14, as well as our Axsome PPC product candidates, AXS-02 and AXS-06, which we refer to herein as our product candidates, with the goal of achieving regulatory approval and commercialization. Since inception, we have incurred significant operating losses. Our net losses were $50.8 million and $68.3 million for three months ended June 30, 2020 and the year ended December 31, 2019, respectively. As of June 30, 2020, we had an accumulated deficit of $226.7 million. To date, we have not received regulatory approvals for any of our product candidates or generated any revenue from the sale of products, and we do not expect to generate any revenue in the foreseeable future. We expect to continue to incur substantial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80" w:lineRule="exact"/>
        <w:rPr>
          <w:sz w:val="20"/>
          <w:szCs w:val="20"/>
          <w:color w:val="auto"/>
        </w:rPr>
      </w:pPr>
    </w:p>
    <w:p>
      <w:pPr>
        <w:ind w:left="720" w:hanging="325"/>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late-stage clinical trials;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additional clinical, medical, quality control, and scientific personnel;</w:t>
      </w:r>
    </w:p>
    <w:p>
      <w:pPr>
        <w:spacing w:after="0" w:line="211" w:lineRule="exact"/>
        <w:rPr>
          <w:rFonts w:ascii="Arial" w:cs="Arial" w:eastAsia="Arial" w:hAnsi="Arial"/>
          <w:sz w:val="18"/>
          <w:szCs w:val="18"/>
          <w:color w:val="auto"/>
        </w:rPr>
      </w:pPr>
    </w:p>
    <w:p>
      <w:pPr>
        <w:ind w:left="720" w:right="319" w:hanging="325"/>
        <w:spacing w:after="0" w:line="291"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candidate development and planned future commercialization efforts;</w:t>
      </w:r>
    </w:p>
    <w:p>
      <w:pPr>
        <w:spacing w:after="0" w:line="146" w:lineRule="exact"/>
        <w:rPr>
          <w:rFonts w:ascii="Arial" w:cs="Arial" w:eastAsia="Arial" w:hAnsi="Arial"/>
          <w:sz w:val="17"/>
          <w:szCs w:val="17"/>
          <w:color w:val="auto"/>
        </w:rPr>
      </w:pPr>
    </w:p>
    <w:p>
      <w:pPr>
        <w:ind w:left="720" w:right="79" w:hanging="325"/>
        <w:spacing w:after="0" w:line="248"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expand external manufacturing capabilities and production to commercialize any products for which we may obtain regulatory approval and that we choose not to license to a third party;</w:t>
      </w:r>
    </w:p>
    <w:p>
      <w:pPr>
        <w:spacing w:after="0" w:line="181" w:lineRule="exact"/>
        <w:rPr>
          <w:rFonts w:ascii="Arial" w:cs="Arial" w:eastAsia="Arial" w:hAnsi="Arial"/>
          <w:sz w:val="18"/>
          <w:szCs w:val="18"/>
          <w:color w:val="auto"/>
        </w:rPr>
      </w:pPr>
    </w:p>
    <w:p>
      <w:pPr>
        <w:ind w:left="720" w:right="819" w:hanging="325"/>
        <w:spacing w:after="0" w:line="261"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undertake additional manufacturing activities of our product candidates to satisfy FDA requirements for marketing application submissions;</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conduct our open-label, long-term safety extension trial for AXS-05;</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25"/>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conduct our open-label, long-term safety extension trial for AXS-07;</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ccontinue to onduct our three Phase 2 clinical trials with AXS-05 in MDD;</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conduct our Phase 2 clinical trial with AXS-05 in TRD;</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our planned Phase 3 clinical trial with AXS-05 in AD agitation;</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our two planned Phase 3 clinical trials with AXS-12 in narcolepsy;</w:t>
      </w:r>
    </w:p>
    <w:p>
      <w:pPr>
        <w:spacing w:after="0" w:line="211" w:lineRule="exact"/>
        <w:rPr>
          <w:rFonts w:ascii="Arial" w:cs="Arial" w:eastAsia="Arial" w:hAnsi="Arial"/>
          <w:sz w:val="18"/>
          <w:szCs w:val="18"/>
          <w:color w:val="auto"/>
        </w:rPr>
      </w:pPr>
    </w:p>
    <w:p>
      <w:pPr>
        <w:ind w:left="720" w:right="359" w:hanging="325"/>
        <w:spacing w:after="0" w:line="261"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evaluate, plan for, and conduct, clinical trials for AXS-05 as an aid to smoking cessation treatment and AXS-09 for the treatment of CNS disorders;</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evaluate, plan for, and potentially conduct clinical trials for AXS-14 in fibromyalgia;</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in-license, or acquire additional product candidates;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conduct late-stage clinical trials for any product candidates that successfully complete early-stage clinical trials;</w:t>
      </w:r>
    </w:p>
    <w:p>
      <w:pPr>
        <w:spacing w:after="0" w:line="234" w:lineRule="exact"/>
        <w:rPr>
          <w:rFonts w:ascii="Arial" w:cs="Arial" w:eastAsia="Arial" w:hAnsi="Arial"/>
          <w:sz w:val="16"/>
          <w:szCs w:val="16"/>
          <w:color w:val="auto"/>
        </w:rPr>
      </w:pPr>
    </w:p>
    <w:p>
      <w:pPr>
        <w:ind w:left="720" w:hanging="325"/>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additional non-clinical studies with any product candidates;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clinical studies with any additional product candidates;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larger quantities of product; and</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12"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80" w:lineRule="exact"/>
        <w:rPr>
          <w:sz w:val="20"/>
          <w:szCs w:val="20"/>
          <w:color w:val="auto"/>
        </w:rPr>
      </w:pPr>
    </w:p>
    <w:p>
      <w:pPr>
        <w:ind w:left="40" w:right="99" w:firstLine="648"/>
        <w:spacing w:after="0" w:line="241"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9" w:lineRule="exact"/>
        <w:rPr>
          <w:sz w:val="20"/>
          <w:szCs w:val="20"/>
          <w:color w:val="auto"/>
        </w:rPr>
      </w:pPr>
    </w:p>
    <w:p>
      <w:pPr>
        <w:jc w:val="both"/>
        <w:ind w:left="40" w:right="119" w:firstLine="648"/>
        <w:spacing w:after="0" w:line="284"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99"/>
        <w:spacing w:after="0" w:line="294" w:lineRule="auto"/>
        <w:rPr>
          <w:sz w:val="20"/>
          <w:szCs w:val="20"/>
          <w:color w:val="auto"/>
        </w:rPr>
      </w:pPr>
      <w:r>
        <w:rPr>
          <w:rFonts w:ascii="Arial" w:cs="Arial" w:eastAsia="Arial" w:hAnsi="Arial"/>
          <w:sz w:val="16"/>
          <w:szCs w:val="16"/>
          <w:b w:val="1"/>
          <w:bCs w:val="1"/>
          <w:i w:val="1"/>
          <w:iCs w:val="1"/>
          <w:color w:val="auto"/>
        </w:rPr>
        <w:t>We will likely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47"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Conducting clinical trials, pursuing regulatory approvals, establishing outsourced manufacturing relationships, and successfully manufacturing and commercializing our product candidates is, and will be, a very time-consuming, expensive, and uncertain process that takes years to complete. We will need to raise additional capital to:</w:t>
      </w:r>
    </w:p>
    <w:p>
      <w:pPr>
        <w:spacing w:after="0" w:line="164" w:lineRule="exact"/>
        <w:rPr>
          <w:sz w:val="20"/>
          <w:szCs w:val="20"/>
          <w:color w:val="auto"/>
        </w:rPr>
      </w:pPr>
    </w:p>
    <w:p>
      <w:pPr>
        <w:ind w:left="720" w:right="119" w:hanging="325"/>
        <w:spacing w:after="0" w:line="261"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170" w:lineRule="exact"/>
        <w:rPr>
          <w:rFonts w:ascii="Arial" w:cs="Arial" w:eastAsia="Arial" w:hAnsi="Arial"/>
          <w:sz w:val="18"/>
          <w:szCs w:val="18"/>
          <w:color w:val="auto"/>
        </w:rPr>
      </w:pPr>
    </w:p>
    <w:p>
      <w:pPr>
        <w:jc w:val="both"/>
        <w:ind w:left="720" w:right="179" w:hanging="325"/>
        <w:spacing w:after="0" w:line="24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81" w:lineRule="exact"/>
        <w:rPr>
          <w:rFonts w:ascii="Arial" w:cs="Arial" w:eastAsia="Arial" w:hAnsi="Arial"/>
          <w:sz w:val="18"/>
          <w:szCs w:val="18"/>
          <w:color w:val="auto"/>
        </w:rPr>
      </w:pPr>
    </w:p>
    <w:p>
      <w:pPr>
        <w:ind w:left="720" w:right="419" w:hanging="325"/>
        <w:spacing w:after="0" w:line="261"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qualify and outsource the commercial-scale manufacturing of our products under current good manufacturing practices, or cGMP;</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 additional product candidates; and</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in-license other product candidates.</w:t>
      </w:r>
    </w:p>
    <w:p>
      <w:pPr>
        <w:spacing w:after="0" w:line="212"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7"/>
          <w:szCs w:val="17"/>
          <w:color w:val="auto"/>
        </w:rPr>
        <w:t>We believe our currently available cash will be sufficient to fund our anticipated operating cash requirements for at least two years. We have based this estimate on assumptions that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75" w:lineRule="exact"/>
        <w:rPr>
          <w:sz w:val="20"/>
          <w:szCs w:val="20"/>
          <w:color w:val="auto"/>
        </w:rPr>
      </w:pPr>
    </w:p>
    <w:p>
      <w:pPr>
        <w:ind w:left="720" w:hanging="325"/>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of progress and costs related to the development of our product candidates;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conducting additional non-clinical studies with any of our product candidates;</w:t>
      </w:r>
    </w:p>
    <w:p>
      <w:pPr>
        <w:spacing w:after="0" w:line="211" w:lineRule="exact"/>
        <w:rPr>
          <w:rFonts w:ascii="Arial" w:cs="Arial" w:eastAsia="Arial" w:hAnsi="Arial"/>
          <w:sz w:val="18"/>
          <w:szCs w:val="18"/>
          <w:color w:val="auto"/>
        </w:rPr>
      </w:pPr>
    </w:p>
    <w:p>
      <w:pPr>
        <w:ind w:left="720" w:right="659" w:hanging="325"/>
        <w:spacing w:after="0" w:line="261"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for delays in our efforts to seek regulatory approval for our product candidates, and any costs associated with such delays;</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costs of establishing a commercial organization to sell, market, and distribute our product candidates;</w:t>
      </w:r>
    </w:p>
    <w:p>
      <w:pPr>
        <w:spacing w:after="0" w:line="223" w:lineRule="exact"/>
        <w:rPr>
          <w:rFonts w:ascii="Arial" w:cs="Arial" w:eastAsia="Arial" w:hAnsi="Arial"/>
          <w:sz w:val="17"/>
          <w:szCs w:val="17"/>
          <w:color w:val="auto"/>
        </w:rPr>
      </w:pPr>
    </w:p>
    <w:p>
      <w:pPr>
        <w:ind w:left="720" w:right="219" w:hanging="325"/>
        <w:spacing w:after="0" w:line="270"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rate of progress and costs of our efforts to prepare for the submission of a new drug application, or NDA, for any product candidates that we may in-license or acquire in the future, and the potential that we may need to conduct additional clinical or preclinical trials to support applications for regulatory approval;</w:t>
      </w:r>
    </w:p>
    <w:p>
      <w:pPr>
        <w:spacing w:after="0" w:line="163" w:lineRule="exact"/>
        <w:rPr>
          <w:rFonts w:ascii="Arial" w:cs="Arial" w:eastAsia="Arial" w:hAnsi="Arial"/>
          <w:sz w:val="17"/>
          <w:szCs w:val="17"/>
          <w:color w:val="auto"/>
        </w:rPr>
      </w:pPr>
    </w:p>
    <w:p>
      <w:pPr>
        <w:ind w:left="720" w:right="239" w:hanging="325"/>
        <w:spacing w:after="0" w:line="261"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170" w:lineRule="exact"/>
        <w:rPr>
          <w:rFonts w:ascii="Arial" w:cs="Arial" w:eastAsia="Arial" w:hAnsi="Arial"/>
          <w:sz w:val="18"/>
          <w:szCs w:val="18"/>
          <w:color w:val="auto"/>
        </w:rPr>
      </w:pPr>
    </w:p>
    <w:p>
      <w:pPr>
        <w:ind w:left="720" w:right="1099" w:hanging="325"/>
        <w:spacing w:after="0" w:line="261"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manufacturing sufficient supplies of our product candidates in preparation for commercialization;</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11" w:lineRule="exact"/>
        <w:rPr>
          <w:rFonts w:ascii="Arial" w:cs="Arial" w:eastAsia="Arial" w:hAnsi="Arial"/>
          <w:sz w:val="18"/>
          <w:szCs w:val="18"/>
          <w:color w:val="auto"/>
        </w:rPr>
      </w:pPr>
    </w:p>
    <w:p>
      <w:pPr>
        <w:ind w:left="720" w:right="419" w:hanging="325"/>
        <w:spacing w:after="0" w:line="261"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99" w:hanging="325"/>
        <w:spacing w:after="0" w:line="261"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co-promotion, or other arrangements that we may establish; and</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the commercialization of any of our current or future product candidates.</w:t>
      </w:r>
    </w:p>
    <w:p>
      <w:pPr>
        <w:spacing w:after="0" w:line="212" w:lineRule="exact"/>
        <w:rPr>
          <w:sz w:val="20"/>
          <w:szCs w:val="20"/>
          <w:color w:val="auto"/>
        </w:rPr>
      </w:pPr>
    </w:p>
    <w:p>
      <w:pPr>
        <w:ind w:left="40" w:right="179" w:firstLine="648"/>
        <w:spacing w:after="0" w:line="239" w:lineRule="auto"/>
        <w:rPr>
          <w:sz w:val="20"/>
          <w:szCs w:val="20"/>
          <w:color w:val="auto"/>
        </w:rPr>
      </w:pPr>
      <w:r>
        <w:rPr>
          <w:rFonts w:ascii="Arial" w:cs="Arial" w:eastAsia="Arial" w:hAnsi="Arial"/>
          <w:sz w:val="18"/>
          <w:szCs w:val="18"/>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91" w:lineRule="exact"/>
        <w:rPr>
          <w:sz w:val="20"/>
          <w:szCs w:val="20"/>
          <w:color w:val="auto"/>
        </w:rPr>
      </w:pPr>
    </w:p>
    <w:p>
      <w:pPr>
        <w:ind w:left="40" w:right="159"/>
        <w:spacing w:after="0" w:line="248"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outstanding indebtedness under our loan agreement and we may be required to repay the outstanding indebtedness in an event of default, which could have a materially adverse effect on our business.</w:t>
      </w:r>
    </w:p>
    <w:p>
      <w:pPr>
        <w:spacing w:after="0" w:line="182" w:lineRule="exact"/>
        <w:rPr>
          <w:sz w:val="20"/>
          <w:szCs w:val="20"/>
          <w:color w:val="auto"/>
        </w:rPr>
      </w:pPr>
    </w:p>
    <w:p>
      <w:pPr>
        <w:ind w:left="40" w:right="79" w:firstLine="648"/>
        <w:spacing w:after="0" w:line="252" w:lineRule="auto"/>
        <w:rPr>
          <w:sz w:val="20"/>
          <w:szCs w:val="20"/>
          <w:color w:val="auto"/>
        </w:rPr>
      </w:pPr>
      <w:r>
        <w:rPr>
          <w:rFonts w:ascii="Arial" w:cs="Arial" w:eastAsia="Arial" w:hAnsi="Arial"/>
          <w:sz w:val="17"/>
          <w:szCs w:val="17"/>
          <w:color w:val="auto"/>
        </w:rPr>
        <w:t>In March 2019, we entered into a loan and security agreement with SVB and WestRiver Innovation Lending Fund VIII, L.P., or the 2019 Term Loan, consisting of an initial $20.0 million tranche, or the Term A Loan Advance, which was funded shortly upon closing, with the remaining $4.0 million, or the Term B Loan Advance, initially available to be drawn, at our option, subject to the achievement of positive data, on or prior to August 15, 2019, with respect to our ongoing Phase 2 clinical trial for AXS-12 in narcolepsy, sufficient to submit a Phase 3 protocol to the FDA, provided that we have not received any objections from the FDA within thirty days after submission of such Phase 3 protocol, which we refer to as the Milestone Event. A portion of the first tranche was used to satisfy our existing obligations under our original term loan facility with SVB, as amended, and such obligations are considered to be fully repaid and completed. The new term loan facility matures in February 2023 and initially had an interest-only monthly payment period for twelve months, extendable to eighteen months upon funding of the Term B Loan Advance. We refer to the Term A Loan Advance and the Term B Loan Advance together as the Loan Advances.</w:t>
      </w:r>
    </w:p>
    <w:p>
      <w:pPr>
        <w:spacing w:after="0" w:line="186" w:lineRule="exact"/>
        <w:rPr>
          <w:sz w:val="20"/>
          <w:szCs w:val="20"/>
          <w:color w:val="auto"/>
        </w:rPr>
      </w:pPr>
    </w:p>
    <w:p>
      <w:pPr>
        <w:ind w:left="40" w:right="99" w:firstLine="648"/>
        <w:spacing w:after="0" w:line="274" w:lineRule="auto"/>
        <w:rPr>
          <w:sz w:val="20"/>
          <w:szCs w:val="20"/>
          <w:color w:val="auto"/>
        </w:rPr>
      </w:pPr>
      <w:r>
        <w:rPr>
          <w:rFonts w:ascii="Arial" w:cs="Arial" w:eastAsia="Arial" w:hAnsi="Arial"/>
          <w:sz w:val="16"/>
          <w:szCs w:val="16"/>
          <w:color w:val="auto"/>
        </w:rPr>
        <w:t>In July 2019, we entered into a first amendment to the loan and security agreement, or the First Amendment to the 2019 Term Loan. Under the First Amendment to the 2019 Term Loan, the interest-only monthly payment period of the 2019 Term Loan was extended to 18 months after the date of the 2019 Term Loan, which may be further extended to 24 months upon receipt by us of the Term B Loan Advance. Our ability to draw down the Term B Loan Advance was extended to December 31, 2019, subject to our achievement of the Milestone Event prior to or on December 31, 2019. We did not draw down on the Term B Loan Advance, and therefore, the interest-only monthly payment period was not extended. The Loan Advances mature on February 1, 2023, which we refer to as the Maturity Date.</w:t>
      </w:r>
    </w:p>
    <w:p>
      <w:pPr>
        <w:spacing w:after="0" w:line="163" w:lineRule="exact"/>
        <w:rPr>
          <w:sz w:val="20"/>
          <w:szCs w:val="20"/>
          <w:color w:val="auto"/>
        </w:rPr>
      </w:pPr>
    </w:p>
    <w:p>
      <w:pPr>
        <w:ind w:left="40" w:right="139" w:firstLine="648"/>
        <w:spacing w:after="0" w:line="239" w:lineRule="auto"/>
        <w:rPr>
          <w:sz w:val="20"/>
          <w:szCs w:val="20"/>
          <w:color w:val="auto"/>
        </w:rPr>
      </w:pPr>
      <w:r>
        <w:rPr>
          <w:rFonts w:ascii="Arial" w:cs="Arial" w:eastAsia="Arial" w:hAnsi="Arial"/>
          <w:sz w:val="18"/>
          <w:szCs w:val="18"/>
          <w:color w:val="auto"/>
        </w:rPr>
        <w:t>Pursuant to the 2019 Term Loan, as amended by the First Amendment to the 2019 Term Loan, following the interest-only payment period, we will begin making monthly payments of principal in equal monthly installments for 30 consecutive months and monthly payments of interest, until the Maturity Date. Interest will accrue on the unpaid principal balance of the outstanding Loan Advances at a floating per annum rate equal to the greater of (i) seven and one-half of one percent (7.50%) and (ii) two percent (2.0%) above the prime rate. The First Amendment to the 2019 Term Loan increased the final payment fee, payable upon our repayment of the Loan Advances from 6.0% to 6.30% of the original principal amount of the Loan Advances.</w:t>
      </w:r>
    </w:p>
    <w:p>
      <w:pPr>
        <w:spacing w:after="0" w:line="191" w:lineRule="exact"/>
        <w:rPr>
          <w:sz w:val="20"/>
          <w:szCs w:val="20"/>
          <w:color w:val="auto"/>
        </w:rPr>
      </w:pPr>
    </w:p>
    <w:p>
      <w:pPr>
        <w:ind w:left="40" w:right="99" w:firstLine="648"/>
        <w:spacing w:after="0"/>
        <w:rPr>
          <w:sz w:val="20"/>
          <w:szCs w:val="20"/>
          <w:color w:val="auto"/>
        </w:rPr>
      </w:pPr>
      <w:r>
        <w:rPr>
          <w:rFonts w:ascii="Arial" w:cs="Arial" w:eastAsia="Arial" w:hAnsi="Arial"/>
          <w:sz w:val="18"/>
          <w:szCs w:val="18"/>
          <w:color w:val="auto"/>
        </w:rPr>
        <w:t>We may prepay all, but not less than all of the Loan Advances, subject to a prepayment fee of 3.0% of any amount prepaid prior to the first anniversary of July 25, 2019, or the First Amendment Effective Date, 2.0% of the amount prepaid if the prepayment occurs after the first anniversary of the First Amendment Effective Date through and including the second anniversary of the First Amendment Effective Date, or 1.0% of the amount prepaid if the prepayment occurs after the second anniversary of the First Amendment Effective Date, but prior to the Maturity Date. These percentages are unchanged from the original 2019 Term Loan.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648"/>
        <w:spacing w:after="0" w:line="255" w:lineRule="auto"/>
        <w:rPr>
          <w:sz w:val="20"/>
          <w:szCs w:val="20"/>
          <w:color w:val="auto"/>
        </w:rPr>
      </w:pPr>
      <w:r>
        <w:rPr>
          <w:rFonts w:ascii="Arial" w:cs="Arial" w:eastAsia="Arial" w:hAnsi="Arial"/>
          <w:sz w:val="17"/>
          <w:szCs w:val="17"/>
          <w:color w:val="auto"/>
        </w:rPr>
        <w:t>The loan subjects us to various customary covenants, including requirements as to financial reporting and insurance, and restrictions on our ability to dispose of our business or property, change our line of business, liquidate or dissolve, enter into any change in control transaction, merge or consolidate with any other entity or acquire all or substantially all the capital stock or property of another entity, incur additional indebtedness, incur certain types of liens on our property, including our intellectual property, pay any dividends or other distributions on our capital stock other than dividends payable solely in capital stock or redeem our capital stock. Our business may be adversely affected by these restrictions on our ability to operate our business.</w:t>
      </w:r>
    </w:p>
    <w:p>
      <w:pPr>
        <w:spacing w:after="0" w:line="180"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6"/>
          <w:szCs w:val="16"/>
          <w:color w:val="auto"/>
        </w:rPr>
        <w:t>Additionally, we may be required to repay the outstanding indebtedness under the 2019 Term Loan if an event of default occurs under the 2019 Term Loan. Under the 2019 Term Loan, an event of default will occur if, among other things, we fail to make payments under the 2019 Term Loan; we breach any of our covenants under the 2019 Term Loan, subject to specified cure periods with respect to certain breaches; we or our assets become subject to certain legal proceedings, such as bankruptcy proceedings; we are unable to pay our debts as they become due; or we default on contracts with third parties which would permit SVB to accelerate the maturity of such indebtedness or that could have a material adverse effect on us. While our current cash reserves are sufficient to repay such indebtedness if an event of default were to occur in the near term, we may in the future not have enough available cash or be able to raise additional funds through equity or debt financings to repay such indebtedness at the time any such event of default occurs. In that case, we may be required to delay, limit, reduce or terminate our product candidate development or commercialization efforts or grant to others rights to develop and market product candidates that we would otherwise prefer to develop and market ourselves. SVB could also exercise its rights as collateral agent to take possession and dispose of the collateral securing the loan for its benefit, which collateral includes all of our property other than our intellectual property. Our business, financial condition and results of operations could be materially adversely affected as a result of any of these events. Our management has broad discretion in the application of the proceeds from the 2019 Term Loan, subject to the covenants and limitations described in the 2019 Term Loan.</w:t>
      </w:r>
    </w:p>
    <w:p>
      <w:pPr>
        <w:spacing w:after="0" w:line="169" w:lineRule="exact"/>
        <w:rPr>
          <w:sz w:val="20"/>
          <w:szCs w:val="20"/>
          <w:color w:val="auto"/>
        </w:rPr>
      </w:pPr>
    </w:p>
    <w:p>
      <w:pPr>
        <w:ind w:left="40" w:right="119"/>
        <w:spacing w:after="0" w:line="261"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to evaluate our business and prospects.</w:t>
      </w:r>
    </w:p>
    <w:p>
      <w:pPr>
        <w:spacing w:after="0" w:line="171" w:lineRule="exact"/>
        <w:rPr>
          <w:sz w:val="20"/>
          <w:szCs w:val="20"/>
          <w:color w:val="auto"/>
        </w:rPr>
      </w:pPr>
    </w:p>
    <w:p>
      <w:pPr>
        <w:ind w:left="40" w:right="99" w:firstLine="648"/>
        <w:spacing w:after="0" w:line="238" w:lineRule="auto"/>
        <w:rPr>
          <w:sz w:val="20"/>
          <w:szCs w:val="20"/>
          <w:color w:val="auto"/>
        </w:rPr>
      </w:pPr>
      <w:r>
        <w:rPr>
          <w:rFonts w:ascii="Arial" w:cs="Arial" w:eastAsia="Arial" w:hAnsi="Arial"/>
          <w:sz w:val="18"/>
          <w:szCs w:val="18"/>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AND THE DEVELOPMENT OF OUR PRODUCT CANDIDATES</w:t>
      </w:r>
    </w:p>
    <w:p>
      <w:pPr>
        <w:spacing w:after="0" w:line="216" w:lineRule="exact"/>
        <w:rPr>
          <w:sz w:val="20"/>
          <w:szCs w:val="20"/>
          <w:color w:val="auto"/>
        </w:rPr>
      </w:pPr>
    </w:p>
    <w:p>
      <w:pPr>
        <w:jc w:val="both"/>
        <w:ind w:left="40" w:right="179"/>
        <w:spacing w:after="0" w:line="248"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182"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6"/>
          <w:szCs w:val="16"/>
          <w:color w:val="auto"/>
        </w:rPr>
        <w:t>We currently have no products approved for commercial distribution. We have invested a significant portion of our efforts and financial resources in the development of our product candidates. Our business depends entirely on the successful development and commercialization of our product candidates, which may never occur. Our ability to generate revenues in the near term is substantially dependent on our ability to develop, obtain regulatory approval for, and then successfully commercialize our product candidates. We currently generate no revenues from sales of any products, and we may never be able to develop or commercialize a marketable product. Furthermore, given the nature of our business, the biopharmaceutical industry in general and the uncertainty and costs associated with developing our product candidates within a complicated and costly regulatory regime, our goals, plans and assumptions with respect to our product candidates may evolve or change. For example, we may not continue to emphasize, focus our research and development efforts on or direct resources to certain of our product candidates, and we may shift our focus and resources to our other current or future product candidates. Any such change in our business strategy could harm our business, cause uncertainty or confusion in the marketplace or harm the clinical prospects of our product candidates.</w:t>
      </w:r>
    </w:p>
    <w:p>
      <w:pPr>
        <w:spacing w:after="0" w:line="171" w:lineRule="exact"/>
        <w:rPr>
          <w:sz w:val="20"/>
          <w:szCs w:val="20"/>
          <w:color w:val="auto"/>
        </w:rPr>
      </w:pPr>
    </w:p>
    <w:p>
      <w:pPr>
        <w:ind w:left="40" w:right="179" w:firstLine="648"/>
        <w:spacing w:after="0" w:line="276"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revenues from product sales. We began enrolling patients in two open-label safety studies for (i) AXS-05 in the treatment of depression and (ii) AXS-07 in the acute treatment of migraine in July 2019. Additional Phase 3 trials with AXS-05 in AD agitation and AXS-12 in narcolepsy are planned. As a result of one or more risks discussed in this section, we cannot assure you that we will meet projected timelines related to these trials.</w:t>
      </w:r>
    </w:p>
    <w:p>
      <w:pPr>
        <w:spacing w:after="0" w:line="162"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6"/>
          <w:szCs w:val="16"/>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firstLine="648"/>
        <w:spacing w:after="0" w:line="255" w:lineRule="auto"/>
        <w:rPr>
          <w:sz w:val="20"/>
          <w:szCs w:val="20"/>
          <w:color w:val="auto"/>
        </w:rPr>
      </w:pPr>
      <w:r>
        <w:rPr>
          <w:rFonts w:ascii="Arial" w:cs="Arial" w:eastAsia="Arial" w:hAnsi="Arial"/>
          <w:sz w:val="17"/>
          <w:szCs w:val="17"/>
          <w:color w:val="auto"/>
        </w:rPr>
        <w:t>We have not previously submitted an NDA to the FDA, or similar drug approval filings to comparable foreign authorities, for any product candidate, and we cannot be certain that our current or future product candidates will be successful in clinical trials or receive regulatory approval. For AXS-05, we completed three Phase 1 pharmacokinetic studies, one Phase 2 and one Phase 3 trial in MDD, one Phase 3 trial in TRD, and one Phase 2/3 trial in Alzheimer’s disease agitation. For AXS-07, we have conducted one Phase 1 clinical trial, and two Phase 3 clinical trials. For AXS-12, we completed one Phase 2 trial. Moreover, we have only completed limited early stage studies with our AXS-09 product candidate to date. Additional manufacturing work is required for our candidates.</w:t>
      </w:r>
    </w:p>
    <w:p>
      <w:pPr>
        <w:spacing w:after="0" w:line="180" w:lineRule="exact"/>
        <w:rPr>
          <w:sz w:val="20"/>
          <w:szCs w:val="20"/>
          <w:color w:val="auto"/>
        </w:rPr>
      </w:pPr>
    </w:p>
    <w:p>
      <w:pPr>
        <w:ind w:left="40" w:right="79" w:firstLine="648"/>
        <w:spacing w:after="0" w:line="252" w:lineRule="auto"/>
        <w:rPr>
          <w:sz w:val="20"/>
          <w:szCs w:val="20"/>
          <w:color w:val="auto"/>
        </w:rPr>
      </w:pPr>
      <w:r>
        <w:rPr>
          <w:rFonts w:ascii="Arial" w:cs="Arial" w:eastAsia="Arial" w:hAnsi="Arial"/>
          <w:sz w:val="17"/>
          <w:szCs w:val="17"/>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For example, in January 2018, we conducted an interim analysis for our then-ongoing Phase 3 trial of AXS-02 for the treatment of CRPS, which we referred to as the CREATE-1 trial, and for our Phase 3 trial of AXS-02 for the treatment of the pain of knee OA associated with BMLs, which we refer to as the COAST-1 trial. The independent data monitoring committee recommended continuation of our COAST-1 trial and discontinuation of our CREATE-1 trial for futility. We had paused screening in the COAST-1 trial prior to the conduct of the interim analysis for that trial and have subsequently closed out the trial. We conducted one interim analysis for the Phase 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80" w:lineRule="exact"/>
        <w:rPr>
          <w:sz w:val="20"/>
          <w:szCs w:val="20"/>
          <w:color w:val="auto"/>
        </w:rPr>
      </w:pPr>
    </w:p>
    <w:p>
      <w:pPr>
        <w:ind w:left="40" w:right="239" w:firstLine="648"/>
        <w:spacing w:after="0" w:line="261"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depend on our ability to:</w:t>
      </w:r>
    </w:p>
    <w:p>
      <w:pPr>
        <w:spacing w:after="0" w:line="171" w:lineRule="exact"/>
        <w:rPr>
          <w:sz w:val="20"/>
          <w:szCs w:val="20"/>
          <w:color w:val="auto"/>
        </w:rPr>
      </w:pPr>
    </w:p>
    <w:p>
      <w:pPr>
        <w:ind w:left="720" w:right="299" w:hanging="325"/>
        <w:spacing w:after="0" w:line="261"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 regulatory approval for claims that are necessary or desirable for successful marketing;</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train, and deploy a sales force to commercialize our product candidates in the United States;</w:t>
      </w:r>
    </w:p>
    <w:p>
      <w:pPr>
        <w:spacing w:after="0" w:line="211" w:lineRule="exact"/>
        <w:rPr>
          <w:rFonts w:ascii="Arial" w:cs="Arial" w:eastAsia="Arial" w:hAnsi="Arial"/>
          <w:sz w:val="18"/>
          <w:szCs w:val="18"/>
          <w:color w:val="auto"/>
        </w:rPr>
      </w:pPr>
    </w:p>
    <w:p>
      <w:pPr>
        <w:ind w:left="720" w:right="319" w:hanging="325"/>
        <w:spacing w:after="0" w:line="261"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manufacture our product candidates in sufficient quantities and at acceptable quality and manufacturing cost to meet commercial demand at launch and thereafter;</w:t>
      </w:r>
    </w:p>
    <w:p>
      <w:pPr>
        <w:spacing w:after="0" w:line="170" w:lineRule="exact"/>
        <w:rPr>
          <w:rFonts w:ascii="Arial" w:cs="Arial" w:eastAsia="Arial" w:hAnsi="Arial"/>
          <w:sz w:val="18"/>
          <w:szCs w:val="18"/>
          <w:color w:val="auto"/>
        </w:rPr>
      </w:pPr>
    </w:p>
    <w:p>
      <w:pPr>
        <w:ind w:left="720" w:right="779" w:hanging="325"/>
        <w:spacing w:after="0" w:line="261"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and group purchasing organizations on commercially reasonable terms;</w:t>
      </w:r>
    </w:p>
    <w:p>
      <w:pPr>
        <w:spacing w:after="0" w:line="170" w:lineRule="exact"/>
        <w:rPr>
          <w:rFonts w:ascii="Arial" w:cs="Arial" w:eastAsia="Arial" w:hAnsi="Arial"/>
          <w:sz w:val="18"/>
          <w:szCs w:val="18"/>
          <w:color w:val="auto"/>
        </w:rPr>
      </w:pPr>
    </w:p>
    <w:p>
      <w:pPr>
        <w:ind w:left="720" w:right="339" w:hanging="325"/>
        <w:spacing w:after="0" w:line="261"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partnerships with, or offer licenses to, third parties to promote and sell our product candidates in foreign markets where we receive marketing approval:</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 commercial sales of our product candidates, whether alone or in collaboration with others;</w:t>
      </w:r>
    </w:p>
    <w:p>
      <w:pPr>
        <w:spacing w:after="0" w:line="211" w:lineRule="exact"/>
        <w:rPr>
          <w:rFonts w:ascii="Arial" w:cs="Arial" w:eastAsia="Arial" w:hAnsi="Arial"/>
          <w:sz w:val="18"/>
          <w:szCs w:val="18"/>
          <w:color w:val="auto"/>
        </w:rPr>
      </w:pPr>
    </w:p>
    <w:p>
      <w:pPr>
        <w:ind w:left="720" w:right="319" w:hanging="325"/>
        <w:spacing w:after="0" w:line="261"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government and private third-party payors;</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25"/>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compete with other therapies; and</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 candidates following launch.</w:t>
      </w:r>
    </w:p>
    <w:p>
      <w:pPr>
        <w:spacing w:after="0" w:line="212" w:lineRule="exact"/>
        <w:rPr>
          <w:sz w:val="20"/>
          <w:szCs w:val="20"/>
          <w:color w:val="auto"/>
        </w:rPr>
      </w:pPr>
    </w:p>
    <w:p>
      <w:pPr>
        <w:ind w:left="40" w:right="79"/>
        <w:spacing w:after="0" w:line="248" w:lineRule="auto"/>
        <w:rPr>
          <w:sz w:val="20"/>
          <w:szCs w:val="20"/>
          <w:color w:val="auto"/>
        </w:rPr>
      </w:pPr>
      <w:r>
        <w:rPr>
          <w:rFonts w:ascii="Arial" w:cs="Arial" w:eastAsia="Arial" w:hAnsi="Arial"/>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82" w:lineRule="exact"/>
        <w:rPr>
          <w:sz w:val="20"/>
          <w:szCs w:val="20"/>
          <w:color w:val="auto"/>
        </w:rPr>
      </w:pPr>
    </w:p>
    <w:p>
      <w:pPr>
        <w:ind w:left="40" w:right="99" w:firstLine="648"/>
        <w:spacing w:after="0" w:line="267" w:lineRule="auto"/>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79" w:lineRule="exact"/>
        <w:rPr>
          <w:sz w:val="20"/>
          <w:szCs w:val="20"/>
          <w:color w:val="auto"/>
        </w:rPr>
      </w:pPr>
    </w:p>
    <w:p>
      <w:pPr>
        <w:ind w:left="40" w:right="379"/>
        <w:spacing w:after="0" w:line="362" w:lineRule="auto"/>
        <w:rPr>
          <w:sz w:val="20"/>
          <w:szCs w:val="20"/>
          <w:color w:val="auto"/>
        </w:rPr>
      </w:pPr>
      <w:r>
        <w:rPr>
          <w:rFonts w:ascii="Arial" w:cs="Arial" w:eastAsia="Arial" w:hAnsi="Arial"/>
          <w:sz w:val="15"/>
          <w:szCs w:val="15"/>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1" w:lineRule="exact"/>
        <w:rPr>
          <w:sz w:val="20"/>
          <w:szCs w:val="20"/>
          <w:color w:val="auto"/>
        </w:rPr>
      </w:pPr>
    </w:p>
    <w:p>
      <w:pPr>
        <w:ind w:left="40" w:right="99" w:firstLine="648"/>
        <w:spacing w:after="0" w:line="251" w:lineRule="auto"/>
        <w:rPr>
          <w:sz w:val="20"/>
          <w:szCs w:val="20"/>
          <w:color w:val="auto"/>
        </w:rPr>
      </w:pPr>
      <w:r>
        <w:rPr>
          <w:rFonts w:ascii="Arial" w:cs="Arial" w:eastAsia="Arial" w:hAnsi="Arial"/>
          <w:sz w:val="17"/>
          <w:szCs w:val="17"/>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AXS-05 for the treatment of depression, agitation associated with AD, and smoking cessation, AXS-07 for the acute treatment of migraine,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development of AXS-02 and AXS-05, as well as AXS-04, a product candidate that is currently in early stage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spacing w:after="0" w:line="248" w:lineRule="auto"/>
        <w:rPr>
          <w:sz w:val="20"/>
          <w:szCs w:val="20"/>
          <w:color w:val="auto"/>
        </w:rPr>
      </w:pPr>
      <w:r>
        <w:rPr>
          <w:rFonts w:ascii="Arial" w:cs="Arial" w:eastAsia="Arial" w:hAnsi="Arial"/>
          <w:sz w:val="18"/>
          <w:szCs w:val="18"/>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82" w:lineRule="exact"/>
        <w:rPr>
          <w:sz w:val="20"/>
          <w:szCs w:val="20"/>
          <w:color w:val="auto"/>
        </w:rPr>
      </w:pPr>
    </w:p>
    <w:p>
      <w:pPr>
        <w:ind w:left="40" w:right="179" w:firstLine="648"/>
        <w:spacing w:after="0" w:line="270" w:lineRule="auto"/>
        <w:rPr>
          <w:sz w:val="20"/>
          <w:szCs w:val="20"/>
          <w:color w:val="auto"/>
        </w:rPr>
      </w:pPr>
      <w:r>
        <w:rPr>
          <w:rFonts w:ascii="Arial" w:cs="Arial" w:eastAsia="Arial" w:hAnsi="Arial"/>
          <w:sz w:val="17"/>
          <w:szCs w:val="17"/>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64" w:lineRule="exact"/>
        <w:rPr>
          <w:sz w:val="20"/>
          <w:szCs w:val="20"/>
          <w:color w:val="auto"/>
        </w:rPr>
      </w:pPr>
    </w:p>
    <w:p>
      <w:pPr>
        <w:ind w:left="720" w:hanging="325"/>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or inability to secure financing to fund business activities for such development;</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than expected development costs;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managing multiple product development programs; and</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successfully develop new products or clinical failure.</w:t>
      </w:r>
    </w:p>
    <w:p>
      <w:pPr>
        <w:spacing w:after="0" w:line="212" w:lineRule="exact"/>
        <w:rPr>
          <w:sz w:val="20"/>
          <w:szCs w:val="20"/>
          <w:color w:val="auto"/>
        </w:rPr>
      </w:pPr>
    </w:p>
    <w:p>
      <w:pPr>
        <w:ind w:left="40" w:right="199" w:firstLine="648"/>
        <w:spacing w:after="0" w:line="241" w:lineRule="auto"/>
        <w:rPr>
          <w:sz w:val="20"/>
          <w:szCs w:val="20"/>
          <w:color w:val="auto"/>
        </w:rPr>
      </w:pPr>
      <w:r>
        <w:rPr>
          <w:rFonts w:ascii="Arial" w:cs="Arial" w:eastAsia="Arial" w:hAnsi="Arial"/>
          <w:sz w:val="18"/>
          <w:szCs w:val="18"/>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89" w:lineRule="exact"/>
        <w:rPr>
          <w:sz w:val="20"/>
          <w:szCs w:val="20"/>
          <w:color w:val="auto"/>
        </w:rPr>
      </w:pPr>
    </w:p>
    <w:p>
      <w:pPr>
        <w:ind w:left="40" w:right="119"/>
        <w:spacing w:after="0" w:line="284" w:lineRule="auto"/>
        <w:rPr>
          <w:sz w:val="20"/>
          <w:szCs w:val="20"/>
          <w:color w:val="auto"/>
        </w:rPr>
      </w:pPr>
      <w:r>
        <w:rPr>
          <w:rFonts w:ascii="Arial" w:cs="Arial" w:eastAsia="Arial" w:hAnsi="Arial"/>
          <w:sz w:val="16"/>
          <w:szCs w:val="16"/>
          <w:b w:val="1"/>
          <w:bCs w:val="1"/>
          <w:i w:val="1"/>
          <w:iCs w:val="1"/>
          <w:color w:val="auto"/>
        </w:rPr>
        <w:t>If safety and efficacy data for our product candidates, a reference listed drug, or published literature does not satisfactorily demonstrate safety and efficacy to the FDA, or if the FDA and other regulators do not permit us to rely on the data of a reference listed drug or published literature, we may incur additional costs or experience delays in completing, or ultimately be unable to complete, the development and commercialization of our product candidates.</w:t>
      </w:r>
    </w:p>
    <w:p>
      <w:pPr>
        <w:spacing w:after="0" w:line="155" w:lineRule="exact"/>
        <w:rPr>
          <w:sz w:val="20"/>
          <w:szCs w:val="20"/>
          <w:color w:val="auto"/>
        </w:rPr>
      </w:pPr>
    </w:p>
    <w:p>
      <w:pPr>
        <w:ind w:left="40" w:right="459" w:firstLine="648"/>
        <w:spacing w:after="0" w:line="248"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82" w:lineRule="exact"/>
        <w:rPr>
          <w:sz w:val="20"/>
          <w:szCs w:val="20"/>
          <w:color w:val="auto"/>
        </w:rPr>
      </w:pPr>
    </w:p>
    <w:p>
      <w:pPr>
        <w:ind w:left="40" w:right="239" w:firstLine="648"/>
        <w:spacing w:after="0" w:line="257" w:lineRule="auto"/>
        <w:rPr>
          <w:sz w:val="20"/>
          <w:szCs w:val="20"/>
          <w:color w:val="auto"/>
        </w:rPr>
      </w:pPr>
      <w:r>
        <w:rPr>
          <w:rFonts w:ascii="Arial" w:cs="Arial" w:eastAsia="Arial" w:hAnsi="Arial"/>
          <w:sz w:val="17"/>
          <w:szCs w:val="17"/>
          <w:color w:val="auto"/>
        </w:rPr>
        <w:t>In the United States, we currently plan to, at least initially, seek approval of our product candidates using the 505(b)(2) pathway.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75" w:lineRule="exact"/>
        <w:rPr>
          <w:sz w:val="20"/>
          <w:szCs w:val="20"/>
          <w:color w:val="auto"/>
        </w:rPr>
      </w:pPr>
    </w:p>
    <w:p>
      <w:pPr>
        <w:ind w:left="40" w:right="79" w:firstLine="648"/>
        <w:spacing w:after="0" w:line="274" w:lineRule="auto"/>
        <w:rPr>
          <w:sz w:val="20"/>
          <w:szCs w:val="20"/>
          <w:color w:val="auto"/>
        </w:rPr>
      </w:pPr>
      <w:r>
        <w:rPr>
          <w:rFonts w:ascii="Arial" w:cs="Arial" w:eastAsia="Arial" w:hAnsi="Arial"/>
          <w:sz w:val="16"/>
          <w:szCs w:val="16"/>
          <w:color w:val="auto"/>
        </w:rPr>
        <w:t>Under the 505(b)(2) pathway, the FDA may approve our product candidates for all or some of the label indications for which the referenced product has been approved, as well as for any new indication sought pursuant to the</w:t>
      </w:r>
    </w:p>
    <w:p>
      <w:pPr>
        <w:spacing w:after="0" w:line="1" w:lineRule="exact"/>
        <w:rPr>
          <w:sz w:val="20"/>
          <w:szCs w:val="20"/>
          <w:color w:val="auto"/>
        </w:rPr>
      </w:pPr>
    </w:p>
    <w:p>
      <w:pPr>
        <w:ind w:left="40" w:right="259"/>
        <w:spacing w:after="0" w:line="237" w:lineRule="auto"/>
        <w:rPr>
          <w:sz w:val="20"/>
          <w:szCs w:val="20"/>
          <w:color w:val="auto"/>
        </w:rPr>
      </w:pPr>
      <w:r>
        <w:rPr>
          <w:rFonts w:ascii="Arial" w:cs="Arial" w:eastAsia="Arial" w:hAnsi="Arial"/>
          <w:sz w:val="18"/>
          <w:szCs w:val="18"/>
          <w:color w:val="auto"/>
        </w:rPr>
        <w:t>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class-wide warnings. For instance, antidepressants, including bupropion, include a class-wide black box warning regarding the increased risk of suicidal thoughts and behavior.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firstLine="648"/>
        <w:spacing w:after="0" w:line="252" w:lineRule="auto"/>
        <w:rPr>
          <w:sz w:val="20"/>
          <w:szCs w:val="20"/>
          <w:color w:val="auto"/>
        </w:rPr>
      </w:pPr>
      <w:r>
        <w:rPr>
          <w:rFonts w:ascii="Arial" w:cs="Arial" w:eastAsia="Arial" w:hAnsi="Arial"/>
          <w:sz w:val="17"/>
          <w:szCs w:val="17"/>
          <w:color w:val="auto"/>
        </w:rPr>
        <w:t>Based on the side effects disclosed in FDA product labels for marketed drugs that contain the same active molecules as our product candidate, AXS-05 may result in dry mouth, nausea, insomnia, dizziness, pharyngitis, abdominal pain, agitation, anxiety, tremor, seizure, increase in blood pressure and heart rate, hepatoxicity, hypoglycemia, thrombocytopenia or other hypersensitivity reactions, QRS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gamma-glutamyltransferase, flatulence, or other adverse events or potential adverse events reported or discussed in the product labels for bupropion-containing products or dextromethorphan-containing products including Wellbutrin, Wellbutrin SR, Wellbutrin XL, Aplenzin, Forfivo, Zyban, Contrave, and Nuedexta.</w:t>
      </w:r>
    </w:p>
    <w:p>
      <w:pPr>
        <w:spacing w:after="0" w:line="186" w:lineRule="exact"/>
        <w:rPr>
          <w:sz w:val="20"/>
          <w:szCs w:val="20"/>
          <w:color w:val="auto"/>
        </w:rPr>
      </w:pPr>
    </w:p>
    <w:p>
      <w:pPr>
        <w:ind w:left="40" w:right="139" w:firstLine="648"/>
        <w:spacing w:after="0" w:line="272" w:lineRule="auto"/>
        <w:rPr>
          <w:sz w:val="20"/>
          <w:szCs w:val="20"/>
          <w:color w:val="auto"/>
        </w:rPr>
      </w:pPr>
      <w:r>
        <w:rPr>
          <w:rFonts w:ascii="Arial" w:cs="Arial" w:eastAsia="Arial" w:hAnsi="Arial"/>
          <w:sz w:val="16"/>
          <w:szCs w:val="16"/>
          <w:color w:val="auto"/>
        </w:rPr>
        <w:t>Based on the side effects disclosed in FDA product labels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meloxicam-containing or rizatriptan-containing products including Anjeso, Vivlodex, Mobic, and Maxalt.</w:t>
      </w:r>
    </w:p>
    <w:p>
      <w:pPr>
        <w:spacing w:after="0" w:line="168" w:lineRule="exact"/>
        <w:rPr>
          <w:sz w:val="20"/>
          <w:szCs w:val="20"/>
          <w:color w:val="auto"/>
        </w:rPr>
      </w:pPr>
    </w:p>
    <w:p>
      <w:pPr>
        <w:ind w:left="40" w:right="259" w:firstLine="648"/>
        <w:spacing w:after="0" w:line="255" w:lineRule="auto"/>
        <w:rPr>
          <w:sz w:val="20"/>
          <w:szCs w:val="20"/>
          <w:color w:val="auto"/>
        </w:rPr>
      </w:pPr>
      <w:r>
        <w:rPr>
          <w:rFonts w:ascii="Arial" w:cs="Arial" w:eastAsia="Arial" w:hAnsi="Arial"/>
          <w:sz w:val="17"/>
          <w:szCs w:val="17"/>
          <w:color w:val="auto"/>
        </w:rPr>
        <w:t>Based on the side effects disclosed in EMA product label for marketed drugs that contain the same active molecule as our product candidate, AXS-12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80"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6"/>
          <w:szCs w:val="16"/>
          <w:color w:val="auto"/>
        </w:rPr>
        <w:t>In addition, because we plan to file our product candidates under an NDA submitted pursuant to 505(b)(2), we will rely, at least in part, upon a reference listed drug and published literature. For example, we intend to rely on data collected in certain investigator-initiated Phase 2 clinical trials and other third-party studies in the published literature as well as FDA findings of safety and efficacy for approved drug products containing the same active molecules in AXS-05 and AXS-07. If the FDA disagrees with our conclusions regarding the appropriateness of our reliance on a reference listed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time-consuming 505(b)(1) approval process, which consists of full reports of investigations of safety and effectiveness conducted by or for the applicant. In addition, because we plan to submit NDAs for AXS-05 and AXS-07 pursuant to the 505(b)(2) process, we have not conducted certain additional clinical trials for these product candidates and, as such, we will have less experience with actual testing of the product candidate.</w:t>
      </w:r>
    </w:p>
    <w:p>
      <w:pPr>
        <w:spacing w:after="0" w:line="171"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7"/>
          <w:szCs w:val="17"/>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firstLine="648"/>
        <w:spacing w:after="0" w:line="239" w:lineRule="auto"/>
        <w:rPr>
          <w:sz w:val="20"/>
          <w:szCs w:val="20"/>
          <w:color w:val="auto"/>
        </w:rPr>
      </w:pPr>
      <w:r>
        <w:rPr>
          <w:rFonts w:ascii="Arial" w:cs="Arial" w:eastAsia="Arial" w:hAnsi="Arial"/>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91"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7"/>
          <w:szCs w:val="17"/>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181" w:lineRule="exact"/>
        <w:rPr>
          <w:sz w:val="20"/>
          <w:szCs w:val="20"/>
          <w:color w:val="auto"/>
        </w:rPr>
      </w:pPr>
    </w:p>
    <w:p>
      <w:pPr>
        <w:ind w:left="40" w:right="559"/>
        <w:spacing w:after="0" w:line="362" w:lineRule="auto"/>
        <w:rPr>
          <w:sz w:val="20"/>
          <w:szCs w:val="20"/>
          <w:color w:val="auto"/>
        </w:rPr>
      </w:pPr>
      <w:r>
        <w:rPr>
          <w:rFonts w:ascii="Arial" w:cs="Arial" w:eastAsia="Arial" w:hAnsi="Arial"/>
          <w:sz w:val="15"/>
          <w:szCs w:val="15"/>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01"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6"/>
          <w:szCs w:val="16"/>
          <w:color w:val="auto"/>
        </w:rPr>
        <w:t>Under the Hatch Waxman Act, the holder of patents listed in the Orange Book for NDAs that a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 time, automatic, 30 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 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71" w:lineRule="exact"/>
        <w:rPr>
          <w:sz w:val="20"/>
          <w:szCs w:val="20"/>
          <w:color w:val="auto"/>
        </w:rPr>
      </w:pPr>
    </w:p>
    <w:p>
      <w:pPr>
        <w:ind w:left="40" w:right="79" w:firstLine="648"/>
        <w:spacing w:after="0" w:line="251" w:lineRule="auto"/>
        <w:rPr>
          <w:sz w:val="20"/>
          <w:szCs w:val="20"/>
          <w:color w:val="auto"/>
        </w:rPr>
      </w:pPr>
      <w:r>
        <w:rPr>
          <w:rFonts w:ascii="Arial" w:cs="Arial" w:eastAsia="Arial" w:hAnsi="Arial"/>
          <w:sz w:val="17"/>
          <w:szCs w:val="17"/>
          <w:color w:val="auto"/>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we may be required to cease selling, relinquish or destroy existing stock, or pay monetary damages unless we can obtain a license from the patent holder. There may also be situations where we use our business judgment and decide to market and sell our approved products, notwithstanding the fact that allegations of patent infringement have not been finally resolved by the courts, an approach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4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88"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67" w:lineRule="exact"/>
        <w:rPr>
          <w:sz w:val="20"/>
          <w:szCs w:val="20"/>
          <w:color w:val="auto"/>
        </w:rPr>
      </w:pPr>
    </w:p>
    <w:p>
      <w:pPr>
        <w:ind w:left="40" w:right="139" w:firstLine="648"/>
        <w:spacing w:after="0" w:line="252"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186"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80" w:lineRule="exact"/>
        <w:rPr>
          <w:sz w:val="20"/>
          <w:szCs w:val="20"/>
          <w:color w:val="auto"/>
        </w:rPr>
      </w:pPr>
    </w:p>
    <w:p>
      <w:pPr>
        <w:ind w:left="40" w:right="279" w:firstLine="648"/>
        <w:spacing w:after="0" w:line="248" w:lineRule="auto"/>
        <w:rPr>
          <w:sz w:val="20"/>
          <w:szCs w:val="20"/>
          <w:color w:val="auto"/>
        </w:rPr>
      </w:pPr>
      <w:r>
        <w:rPr>
          <w:rFonts w:ascii="Arial" w:cs="Arial" w:eastAsia="Arial" w:hAnsi="Arial"/>
          <w:sz w:val="18"/>
          <w:szCs w:val="18"/>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82" w:lineRule="exact"/>
        <w:rPr>
          <w:sz w:val="20"/>
          <w:szCs w:val="20"/>
          <w:color w:val="auto"/>
        </w:rPr>
      </w:pPr>
    </w:p>
    <w:p>
      <w:pPr>
        <w:ind w:left="720" w:right="99" w:hanging="325"/>
        <w:spacing w:after="0" w:line="261"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or conduct a clinical trial at a prospective trial site or amend trial protocols;</w:t>
      </w:r>
    </w:p>
    <w:p>
      <w:pPr>
        <w:spacing w:after="0" w:line="170" w:lineRule="exact"/>
        <w:rPr>
          <w:rFonts w:ascii="Arial" w:cs="Arial" w:eastAsia="Arial" w:hAnsi="Arial"/>
          <w:sz w:val="18"/>
          <w:szCs w:val="18"/>
          <w:color w:val="auto"/>
        </w:rPr>
      </w:pPr>
    </w:p>
    <w:p>
      <w:pPr>
        <w:ind w:left="720" w:right="179" w:hanging="325"/>
        <w:spacing w:after="0" w:line="261"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CROs;</w:t>
      </w:r>
    </w:p>
    <w:p>
      <w:pPr>
        <w:spacing w:after="0" w:line="170" w:lineRule="exact"/>
        <w:rPr>
          <w:rFonts w:ascii="Arial" w:cs="Arial" w:eastAsia="Arial" w:hAnsi="Arial"/>
          <w:sz w:val="18"/>
          <w:szCs w:val="18"/>
          <w:color w:val="auto"/>
        </w:rPr>
      </w:pPr>
    </w:p>
    <w:p>
      <w:pPr>
        <w:ind w:left="720" w:right="79" w:hanging="325"/>
        <w:spacing w:after="0" w:line="270"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199" w:hanging="325"/>
        <w:spacing w:after="0" w:line="248"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81" w:lineRule="exact"/>
        <w:rPr>
          <w:rFonts w:ascii="Arial" w:cs="Arial" w:eastAsia="Arial" w:hAnsi="Arial"/>
          <w:sz w:val="18"/>
          <w:szCs w:val="18"/>
          <w:color w:val="auto"/>
        </w:rPr>
      </w:pPr>
    </w:p>
    <w:p>
      <w:pPr>
        <w:ind w:left="720" w:right="179" w:hanging="325"/>
        <w:spacing w:after="0" w:line="248"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81" w:lineRule="exact"/>
        <w:rPr>
          <w:rFonts w:ascii="Arial" w:cs="Arial" w:eastAsia="Arial" w:hAnsi="Arial"/>
          <w:sz w:val="18"/>
          <w:szCs w:val="18"/>
          <w:color w:val="auto"/>
        </w:rPr>
      </w:pPr>
    </w:p>
    <w:p>
      <w:pPr>
        <w:ind w:left="720" w:right="219" w:hanging="325"/>
        <w:spacing w:after="0" w:line="248"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81" w:lineRule="exact"/>
        <w:rPr>
          <w:rFonts w:ascii="Arial" w:cs="Arial" w:eastAsia="Arial" w:hAnsi="Arial"/>
          <w:sz w:val="18"/>
          <w:szCs w:val="18"/>
          <w:color w:val="auto"/>
        </w:rPr>
      </w:pPr>
    </w:p>
    <w:p>
      <w:pPr>
        <w:ind w:left="720" w:right="79" w:hanging="325"/>
        <w:spacing w:after="0" w:line="279"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59" w:lineRule="exact"/>
        <w:rPr>
          <w:rFonts w:ascii="Arial" w:cs="Arial" w:eastAsia="Arial" w:hAnsi="Arial"/>
          <w:sz w:val="16"/>
          <w:szCs w:val="16"/>
          <w:color w:val="auto"/>
        </w:rPr>
      </w:pPr>
    </w:p>
    <w:p>
      <w:pPr>
        <w:ind w:left="720" w:right="319" w:hanging="325"/>
        <w:spacing w:after="0" w:line="261"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marketing approval policies during the development period rendering our data insufficient to obtain marketing approval;</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or the enactment of additional statutes or regulations;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review for each submitted product application;</w:t>
      </w:r>
    </w:p>
    <w:p>
      <w:pPr>
        <w:spacing w:after="0" w:line="211" w:lineRule="exact"/>
        <w:rPr>
          <w:rFonts w:ascii="Arial" w:cs="Arial" w:eastAsia="Arial" w:hAnsi="Arial"/>
          <w:sz w:val="18"/>
          <w:szCs w:val="18"/>
          <w:color w:val="auto"/>
        </w:rPr>
      </w:pPr>
    </w:p>
    <w:p>
      <w:pPr>
        <w:ind w:left="720" w:right="179" w:hanging="325"/>
        <w:spacing w:after="0" w:line="324"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24" w:lineRule="exact"/>
        <w:rPr>
          <w:rFonts w:ascii="Arial" w:cs="Arial" w:eastAsia="Arial" w:hAnsi="Arial"/>
          <w:sz w:val="16"/>
          <w:szCs w:val="16"/>
          <w:color w:val="auto"/>
        </w:rPr>
      </w:pPr>
    </w:p>
    <w:p>
      <w:pPr>
        <w:ind w:left="720" w:right="619" w:hanging="325"/>
        <w:spacing w:after="0" w:line="261"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70" w:lineRule="exact"/>
        <w:rPr>
          <w:rFonts w:ascii="Arial" w:cs="Arial" w:eastAsia="Arial" w:hAnsi="Arial"/>
          <w:sz w:val="18"/>
          <w:szCs w:val="18"/>
          <w:color w:val="auto"/>
        </w:rPr>
      </w:pPr>
    </w:p>
    <w:p>
      <w:pPr>
        <w:ind w:left="720" w:right="79" w:hanging="325"/>
        <w:spacing w:after="0" w:line="252"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decide, or regulators may require us, to conduct additional clinical trials, analyses, reports, data, or preclinical/nonclinical studies than we currently plan, or we may abandon product development programs. For instance, with respect to AXS-05, we may need to conduct additional clinical and preclinical studies in addition to our Phase 3 and Phase 2/3 trials in order to file an NDA for this product candidate. Additionally, although we believe that we may be able to rely on the completed Phase 2 ASCEND trial and Phase 3 placebo-controlled GEMINI trial in MDD to support an NDA for AXS-05 for the treatment of MDD and on the MOMENTUM trial, which is being conducted pursuant to a Special Protocol Assessment, or SPA, to support an NDA for AXS-07 for the acute treatment of migraine, the FDA may ultimately require us to conduct additional one or more clinical studies to support the filing of an NDA for either of these product candidates. Finally, for AXS-12, we will need to conduct additional clinical studies in order to file an NDA for this product candidate. The outcome of our studies may further necessitate additional clinical or preclinical work;</w:t>
      </w:r>
    </w:p>
    <w:p>
      <w:pPr>
        <w:spacing w:after="0" w:line="185" w:lineRule="exact"/>
        <w:rPr>
          <w:rFonts w:ascii="Arial" w:cs="Arial" w:eastAsia="Arial" w:hAnsi="Arial"/>
          <w:sz w:val="17"/>
          <w:szCs w:val="17"/>
          <w:color w:val="auto"/>
        </w:rPr>
      </w:pPr>
    </w:p>
    <w:p>
      <w:pPr>
        <w:ind w:left="720" w:hanging="325"/>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fail to reach an agreement with regulators regarding the scope or design of our clinical trials;</w:t>
      </w:r>
    </w:p>
    <w:p>
      <w:pPr>
        <w:spacing w:after="0" w:line="211" w:lineRule="exact"/>
        <w:rPr>
          <w:rFonts w:ascii="Arial" w:cs="Arial" w:eastAsia="Arial" w:hAnsi="Arial"/>
          <w:sz w:val="18"/>
          <w:szCs w:val="18"/>
          <w:color w:val="auto"/>
        </w:rPr>
      </w:pPr>
    </w:p>
    <w:p>
      <w:pPr>
        <w:ind w:left="720" w:right="499" w:hanging="325"/>
        <w:spacing w:after="0" w:line="261"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170" w:lineRule="exact"/>
        <w:rPr>
          <w:rFonts w:ascii="Arial" w:cs="Arial" w:eastAsia="Arial" w:hAnsi="Arial"/>
          <w:sz w:val="18"/>
          <w:szCs w:val="18"/>
          <w:color w:val="auto"/>
        </w:rPr>
      </w:pPr>
    </w:p>
    <w:p>
      <w:pPr>
        <w:ind w:left="720" w:right="159" w:hanging="325"/>
        <w:spacing w:after="0" w:line="270"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79" w:hanging="325"/>
        <w:spacing w:after="0" w:line="261"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may be regulatory questions regarding interpretations of data and results, or new information may emerge regarding our product candidates;</w:t>
      </w:r>
    </w:p>
    <w:p>
      <w:pPr>
        <w:spacing w:after="0" w:line="170" w:lineRule="exact"/>
        <w:rPr>
          <w:rFonts w:ascii="Arial" w:cs="Arial" w:eastAsia="Arial" w:hAnsi="Arial"/>
          <w:sz w:val="18"/>
          <w:szCs w:val="18"/>
          <w:color w:val="auto"/>
        </w:rPr>
      </w:pPr>
    </w:p>
    <w:p>
      <w:pPr>
        <w:ind w:left="720" w:right="139" w:hanging="325"/>
        <w:spacing w:after="0" w:line="255"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applicability of the serum biomarkers studied in our Phase 1 study of AXS-02, the species and doses used in our preclinical studies, and the results of our preclinical studies;</w:t>
      </w:r>
    </w:p>
    <w:p>
      <w:pPr>
        <w:spacing w:after="0" w:line="179" w:lineRule="exact"/>
        <w:rPr>
          <w:rFonts w:ascii="Arial" w:cs="Arial" w:eastAsia="Arial" w:hAnsi="Arial"/>
          <w:sz w:val="17"/>
          <w:szCs w:val="17"/>
          <w:color w:val="auto"/>
        </w:rPr>
      </w:pPr>
    </w:p>
    <w:p>
      <w:pPr>
        <w:ind w:left="720" w:right="79" w:hanging="325"/>
        <w:spacing w:after="0" w:line="254"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belief that certain product attributes are advantageous or may require further study of product attributes that are different than our reference listed drugs. For instance, while we believe that certain of the pharmacokinetic results for AXS-06 are favorable, the FDA may disagree, refuse labeling claims based upon these results, or determine that additional studies are necessary to substantiate the benefits.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80" w:lineRule="exact"/>
        <w:rPr>
          <w:rFonts w:ascii="Arial" w:cs="Arial" w:eastAsia="Arial" w:hAnsi="Arial"/>
          <w:sz w:val="17"/>
          <w:szCs w:val="17"/>
          <w:color w:val="auto"/>
        </w:rPr>
      </w:pPr>
    </w:p>
    <w:p>
      <w:pPr>
        <w:ind w:left="720" w:right="199" w:hanging="325"/>
        <w:spacing w:after="0" w:line="261"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w:t>
      </w:r>
    </w:p>
    <w:p>
      <w:pPr>
        <w:spacing w:after="0" w:line="211" w:lineRule="exact"/>
        <w:rPr>
          <w:rFonts w:ascii="Arial" w:cs="Arial" w:eastAsia="Arial" w:hAnsi="Arial"/>
          <w:sz w:val="18"/>
          <w:szCs w:val="18"/>
          <w:color w:val="auto"/>
        </w:rPr>
      </w:pPr>
    </w:p>
    <w:p>
      <w:pPr>
        <w:ind w:left="720" w:right="479" w:hanging="325"/>
        <w:spacing w:after="0" w:line="291"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our manufacturing facilities for clinical and future commercial supplies;</w:t>
      </w:r>
    </w:p>
    <w:p>
      <w:pPr>
        <w:spacing w:after="0" w:line="146" w:lineRule="exact"/>
        <w:rPr>
          <w:rFonts w:ascii="Arial" w:cs="Arial" w:eastAsia="Arial" w:hAnsi="Arial"/>
          <w:sz w:val="17"/>
          <w:szCs w:val="17"/>
          <w:color w:val="auto"/>
        </w:rPr>
      </w:pPr>
    </w:p>
    <w:p>
      <w:pPr>
        <w:ind w:left="720" w:right="79" w:hanging="325"/>
        <w:spacing w:after="0" w:line="248"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connection with the chemistry, manufacturing, and controls (CMC) data necessary for our NDA filings, we will need to conduct stability studies and provide stability data to establish appropriate retest or expiration dating period;</w:t>
      </w:r>
    </w:p>
    <w:p>
      <w:pPr>
        <w:spacing w:after="0" w:line="181" w:lineRule="exact"/>
        <w:rPr>
          <w:rFonts w:ascii="Arial" w:cs="Arial" w:eastAsia="Arial" w:hAnsi="Arial"/>
          <w:sz w:val="18"/>
          <w:szCs w:val="18"/>
          <w:color w:val="auto"/>
        </w:rPr>
      </w:pPr>
    </w:p>
    <w:p>
      <w:pPr>
        <w:ind w:left="720" w:right="199" w:hanging="325"/>
        <w:spacing w:after="0" w:line="241"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applicable to all future drug substance and drug product batches manufactured, packaged, and stored under similar circumstances, to establish the long-term storage conditions, and to provide evidence of the effect of various environmental conditions on the quality of the drug substance and drug product. Our product candidates may not demonstrate sufficient long-term stability to support an NDA filing or obtain approval, or the product shelf life may be limited by stability results;</w:t>
      </w:r>
    </w:p>
    <w:p>
      <w:pPr>
        <w:spacing w:after="0" w:line="189" w:lineRule="exact"/>
        <w:rPr>
          <w:rFonts w:ascii="Arial" w:cs="Arial" w:eastAsia="Arial" w:hAnsi="Arial"/>
          <w:sz w:val="18"/>
          <w:szCs w:val="18"/>
          <w:color w:val="auto"/>
        </w:rPr>
      </w:pPr>
    </w:p>
    <w:p>
      <w:pPr>
        <w:ind w:left="720" w:right="279" w:hanging="325"/>
        <w:spacing w:after="0" w:line="261"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take longer than we anticipate to make a decision on our product candidates; and</w:t>
      </w:r>
    </w:p>
    <w:p>
      <w:pPr>
        <w:spacing w:after="0" w:line="170" w:lineRule="exact"/>
        <w:rPr>
          <w:rFonts w:ascii="Arial" w:cs="Arial" w:eastAsia="Arial" w:hAnsi="Arial"/>
          <w:sz w:val="18"/>
          <w:szCs w:val="18"/>
          <w:color w:val="auto"/>
        </w:rPr>
      </w:pPr>
    </w:p>
    <w:p>
      <w:pPr>
        <w:ind w:left="720" w:right="179" w:hanging="325"/>
        <w:spacing w:after="0" w:line="261"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171" w:lineRule="exact"/>
        <w:rPr>
          <w:sz w:val="20"/>
          <w:szCs w:val="20"/>
          <w:color w:val="auto"/>
        </w:rPr>
      </w:pPr>
    </w:p>
    <w:p>
      <w:pPr>
        <w:jc w:val="both"/>
        <w:ind w:left="40" w:right="99" w:firstLine="648"/>
        <w:spacing w:after="0" w:line="243" w:lineRule="auto"/>
        <w:rPr>
          <w:sz w:val="20"/>
          <w:szCs w:val="20"/>
          <w:color w:val="auto"/>
        </w:rPr>
      </w:pPr>
      <w:r>
        <w:rPr>
          <w:rFonts w:ascii="Arial" w:cs="Arial" w:eastAsia="Arial" w:hAnsi="Arial"/>
          <w:sz w:val="18"/>
          <w:szCs w:val="18"/>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88" w:lineRule="exact"/>
        <w:rPr>
          <w:sz w:val="20"/>
          <w:szCs w:val="20"/>
          <w:color w:val="auto"/>
        </w:rPr>
      </w:pPr>
    </w:p>
    <w:p>
      <w:pPr>
        <w:ind w:left="720" w:hanging="325"/>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619" w:hanging="325"/>
        <w:spacing w:after="0" w:line="261"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 or are not covered by our intellectual property;</w:t>
      </w:r>
    </w:p>
    <w:p>
      <w:pPr>
        <w:spacing w:after="0" w:line="170" w:lineRule="exact"/>
        <w:rPr>
          <w:rFonts w:ascii="Arial" w:cs="Arial" w:eastAsia="Arial" w:hAnsi="Arial"/>
          <w:sz w:val="18"/>
          <w:szCs w:val="18"/>
          <w:color w:val="auto"/>
        </w:rPr>
      </w:pPr>
    </w:p>
    <w:p>
      <w:pPr>
        <w:jc w:val="both"/>
        <w:ind w:left="720" w:right="119" w:hanging="325"/>
        <w:spacing w:after="0" w:line="270"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63" w:lineRule="exact"/>
        <w:rPr>
          <w:rFonts w:ascii="Arial" w:cs="Arial" w:eastAsia="Arial" w:hAnsi="Arial"/>
          <w:sz w:val="17"/>
          <w:szCs w:val="17"/>
          <w:color w:val="auto"/>
        </w:rPr>
      </w:pPr>
    </w:p>
    <w:p>
      <w:pPr>
        <w:ind w:left="720" w:hanging="325"/>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post-marketing testing and surveillance requirements, including REMS; or</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12" w:lineRule="exact"/>
        <w:rPr>
          <w:sz w:val="20"/>
          <w:szCs w:val="20"/>
          <w:color w:val="auto"/>
        </w:rPr>
      </w:pPr>
    </w:p>
    <w:p>
      <w:pPr>
        <w:ind w:left="40" w:right="59" w:firstLine="648"/>
        <w:spacing w:after="0" w:line="252" w:lineRule="auto"/>
        <w:rPr>
          <w:sz w:val="20"/>
          <w:szCs w:val="20"/>
          <w:color w:val="auto"/>
        </w:rPr>
      </w:pPr>
      <w:r>
        <w:rPr>
          <w:rFonts w:ascii="Arial" w:cs="Arial" w:eastAsia="Arial" w:hAnsi="Arial"/>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86" w:lineRule="exact"/>
        <w:rPr>
          <w:sz w:val="20"/>
          <w:szCs w:val="20"/>
          <w:color w:val="auto"/>
        </w:rPr>
      </w:pPr>
    </w:p>
    <w:p>
      <w:pPr>
        <w:ind w:left="40" w:right="79" w:firstLine="648"/>
        <w:spacing w:after="0" w:line="238" w:lineRule="auto"/>
        <w:rPr>
          <w:sz w:val="20"/>
          <w:szCs w:val="20"/>
          <w:color w:val="auto"/>
        </w:rPr>
      </w:pPr>
      <w:r>
        <w:rPr>
          <w:rFonts w:ascii="Arial" w:cs="Arial" w:eastAsia="Arial" w:hAnsi="Arial"/>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Furthermore, there is the possibility that the FDA or comparable foreign regulatory authorities have not previously reviewed product candidates for the indications we are pursuing, such as agitation associated with AD. As a result, we may experience delays in regulatory approval due to uncertainties in the approval process.</w:t>
      </w:r>
    </w:p>
    <w:p>
      <w:pPr>
        <w:spacing w:after="0" w:line="178" w:lineRule="exact"/>
        <w:rPr>
          <w:sz w:val="20"/>
          <w:szCs w:val="20"/>
          <w:color w:val="auto"/>
        </w:rPr>
      </w:pPr>
    </w:p>
    <w:p>
      <w:pPr>
        <w:ind w:left="40" w:right="139" w:firstLine="648"/>
        <w:spacing w:after="0" w:line="239" w:lineRule="auto"/>
        <w:rPr>
          <w:sz w:val="20"/>
          <w:szCs w:val="20"/>
          <w:color w:val="auto"/>
        </w:rPr>
      </w:pPr>
      <w:r>
        <w:rPr>
          <w:rFonts w:ascii="Arial" w:cs="Arial" w:eastAsia="Arial" w:hAnsi="Arial"/>
          <w:sz w:val="18"/>
          <w:szCs w:val="18"/>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91" w:lineRule="exact"/>
        <w:rPr>
          <w:sz w:val="20"/>
          <w:szCs w:val="20"/>
          <w:color w:val="auto"/>
        </w:rPr>
      </w:pPr>
    </w:p>
    <w:p>
      <w:pPr>
        <w:ind w:left="40" w:right="159" w:firstLine="648"/>
        <w:spacing w:after="0" w:line="243" w:lineRule="auto"/>
        <w:rPr>
          <w:sz w:val="20"/>
          <w:szCs w:val="20"/>
          <w:color w:val="auto"/>
        </w:rPr>
      </w:pPr>
      <w:r>
        <w:rPr>
          <w:rFonts w:ascii="Arial" w:cs="Arial" w:eastAsia="Arial" w:hAnsi="Arial"/>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39"/>
        <w:spacing w:after="0" w:line="261" w:lineRule="auto"/>
        <w:rPr>
          <w:sz w:val="20"/>
          <w:szCs w:val="20"/>
          <w:color w:val="auto"/>
        </w:rPr>
      </w:pPr>
      <w:r>
        <w:rPr>
          <w:rFonts w:ascii="Arial" w:cs="Arial" w:eastAsia="Arial" w:hAnsi="Arial"/>
          <w:sz w:val="18"/>
          <w:szCs w:val="18"/>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71"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7"/>
          <w:szCs w:val="17"/>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81" w:lineRule="exact"/>
        <w:rPr>
          <w:sz w:val="20"/>
          <w:szCs w:val="20"/>
          <w:color w:val="auto"/>
        </w:rPr>
      </w:pPr>
    </w:p>
    <w:p>
      <w:pPr>
        <w:ind w:left="720" w:right="119" w:hanging="325"/>
        <w:spacing w:after="0" w:line="261"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preclinical or nonclinical testing may product inconclusive or negative safety results, which may require us to conduct additional nonclinical testing or to abandon product candidates;</w:t>
      </w:r>
    </w:p>
    <w:p>
      <w:pPr>
        <w:spacing w:after="0" w:line="170" w:lineRule="exact"/>
        <w:rPr>
          <w:rFonts w:ascii="Arial" w:cs="Arial" w:eastAsia="Arial" w:hAnsi="Arial"/>
          <w:sz w:val="18"/>
          <w:szCs w:val="18"/>
          <w:color w:val="auto"/>
        </w:rPr>
      </w:pPr>
    </w:p>
    <w:p>
      <w:pPr>
        <w:ind w:left="720" w:right="239" w:hanging="325"/>
        <w:spacing w:after="0" w:line="261"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may have unfavorable pharmacology or toxicity characteristics or suggest possible drug-drug interaction;</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and</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other regulatory authorities may determine that additional safety testing is required.</w:t>
      </w:r>
    </w:p>
    <w:p>
      <w:pPr>
        <w:spacing w:after="0" w:line="212" w:lineRule="exact"/>
        <w:rPr>
          <w:sz w:val="20"/>
          <w:szCs w:val="20"/>
          <w:color w:val="auto"/>
        </w:rPr>
      </w:pPr>
    </w:p>
    <w:p>
      <w:pPr>
        <w:ind w:left="40" w:right="399" w:firstLine="648"/>
        <w:spacing w:after="0" w:line="291" w:lineRule="auto"/>
        <w:rPr>
          <w:sz w:val="20"/>
          <w:szCs w:val="20"/>
          <w:color w:val="auto"/>
        </w:rPr>
      </w:pPr>
      <w:r>
        <w:rPr>
          <w:rFonts w:ascii="Arial" w:cs="Arial" w:eastAsia="Arial" w:hAnsi="Arial"/>
          <w:sz w:val="17"/>
          <w:szCs w:val="17"/>
          <w:color w:val="auto"/>
        </w:rPr>
        <w:t>Any such events would increase our costs and could delay or prevent our ability to commercialize our product candidates, which could adversely impact our business, financial condition and results of operation.</w:t>
      </w:r>
    </w:p>
    <w:p>
      <w:pPr>
        <w:spacing w:after="0" w:line="147" w:lineRule="exact"/>
        <w:rPr>
          <w:sz w:val="20"/>
          <w:szCs w:val="20"/>
          <w:color w:val="auto"/>
        </w:rPr>
      </w:pPr>
    </w:p>
    <w:p>
      <w:pPr>
        <w:ind w:left="40" w:right="279"/>
        <w:spacing w:after="0" w:line="261" w:lineRule="auto"/>
        <w:rPr>
          <w:sz w:val="20"/>
          <w:szCs w:val="20"/>
          <w:color w:val="auto"/>
        </w:rPr>
      </w:pPr>
      <w:r>
        <w:rPr>
          <w:rFonts w:ascii="Arial" w:cs="Arial" w:eastAsia="Arial" w:hAnsi="Arial"/>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71" w:lineRule="exact"/>
        <w:rPr>
          <w:sz w:val="20"/>
          <w:szCs w:val="20"/>
          <w:color w:val="auto"/>
        </w:rPr>
      </w:pPr>
    </w:p>
    <w:p>
      <w:pPr>
        <w:ind w:left="40" w:right="159" w:firstLine="648"/>
        <w:spacing w:after="0" w:line="276" w:lineRule="auto"/>
        <w:rPr>
          <w:sz w:val="20"/>
          <w:szCs w:val="20"/>
          <w:color w:val="auto"/>
        </w:rPr>
      </w:pPr>
      <w:r>
        <w:rPr>
          <w:rFonts w:ascii="Arial" w:cs="Arial" w:eastAsia="Arial" w:hAnsi="Arial"/>
          <w:sz w:val="16"/>
          <w:szCs w:val="16"/>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62" w:lineRule="exact"/>
        <w:rPr>
          <w:sz w:val="20"/>
          <w:szCs w:val="20"/>
          <w:color w:val="auto"/>
        </w:rPr>
      </w:pPr>
    </w:p>
    <w:p>
      <w:pPr>
        <w:ind w:left="40" w:right="119" w:firstLine="648"/>
        <w:spacing w:after="0" w:line="271" w:lineRule="auto"/>
        <w:rPr>
          <w:sz w:val="20"/>
          <w:szCs w:val="20"/>
          <w:color w:val="auto"/>
        </w:rPr>
      </w:pPr>
      <w:r>
        <w:rPr>
          <w:rFonts w:ascii="Arial" w:cs="Arial" w:eastAsia="Arial" w:hAnsi="Arial"/>
          <w:sz w:val="16"/>
          <w:szCs w:val="16"/>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169" w:lineRule="exact"/>
        <w:rPr>
          <w:sz w:val="20"/>
          <w:szCs w:val="20"/>
          <w:color w:val="auto"/>
        </w:rPr>
      </w:pPr>
    </w:p>
    <w:p>
      <w:pPr>
        <w:ind w:left="40" w:right="79" w:firstLine="648"/>
        <w:spacing w:after="0"/>
        <w:rPr>
          <w:sz w:val="20"/>
          <w:szCs w:val="20"/>
          <w:color w:val="auto"/>
        </w:rPr>
      </w:pPr>
      <w:r>
        <w:rPr>
          <w:rFonts w:ascii="Arial" w:cs="Arial" w:eastAsia="Arial" w:hAnsi="Arial"/>
          <w:sz w:val="18"/>
          <w:szCs w:val="18"/>
          <w:color w:val="auto"/>
        </w:rPr>
        <w:t>To date, the most commonly reported adverse events observed in the completed clinical trials of AXS-05 include nausea, dizziness, dry mouth, decreased appetite, somnolence, and anxiety. Some reported adverse events resulted in discontinuations from our trials of AXS-05. The most frequent adverse events resulting in discontinuation included anxiety, dizziness, disturbance in attention, initial insomnia, and nausea. AXS-05 consists of DM and bupropion, and this combination may exacerbate any known adverse events for each individual component, or may result in new toxicities as compared to those of the individual components.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179" w:firstLine="648"/>
        <w:spacing w:after="0" w:line="243" w:lineRule="auto"/>
        <w:rPr>
          <w:sz w:val="20"/>
          <w:szCs w:val="20"/>
          <w:color w:val="auto"/>
        </w:rPr>
      </w:pPr>
      <w:r>
        <w:rPr>
          <w:rFonts w:ascii="Arial" w:cs="Arial" w:eastAsia="Arial" w:hAnsi="Arial"/>
          <w:sz w:val="18"/>
          <w:szCs w:val="18"/>
          <w:color w:val="auto"/>
        </w:rPr>
        <w:t>To date, the most commonly reported adverse events observed in the completed clinical trials of AXS-07 include nausea, dizziness, somnolence, and paresthesia. AXS-07 consists of meloxicam and rizatriptan, and this combination may exacerbate any known adverse events for each individual component, or may result in new toxicities as compared to those of the individual components.</w:t>
      </w:r>
    </w:p>
    <w:p>
      <w:pPr>
        <w:spacing w:after="0" w:line="188" w:lineRule="exact"/>
        <w:rPr>
          <w:sz w:val="20"/>
          <w:szCs w:val="20"/>
          <w:color w:val="auto"/>
        </w:rPr>
      </w:pPr>
    </w:p>
    <w:p>
      <w:pPr>
        <w:ind w:left="40" w:right="279" w:firstLine="648"/>
        <w:spacing w:after="0" w:line="261" w:lineRule="auto"/>
        <w:rPr>
          <w:sz w:val="20"/>
          <w:szCs w:val="20"/>
          <w:color w:val="auto"/>
        </w:rPr>
      </w:pPr>
      <w:r>
        <w:rPr>
          <w:rFonts w:ascii="Arial" w:cs="Arial" w:eastAsia="Arial" w:hAnsi="Arial"/>
          <w:sz w:val="18"/>
          <w:szCs w:val="18"/>
          <w:color w:val="auto"/>
        </w:rPr>
        <w:t>To date, the most commonly reported adverse events observed in the completed clinical trial of AXS-12 include anxiety, constipation, and insomnia.</w:t>
      </w:r>
    </w:p>
    <w:p>
      <w:pPr>
        <w:spacing w:after="0" w:line="171" w:lineRule="exact"/>
        <w:rPr>
          <w:sz w:val="20"/>
          <w:szCs w:val="20"/>
          <w:color w:val="auto"/>
        </w:rPr>
      </w:pPr>
    </w:p>
    <w:p>
      <w:pPr>
        <w:ind w:left="40" w:right="59" w:firstLine="648"/>
        <w:spacing w:after="0" w:line="276" w:lineRule="auto"/>
        <w:rPr>
          <w:sz w:val="20"/>
          <w:szCs w:val="20"/>
          <w:color w:val="auto"/>
        </w:rPr>
      </w:pPr>
      <w:r>
        <w:rPr>
          <w:rFonts w:ascii="Arial" w:cs="Arial" w:eastAsia="Arial" w:hAnsi="Arial"/>
          <w:sz w:val="16"/>
          <w:szCs w:val="16"/>
          <w:color w:val="auto"/>
        </w:rPr>
        <w:t>If any of our other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62" w:lineRule="exact"/>
        <w:rPr>
          <w:sz w:val="20"/>
          <w:szCs w:val="20"/>
          <w:color w:val="auto"/>
        </w:rPr>
      </w:pPr>
    </w:p>
    <w:p>
      <w:pPr>
        <w:ind w:left="40" w:right="179"/>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1" w:lineRule="exact"/>
        <w:rPr>
          <w:sz w:val="20"/>
          <w:szCs w:val="20"/>
          <w:color w:val="auto"/>
        </w:rPr>
      </w:pPr>
    </w:p>
    <w:p>
      <w:pPr>
        <w:ind w:left="40" w:right="59" w:firstLine="648"/>
        <w:spacing w:after="0"/>
        <w:rPr>
          <w:sz w:val="20"/>
          <w:szCs w:val="20"/>
          <w:color w:val="auto"/>
        </w:rPr>
      </w:pPr>
      <w:r>
        <w:rPr>
          <w:rFonts w:ascii="Arial" w:cs="Arial" w:eastAsia="Arial" w:hAnsi="Arial"/>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89" w:lineRule="exact"/>
        <w:rPr>
          <w:sz w:val="20"/>
          <w:szCs w:val="20"/>
          <w:color w:val="auto"/>
        </w:rPr>
      </w:pPr>
    </w:p>
    <w:p>
      <w:pPr>
        <w:ind w:left="720" w:hanging="32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11" w:lineRule="exact"/>
        <w:rPr>
          <w:rFonts w:ascii="Arial" w:cs="Arial" w:eastAsia="Arial" w:hAnsi="Arial"/>
          <w:sz w:val="18"/>
          <w:szCs w:val="18"/>
          <w:color w:val="auto"/>
        </w:rPr>
      </w:pPr>
    </w:p>
    <w:p>
      <w:pPr>
        <w:ind w:left="720" w:right="579" w:hanging="325"/>
        <w:spacing w:after="0" w:line="261"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eligibility criteria for, and design of, the clinical trial in question, including factors such as frequency of required assessments, length of the study, and ongoing monitoring requirements;</w:t>
      </w:r>
    </w:p>
    <w:p>
      <w:pPr>
        <w:spacing w:after="0" w:line="170" w:lineRule="exact"/>
        <w:rPr>
          <w:rFonts w:ascii="Arial" w:cs="Arial" w:eastAsia="Arial" w:hAnsi="Arial"/>
          <w:sz w:val="18"/>
          <w:szCs w:val="18"/>
          <w:color w:val="auto"/>
        </w:rPr>
      </w:pPr>
    </w:p>
    <w:p>
      <w:pPr>
        <w:ind w:left="720" w:right="619" w:hanging="325"/>
        <w:spacing w:after="0" w:line="324"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124" w:lineRule="exact"/>
        <w:rPr>
          <w:rFonts w:ascii="Arial" w:cs="Arial" w:eastAsia="Arial" w:hAnsi="Arial"/>
          <w:sz w:val="16"/>
          <w:szCs w:val="16"/>
          <w:color w:val="auto"/>
        </w:rPr>
      </w:pPr>
    </w:p>
    <w:p>
      <w:pPr>
        <w:ind w:left="720" w:hanging="32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in recruiting and enrolling patients in clinical trials;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effectiveness of publicity created by clinical trial sites regarding the trial;</w:t>
      </w:r>
    </w:p>
    <w:p>
      <w:pPr>
        <w:spacing w:after="0" w:line="211" w:lineRule="exact"/>
        <w:rPr>
          <w:rFonts w:ascii="Arial" w:cs="Arial" w:eastAsia="Arial" w:hAnsi="Arial"/>
          <w:sz w:val="18"/>
          <w:szCs w:val="18"/>
          <w:color w:val="auto"/>
        </w:rPr>
      </w:pPr>
    </w:p>
    <w:p>
      <w:pPr>
        <w:ind w:left="720" w:right="299" w:hanging="325"/>
        <w:spacing w:after="0" w:line="261"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patients’ ability to comply with the specific instructions related to the trial protocol, proper documentation, and use of the drug product;</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obtain or maintain patient informed consents;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w:t>
      </w:r>
    </w:p>
    <w:p>
      <w:pPr>
        <w:spacing w:after="0" w:line="198" w:lineRule="exact"/>
        <w:rPr>
          <w:rFonts w:ascii="Arial" w:cs="Arial" w:eastAsia="Arial" w:hAnsi="Arial"/>
          <w:sz w:val="18"/>
          <w:szCs w:val="18"/>
          <w:color w:val="auto"/>
        </w:rPr>
      </w:pPr>
    </w:p>
    <w:p>
      <w:pPr>
        <w:ind w:left="720" w:hanging="32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648"/>
        <w:spacing w:after="0" w:line="272"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68" w:lineRule="exact"/>
        <w:rPr>
          <w:sz w:val="20"/>
          <w:szCs w:val="20"/>
          <w:color w:val="auto"/>
        </w:rPr>
      </w:pPr>
    </w:p>
    <w:p>
      <w:pPr>
        <w:ind w:left="40" w:right="159" w:firstLine="648"/>
        <w:spacing w:after="0" w:line="243" w:lineRule="auto"/>
        <w:rPr>
          <w:sz w:val="20"/>
          <w:szCs w:val="20"/>
          <w:color w:val="auto"/>
        </w:rPr>
      </w:pPr>
      <w:r>
        <w:rPr>
          <w:rFonts w:ascii="Arial" w:cs="Arial" w:eastAsia="Arial" w:hAnsi="Arial"/>
          <w:sz w:val="18"/>
          <w:szCs w:val="18"/>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88" w:lineRule="exact"/>
        <w:rPr>
          <w:sz w:val="20"/>
          <w:szCs w:val="20"/>
          <w:color w:val="auto"/>
        </w:rPr>
      </w:pPr>
    </w:p>
    <w:p>
      <w:pPr>
        <w:ind w:left="40" w:right="419"/>
        <w:spacing w:after="0" w:line="362" w:lineRule="auto"/>
        <w:rPr>
          <w:sz w:val="20"/>
          <w:szCs w:val="20"/>
          <w:color w:val="auto"/>
        </w:rPr>
      </w:pPr>
      <w:r>
        <w:rPr>
          <w:rFonts w:ascii="Arial" w:cs="Arial" w:eastAsia="Arial" w:hAnsi="Arial"/>
          <w:sz w:val="15"/>
          <w:szCs w:val="15"/>
          <w:b w:val="1"/>
          <w:bCs w:val="1"/>
          <w:i w:val="1"/>
          <w:iCs w:val="1"/>
          <w:color w:val="auto"/>
        </w:rPr>
        <w:t>Currently approved products containing bupropion are subject to restrictive marketing and distribution regulations, which if applied to our product candidates would restrict their use and harm our ability to generate profits.</w:t>
      </w:r>
    </w:p>
    <w:p>
      <w:pPr>
        <w:spacing w:after="0" w:line="101"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6"/>
          <w:szCs w:val="16"/>
          <w:color w:val="auto"/>
        </w:rPr>
        <w:t>Some of the currently approved products containing the same active ingredients as our product candidates require medication guides. Medication guides can be required independently or as part of REMS programs. REMS programs, in addition to medication guides, may require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our product candidates will require a REMS program or medication guide. We cannot predict whether either will be required as part of the FDA’s approval of our product candidates and, if required, what those requirements might be.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or medication guides for such product candidates may also prevent or delay their approval for commercialization.</w:t>
      </w:r>
    </w:p>
    <w:p>
      <w:pPr>
        <w:spacing w:after="0" w:line="154"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b w:val="1"/>
          <w:bCs w:val="1"/>
          <w:i w:val="1"/>
          <w:iCs w:val="1"/>
          <w:color w:val="auto"/>
        </w:rPr>
        <w:t>Development of combination product candidates may present more or different challenges than development of a single agent product candidate.</w:t>
      </w:r>
    </w:p>
    <w:p>
      <w:pPr>
        <w:spacing w:after="0" w:line="170" w:lineRule="exact"/>
        <w:rPr>
          <w:sz w:val="20"/>
          <w:szCs w:val="20"/>
          <w:color w:val="auto"/>
        </w:rPr>
      </w:pPr>
    </w:p>
    <w:p>
      <w:pPr>
        <w:ind w:left="40" w:right="99" w:firstLine="648"/>
        <w:spacing w:after="0" w:line="272" w:lineRule="auto"/>
        <w:rPr>
          <w:sz w:val="20"/>
          <w:szCs w:val="20"/>
          <w:color w:val="auto"/>
        </w:rPr>
      </w:pPr>
      <w:r>
        <w:rPr>
          <w:rFonts w:ascii="Arial" w:cs="Arial" w:eastAsia="Arial" w:hAnsi="Arial"/>
          <w:sz w:val="16"/>
          <w:szCs w:val="16"/>
          <w:color w:val="auto"/>
        </w:rPr>
        <w:t>Certain of our product candidates, including AXS-05, AXS-06, AXS-07, and AXS-09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212" w:lineRule="exact"/>
        <w:rPr>
          <w:sz w:val="20"/>
          <w:szCs w:val="20"/>
          <w:color w:val="auto"/>
        </w:rPr>
      </w:pPr>
    </w:p>
    <w:p>
      <w:pPr>
        <w:ind w:left="40" w:right="59"/>
        <w:spacing w:after="0" w:line="253" w:lineRule="auto"/>
        <w:rPr>
          <w:sz w:val="20"/>
          <w:szCs w:val="20"/>
          <w:color w:val="auto"/>
        </w:rPr>
      </w:pPr>
      <w:r>
        <w:rPr>
          <w:rFonts w:ascii="Arial" w:cs="Arial" w:eastAsia="Arial" w:hAnsi="Arial"/>
          <w:sz w:val="17"/>
          <w:szCs w:val="17"/>
          <w:color w:val="auto"/>
        </w:rPr>
        <w:t>As product candidates are developed through preclinical studies to late 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80" w:lineRule="exact"/>
        <w:rPr>
          <w:sz w:val="20"/>
          <w:szCs w:val="20"/>
          <w:color w:val="auto"/>
        </w:rPr>
      </w:pPr>
    </w:p>
    <w:p>
      <w:pPr>
        <w:ind w:left="40" w:right="339"/>
        <w:spacing w:after="0" w:line="261"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our product candidates from being marketed abroad.</w:t>
      </w:r>
    </w:p>
    <w:p>
      <w:pPr>
        <w:spacing w:after="0" w:line="171"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6"/>
          <w:szCs w:val="16"/>
          <w:color w:val="auto"/>
        </w:rPr>
        <w:t>In order to market and sell our products in the European Union, or EU, and many other jurisdictions, we or our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58" w:lineRule="exact"/>
        <w:rPr>
          <w:sz w:val="20"/>
          <w:szCs w:val="20"/>
          <w:color w:val="auto"/>
        </w:rPr>
      </w:pPr>
    </w:p>
    <w:p>
      <w:pPr>
        <w:ind w:left="40" w:right="59"/>
        <w:spacing w:after="0" w:line="248" w:lineRule="auto"/>
        <w:rPr>
          <w:sz w:val="20"/>
          <w:szCs w:val="20"/>
          <w:color w:val="auto"/>
        </w:rPr>
      </w:pPr>
      <w:r>
        <w:rPr>
          <w:rFonts w:ascii="Arial" w:cs="Arial" w:eastAsia="Arial" w:hAnsi="Arial"/>
          <w:sz w:val="18"/>
          <w:szCs w:val="18"/>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82"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6"/>
          <w:szCs w:val="16"/>
          <w:color w:val="auto"/>
        </w:rPr>
        <w:t>We have received a Fast Track product designation for AXS-02 for the treatment of the pain of knee OA associated with BMLs, and for AXS-05 for both the treatment of TRD as well as for the treatment of AD agitation, and we may seek Fast Track designation for other of our current or future product candidates. Receipt of a designation to facilitate expedited review for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41" w:lineRule="auto"/>
        <w:rPr>
          <w:sz w:val="20"/>
          <w:szCs w:val="20"/>
          <w:color w:val="auto"/>
        </w:rPr>
      </w:pPr>
      <w:r>
        <w:rPr>
          <w:rFonts w:ascii="Arial" w:cs="Arial" w:eastAsia="Arial" w:hAnsi="Arial"/>
          <w:sz w:val="18"/>
          <w:szCs w:val="18"/>
          <w:b w:val="1"/>
          <w:bCs w:val="1"/>
          <w:i w:val="1"/>
          <w:iCs w:val="1"/>
          <w:color w:val="auto"/>
        </w:rPr>
        <w:t>Although the breakthrough therapy process is designed to expedite the review and development of drugs, Breakthrough Therapy designation by the FDA for AXS-05 for the treatment of MDD and for the treatment of AD agitation, and AXS-12 for the treatment of cataplexy in patients with narcolepsy may not ultimately lead to a faster development or regulatory review or approval process, and it will not increase the likelihood that these product candidates will receive marketing approval.</w:t>
      </w:r>
    </w:p>
    <w:p>
      <w:pPr>
        <w:spacing w:after="0" w:line="189" w:lineRule="exact"/>
        <w:rPr>
          <w:sz w:val="20"/>
          <w:szCs w:val="20"/>
          <w:color w:val="auto"/>
        </w:rPr>
      </w:pPr>
    </w:p>
    <w:p>
      <w:pPr>
        <w:ind w:left="40" w:right="99" w:firstLine="648"/>
        <w:spacing w:after="0" w:line="253" w:lineRule="auto"/>
        <w:rPr>
          <w:sz w:val="20"/>
          <w:szCs w:val="20"/>
          <w:color w:val="auto"/>
        </w:rPr>
      </w:pPr>
      <w:r>
        <w:rPr>
          <w:rFonts w:ascii="Arial" w:cs="Arial" w:eastAsia="Arial" w:hAnsi="Arial"/>
          <w:sz w:val="17"/>
          <w:szCs w:val="17"/>
          <w:color w:val="auto"/>
        </w:rPr>
        <w:t>We received Breakthrough Therapy designation for AXS-05 for both the treatment of MDD and the treatment of AD agitation, and for AXS-12 for the treatment of cataplexy in patients with narcolepsy.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NDA.</w:t>
      </w:r>
    </w:p>
    <w:p>
      <w:pPr>
        <w:spacing w:after="0" w:line="180" w:lineRule="exact"/>
        <w:rPr>
          <w:sz w:val="20"/>
          <w:szCs w:val="20"/>
          <w:color w:val="auto"/>
        </w:rPr>
      </w:pPr>
    </w:p>
    <w:p>
      <w:pPr>
        <w:ind w:left="40" w:right="99" w:firstLine="648"/>
        <w:spacing w:after="0" w:line="241" w:lineRule="auto"/>
        <w:rPr>
          <w:sz w:val="20"/>
          <w:szCs w:val="20"/>
          <w:color w:val="auto"/>
        </w:rPr>
      </w:pPr>
      <w:r>
        <w:rPr>
          <w:rFonts w:ascii="Arial" w:cs="Arial" w:eastAsia="Arial" w:hAnsi="Arial"/>
          <w:sz w:val="18"/>
          <w:szCs w:val="18"/>
          <w:color w:val="auto"/>
        </w:rPr>
        <w:t>Designation as a breakthrough therapy is within the discretion of the FDA. The receipt of a Breakthrough Therapy designation for a product candidate may not ultimately result in a faster development process or review, and it does not in any way assure approval of product candidates by the FDA. In addition, the FDA may later decide to rescind the Breakthrough Therapy designation for one or more of our applicable product candidates if such product candidates no longer meet the conditions for qualification of this program.</w:t>
      </w:r>
    </w:p>
    <w:p>
      <w:pPr>
        <w:spacing w:after="0" w:line="189" w:lineRule="exact"/>
        <w:rPr>
          <w:sz w:val="20"/>
          <w:szCs w:val="20"/>
          <w:color w:val="auto"/>
        </w:rPr>
      </w:pPr>
    </w:p>
    <w:p>
      <w:pPr>
        <w:ind w:left="40" w:right="59"/>
        <w:spacing w:after="0" w:line="262" w:lineRule="auto"/>
        <w:rPr>
          <w:sz w:val="20"/>
          <w:szCs w:val="20"/>
          <w:color w:val="auto"/>
        </w:rPr>
      </w:pPr>
      <w:r>
        <w:rPr>
          <w:rFonts w:ascii="Arial" w:cs="Arial" w:eastAsia="Arial" w:hAnsi="Arial"/>
          <w:sz w:val="17"/>
          <w:szCs w:val="17"/>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“off-label” uses, resulting in damage to our reputation and business.</w:t>
      </w:r>
    </w:p>
    <w:p>
      <w:pPr>
        <w:spacing w:after="0" w:line="172"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7"/>
          <w:szCs w:val="17"/>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w:t>
      </w:r>
    </w:p>
    <w:p>
      <w:pPr>
        <w:spacing w:after="0" w:line="180" w:lineRule="exact"/>
        <w:rPr>
          <w:sz w:val="20"/>
          <w:szCs w:val="20"/>
          <w:color w:val="auto"/>
        </w:rPr>
      </w:pPr>
    </w:p>
    <w:p>
      <w:pPr>
        <w:ind w:left="40" w:right="99" w:firstLine="648"/>
        <w:spacing w:after="0" w:line="238" w:lineRule="auto"/>
        <w:rPr>
          <w:sz w:val="20"/>
          <w:szCs w:val="20"/>
          <w:color w:val="auto"/>
        </w:rPr>
      </w:pPr>
      <w:r>
        <w:rPr>
          <w:rFonts w:ascii="Arial" w:cs="Arial" w:eastAsia="Arial" w:hAnsi="Arial"/>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off-label use.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648"/>
        <w:spacing w:after="0" w:line="272" w:lineRule="auto"/>
        <w:rPr>
          <w:sz w:val="20"/>
          <w:szCs w:val="20"/>
          <w:color w:val="auto"/>
        </w:rPr>
      </w:pPr>
      <w:r>
        <w:rPr>
          <w:rFonts w:ascii="Arial" w:cs="Arial" w:eastAsia="Arial" w:hAnsi="Arial"/>
          <w:sz w:val="16"/>
          <w:szCs w:val="16"/>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68" w:lineRule="exact"/>
        <w:rPr>
          <w:sz w:val="20"/>
          <w:szCs w:val="20"/>
          <w:color w:val="auto"/>
        </w:rPr>
      </w:pPr>
    </w:p>
    <w:p>
      <w:pPr>
        <w:ind w:left="40" w:right="79" w:firstLine="648"/>
        <w:spacing w:after="0" w:line="266" w:lineRule="auto"/>
        <w:rPr>
          <w:sz w:val="20"/>
          <w:szCs w:val="20"/>
          <w:color w:val="auto"/>
        </w:rPr>
      </w:pPr>
      <w:r>
        <w:rPr>
          <w:rFonts w:ascii="Arial" w:cs="Arial" w:eastAsia="Arial" w:hAnsi="Arial"/>
          <w:sz w:val="16"/>
          <w:szCs w:val="16"/>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387" w:lineRule="exact"/>
        <w:rPr>
          <w:sz w:val="20"/>
          <w:szCs w:val="20"/>
          <w:color w:val="auto"/>
        </w:rPr>
      </w:pPr>
    </w:p>
    <w:p>
      <w:pPr>
        <w:ind w:left="40" w:right="179" w:firstLine="648"/>
        <w:spacing w:after="0" w:line="274" w:lineRule="auto"/>
        <w:rPr>
          <w:sz w:val="20"/>
          <w:szCs w:val="20"/>
          <w:color w:val="auto"/>
        </w:rPr>
      </w:pPr>
      <w:r>
        <w:rPr>
          <w:rFonts w:ascii="Arial" w:cs="Arial" w:eastAsia="Arial" w:hAnsi="Arial"/>
          <w:sz w:val="16"/>
          <w:szCs w:val="16"/>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41" w:lineRule="auto"/>
        <w:rPr>
          <w:sz w:val="20"/>
          <w:szCs w:val="20"/>
          <w:color w:val="auto"/>
        </w:rPr>
      </w:pPr>
      <w:r>
        <w:rPr>
          <w:rFonts w:ascii="Arial" w:cs="Arial" w:eastAsia="Arial" w:hAnsi="Arial"/>
          <w:sz w:val="18"/>
          <w:szCs w:val="18"/>
          <w:b w:val="1"/>
          <w:bCs w:val="1"/>
          <w:i w:val="1"/>
          <w:iCs w:val="1"/>
          <w:color w:val="auto"/>
        </w:rPr>
        <w:t>We are, and if any of our product candidates receive regulatory approval, will continue to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89"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6"/>
          <w:szCs w:val="16"/>
          <w:color w:val="auto"/>
        </w:rPr>
        <w:t>Any product candidate for which we obtain marketing approval will be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 candidates, if approved; continued compliance with cGMP requirements relating to manufacturing, quality control, quality assurance, and corresponding maintenance of records and documents; requirements regarding the distribution of samples to physicians and recordkeeping; and good clinical practices, or GCPs, for any clinical trials that we conduct post-approval.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post-market requirements or restrictions. Any such restrictions could limit sales of the product.</w:t>
      </w:r>
    </w:p>
    <w:p>
      <w:pPr>
        <w:spacing w:after="0" w:line="175" w:lineRule="exact"/>
        <w:rPr>
          <w:sz w:val="20"/>
          <w:szCs w:val="20"/>
          <w:color w:val="auto"/>
        </w:rPr>
      </w:pPr>
    </w:p>
    <w:p>
      <w:pPr>
        <w:jc w:val="both"/>
        <w:ind w:left="40" w:right="179" w:firstLine="648"/>
        <w:spacing w:after="0" w:line="243" w:lineRule="auto"/>
        <w:rPr>
          <w:sz w:val="20"/>
          <w:szCs w:val="20"/>
          <w:color w:val="auto"/>
        </w:rPr>
      </w:pPr>
      <w:r>
        <w:rPr>
          <w:rFonts w:ascii="Arial" w:cs="Arial" w:eastAsia="Arial" w:hAnsi="Arial"/>
          <w:sz w:val="18"/>
          <w:szCs w:val="18"/>
          <w:color w:val="auto"/>
        </w:rPr>
        <w:t>We and any of our collaborators, including our contract manufacturers, could be subject to periodic unannounced inspections by the FDA to monitor and ensure compliance with cGMPs. Application holders must further notify the FDA, and depending on the nature of the change, obtain FDA pre-approval for product and manufacturing changes. Application fees may apply to certain changes.</w:t>
      </w:r>
    </w:p>
    <w:p>
      <w:pPr>
        <w:spacing w:after="0" w:line="188" w:lineRule="exact"/>
        <w:rPr>
          <w:sz w:val="20"/>
          <w:szCs w:val="20"/>
          <w:color w:val="auto"/>
        </w:rPr>
      </w:pPr>
    </w:p>
    <w:p>
      <w:pPr>
        <w:ind w:left="40" w:right="119" w:firstLine="648"/>
        <w:spacing w:after="0" w:line="248" w:lineRule="auto"/>
        <w:rPr>
          <w:sz w:val="20"/>
          <w:szCs w:val="20"/>
          <w:color w:val="auto"/>
        </w:rPr>
      </w:pPr>
      <w:r>
        <w:rPr>
          <w:rFonts w:ascii="Arial" w:cs="Arial" w:eastAsia="Arial" w:hAnsi="Arial"/>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82" w:lineRule="exact"/>
        <w:rPr>
          <w:sz w:val="20"/>
          <w:szCs w:val="20"/>
          <w:color w:val="auto"/>
        </w:rPr>
      </w:pPr>
    </w:p>
    <w:p>
      <w:pPr>
        <w:ind w:left="720" w:hanging="325"/>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manufacturing or distribution, or marketing of such products;</w:t>
      </w:r>
    </w:p>
    <w:p>
      <w:pPr>
        <w:spacing w:after="0" w:line="211" w:lineRule="exact"/>
        <w:rPr>
          <w:rFonts w:ascii="Arial" w:cs="Arial" w:eastAsia="Arial" w:hAnsi="Arial"/>
          <w:sz w:val="18"/>
          <w:szCs w:val="18"/>
          <w:color w:val="auto"/>
        </w:rPr>
      </w:pPr>
    </w:p>
    <w:p>
      <w:pPr>
        <w:ind w:left="720" w:right="1399" w:hanging="325"/>
        <w:spacing w:after="0" w:line="291"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restrictions on the labeling, including required additional warnings, such as black box warnings, contraindications, precautions, and restrictions on the approved indication or use;</w:t>
      </w:r>
    </w:p>
    <w:p>
      <w:pPr>
        <w:spacing w:after="0" w:line="146" w:lineRule="exact"/>
        <w:rPr>
          <w:rFonts w:ascii="Arial" w:cs="Arial" w:eastAsia="Arial" w:hAnsi="Arial"/>
          <w:sz w:val="17"/>
          <w:szCs w:val="17"/>
          <w:color w:val="auto"/>
        </w:rPr>
      </w:pPr>
    </w:p>
    <w:p>
      <w:pPr>
        <w:ind w:left="720" w:hanging="325"/>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 clinical holds or termination of clinical trials;</w:t>
      </w:r>
    </w:p>
    <w:p>
      <w:pPr>
        <w:spacing w:after="0" w:line="223" w:lineRule="exact"/>
        <w:rPr>
          <w:rFonts w:ascii="Arial" w:cs="Arial" w:eastAsia="Arial" w:hAnsi="Arial"/>
          <w:sz w:val="17"/>
          <w:szCs w:val="17"/>
          <w:color w:val="auto"/>
        </w:rPr>
      </w:pPr>
    </w:p>
    <w:p>
      <w:pPr>
        <w:ind w:left="720" w:right="139" w:hanging="325"/>
        <w:spacing w:after="0" w:line="262"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requirements to establish or modify a REMS or a comparable foreign authority may require that we establish or modify a similar strategy, that may, for instance, require us to create a Medication Guide outlining the risks of the previously unidentified side effects for distribution to patients, or restrict distribution of the product, if and when approved, and impose burdensome implementation requirements on us:</w:t>
      </w:r>
    </w:p>
    <w:p>
      <w:pPr>
        <w:spacing w:after="0" w:line="172" w:lineRule="exact"/>
        <w:rPr>
          <w:rFonts w:ascii="Arial" w:cs="Arial" w:eastAsia="Arial" w:hAnsi="Arial"/>
          <w:sz w:val="17"/>
          <w:szCs w:val="17"/>
          <w:color w:val="auto"/>
        </w:rPr>
      </w:pPr>
    </w:p>
    <w:p>
      <w:pPr>
        <w:ind w:left="720" w:hanging="325"/>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the way the drug is administered;</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drug becoming less competitive;</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25"/>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211" w:lineRule="exact"/>
        <w:rPr>
          <w:rFonts w:ascii="Arial" w:cs="Arial" w:eastAsia="Arial" w:hAnsi="Arial"/>
          <w:sz w:val="18"/>
          <w:szCs w:val="18"/>
          <w:color w:val="auto"/>
        </w:rPr>
      </w:pPr>
    </w:p>
    <w:p>
      <w:pPr>
        <w:ind w:left="720" w:right="959" w:hanging="325"/>
        <w:spacing w:after="0" w:line="291"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drug;</w:t>
      </w:r>
    </w:p>
    <w:p>
      <w:pPr>
        <w:spacing w:after="0" w:line="146" w:lineRule="exact"/>
        <w:rPr>
          <w:rFonts w:ascii="Arial" w:cs="Arial" w:eastAsia="Arial" w:hAnsi="Arial"/>
          <w:sz w:val="17"/>
          <w:szCs w:val="17"/>
          <w:color w:val="auto"/>
        </w:rPr>
      </w:pPr>
    </w:p>
    <w:p>
      <w:pPr>
        <w:ind w:left="720" w:hanging="325"/>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damages, restitution, or disgorgement of profits or revenues;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11" w:lineRule="exact"/>
        <w:rPr>
          <w:rFonts w:ascii="Arial" w:cs="Arial" w:eastAsia="Arial" w:hAnsi="Arial"/>
          <w:sz w:val="18"/>
          <w:szCs w:val="18"/>
          <w:color w:val="auto"/>
        </w:rPr>
      </w:pPr>
    </w:p>
    <w:p>
      <w:pPr>
        <w:ind w:left="720" w:right="439" w:hanging="325"/>
        <w:spacing w:after="0" w:line="324"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124" w:lineRule="exact"/>
        <w:rPr>
          <w:rFonts w:ascii="Arial" w:cs="Arial" w:eastAsia="Arial" w:hAnsi="Arial"/>
          <w:sz w:val="16"/>
          <w:szCs w:val="16"/>
          <w:color w:val="auto"/>
        </w:rPr>
      </w:pPr>
    </w:p>
    <w:p>
      <w:pPr>
        <w:ind w:left="720" w:hanging="325"/>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212" w:lineRule="exact"/>
        <w:rPr>
          <w:sz w:val="20"/>
          <w:szCs w:val="20"/>
          <w:color w:val="auto"/>
        </w:rPr>
      </w:pPr>
    </w:p>
    <w:p>
      <w:pPr>
        <w:ind w:left="40" w:right="259" w:firstLine="648"/>
        <w:spacing w:after="0" w:line="279"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59"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74" w:lineRule="exact"/>
        <w:rPr>
          <w:sz w:val="20"/>
          <w:szCs w:val="20"/>
          <w:color w:val="auto"/>
        </w:rPr>
      </w:pPr>
    </w:p>
    <w:p>
      <w:pPr>
        <w:ind w:left="40" w:right="359" w:firstLine="648"/>
        <w:spacing w:after="0" w:line="248" w:lineRule="auto"/>
        <w:rPr>
          <w:sz w:val="20"/>
          <w:szCs w:val="20"/>
          <w:color w:val="auto"/>
        </w:rPr>
      </w:pPr>
      <w:r>
        <w:rPr>
          <w:rFonts w:ascii="Arial" w:cs="Arial" w:eastAsia="Arial" w:hAnsi="Arial"/>
          <w:sz w:val="18"/>
          <w:szCs w:val="18"/>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82" w:lineRule="exact"/>
        <w:rPr>
          <w:sz w:val="20"/>
          <w:szCs w:val="20"/>
          <w:color w:val="auto"/>
        </w:rPr>
      </w:pPr>
    </w:p>
    <w:p>
      <w:pPr>
        <w:ind w:left="40" w:right="139"/>
        <w:spacing w:after="0" w:line="261"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71" w:lineRule="exact"/>
        <w:rPr>
          <w:sz w:val="20"/>
          <w:szCs w:val="20"/>
          <w:color w:val="auto"/>
        </w:rPr>
      </w:pPr>
    </w:p>
    <w:p>
      <w:pPr>
        <w:ind w:left="40" w:right="199" w:firstLine="648"/>
        <w:spacing w:after="0" w:line="248" w:lineRule="auto"/>
        <w:rPr>
          <w:sz w:val="20"/>
          <w:szCs w:val="20"/>
          <w:color w:val="auto"/>
        </w:rPr>
      </w:pPr>
      <w:r>
        <w:rPr>
          <w:rFonts w:ascii="Arial" w:cs="Arial" w:eastAsia="Arial" w:hAnsi="Arial"/>
          <w:sz w:val="18"/>
          <w:szCs w:val="18"/>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82" w:lineRule="exact"/>
        <w:rPr>
          <w:sz w:val="20"/>
          <w:szCs w:val="20"/>
          <w:color w:val="auto"/>
        </w:rPr>
      </w:pPr>
    </w:p>
    <w:p>
      <w:pPr>
        <w:ind w:left="720" w:hanging="325"/>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211" w:lineRule="exact"/>
        <w:rPr>
          <w:rFonts w:ascii="Arial" w:cs="Arial" w:eastAsia="Arial" w:hAnsi="Arial"/>
          <w:sz w:val="18"/>
          <w:szCs w:val="18"/>
          <w:color w:val="auto"/>
        </w:rPr>
      </w:pPr>
    </w:p>
    <w:p>
      <w:pPr>
        <w:ind w:left="720" w:right="239" w:hanging="325"/>
        <w:spacing w:after="0" w:line="294"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potential for so-called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259" w:hanging="325"/>
        <w:spacing w:after="0" w:line="248"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81" w:lineRule="exact"/>
        <w:rPr>
          <w:rFonts w:ascii="Arial" w:cs="Arial" w:eastAsia="Arial" w:hAnsi="Arial"/>
          <w:sz w:val="18"/>
          <w:szCs w:val="18"/>
          <w:color w:val="auto"/>
        </w:rPr>
      </w:pPr>
    </w:p>
    <w:p>
      <w:pPr>
        <w:ind w:left="720" w:right="199" w:hanging="325"/>
        <w:spacing w:after="0" w:line="291"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46" w:lineRule="exact"/>
        <w:rPr>
          <w:rFonts w:ascii="Arial" w:cs="Arial" w:eastAsia="Arial" w:hAnsi="Arial"/>
          <w:sz w:val="17"/>
          <w:szCs w:val="17"/>
          <w:color w:val="auto"/>
        </w:rPr>
      </w:pPr>
    </w:p>
    <w:p>
      <w:pPr>
        <w:ind w:left="720" w:right="99" w:hanging="325"/>
        <w:spacing w:after="0" w:line="261"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 and in the health care policies of foreign jurisdictions;</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223" w:lineRule="exact"/>
        <w:rPr>
          <w:rFonts w:ascii="Arial" w:cs="Arial" w:eastAsia="Arial" w:hAnsi="Arial"/>
          <w:sz w:val="17"/>
          <w:szCs w:val="17"/>
          <w:color w:val="auto"/>
        </w:rPr>
      </w:pPr>
    </w:p>
    <w:p>
      <w:pPr>
        <w:ind w:left="720" w:hanging="325"/>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11" w:lineRule="exact"/>
        <w:rPr>
          <w:rFonts w:ascii="Arial" w:cs="Arial" w:eastAsia="Arial" w:hAnsi="Arial"/>
          <w:sz w:val="18"/>
          <w:szCs w:val="18"/>
          <w:color w:val="auto"/>
        </w:rPr>
      </w:pPr>
    </w:p>
    <w:p>
      <w:pPr>
        <w:ind w:left="720" w:right="99" w:hanging="325"/>
        <w:spacing w:after="0" w:line="261"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11" w:lineRule="exact"/>
        <w:rPr>
          <w:rFonts w:ascii="Arial" w:cs="Arial" w:eastAsia="Arial" w:hAnsi="Arial"/>
          <w:sz w:val="18"/>
          <w:szCs w:val="18"/>
          <w:color w:val="auto"/>
        </w:rPr>
      </w:pPr>
    </w:p>
    <w:p>
      <w:pPr>
        <w:ind w:left="720" w:right="499" w:hanging="325"/>
        <w:spacing w:after="0" w:line="261"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 and worker rights tend to be stronger;</w:t>
      </w:r>
    </w:p>
    <w:p>
      <w:pPr>
        <w:spacing w:after="0" w:line="170" w:lineRule="exact"/>
        <w:rPr>
          <w:rFonts w:ascii="Arial" w:cs="Arial" w:eastAsia="Arial" w:hAnsi="Arial"/>
          <w:sz w:val="18"/>
          <w:szCs w:val="18"/>
          <w:color w:val="auto"/>
        </w:rPr>
      </w:pPr>
    </w:p>
    <w:p>
      <w:pPr>
        <w:ind w:left="720" w:right="59" w:hanging="325"/>
        <w:spacing w:after="0" w:line="261"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Foreign Corrupt Practices Act or comparable foreign regulations, and the risks and costs of noncompliance;</w:t>
      </w:r>
    </w:p>
    <w:p>
      <w:pPr>
        <w:spacing w:after="0" w:line="170" w:lineRule="exact"/>
        <w:rPr>
          <w:rFonts w:ascii="Arial" w:cs="Arial" w:eastAsia="Arial" w:hAnsi="Arial"/>
          <w:sz w:val="18"/>
          <w:szCs w:val="18"/>
          <w:color w:val="auto"/>
        </w:rPr>
      </w:pPr>
    </w:p>
    <w:p>
      <w:pPr>
        <w:ind w:left="720" w:right="599" w:hanging="325"/>
        <w:spacing w:after="0" w:line="261"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70" w:lineRule="exact"/>
        <w:rPr>
          <w:rFonts w:ascii="Arial" w:cs="Arial" w:eastAsia="Arial" w:hAnsi="Arial"/>
          <w:sz w:val="18"/>
          <w:szCs w:val="18"/>
          <w:color w:val="auto"/>
        </w:rPr>
      </w:pPr>
    </w:p>
    <w:p>
      <w:pPr>
        <w:ind w:left="720" w:right="659" w:hanging="325"/>
        <w:spacing w:after="0" w:line="261"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1" w:lineRule="exact"/>
        <w:rPr>
          <w:sz w:val="20"/>
          <w:szCs w:val="20"/>
          <w:color w:val="auto"/>
        </w:rPr>
      </w:pPr>
    </w:p>
    <w:p>
      <w:pPr>
        <w:ind w:left="40" w:right="319" w:firstLine="648"/>
        <w:spacing w:after="0" w:line="261"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171" w:lineRule="exact"/>
        <w:rPr>
          <w:sz w:val="20"/>
          <w:szCs w:val="20"/>
          <w:color w:val="auto"/>
        </w:rPr>
      </w:pPr>
    </w:p>
    <w:p>
      <w:pPr>
        <w:ind w:left="40" w:right="259"/>
        <w:spacing w:after="0" w:line="324" w:lineRule="auto"/>
        <w:rPr>
          <w:sz w:val="20"/>
          <w:szCs w:val="20"/>
          <w:color w:val="auto"/>
        </w:rPr>
      </w:pPr>
      <w:r>
        <w:rPr>
          <w:rFonts w:ascii="Arial" w:cs="Arial" w:eastAsia="Arial" w:hAnsi="Arial"/>
          <w:sz w:val="16"/>
          <w:szCs w:val="16"/>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24" w:lineRule="exact"/>
        <w:rPr>
          <w:sz w:val="20"/>
          <w:szCs w:val="20"/>
          <w:color w:val="auto"/>
        </w:rPr>
      </w:pPr>
    </w:p>
    <w:p>
      <w:pPr>
        <w:ind w:left="40" w:right="119" w:firstLine="648"/>
        <w:spacing w:after="0" w:line="270"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16" w:lineRule="exact"/>
        <w:rPr>
          <w:sz w:val="20"/>
          <w:szCs w:val="20"/>
          <w:color w:val="auto"/>
        </w:rPr>
      </w:pPr>
    </w:p>
    <w:p>
      <w:pPr>
        <w:ind w:left="40" w:right="639"/>
        <w:spacing w:after="0" w:line="248" w:lineRule="auto"/>
        <w:rPr>
          <w:sz w:val="20"/>
          <w:szCs w:val="20"/>
          <w:color w:val="auto"/>
        </w:rPr>
      </w:pPr>
      <w:r>
        <w:rPr>
          <w:rFonts w:ascii="Arial" w:cs="Arial" w:eastAsia="Arial" w:hAnsi="Arial"/>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82"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1" w:lineRule="exact"/>
        <w:rPr>
          <w:sz w:val="20"/>
          <w:szCs w:val="20"/>
          <w:color w:val="auto"/>
        </w:rPr>
      </w:pPr>
    </w:p>
    <w:p>
      <w:pPr>
        <w:ind w:left="40" w:right="259" w:firstLine="648"/>
        <w:spacing w:after="0" w:line="257" w:lineRule="auto"/>
        <w:rPr>
          <w:sz w:val="20"/>
          <w:szCs w:val="20"/>
          <w:color w:val="auto"/>
        </w:rPr>
      </w:pPr>
      <w:r>
        <w:rPr>
          <w:rFonts w:ascii="Arial" w:cs="Arial" w:eastAsia="Arial" w:hAnsi="Arial"/>
          <w:sz w:val="17"/>
          <w:szCs w:val="17"/>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Biohaven Pharmaceutical Holding Company Ltd.; Eli Lilly and Company; H. Lundbeck A/S; Intra-Cellular Therapies, Inc.; Janssen Research &amp; Development, LLC; Jazz Pharmaceuticals plc; Otsuka Pharmaceutical Co. Ltd.; OPKO Health, Inc., and Sage Therapeutics, Inc.</w:t>
      </w:r>
    </w:p>
    <w:p>
      <w:pPr>
        <w:spacing w:after="0" w:line="175" w:lineRule="exact"/>
        <w:rPr>
          <w:sz w:val="20"/>
          <w:szCs w:val="20"/>
          <w:color w:val="auto"/>
        </w:rPr>
      </w:pPr>
    </w:p>
    <w:p>
      <w:pPr>
        <w:ind w:left="40" w:right="59" w:firstLine="693"/>
        <w:spacing w:after="0" w:line="254" w:lineRule="auto"/>
        <w:rPr>
          <w:sz w:val="20"/>
          <w:szCs w:val="20"/>
          <w:color w:val="auto"/>
        </w:rPr>
      </w:pPr>
      <w:r>
        <w:rPr>
          <w:rFonts w:ascii="Arial" w:cs="Arial" w:eastAsia="Arial" w:hAnsi="Arial"/>
          <w:sz w:val="17"/>
          <w:szCs w:val="17"/>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81" w:lineRule="exact"/>
        <w:rPr>
          <w:sz w:val="20"/>
          <w:szCs w:val="20"/>
          <w:color w:val="auto"/>
        </w:rPr>
      </w:pPr>
    </w:p>
    <w:p>
      <w:pPr>
        <w:ind w:left="40" w:right="59" w:firstLine="648"/>
        <w:spacing w:after="0" w:line="239" w:lineRule="auto"/>
        <w:rPr>
          <w:sz w:val="20"/>
          <w:szCs w:val="20"/>
          <w:color w:val="auto"/>
        </w:rPr>
      </w:pPr>
      <w:r>
        <w:rPr>
          <w:rFonts w:ascii="Arial" w:cs="Arial" w:eastAsia="Arial" w:hAnsi="Arial"/>
          <w:sz w:val="18"/>
          <w:szCs w:val="18"/>
          <w:color w:val="auto"/>
        </w:rPr>
        <w:t>Generic forms of the active ingredients of our product candidates, including zoledronic acid, DM, bupropion, meloxicam, rizatripan, reboxetine, and esomeprazole, are available in the United States and abroad and could be used off-label. Any such off-label use could adversely affect our profitability and have a negative effect on our operating results and financial condition. For example, even though zoledronic acid is not currently approved for the treatment of pain, we would not be able to prevent a physician from prescribing zoledronic acid in intravenous form for such treatment. Nor could we prevent a payor from offering favorable coverage for such product and disadvantaging our product candidates, even if the generics would be used off-label.</w:t>
      </w:r>
    </w:p>
    <w:p>
      <w:pPr>
        <w:spacing w:after="0" w:line="191" w:lineRule="exact"/>
        <w:rPr>
          <w:sz w:val="20"/>
          <w:szCs w:val="20"/>
          <w:color w:val="auto"/>
        </w:rPr>
      </w:pPr>
    </w:p>
    <w:p>
      <w:pPr>
        <w:ind w:left="40" w:right="79" w:firstLine="648"/>
        <w:spacing w:after="0" w:line="238"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99"/>
        <w:spacing w:after="0" w:line="322" w:lineRule="auto"/>
        <w:rPr>
          <w:sz w:val="20"/>
          <w:szCs w:val="20"/>
          <w:color w:val="auto"/>
        </w:rPr>
      </w:pPr>
      <w:r>
        <w:rPr>
          <w:rFonts w:ascii="Arial" w:cs="Arial" w:eastAsia="Arial" w:hAnsi="Arial"/>
          <w:sz w:val="15"/>
          <w:szCs w:val="15"/>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29" w:lineRule="exact"/>
        <w:rPr>
          <w:sz w:val="20"/>
          <w:szCs w:val="20"/>
          <w:color w:val="auto"/>
        </w:rPr>
      </w:pPr>
    </w:p>
    <w:p>
      <w:pPr>
        <w:ind w:left="40" w:right="59" w:firstLine="648"/>
        <w:spacing w:after="0" w:line="252" w:lineRule="auto"/>
        <w:rPr>
          <w:sz w:val="20"/>
          <w:szCs w:val="20"/>
          <w:color w:val="auto"/>
        </w:rPr>
      </w:pPr>
      <w:r>
        <w:rPr>
          <w:rFonts w:ascii="Arial" w:cs="Arial" w:eastAsia="Arial" w:hAnsi="Arial"/>
          <w:sz w:val="17"/>
          <w:szCs w:val="17"/>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third-party payors. Thus, following the introduction of a generic drug, a significant percentage of the sales of any branded product or reference listed drug is typically lost to the generic product.</w:t>
      </w:r>
    </w:p>
    <w:p>
      <w:pPr>
        <w:spacing w:after="0" w:line="186" w:lineRule="exact"/>
        <w:rPr>
          <w:sz w:val="20"/>
          <w:szCs w:val="20"/>
          <w:color w:val="auto"/>
        </w:rPr>
      </w:pPr>
    </w:p>
    <w:p>
      <w:pPr>
        <w:ind w:left="40" w:right="119" w:firstLine="648"/>
        <w:spacing w:after="0" w:line="284" w:lineRule="auto"/>
        <w:rPr>
          <w:sz w:val="20"/>
          <w:szCs w:val="20"/>
          <w:color w:val="auto"/>
        </w:rPr>
      </w:pPr>
      <w:r>
        <w:rPr>
          <w:rFonts w:ascii="Arial" w:cs="Arial" w:eastAsia="Arial" w:hAnsi="Arial"/>
          <w:sz w:val="16"/>
          <w:szCs w:val="16"/>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55" w:lineRule="exact"/>
        <w:rPr>
          <w:sz w:val="20"/>
          <w:szCs w:val="20"/>
          <w:color w:val="auto"/>
        </w:rPr>
      </w:pPr>
    </w:p>
    <w:p>
      <w:pPr>
        <w:ind w:left="40" w:right="119" w:firstLine="648"/>
        <w:spacing w:after="0" w:line="274" w:lineRule="auto"/>
        <w:rPr>
          <w:sz w:val="20"/>
          <w:szCs w:val="20"/>
          <w:color w:val="auto"/>
        </w:rPr>
      </w:pPr>
      <w:r>
        <w:rPr>
          <w:rFonts w:ascii="Arial" w:cs="Arial" w:eastAsia="Arial" w:hAnsi="Arial"/>
          <w:sz w:val="16"/>
          <w:szCs w:val="16"/>
          <w:color w:val="auto"/>
        </w:rPr>
        <w:t>Further, if we do not file a patent infringement lawsuit against a generic manufacturer within 45 days of receiving notice of its paragraph IV certification, the ANDA or 505(b)(2) applicant may not be subject to a 30-month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163" w:lineRule="exact"/>
        <w:rPr>
          <w:sz w:val="20"/>
          <w:szCs w:val="20"/>
          <w:color w:val="auto"/>
        </w:rPr>
      </w:pPr>
    </w:p>
    <w:p>
      <w:pPr>
        <w:ind w:left="40" w:right="119" w:firstLine="648"/>
        <w:spacing w:after="0" w:line="254" w:lineRule="auto"/>
        <w:rPr>
          <w:sz w:val="20"/>
          <w:szCs w:val="20"/>
          <w:color w:val="auto"/>
        </w:rPr>
      </w:pPr>
      <w:r>
        <w:rPr>
          <w:rFonts w:ascii="Arial" w:cs="Arial" w:eastAsia="Arial" w:hAnsi="Arial"/>
          <w:sz w:val="17"/>
          <w:szCs w:val="17"/>
          <w:color w:val="auto"/>
        </w:rPr>
        <w:t>We currently anticipate that we may be eligible for three years of non 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 party payors from reimbursing for them., since providers are not prohibited from prescribing medications for indications other than the approved indications listed on the label. Moreover, a 505(b)(2) applicant could rely on a reference listed drug that is not one of our product candidates, or published literature, in which case any periods of patent or non patent protection may not prevent FDA making an approval effective.</w:t>
      </w:r>
    </w:p>
    <w:p>
      <w:pPr>
        <w:spacing w:after="0" w:line="181" w:lineRule="exact"/>
        <w:rPr>
          <w:sz w:val="20"/>
          <w:szCs w:val="20"/>
          <w:color w:val="auto"/>
        </w:rPr>
      </w:pPr>
    </w:p>
    <w:p>
      <w:pPr>
        <w:ind w:left="40" w:right="79" w:firstLine="648"/>
        <w:spacing w:after="0" w:line="248" w:lineRule="auto"/>
        <w:rPr>
          <w:sz w:val="20"/>
          <w:szCs w:val="20"/>
          <w:color w:val="auto"/>
        </w:rPr>
      </w:pPr>
      <w:r>
        <w:rPr>
          <w:rFonts w:ascii="Arial" w:cs="Arial" w:eastAsia="Arial" w:hAnsi="Arial"/>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82" w:lineRule="exact"/>
        <w:rPr>
          <w:sz w:val="20"/>
          <w:szCs w:val="20"/>
          <w:color w:val="auto"/>
        </w:rPr>
      </w:pPr>
    </w:p>
    <w:p>
      <w:pPr>
        <w:ind w:left="40" w:right="279"/>
        <w:spacing w:after="0" w:line="322" w:lineRule="auto"/>
        <w:rPr>
          <w:sz w:val="20"/>
          <w:szCs w:val="20"/>
          <w:color w:val="auto"/>
        </w:rPr>
      </w:pPr>
      <w:r>
        <w:rPr>
          <w:rFonts w:ascii="Arial" w:cs="Arial" w:eastAsia="Arial" w:hAnsi="Arial"/>
          <w:sz w:val="15"/>
          <w:szCs w:val="15"/>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29" w:lineRule="exact"/>
        <w:rPr>
          <w:sz w:val="20"/>
          <w:szCs w:val="20"/>
          <w:color w:val="auto"/>
        </w:rPr>
      </w:pPr>
    </w:p>
    <w:p>
      <w:pPr>
        <w:ind w:left="40" w:right="139" w:firstLine="648"/>
        <w:spacing w:after="0" w:line="261" w:lineRule="auto"/>
        <w:rPr>
          <w:sz w:val="20"/>
          <w:szCs w:val="20"/>
          <w:color w:val="auto"/>
        </w:rPr>
      </w:pPr>
      <w:r>
        <w:rPr>
          <w:rFonts w:ascii="Arial" w:cs="Arial" w:eastAsia="Arial" w:hAnsi="Arial"/>
          <w:sz w:val="18"/>
          <w:szCs w:val="18"/>
          <w:color w:val="auto"/>
        </w:rPr>
        <w:t>AXS-12 received Orphan Drug Designation from FDA for the treatment of narcolepsy. We may also seek Orphan Drug Designation for our other product candidates, as appropriate.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7"/>
          <w:szCs w:val="17"/>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84" w:lineRule="exact"/>
        <w:rPr>
          <w:sz w:val="20"/>
          <w:szCs w:val="20"/>
          <w:color w:val="auto"/>
        </w:rPr>
      </w:pPr>
    </w:p>
    <w:p>
      <w:pPr>
        <w:ind w:left="40" w:right="159" w:firstLine="648"/>
        <w:spacing w:after="0" w:line="267" w:lineRule="auto"/>
        <w:rPr>
          <w:sz w:val="20"/>
          <w:szCs w:val="20"/>
          <w:color w:val="auto"/>
        </w:rPr>
      </w:pPr>
      <w:r>
        <w:rPr>
          <w:rFonts w:ascii="Arial" w:cs="Arial" w:eastAsia="Arial" w:hAnsi="Arial"/>
          <w:sz w:val="16"/>
          <w:szCs w:val="16"/>
          <w:color w:val="auto"/>
        </w:rPr>
        <w:t>The FDA or the EMA may grant orphan exclusivity to two different sponsors for the same compound or active molecule and for the same indication. For example, subsequent to our Orphan Drug Designation, the FDA granted Orphan Drug Designation to Thar Pharmaceuticals, Inc. for a zoledronic acid-containing product for the treatment of CRPS. Thar Pharmaceuticals was subsequently acquired by Grunenthal GmbH. Although we are no longer pursuing CRPS, if Grunenthal GmbH or another sponsor had received FDA approval for a zoledronic acid-containing product for the treatment of CRPS before we had obtained FDA approval for AXS-02 for the treatment of pain associated with CRPS, we would have been prevented from launching our product in the United States for this indication for a period of at least</w:t>
      </w:r>
    </w:p>
    <w:p>
      <w:pPr>
        <w:spacing w:after="0" w:line="1" w:lineRule="exact"/>
        <w:rPr>
          <w:sz w:val="20"/>
          <w:szCs w:val="20"/>
          <w:color w:val="auto"/>
        </w:rPr>
      </w:pPr>
    </w:p>
    <w:p>
      <w:pPr>
        <w:ind w:left="40" w:right="119"/>
        <w:spacing w:after="0" w:line="260" w:lineRule="auto"/>
        <w:rPr>
          <w:sz w:val="20"/>
          <w:szCs w:val="20"/>
          <w:color w:val="auto"/>
        </w:rPr>
      </w:pPr>
      <w:r>
        <w:rPr>
          <w:rFonts w:ascii="Arial" w:cs="Arial" w:eastAsia="Arial" w:hAnsi="Arial"/>
          <w:sz w:val="17"/>
          <w:szCs w:val="17"/>
          <w:color w:val="auto"/>
        </w:rPr>
        <w:t>7 years. If another sponsor had received EMA approval for a zoledronic acid-containing product for the treatment of CRPS before we had obtained EMA approval for AXS-02 for the treatment of pain associated with CRPS, we would have been prevented from launching our product in the EU for this indication for a period of at least 10 to 12 years.</w:t>
      </w:r>
    </w:p>
    <w:p>
      <w:pPr>
        <w:spacing w:after="0" w:line="172" w:lineRule="exact"/>
        <w:rPr>
          <w:sz w:val="20"/>
          <w:szCs w:val="20"/>
          <w:color w:val="auto"/>
        </w:rPr>
      </w:pPr>
    </w:p>
    <w:p>
      <w:pPr>
        <w:ind w:left="40" w:right="79" w:firstLine="648"/>
        <w:spacing w:after="0" w:line="279" w:lineRule="auto"/>
        <w:rPr>
          <w:sz w:val="20"/>
          <w:szCs w:val="20"/>
          <w:color w:val="auto"/>
        </w:rPr>
      </w:pPr>
      <w:r>
        <w:rPr>
          <w:rFonts w:ascii="Arial" w:cs="Arial" w:eastAsia="Arial" w:hAnsi="Arial"/>
          <w:sz w:val="16"/>
          <w:szCs w:val="16"/>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59" w:lineRule="exact"/>
        <w:rPr>
          <w:sz w:val="20"/>
          <w:szCs w:val="20"/>
          <w:color w:val="auto"/>
        </w:rPr>
      </w:pPr>
    </w:p>
    <w:p>
      <w:pPr>
        <w:ind w:left="40" w:right="439"/>
        <w:spacing w:after="0" w:line="362" w:lineRule="auto"/>
        <w:rPr>
          <w:sz w:val="20"/>
          <w:szCs w:val="20"/>
          <w:color w:val="auto"/>
        </w:rPr>
      </w:pPr>
      <w:r>
        <w:rPr>
          <w:rFonts w:ascii="Arial" w:cs="Arial" w:eastAsia="Arial" w:hAnsi="Arial"/>
          <w:sz w:val="15"/>
          <w:szCs w:val="15"/>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01"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7"/>
          <w:szCs w:val="17"/>
          <w:color w:val="auto"/>
        </w:rPr>
        <w:t>We currently do not have a commercial infrastructure for the marketing, sale, and distribution of pharmaceutical products. If approved, in order to commercialize our products, we must build our marketing, sales, and distribution capabilities or make arrangements with third parties to perform these services. We may not be successful in doing so. If one of our product candidates is approved by the FDA, we plan to build a commercial infrastructure, including the creation of a specialty sales force to launch that product candidate throughout the United States. In the future, we may seek to further penetrate the U.S. market by expanding our sales force or through collaborations with other pharmaceutical or biotechnology companies or third-party manufacturing and sales organizations. If approved for marketing outside the United States, we intend to commercialize our product candidates outside the United States with a marketing and sales collaborator or collaborators, rather than with our own sales force.</w:t>
      </w:r>
    </w:p>
    <w:p>
      <w:pPr>
        <w:spacing w:after="0" w:line="184" w:lineRule="exact"/>
        <w:rPr>
          <w:sz w:val="20"/>
          <w:szCs w:val="20"/>
          <w:color w:val="auto"/>
        </w:rPr>
      </w:pPr>
    </w:p>
    <w:p>
      <w:pPr>
        <w:ind w:left="40" w:right="99" w:firstLine="648"/>
        <w:spacing w:after="0" w:line="253" w:lineRule="auto"/>
        <w:rPr>
          <w:sz w:val="20"/>
          <w:szCs w:val="20"/>
          <w:color w:val="auto"/>
        </w:rPr>
      </w:pPr>
      <w:r>
        <w:rPr>
          <w:rFonts w:ascii="Arial" w:cs="Arial" w:eastAsia="Arial" w:hAnsi="Arial"/>
          <w:sz w:val="17"/>
          <w:szCs w:val="17"/>
          <w:color w:val="auto"/>
        </w:rPr>
        <w:t>We have no prior experience in the marketing, sale, and distribution of pharmaceutical products, and there are significant risks involved in the building and managing of a commercial infrastructure. The establishment and development of our own sales force and related compliance plans to market any products we may develop will be expensive and time consuming and could delay any product launch, and we may not be able to successfully develop this capability. We, or our future collaborators,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product revenues. Factors that may inhibit our efforts to commercialize any of our current or future product candidates on our own include:</w:t>
      </w:r>
    </w:p>
    <w:p>
      <w:pPr>
        <w:spacing w:after="0" w:line="184" w:lineRule="exact"/>
        <w:rPr>
          <w:sz w:val="20"/>
          <w:szCs w:val="20"/>
          <w:color w:val="auto"/>
        </w:rPr>
      </w:pPr>
    </w:p>
    <w:p>
      <w:pPr>
        <w:ind w:left="720" w:hanging="325"/>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inability to recruit, train, manage, and retain adequate numbers of effective sales and marketing personnel;</w:t>
      </w:r>
    </w:p>
    <w:p>
      <w:pPr>
        <w:spacing w:after="0" w:line="234" w:lineRule="exact"/>
        <w:rPr>
          <w:rFonts w:ascii="Arial" w:cs="Arial" w:eastAsia="Arial" w:hAnsi="Arial"/>
          <w:sz w:val="16"/>
          <w:szCs w:val="16"/>
          <w:color w:val="auto"/>
        </w:rPr>
      </w:pPr>
    </w:p>
    <w:p>
      <w:pPr>
        <w:ind w:left="720" w:right="519" w:hanging="325"/>
        <w:spacing w:after="0" w:line="261"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of our current or future product candidates;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25"/>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211" w:lineRule="exact"/>
        <w:rPr>
          <w:rFonts w:ascii="Arial" w:cs="Arial" w:eastAsia="Arial" w:hAnsi="Arial"/>
          <w:sz w:val="18"/>
          <w:szCs w:val="18"/>
          <w:color w:val="auto"/>
        </w:rPr>
      </w:pPr>
    </w:p>
    <w:p>
      <w:pPr>
        <w:ind w:left="720" w:right="239" w:hanging="325"/>
        <w:spacing w:after="0" w:line="261"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associated with training sales and marketing personnel on legal and regulatory compliance matters and monitoring their actions;</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and labeled claims for which the product is approved;</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limitations or warnings, including distribution or use restrictions, contained in the product’s approved labeling;</w:t>
      </w:r>
    </w:p>
    <w:p>
      <w:pPr>
        <w:spacing w:after="0" w:line="223" w:lineRule="exact"/>
        <w:rPr>
          <w:rFonts w:ascii="Arial" w:cs="Arial" w:eastAsia="Arial" w:hAnsi="Arial"/>
          <w:sz w:val="17"/>
          <w:szCs w:val="17"/>
          <w:color w:val="auto"/>
        </w:rPr>
      </w:pPr>
    </w:p>
    <w:p>
      <w:pPr>
        <w:ind w:left="720" w:right="239" w:hanging="325"/>
        <w:spacing w:after="0" w:line="261"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spacing w:after="0" w:line="170" w:lineRule="exact"/>
        <w:rPr>
          <w:rFonts w:ascii="Arial" w:cs="Arial" w:eastAsia="Arial" w:hAnsi="Arial"/>
          <w:sz w:val="18"/>
          <w:szCs w:val="18"/>
          <w:color w:val="auto"/>
        </w:rPr>
      </w:pPr>
    </w:p>
    <w:p>
      <w:pPr>
        <w:ind w:left="720" w:right="1079" w:hanging="325"/>
        <w:spacing w:after="0" w:line="261"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170" w:lineRule="exact"/>
        <w:rPr>
          <w:rFonts w:ascii="Arial" w:cs="Arial" w:eastAsia="Arial" w:hAnsi="Arial"/>
          <w:sz w:val="18"/>
          <w:szCs w:val="18"/>
          <w:color w:val="auto"/>
        </w:rPr>
      </w:pPr>
    </w:p>
    <w:p>
      <w:pPr>
        <w:ind w:left="720" w:right="819" w:hanging="325"/>
        <w:spacing w:after="0" w:line="261"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70" w:lineRule="exact"/>
        <w:rPr>
          <w:rFonts w:ascii="Arial" w:cs="Arial" w:eastAsia="Arial" w:hAnsi="Arial"/>
          <w:sz w:val="18"/>
          <w:szCs w:val="18"/>
          <w:color w:val="auto"/>
        </w:rPr>
      </w:pPr>
    </w:p>
    <w:p>
      <w:pPr>
        <w:ind w:left="720" w:right="579" w:hanging="325"/>
        <w:spacing w:after="0" w:line="261"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71" w:lineRule="exact"/>
        <w:rPr>
          <w:sz w:val="20"/>
          <w:szCs w:val="20"/>
          <w:color w:val="auto"/>
        </w:rPr>
      </w:pPr>
    </w:p>
    <w:p>
      <w:pPr>
        <w:ind w:left="40" w:right="279" w:firstLine="648"/>
        <w:spacing w:after="0" w:line="276" w:lineRule="auto"/>
        <w:rPr>
          <w:sz w:val="20"/>
          <w:szCs w:val="20"/>
          <w:color w:val="auto"/>
        </w:rPr>
      </w:pPr>
      <w:r>
        <w:rPr>
          <w:rFonts w:ascii="Arial" w:cs="Arial" w:eastAsia="Arial" w:hAnsi="Arial"/>
          <w:sz w:val="16"/>
          <w:szCs w:val="16"/>
          <w:color w:val="auto"/>
        </w:rPr>
        <w:t>Although our current plan is to hire most of our sales and marketing personnel only if a product candidate is approved by the FDA, we will incur expenses prior to product launch in recruiting this sales force and developing a compliant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61"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7"/>
          <w:szCs w:val="17"/>
          <w:color w:val="auto"/>
        </w:rPr>
        <w:t>In the event we are unable to collaborate with a third-party marketing and sales organization to commercialize any approved product candidates outside the United States, our ability to generate product revenues may be limited. To the extent we rely on third parties to commercialize any products for which we obtain regulatory approval, we may receive less revenues than if we commercialized these products ourselves and may be subject to additional regulatory restrictions associated with the operation of a contracted sales force. In addition, we would have less control over the sales efforts of any other third parties involved in our commercialization efforts, and could be held liable if they failed to comply with applicable legal or regulatory requirements.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59"/>
        <w:spacing w:after="0" w:line="261" w:lineRule="auto"/>
        <w:rPr>
          <w:sz w:val="20"/>
          <w:szCs w:val="20"/>
          <w:color w:val="auto"/>
        </w:rPr>
      </w:pPr>
      <w:r>
        <w:rPr>
          <w:rFonts w:ascii="Arial" w:cs="Arial" w:eastAsia="Arial" w:hAnsi="Arial"/>
          <w:sz w:val="18"/>
          <w:szCs w:val="18"/>
          <w:b w:val="1"/>
          <w:bCs w:val="1"/>
          <w:i w:val="1"/>
          <w:iCs w:val="1"/>
          <w:color w:val="auto"/>
        </w:rPr>
        <w:t>If any of our current or future product candidates do not achieve broad market acceptance, the revenues that we generate from their sales will be limited.</w:t>
      </w:r>
    </w:p>
    <w:p>
      <w:pPr>
        <w:spacing w:after="0" w:line="171"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6"/>
          <w:szCs w:val="16"/>
          <w:color w:val="auto"/>
        </w:rPr>
        <w:t>We have never commercialized a product candidate for any indication. 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 party payors may not consider them cost effective without a significant price concession, which could negatively impact our revenue. Third party payors may also implement onerous access controls, which could further impede our efforts to effectively transition eligible patients to our therapies.</w:t>
      </w:r>
    </w:p>
    <w:p>
      <w:pPr>
        <w:spacing w:after="0" w:line="168" w:lineRule="exact"/>
        <w:rPr>
          <w:sz w:val="20"/>
          <w:szCs w:val="20"/>
          <w:color w:val="auto"/>
        </w:rPr>
      </w:pPr>
    </w:p>
    <w:p>
      <w:pPr>
        <w:ind w:left="40" w:right="179" w:firstLine="648"/>
        <w:spacing w:after="0" w:line="284" w:lineRule="auto"/>
        <w:rPr>
          <w:sz w:val="20"/>
          <w:szCs w:val="20"/>
          <w:color w:val="auto"/>
        </w:rPr>
      </w:pPr>
      <w:r>
        <w:rPr>
          <w:rFonts w:ascii="Arial" w:cs="Arial" w:eastAsia="Arial" w:hAnsi="Arial"/>
          <w:sz w:val="16"/>
          <w:szCs w:val="16"/>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55" w:lineRule="exact"/>
        <w:rPr>
          <w:sz w:val="20"/>
          <w:szCs w:val="20"/>
          <w:color w:val="auto"/>
        </w:rPr>
      </w:pPr>
    </w:p>
    <w:p>
      <w:pPr>
        <w:ind w:left="720" w:hanging="325"/>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w:t>
      </w:r>
    </w:p>
    <w:p>
      <w:pPr>
        <w:spacing w:after="0" w:line="211" w:lineRule="exact"/>
        <w:rPr>
          <w:rFonts w:ascii="Arial" w:cs="Arial" w:eastAsia="Arial" w:hAnsi="Arial"/>
          <w:sz w:val="18"/>
          <w:szCs w:val="18"/>
          <w:color w:val="auto"/>
        </w:rPr>
      </w:pPr>
    </w:p>
    <w:p>
      <w:pPr>
        <w:ind w:left="720" w:right="519" w:hanging="325"/>
        <w:spacing w:after="0" w:line="261"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approved claims that we may make for the product;</w:t>
      </w:r>
    </w:p>
    <w:p>
      <w:pPr>
        <w:spacing w:after="0" w:line="170" w:lineRule="exact"/>
        <w:rPr>
          <w:rFonts w:ascii="Arial" w:cs="Arial" w:eastAsia="Arial" w:hAnsi="Arial"/>
          <w:sz w:val="18"/>
          <w:szCs w:val="18"/>
          <w:color w:val="auto"/>
        </w:rPr>
      </w:pPr>
    </w:p>
    <w:p>
      <w:pPr>
        <w:ind w:left="720" w:right="519" w:hanging="325"/>
        <w:spacing w:after="0" w:line="291"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limitations or warnings contained in the product’s FDA-approved labeling, including potential limitations or warnings for such product candidate, that may be more restrictive than other competitive products;</w:t>
      </w:r>
    </w:p>
    <w:p>
      <w:pPr>
        <w:spacing w:after="0" w:line="146" w:lineRule="exact"/>
        <w:rPr>
          <w:rFonts w:ascii="Arial" w:cs="Arial" w:eastAsia="Arial" w:hAnsi="Arial"/>
          <w:sz w:val="17"/>
          <w:szCs w:val="17"/>
          <w:color w:val="auto"/>
        </w:rPr>
      </w:pPr>
    </w:p>
    <w:p>
      <w:pPr>
        <w:ind w:left="720" w:right="379" w:hanging="325"/>
        <w:spacing w:after="0" w:line="261"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such product candidate;</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211" w:lineRule="exact"/>
        <w:rPr>
          <w:rFonts w:ascii="Arial" w:cs="Arial" w:eastAsia="Arial" w:hAnsi="Arial"/>
          <w:sz w:val="18"/>
          <w:szCs w:val="18"/>
          <w:color w:val="auto"/>
        </w:rPr>
      </w:pPr>
    </w:p>
    <w:p>
      <w:pPr>
        <w:ind w:left="720" w:right="319" w:hanging="325"/>
        <w:spacing w:after="0" w:line="291"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availability of adequate coverage or reimbursement by third parties, such as insurance companies and other healthcare payors, and by government healthcare programs, including Medicare and Medicaid;</w:t>
      </w:r>
    </w:p>
    <w:p>
      <w:pPr>
        <w:spacing w:after="0" w:line="146" w:lineRule="exact"/>
        <w:rPr>
          <w:rFonts w:ascii="Arial" w:cs="Arial" w:eastAsia="Arial" w:hAnsi="Arial"/>
          <w:sz w:val="17"/>
          <w:szCs w:val="17"/>
          <w:color w:val="auto"/>
        </w:rPr>
      </w:pPr>
    </w:p>
    <w:p>
      <w:pPr>
        <w:ind w:left="720" w:right="399" w:hanging="325"/>
        <w:spacing w:after="0" w:line="261"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third party payors to prefer similar but less expensive products even if not approved for our product’s indication;</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w:t>
      </w:r>
    </w:p>
    <w:p>
      <w:pPr>
        <w:spacing w:after="0" w:line="211" w:lineRule="exact"/>
        <w:rPr>
          <w:rFonts w:ascii="Arial" w:cs="Arial" w:eastAsia="Arial" w:hAnsi="Arial"/>
          <w:sz w:val="18"/>
          <w:szCs w:val="18"/>
          <w:color w:val="auto"/>
        </w:rPr>
      </w:pPr>
    </w:p>
    <w:p>
      <w:pPr>
        <w:ind w:left="720" w:right="139" w:hanging="325"/>
        <w:spacing w:after="0" w:line="261"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spacing w:after="0" w:line="170" w:lineRule="exact"/>
        <w:rPr>
          <w:rFonts w:ascii="Arial" w:cs="Arial" w:eastAsia="Arial" w:hAnsi="Arial"/>
          <w:sz w:val="18"/>
          <w:szCs w:val="18"/>
          <w:color w:val="auto"/>
        </w:rPr>
      </w:pPr>
    </w:p>
    <w:p>
      <w:pPr>
        <w:ind w:left="720" w:right="119" w:hanging="325"/>
        <w:spacing w:after="0" w:line="291"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distribution and use restrictions imposed by the FDA with respect to such product candidate or to which we agree as part of a mandatory risk evaluation and mitigation strategy or voluntary risk management plan;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25"/>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 as well as competitive products;</w:t>
      </w:r>
    </w:p>
    <w:p>
      <w:pPr>
        <w:spacing w:after="0" w:line="211" w:lineRule="exact"/>
        <w:rPr>
          <w:rFonts w:ascii="Arial" w:cs="Arial" w:eastAsia="Arial" w:hAnsi="Arial"/>
          <w:sz w:val="18"/>
          <w:szCs w:val="18"/>
          <w:color w:val="auto"/>
        </w:rPr>
      </w:pPr>
    </w:p>
    <w:p>
      <w:pPr>
        <w:ind w:left="720" w:right="79" w:hanging="325"/>
        <w:spacing w:after="0" w:line="261"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offer such product candidate for sale at competitive prices, including prices that are competitive with generic products;</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234" w:lineRule="exact"/>
        <w:rPr>
          <w:rFonts w:ascii="Arial" w:cs="Arial" w:eastAsia="Arial" w:hAnsi="Arial"/>
          <w:sz w:val="16"/>
          <w:szCs w:val="16"/>
          <w:color w:val="auto"/>
        </w:rPr>
      </w:pPr>
    </w:p>
    <w:p>
      <w:pPr>
        <w:ind w:left="720" w:hanging="325"/>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such product candidate is approved;</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12" w:lineRule="exact"/>
        <w:rPr>
          <w:sz w:val="20"/>
          <w:szCs w:val="20"/>
          <w:color w:val="auto"/>
        </w:rPr>
      </w:pPr>
    </w:p>
    <w:p>
      <w:pPr>
        <w:ind w:left="40" w:right="79" w:firstLine="648"/>
        <w:spacing w:after="0" w:line="252" w:lineRule="auto"/>
        <w:rPr>
          <w:sz w:val="20"/>
          <w:szCs w:val="20"/>
          <w:color w:val="auto"/>
        </w:rPr>
      </w:pPr>
      <w:r>
        <w:rPr>
          <w:rFonts w:ascii="Arial" w:cs="Arial" w:eastAsia="Arial" w:hAnsi="Arial"/>
          <w:sz w:val="17"/>
          <w:szCs w:val="17"/>
          <w:color w:val="auto"/>
        </w:rPr>
        <w:t>Our efforts to educate the medical community and third-party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third-party payors. If any of our current or future product candidates is approved but does not achieve an adequate level of acceptance among physicians, patients, and third-party payors, we may not generate meaningful revenues from our product candidates, and we may not become profitable.</w:t>
      </w:r>
    </w:p>
    <w:p>
      <w:pPr>
        <w:spacing w:after="0" w:line="186" w:lineRule="exact"/>
        <w:rPr>
          <w:sz w:val="20"/>
          <w:szCs w:val="20"/>
          <w:color w:val="auto"/>
        </w:rPr>
      </w:pPr>
    </w:p>
    <w:p>
      <w:pPr>
        <w:ind w:left="40" w:right="79" w:firstLine="648"/>
        <w:spacing w:after="0" w:line="241" w:lineRule="auto"/>
        <w:rPr>
          <w:sz w:val="20"/>
          <w:szCs w:val="20"/>
          <w:color w:val="auto"/>
        </w:rPr>
      </w:pPr>
      <w:r>
        <w:rPr>
          <w:rFonts w:ascii="Arial" w:cs="Arial" w:eastAsia="Arial" w:hAnsi="Arial"/>
          <w:sz w:val="18"/>
          <w:szCs w:val="18"/>
          <w:color w:val="auto"/>
        </w:rPr>
        <w:t>The ability of patients to purchase certain of the active ingredients of our product candidates in generic form could put us at a competitive disadvantage. For example, in some foreign jurisdictions, generic oral forms of DM and bupropion are currently available individually for consumer purchase. In addition, physicians may prescribe generic zoledronic acid for the treatment of pain off-label. Any use of these generic forms of the active molecules of our product candidates could adversely affect our business and our results of operations.</w:t>
      </w:r>
    </w:p>
    <w:p>
      <w:pPr>
        <w:spacing w:after="0" w:line="189" w:lineRule="exact"/>
        <w:rPr>
          <w:sz w:val="20"/>
          <w:szCs w:val="20"/>
          <w:color w:val="auto"/>
        </w:rPr>
      </w:pPr>
    </w:p>
    <w:p>
      <w:pPr>
        <w:ind w:left="40" w:right="179" w:firstLine="648"/>
        <w:spacing w:after="0" w:line="239" w:lineRule="auto"/>
        <w:rPr>
          <w:sz w:val="20"/>
          <w:szCs w:val="20"/>
          <w:color w:val="auto"/>
        </w:rPr>
      </w:pPr>
      <w:r>
        <w:rPr>
          <w:rFonts w:ascii="Arial" w:cs="Arial" w:eastAsia="Arial" w:hAnsi="Arial"/>
          <w:sz w:val="18"/>
          <w:szCs w:val="18"/>
          <w:color w:val="auto"/>
        </w:rPr>
        <w:t>The potential market opportunities for our product candidates are difficult to precisely estimate. Our estimates of the potential market opportunities are predicated on many assumptions including industry knowledge and publications, third-party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362" w:lineRule="auto"/>
        <w:rPr>
          <w:sz w:val="20"/>
          <w:szCs w:val="20"/>
          <w:color w:val="auto"/>
        </w:rPr>
      </w:pPr>
      <w:r>
        <w:rPr>
          <w:rFonts w:ascii="Arial" w:cs="Arial" w:eastAsia="Arial" w:hAnsi="Arial"/>
          <w:sz w:val="15"/>
          <w:szCs w:val="15"/>
          <w:b w:val="1"/>
          <w:bCs w:val="1"/>
          <w:i w:val="1"/>
          <w:iCs w:val="1"/>
          <w:color w:val="auto"/>
        </w:rPr>
        <w:t>We face potential product liability exposure, and if successful claims are brought against us, we may incur substantial liability for any of our current or future product candidates and may have to limit their commercialization.</w:t>
      </w:r>
    </w:p>
    <w:p>
      <w:pPr>
        <w:spacing w:after="0" w:line="101" w:lineRule="exact"/>
        <w:rPr>
          <w:sz w:val="20"/>
          <w:szCs w:val="20"/>
          <w:color w:val="auto"/>
        </w:rPr>
      </w:pPr>
    </w:p>
    <w:p>
      <w:pPr>
        <w:ind w:left="40" w:right="59" w:firstLine="648"/>
        <w:spacing w:after="0" w:line="252" w:lineRule="auto"/>
        <w:rPr>
          <w:sz w:val="20"/>
          <w:szCs w:val="20"/>
          <w:color w:val="auto"/>
        </w:rPr>
      </w:pPr>
      <w:r>
        <w:rPr>
          <w:rFonts w:ascii="Arial" w:cs="Arial" w:eastAsia="Arial" w:hAnsi="Arial"/>
          <w:sz w:val="17"/>
          <w:szCs w:val="17"/>
          <w:color w:val="auto"/>
        </w:rPr>
        <w:t>The use of any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83" w:lineRule="exact"/>
        <w:rPr>
          <w:sz w:val="20"/>
          <w:szCs w:val="20"/>
          <w:color w:val="auto"/>
        </w:rPr>
      </w:pPr>
    </w:p>
    <w:p>
      <w:pPr>
        <w:ind w:left="720" w:hanging="325"/>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 from decreased demand for our products and/or product candidates;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impairment of our business reputation or financial stability;</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223" w:lineRule="exact"/>
        <w:rPr>
          <w:rFonts w:ascii="Arial" w:cs="Arial" w:eastAsia="Arial" w:hAnsi="Arial"/>
          <w:sz w:val="17"/>
          <w:szCs w:val="17"/>
          <w:color w:val="auto"/>
        </w:rPr>
      </w:pPr>
    </w:p>
    <w:p>
      <w:pPr>
        <w:ind w:left="720" w:hanging="325"/>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 in our stock price;</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initiation of investigations and enforcement actions by regulators; and</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12"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6"/>
          <w:szCs w:val="16"/>
          <w:color w:val="auto"/>
        </w:rPr>
        <w:t>We have obtained limited product liability insurance coverage for our products and our clinical trials with a $8.0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6" w:lineRule="exact"/>
        <w:rPr>
          <w:sz w:val="20"/>
          <w:szCs w:val="20"/>
          <w:color w:val="auto"/>
        </w:rPr>
      </w:pPr>
    </w:p>
    <w:p>
      <w:pPr>
        <w:ind w:left="40" w:right="319"/>
        <w:spacing w:after="0" w:line="270" w:lineRule="auto"/>
        <w:rPr>
          <w:sz w:val="20"/>
          <w:szCs w:val="20"/>
          <w:color w:val="auto"/>
        </w:rPr>
      </w:pPr>
      <w:r>
        <w:rPr>
          <w:rFonts w:ascii="Arial" w:cs="Arial" w:eastAsia="Arial" w:hAnsi="Arial"/>
          <w:sz w:val="17"/>
          <w:szCs w:val="17"/>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64"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6"/>
          <w:szCs w:val="16"/>
          <w:color w:val="auto"/>
        </w:rPr>
        <w:t>We rely on third-party CROs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would delay our product development activities and adversely affect our business.</w:t>
      </w:r>
    </w:p>
    <w:p>
      <w:pPr>
        <w:spacing w:after="0" w:line="171" w:lineRule="exact"/>
        <w:rPr>
          <w:sz w:val="20"/>
          <w:szCs w:val="20"/>
          <w:color w:val="auto"/>
        </w:rPr>
      </w:pPr>
    </w:p>
    <w:p>
      <w:pPr>
        <w:ind w:left="40" w:right="59" w:firstLine="648"/>
        <w:spacing w:after="0" w:line="251"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practices, or GCPs,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GCPs,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89" w:lineRule="exact"/>
        <w:rPr>
          <w:sz w:val="20"/>
          <w:szCs w:val="20"/>
          <w:color w:val="auto"/>
        </w:rPr>
      </w:pPr>
    </w:p>
    <w:p>
      <w:pPr>
        <w:ind w:left="40" w:right="439" w:firstLine="648"/>
        <w:spacing w:after="0" w:line="255" w:lineRule="auto"/>
        <w:rPr>
          <w:sz w:val="20"/>
          <w:szCs w:val="20"/>
          <w:color w:val="auto"/>
        </w:rPr>
      </w:pPr>
      <w:r>
        <w:rPr>
          <w:rFonts w:ascii="Arial" w:cs="Arial" w:eastAsia="Arial" w:hAnsi="Arial"/>
          <w:sz w:val="17"/>
          <w:szCs w:val="17"/>
          <w:color w:val="auto"/>
        </w:rPr>
        <w:t>In addition, once we have an approved product, we will be required to report certain financial interests of our third-party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80" w:lineRule="exact"/>
        <w:rPr>
          <w:sz w:val="20"/>
          <w:szCs w:val="20"/>
          <w:color w:val="auto"/>
        </w:rPr>
      </w:pPr>
    </w:p>
    <w:p>
      <w:pPr>
        <w:ind w:left="40" w:right="299" w:firstLine="648"/>
        <w:spacing w:after="0" w:line="276" w:lineRule="auto"/>
        <w:rPr>
          <w:sz w:val="20"/>
          <w:szCs w:val="20"/>
          <w:color w:val="auto"/>
        </w:rPr>
      </w:pPr>
      <w:r>
        <w:rPr>
          <w:rFonts w:ascii="Arial" w:cs="Arial" w:eastAsia="Arial" w:hAnsi="Arial"/>
          <w:sz w:val="16"/>
          <w:szCs w:val="16"/>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ClinicalTrials.gov, within specified timeframes. Failure to do so can result in enforcement actions and adverse publicity.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648"/>
        <w:spacing w:after="0" w:line="268" w:lineRule="auto"/>
        <w:rPr>
          <w:sz w:val="20"/>
          <w:szCs w:val="20"/>
          <w:color w:val="auto"/>
        </w:rPr>
      </w:pPr>
      <w:r>
        <w:rPr>
          <w:rFonts w:ascii="Arial" w:cs="Arial" w:eastAsia="Arial" w:hAnsi="Arial"/>
          <w:sz w:val="16"/>
          <w:szCs w:val="16"/>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75" w:lineRule="exact"/>
        <w:rPr>
          <w:sz w:val="20"/>
          <w:szCs w:val="20"/>
          <w:color w:val="auto"/>
        </w:rPr>
      </w:pPr>
    </w:p>
    <w:p>
      <w:pPr>
        <w:ind w:left="40" w:right="219" w:firstLine="648"/>
        <w:spacing w:after="0" w:line="274"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63" w:lineRule="exact"/>
        <w:rPr>
          <w:sz w:val="20"/>
          <w:szCs w:val="20"/>
          <w:color w:val="auto"/>
        </w:rPr>
      </w:pPr>
    </w:p>
    <w:p>
      <w:pPr>
        <w:ind w:left="40" w:right="399"/>
        <w:spacing w:after="0" w:line="243" w:lineRule="auto"/>
        <w:rPr>
          <w:sz w:val="20"/>
          <w:szCs w:val="20"/>
          <w:color w:val="auto"/>
        </w:rPr>
      </w:pPr>
      <w:r>
        <w:rPr>
          <w:rFonts w:ascii="Arial" w:cs="Arial" w:eastAsia="Arial" w:hAnsi="Arial"/>
          <w:sz w:val="18"/>
          <w:szCs w:val="18"/>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88" w:lineRule="exact"/>
        <w:rPr>
          <w:sz w:val="20"/>
          <w:szCs w:val="20"/>
          <w:color w:val="auto"/>
        </w:rPr>
      </w:pPr>
    </w:p>
    <w:p>
      <w:pPr>
        <w:ind w:left="40" w:right="99" w:firstLine="648"/>
        <w:spacing w:after="0" w:line="238" w:lineRule="auto"/>
        <w:rPr>
          <w:sz w:val="20"/>
          <w:szCs w:val="20"/>
          <w:color w:val="auto"/>
        </w:rPr>
      </w:pPr>
      <w:r>
        <w:rPr>
          <w:rFonts w:ascii="Arial" w:cs="Arial" w:eastAsia="Arial" w:hAnsi="Arial"/>
          <w:sz w:val="18"/>
          <w:szCs w:val="18"/>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94" w:lineRule="exact"/>
        <w:rPr>
          <w:sz w:val="20"/>
          <w:szCs w:val="20"/>
          <w:color w:val="auto"/>
        </w:rPr>
      </w:pPr>
    </w:p>
    <w:p>
      <w:pPr>
        <w:ind w:left="40" w:right="139" w:firstLine="648"/>
        <w:spacing w:after="0" w:line="270" w:lineRule="auto"/>
        <w:rPr>
          <w:sz w:val="20"/>
          <w:szCs w:val="20"/>
          <w:color w:val="auto"/>
        </w:rPr>
      </w:pPr>
      <w:r>
        <w:rPr>
          <w:rFonts w:ascii="Arial" w:cs="Arial" w:eastAsia="Arial" w:hAnsi="Arial"/>
          <w:sz w:val="16"/>
          <w:szCs w:val="16"/>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648"/>
        <w:spacing w:after="0" w:line="270" w:lineRule="auto"/>
        <w:rPr>
          <w:sz w:val="20"/>
          <w:szCs w:val="20"/>
          <w:color w:val="auto"/>
        </w:rPr>
      </w:pPr>
      <w:r>
        <w:rPr>
          <w:rFonts w:ascii="Arial" w:cs="Arial" w:eastAsia="Arial" w:hAnsi="Arial"/>
          <w:sz w:val="16"/>
          <w:szCs w:val="16"/>
          <w:color w:val="auto"/>
        </w:rPr>
        <w:t>Any problems or delays we experience in preparing for commercial-scale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67" w:lineRule="exact"/>
        <w:rPr>
          <w:sz w:val="20"/>
          <w:szCs w:val="20"/>
          <w:color w:val="auto"/>
        </w:rPr>
      </w:pPr>
    </w:p>
    <w:p>
      <w:pPr>
        <w:ind w:left="40" w:right="179" w:firstLine="648"/>
        <w:spacing w:after="0" w:line="253" w:lineRule="auto"/>
        <w:rPr>
          <w:sz w:val="20"/>
          <w:szCs w:val="20"/>
          <w:color w:val="auto"/>
        </w:rPr>
      </w:pPr>
      <w:r>
        <w:rPr>
          <w:rFonts w:ascii="Arial" w:cs="Arial" w:eastAsia="Arial" w:hAnsi="Arial"/>
          <w:sz w:val="17"/>
          <w:szCs w:val="17"/>
          <w:color w:val="auto"/>
        </w:rPr>
        <w:t>We have a limited number of contract manufacturers for our products. At times we may have only one manufacturer for a product. In addition, we do not have any long-term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80" w:lineRule="exact"/>
        <w:rPr>
          <w:sz w:val="20"/>
          <w:szCs w:val="20"/>
          <w:color w:val="auto"/>
        </w:rPr>
      </w:pPr>
    </w:p>
    <w:p>
      <w:pPr>
        <w:ind w:left="40" w:right="59" w:firstLine="648"/>
        <w:spacing w:after="0" w:line="250" w:lineRule="auto"/>
        <w:rPr>
          <w:sz w:val="20"/>
          <w:szCs w:val="20"/>
          <w:color w:val="auto"/>
        </w:rPr>
      </w:pPr>
      <w:r>
        <w:rPr>
          <w:rFonts w:ascii="Arial" w:cs="Arial" w:eastAsia="Arial" w:hAnsi="Arial"/>
          <w:sz w:val="17"/>
          <w:szCs w:val="17"/>
          <w:color w:val="auto"/>
        </w:rPr>
        <w:t>In addition, all manufacturers of our product candidates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189" w:lineRule="exact"/>
        <w:rPr>
          <w:sz w:val="20"/>
          <w:szCs w:val="20"/>
          <w:color w:val="auto"/>
        </w:rPr>
      </w:pPr>
    </w:p>
    <w:p>
      <w:pPr>
        <w:ind w:left="40" w:right="99" w:firstLine="648"/>
        <w:spacing w:after="0" w:line="284" w:lineRule="auto"/>
        <w:rPr>
          <w:sz w:val="20"/>
          <w:szCs w:val="20"/>
          <w:color w:val="auto"/>
        </w:rPr>
      </w:pPr>
      <w:r>
        <w:rPr>
          <w:rFonts w:ascii="Arial" w:cs="Arial" w:eastAsia="Arial" w:hAnsi="Arial"/>
          <w:sz w:val="16"/>
          <w:szCs w:val="16"/>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spacing w:after="0" w:line="362" w:lineRule="auto"/>
        <w:rPr>
          <w:sz w:val="20"/>
          <w:szCs w:val="20"/>
          <w:color w:val="auto"/>
        </w:rPr>
      </w:pPr>
      <w:r>
        <w:rPr>
          <w:rFonts w:ascii="Arial" w:cs="Arial" w:eastAsia="Arial" w:hAnsi="Arial"/>
          <w:sz w:val="15"/>
          <w:szCs w:val="15"/>
          <w:b w:val="1"/>
          <w:bCs w:val="1"/>
          <w:i w:val="1"/>
          <w:iCs w:val="1"/>
          <w:color w:val="auto"/>
        </w:rPr>
        <w:t>Our business operations, financial condition, results of operations and cash flows may be adversely affected by the effects of health epidemics, pandemics, or outbreaks of infectious diseases, including the recent COVID-19 pandemic.</w:t>
      </w:r>
    </w:p>
    <w:p>
      <w:pPr>
        <w:spacing w:after="0" w:line="101" w:lineRule="exact"/>
        <w:rPr>
          <w:sz w:val="20"/>
          <w:szCs w:val="20"/>
          <w:color w:val="auto"/>
        </w:rPr>
      </w:pPr>
    </w:p>
    <w:p>
      <w:pPr>
        <w:jc w:val="both"/>
        <w:ind w:left="40" w:right="119" w:firstLine="648"/>
        <w:spacing w:after="0" w:line="248" w:lineRule="auto"/>
        <w:rPr>
          <w:sz w:val="20"/>
          <w:szCs w:val="20"/>
          <w:color w:val="auto"/>
        </w:rPr>
      </w:pPr>
      <w:r>
        <w:rPr>
          <w:rFonts w:ascii="Arial" w:cs="Arial" w:eastAsia="Arial" w:hAnsi="Arial"/>
          <w:sz w:val="18"/>
          <w:szCs w:val="18"/>
          <w:color w:val="auto"/>
        </w:rPr>
        <w:t>Our business could be adversely affected by health epidemics in regions where we have concentrations of clinical trial sites or other business operations, and could cause significant disruption in the operations of third-party manufacturers and CROs upon whom we rely.</w:t>
      </w:r>
    </w:p>
    <w:p>
      <w:pPr>
        <w:spacing w:after="0" w:line="182" w:lineRule="exact"/>
        <w:rPr>
          <w:sz w:val="20"/>
          <w:szCs w:val="20"/>
          <w:color w:val="auto"/>
        </w:rPr>
      </w:pPr>
    </w:p>
    <w:p>
      <w:pPr>
        <w:ind w:left="40" w:right="59" w:firstLine="648"/>
        <w:spacing w:after="0" w:line="251" w:lineRule="auto"/>
        <w:rPr>
          <w:sz w:val="20"/>
          <w:szCs w:val="20"/>
          <w:color w:val="auto"/>
        </w:rPr>
      </w:pPr>
      <w:r>
        <w:rPr>
          <w:rFonts w:ascii="Arial" w:cs="Arial" w:eastAsia="Arial" w:hAnsi="Arial"/>
          <w:sz w:val="17"/>
          <w:szCs w:val="17"/>
          <w:color w:val="auto"/>
        </w:rPr>
        <w:t>For example, in December 2019, a novel strain of coronavirus, COVID-19, was identified in Wuhan, China. This virus continues to spread globally and in March 2020, the World Health Organization declared COVID-19 a pandemic. The COVID-19 pandemic has negatively impacted the global economy, disrupted global supply chains and created significant volatility and disruption of financial markets. Currently, the COVID-19 pandemic is having a significant adverse impact on the conduct of oncology clinical trials in the US. The evolving COVID-19 pandemic has impacted the pace of enrollment in clinical trials and we may be affected by similar delays as patients may avoid or may not be able to travel to healthcare facilities and physicians’ offices unless due to a health emergency and clinical trial staff can no longer get to the clinic. Such facilities and offices have been and may continue to be required to focus limited resources on non-clinical trial matters, including treatment of COVID-19 patients, thereby decreasing availability, in whole or in part, for clinical trial services. In addition, employee disruptions and remote working environments related to the COVID-19 pandemic and the federal, state and local responses to such virus, has impacted and could continue to impact the efficiency and pace with which we work and develop our product candidates and our manufacturing capabilities. In addition, the COVID-19 pandemic has affected and may continue to affect the operations of the FDA and other health authorities, which could result in delays of reviews and approvals.</w:t>
      </w:r>
    </w:p>
    <w:p>
      <w:pPr>
        <w:spacing w:after="0" w:line="189" w:lineRule="exact"/>
        <w:rPr>
          <w:sz w:val="20"/>
          <w:szCs w:val="20"/>
          <w:color w:val="auto"/>
        </w:rPr>
      </w:pPr>
    </w:p>
    <w:p>
      <w:pPr>
        <w:ind w:left="40" w:right="199" w:firstLine="648"/>
        <w:spacing w:after="0" w:line="253" w:lineRule="auto"/>
        <w:rPr>
          <w:sz w:val="20"/>
          <w:szCs w:val="20"/>
          <w:color w:val="auto"/>
        </w:rPr>
      </w:pPr>
      <w:r>
        <w:rPr>
          <w:rFonts w:ascii="Arial" w:cs="Arial" w:eastAsia="Arial" w:hAnsi="Arial"/>
          <w:sz w:val="17"/>
          <w:szCs w:val="17"/>
          <w:color w:val="auto"/>
        </w:rPr>
        <w:t>We may utilize contract manufacturers to manufacture our investigational products and plan to utilize contract manufacturers if and when we obtain FDA approval. The FDA has announced that domestic and foreign facility inspections are temporarily delayed, while inspections deemed “mission critical” (e.g., pre-approval and for-cause inspections) will be carried out on a case-by-case basis. Depending on the length of the COVID-19 pandemic and FDA’s related internal policies, this could impact future applications and product candidates. The FDA has indicated that it will utilize interim measures such as reviewing a firm’s previous compliance history, using information shared from foreign governments as part of mutual recognition and confidentiality agreements and requesting records “in advance of or in lieu of” on-site drug inspections. Nevertheless, we cannot predict at this time whether this or other developments will cause delays or cause other situations that may impact our business.</w:t>
      </w:r>
    </w:p>
    <w:p>
      <w:pPr>
        <w:spacing w:after="0" w:line="184" w:lineRule="exact"/>
        <w:rPr>
          <w:sz w:val="20"/>
          <w:szCs w:val="20"/>
          <w:color w:val="auto"/>
        </w:rPr>
      </w:pPr>
    </w:p>
    <w:p>
      <w:pPr>
        <w:ind w:left="40" w:right="139" w:firstLine="648"/>
        <w:spacing w:after="0" w:line="270" w:lineRule="auto"/>
        <w:rPr>
          <w:sz w:val="20"/>
          <w:szCs w:val="20"/>
          <w:color w:val="auto"/>
        </w:rPr>
      </w:pPr>
      <w:r>
        <w:rPr>
          <w:rFonts w:ascii="Arial" w:cs="Arial" w:eastAsia="Arial" w:hAnsi="Arial"/>
          <w:sz w:val="16"/>
          <w:szCs w:val="16"/>
          <w:color w:val="auto"/>
        </w:rPr>
        <w:t>Further, on March 25, 2020 and updated on July 2, 2020, the FDA issued Guidance on Conduct of Clinical Trials of Medical Products during the COVID-19 Pandemic for Industry, Investigators, and Institutional Review Boards to assist sponsors in assuring the safety of trial participants, maintaining compliance with good clinical practices, and minimizing risks to trial integrity during the COVID-19 Pandemic, or the COVID-19 Guidelines. The policy is intended to remain in effect only for the duration of the public health emergency related to COVID-19 declared by the Department of Health and Human Services on January 31, 2020. We have implemented several procedures in accordance with the COVID-19 Guidelines to address patient safety and clinical trial conduct during the COVID-19 pandemic, including remote monitoring of patients through telemedical visits, remote monitoring of sites by our clinical trial monitors, remote data entry, and follow-up visits at sites other than the site where the patient was initially treated. Our implementation of the COVID-19 Guidelines and potential disruptions to patient follow up, site monitoring or the timely completion of our trials may have a negative effect on our ability to complete trials and associated regulatory filings</w:t>
      </w:r>
    </w:p>
    <w:p>
      <w:pPr>
        <w:spacing w:after="0" w:line="167" w:lineRule="exact"/>
        <w:rPr>
          <w:sz w:val="20"/>
          <w:szCs w:val="20"/>
          <w:color w:val="auto"/>
        </w:rPr>
      </w:pPr>
    </w:p>
    <w:p>
      <w:pPr>
        <w:ind w:left="40" w:right="59" w:firstLine="648"/>
        <w:spacing w:after="0"/>
        <w:rPr>
          <w:sz w:val="20"/>
          <w:szCs w:val="20"/>
          <w:color w:val="auto"/>
        </w:rPr>
      </w:pPr>
      <w:r>
        <w:rPr>
          <w:rFonts w:ascii="Arial" w:cs="Arial" w:eastAsia="Arial" w:hAnsi="Arial"/>
          <w:sz w:val="18"/>
          <w:szCs w:val="18"/>
          <w:color w:val="auto"/>
        </w:rPr>
        <w:t>The ultimate impact of the COVID-19 pandemic is highly uncertain and subject to change. We do not yet know the full extent of potential delays or impacts on our business, financing or clinical trial activities or on healthcare systems or the global economy as a whole. However, these effects may have a material impact on our liquidity, capital resources, operations and business and those of the third parties on which we rely and a recession or market correction resulting from the spread of COVID-19 could materially affect our business and the value of our common stock. We will continue to monitor the COVID-19 situation closely.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79"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59" w:lineRule="exact"/>
        <w:rPr>
          <w:sz w:val="20"/>
          <w:szCs w:val="20"/>
          <w:color w:val="auto"/>
        </w:rPr>
      </w:pPr>
    </w:p>
    <w:p>
      <w:pPr>
        <w:ind w:left="40" w:right="119" w:firstLine="648"/>
        <w:spacing w:after="0" w:line="253" w:lineRule="auto"/>
        <w:rPr>
          <w:sz w:val="20"/>
          <w:szCs w:val="20"/>
          <w:color w:val="auto"/>
        </w:rPr>
      </w:pPr>
      <w:r>
        <w:rPr>
          <w:rFonts w:ascii="Arial" w:cs="Arial" w:eastAsia="Arial" w:hAnsi="Arial"/>
          <w:sz w:val="17"/>
          <w:szCs w:val="17"/>
          <w:color w:val="auto"/>
        </w:rPr>
        <w:t>We may retain third-party service providers to perform a variety of functions related to the sale and distribution of any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80" w:lineRule="exact"/>
        <w:rPr>
          <w:sz w:val="20"/>
          <w:szCs w:val="20"/>
          <w:color w:val="auto"/>
        </w:rPr>
      </w:pPr>
    </w:p>
    <w:p>
      <w:pPr>
        <w:ind w:left="40" w:right="219" w:firstLine="648"/>
        <w:spacing w:after="0" w:line="241" w:lineRule="auto"/>
        <w:rPr>
          <w:sz w:val="20"/>
          <w:szCs w:val="20"/>
          <w:color w:val="auto"/>
        </w:rPr>
      </w:pPr>
      <w:r>
        <w:rPr>
          <w:rFonts w:ascii="Arial" w:cs="Arial" w:eastAsia="Arial" w:hAnsi="Arial"/>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9" w:lineRule="exact"/>
        <w:rPr>
          <w:sz w:val="20"/>
          <w:szCs w:val="20"/>
          <w:color w:val="auto"/>
        </w:rPr>
      </w:pPr>
    </w:p>
    <w:p>
      <w:pPr>
        <w:ind w:left="40" w:right="259" w:firstLine="648"/>
        <w:spacing w:after="0" w:line="243" w:lineRule="auto"/>
        <w:rPr>
          <w:sz w:val="20"/>
          <w:szCs w:val="20"/>
          <w:color w:val="auto"/>
        </w:rPr>
      </w:pPr>
      <w:r>
        <w:rPr>
          <w:rFonts w:ascii="Arial" w:cs="Arial" w:eastAsia="Arial" w:hAnsi="Arial"/>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 penalties.</w:t>
      </w:r>
    </w:p>
    <w:p>
      <w:pPr>
        <w:spacing w:after="0" w:line="188" w:lineRule="exact"/>
        <w:rPr>
          <w:sz w:val="20"/>
          <w:szCs w:val="20"/>
          <w:color w:val="auto"/>
        </w:rPr>
      </w:pPr>
    </w:p>
    <w:p>
      <w:pPr>
        <w:ind w:left="40" w:right="459"/>
        <w:spacing w:after="0" w:line="324" w:lineRule="auto"/>
        <w:rPr>
          <w:sz w:val="20"/>
          <w:szCs w:val="20"/>
          <w:color w:val="auto"/>
        </w:rPr>
      </w:pPr>
      <w:r>
        <w:rPr>
          <w:rFonts w:ascii="Arial" w:cs="Arial" w:eastAsia="Arial" w:hAnsi="Arial"/>
          <w:sz w:val="16"/>
          <w:szCs w:val="16"/>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24"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6"/>
          <w:szCs w:val="16"/>
          <w:color w:val="auto"/>
        </w:rPr>
        <w:t>Our business model is to commercialize our product candidates in the United States and generally to seek future collaboration arrangements with pharmaceutical or biotechnology companies, or academic institutions, for the development or commercialization of our product candidates in the rest of the world. For example, in December 2017, we entered into a research collaboration agreement with Duke University for the conduct of a Phase 2 clinical trial of AXS-05 for smoking cessation treatment, which was completed in April 2019. We currently have not entered into any sub-license agreements.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rely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75" w:lineRule="exact"/>
        <w:rPr>
          <w:sz w:val="20"/>
          <w:szCs w:val="20"/>
          <w:color w:val="auto"/>
        </w:rPr>
      </w:pPr>
    </w:p>
    <w:p>
      <w:pPr>
        <w:ind w:left="40" w:right="339" w:firstLine="648"/>
        <w:spacing w:after="0" w:line="243" w:lineRule="auto"/>
        <w:rPr>
          <w:sz w:val="20"/>
          <w:szCs w:val="20"/>
          <w:color w:val="auto"/>
        </w:rPr>
      </w:pPr>
      <w:r>
        <w:rPr>
          <w:rFonts w:ascii="Arial" w:cs="Arial" w:eastAsia="Arial" w:hAnsi="Arial"/>
          <w:sz w:val="18"/>
          <w:szCs w:val="18"/>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7"/>
          <w:szCs w:val="17"/>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 the following:</w:t>
      </w:r>
    </w:p>
    <w:p>
      <w:pPr>
        <w:spacing w:after="0" w:line="164" w:lineRule="exact"/>
        <w:rPr>
          <w:sz w:val="20"/>
          <w:szCs w:val="20"/>
          <w:color w:val="auto"/>
        </w:rPr>
      </w:pPr>
    </w:p>
    <w:p>
      <w:pPr>
        <w:ind w:left="720" w:hanging="325"/>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11" w:lineRule="exact"/>
        <w:rPr>
          <w:rFonts w:ascii="Arial" w:cs="Arial" w:eastAsia="Arial" w:hAnsi="Arial"/>
          <w:sz w:val="18"/>
          <w:szCs w:val="18"/>
          <w:color w:val="auto"/>
        </w:rPr>
      </w:pPr>
    </w:p>
    <w:p>
      <w:pPr>
        <w:ind w:left="720" w:right="159" w:hanging="325"/>
        <w:spacing w:after="0" w:line="262"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2" w:lineRule="exact"/>
        <w:rPr>
          <w:rFonts w:ascii="Arial" w:cs="Arial" w:eastAsia="Arial" w:hAnsi="Arial"/>
          <w:sz w:val="17"/>
          <w:szCs w:val="17"/>
          <w:color w:val="auto"/>
        </w:rPr>
      </w:pPr>
    </w:p>
    <w:p>
      <w:pPr>
        <w:ind w:left="720" w:right="119" w:hanging="325"/>
        <w:spacing w:after="0" w:line="248"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1" w:lineRule="exact"/>
        <w:rPr>
          <w:rFonts w:ascii="Arial" w:cs="Arial" w:eastAsia="Arial" w:hAnsi="Arial"/>
          <w:sz w:val="18"/>
          <w:szCs w:val="18"/>
          <w:color w:val="auto"/>
        </w:rPr>
      </w:pPr>
    </w:p>
    <w:p>
      <w:pPr>
        <w:ind w:left="720" w:hanging="325"/>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211" w:lineRule="exact"/>
        <w:rPr>
          <w:rFonts w:ascii="Arial" w:cs="Arial" w:eastAsia="Arial" w:hAnsi="Arial"/>
          <w:sz w:val="18"/>
          <w:szCs w:val="18"/>
          <w:color w:val="auto"/>
        </w:rPr>
      </w:pPr>
    </w:p>
    <w:p>
      <w:pPr>
        <w:ind w:left="720" w:right="499" w:hanging="325"/>
        <w:spacing w:after="0" w:line="261"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spacing w:after="0" w:line="170" w:lineRule="exact"/>
        <w:rPr>
          <w:rFonts w:ascii="Arial" w:cs="Arial" w:eastAsia="Arial" w:hAnsi="Arial"/>
          <w:sz w:val="18"/>
          <w:szCs w:val="18"/>
          <w:color w:val="auto"/>
        </w:rPr>
      </w:pPr>
    </w:p>
    <w:p>
      <w:pPr>
        <w:ind w:left="720" w:right="179" w:hanging="325"/>
        <w:spacing w:after="0" w:line="243"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7" w:lineRule="exact"/>
        <w:rPr>
          <w:rFonts w:ascii="Arial" w:cs="Arial" w:eastAsia="Arial" w:hAnsi="Arial"/>
          <w:sz w:val="18"/>
          <w:szCs w:val="18"/>
          <w:color w:val="auto"/>
        </w:rPr>
      </w:pPr>
    </w:p>
    <w:p>
      <w:pPr>
        <w:ind w:left="720" w:right="299" w:hanging="325"/>
        <w:spacing w:after="0" w:line="248"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81" w:lineRule="exact"/>
        <w:rPr>
          <w:rFonts w:ascii="Arial" w:cs="Arial" w:eastAsia="Arial" w:hAnsi="Arial"/>
          <w:sz w:val="18"/>
          <w:szCs w:val="18"/>
          <w:color w:val="auto"/>
        </w:rPr>
      </w:pPr>
    </w:p>
    <w:p>
      <w:pPr>
        <w:jc w:val="both"/>
        <w:ind w:left="720" w:right="639" w:hanging="325"/>
        <w:spacing w:after="0" w:line="248"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81" w:lineRule="exact"/>
        <w:rPr>
          <w:rFonts w:ascii="Arial" w:cs="Arial" w:eastAsia="Arial" w:hAnsi="Arial"/>
          <w:sz w:val="18"/>
          <w:szCs w:val="18"/>
          <w:color w:val="auto"/>
        </w:rPr>
      </w:pPr>
    </w:p>
    <w:p>
      <w:pPr>
        <w:ind w:left="720" w:right="219" w:hanging="325"/>
        <w:spacing w:after="0" w:line="284"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55" w:lineRule="exact"/>
        <w:rPr>
          <w:rFonts w:ascii="Arial" w:cs="Arial" w:eastAsia="Arial" w:hAnsi="Arial"/>
          <w:sz w:val="16"/>
          <w:szCs w:val="16"/>
          <w:color w:val="auto"/>
        </w:rPr>
      </w:pPr>
    </w:p>
    <w:p>
      <w:pPr>
        <w:jc w:val="both"/>
        <w:ind w:left="720" w:right="419" w:hanging="325"/>
        <w:spacing w:after="0" w:line="248"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81" w:lineRule="exact"/>
        <w:rPr>
          <w:rFonts w:ascii="Arial" w:cs="Arial" w:eastAsia="Arial" w:hAnsi="Arial"/>
          <w:sz w:val="18"/>
          <w:szCs w:val="18"/>
          <w:color w:val="auto"/>
        </w:rPr>
      </w:pPr>
    </w:p>
    <w:p>
      <w:pPr>
        <w:ind w:left="720" w:right="259" w:hanging="325"/>
        <w:spacing w:after="0" w:line="261"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71" w:lineRule="exact"/>
        <w:rPr>
          <w:sz w:val="20"/>
          <w:szCs w:val="20"/>
          <w:color w:val="auto"/>
        </w:rPr>
      </w:pPr>
    </w:p>
    <w:p>
      <w:pPr>
        <w:ind w:left="40" w:right="319" w:firstLine="648"/>
        <w:spacing w:after="0" w:line="259" w:lineRule="auto"/>
        <w:rPr>
          <w:sz w:val="20"/>
          <w:szCs w:val="20"/>
          <w:color w:val="auto"/>
        </w:rPr>
      </w:pPr>
      <w:r>
        <w:rPr>
          <w:rFonts w:ascii="Arial" w:cs="Arial" w:eastAsia="Arial" w:hAnsi="Arial"/>
          <w:sz w:val="17"/>
          <w:szCs w:val="17"/>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firstLine="648"/>
        <w:spacing w:after="0" w:line="243" w:lineRule="auto"/>
        <w:rPr>
          <w:sz w:val="20"/>
          <w:szCs w:val="20"/>
          <w:color w:val="auto"/>
        </w:rPr>
      </w:pPr>
      <w:r>
        <w:rPr>
          <w:rFonts w:ascii="Arial" w:cs="Arial" w:eastAsia="Arial" w:hAnsi="Arial"/>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88"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6"/>
          <w:szCs w:val="16"/>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75" w:lineRule="exact"/>
        <w:rPr>
          <w:sz w:val="20"/>
          <w:szCs w:val="20"/>
          <w:color w:val="auto"/>
        </w:rPr>
      </w:pPr>
    </w:p>
    <w:p>
      <w:pPr>
        <w:ind w:left="40" w:right="139"/>
        <w:spacing w:after="0" w:line="261" w:lineRule="auto"/>
        <w:rPr>
          <w:sz w:val="20"/>
          <w:szCs w:val="20"/>
          <w:color w:val="auto"/>
        </w:rPr>
      </w:pPr>
      <w:r>
        <w:rPr>
          <w:rFonts w:ascii="Arial" w:cs="Arial" w:eastAsia="Arial" w:hAnsi="Arial"/>
          <w:sz w:val="18"/>
          <w:szCs w:val="18"/>
          <w:b w:val="1"/>
          <w:bCs w:val="1"/>
          <w:i w:val="1"/>
          <w:iCs w:val="1"/>
          <w:color w:val="auto"/>
        </w:rPr>
        <w:t>We are dependent on third parties to decide to utilize our product candidates to make them readily available at the point of care throughout their networks of pharmacies.</w:t>
      </w:r>
    </w:p>
    <w:p>
      <w:pPr>
        <w:spacing w:after="0" w:line="171" w:lineRule="exact"/>
        <w:rPr>
          <w:sz w:val="20"/>
          <w:szCs w:val="20"/>
          <w:color w:val="auto"/>
        </w:rPr>
      </w:pPr>
    </w:p>
    <w:p>
      <w:pPr>
        <w:ind w:left="40" w:right="59" w:firstLine="648"/>
        <w:spacing w:after="0" w:line="267" w:lineRule="auto"/>
        <w:rPr>
          <w:sz w:val="20"/>
          <w:szCs w:val="20"/>
          <w:color w:val="auto"/>
        </w:rPr>
      </w:pPr>
      <w:r>
        <w:rPr>
          <w:rFonts w:ascii="Arial" w:cs="Arial" w:eastAsia="Arial" w:hAnsi="Arial"/>
          <w:sz w:val="16"/>
          <w:szCs w:val="16"/>
          <w:color w:val="auto"/>
        </w:rPr>
        <w:t>In addition to extensive internal efforts, the successful commercialization of our product candidates will require many third parties, over whom we have no control, to decide to utilize our product candidates,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long-term care facility will acquire any of our product candidate for its own pharmacies, or a PBM will pay retail network pharmacies on behalf of its health plans, any such product candidates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 candidates for use in their institutions or reimbursing retail pharmacies outweighs clinical benefits and will resist efforts to add any such product candidate to the formulary, or implement restrictions on the usage of the drug in order to control costs. Third party payors often have tiered formularies in which the 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 candidates.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6" w:lineRule="exact"/>
        <w:rPr>
          <w:sz w:val="20"/>
          <w:szCs w:val="20"/>
          <w:color w:val="auto"/>
        </w:rPr>
      </w:pPr>
    </w:p>
    <w:p>
      <w:pPr>
        <w:ind w:left="40" w:right="119"/>
        <w:spacing w:after="0" w:line="261"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71" w:lineRule="exact"/>
        <w:rPr>
          <w:sz w:val="20"/>
          <w:szCs w:val="20"/>
          <w:color w:val="auto"/>
        </w:rPr>
      </w:pPr>
    </w:p>
    <w:p>
      <w:pPr>
        <w:ind w:left="40" w:right="139" w:firstLine="648"/>
        <w:spacing w:after="0" w:line="279" w:lineRule="auto"/>
        <w:rPr>
          <w:sz w:val="20"/>
          <w:szCs w:val="20"/>
          <w:color w:val="auto"/>
        </w:rPr>
      </w:pPr>
      <w:r>
        <w:rPr>
          <w:rFonts w:ascii="Arial" w:cs="Arial" w:eastAsia="Arial" w:hAnsi="Arial"/>
          <w:sz w:val="16"/>
          <w:szCs w:val="16"/>
          <w:color w:val="auto"/>
        </w:rPr>
        <w:t>Market exclusivity awarded by the FDA upon the approval of an NDA is limited in scope and duration. Our commercial success will depend in part on obtaining, maintaining, enforcing, and defending against third-party challenges, our patent and trade secret protection for any of our current and future product candidates that we may develop, license, or acquire, and the related manufacturing methods. We will only be able to fully protect our technologies from unauthorized use by third parties to the extent that valid and enforceable patents or trade secrets cover them.</w:t>
      </w:r>
    </w:p>
    <w:p>
      <w:pPr>
        <w:spacing w:after="0" w:line="159" w:lineRule="exact"/>
        <w:rPr>
          <w:sz w:val="20"/>
          <w:szCs w:val="20"/>
          <w:color w:val="auto"/>
        </w:rPr>
      </w:pPr>
    </w:p>
    <w:p>
      <w:pPr>
        <w:ind w:left="40" w:right="99" w:firstLine="648"/>
        <w:spacing w:after="0" w:line="267" w:lineRule="auto"/>
        <w:rPr>
          <w:sz w:val="20"/>
          <w:szCs w:val="20"/>
          <w:color w:val="auto"/>
        </w:rPr>
      </w:pPr>
      <w:r>
        <w:rPr>
          <w:rFonts w:ascii="Arial" w:cs="Arial" w:eastAsia="Arial" w:hAnsi="Arial"/>
          <w:sz w:val="16"/>
          <w:szCs w:val="16"/>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patents. Therefore, these patents and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or in third-party patents.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179" w:lineRule="exact"/>
        <w:rPr>
          <w:sz w:val="20"/>
          <w:szCs w:val="20"/>
          <w:color w:val="auto"/>
        </w:rPr>
      </w:pPr>
    </w:p>
    <w:p>
      <w:pPr>
        <w:ind w:left="720" w:right="399" w:hanging="325"/>
        <w:spacing w:after="0" w:line="261"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have been the first to make the inventions covered by each of our pending patent applications and issued patents;</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have been the first to file patent applications for these inventions;</w:t>
      </w:r>
    </w:p>
    <w:p>
      <w:pPr>
        <w:spacing w:after="0" w:line="211" w:lineRule="exact"/>
        <w:rPr>
          <w:rFonts w:ascii="Arial" w:cs="Arial" w:eastAsia="Arial" w:hAnsi="Arial"/>
          <w:sz w:val="18"/>
          <w:szCs w:val="18"/>
          <w:color w:val="auto"/>
        </w:rPr>
      </w:pPr>
    </w:p>
    <w:p>
      <w:pPr>
        <w:ind w:left="720" w:right="239" w:hanging="325"/>
        <w:spacing w:after="0" w:line="261"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technologies;</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none of the pending patent applications will result in issued patents;</w:t>
      </w:r>
    </w:p>
    <w:p>
      <w:pPr>
        <w:spacing w:after="0" w:line="211" w:lineRule="exact"/>
        <w:rPr>
          <w:rFonts w:ascii="Arial" w:cs="Arial" w:eastAsia="Arial" w:hAnsi="Arial"/>
          <w:sz w:val="18"/>
          <w:szCs w:val="18"/>
          <w:color w:val="auto"/>
        </w:rPr>
      </w:pPr>
    </w:p>
    <w:p>
      <w:pPr>
        <w:ind w:left="720" w:right="259" w:hanging="325"/>
        <w:spacing w:after="0" w:line="261"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issued patents may not cover commercially viable active products, may not provide us with any competitive advantages, or may be successfully challenged by third parties;</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patents of others may have an adverse effect on our business;</w:t>
      </w:r>
    </w:p>
    <w:p>
      <w:pPr>
        <w:spacing w:after="0" w:line="211" w:lineRule="exact"/>
        <w:rPr>
          <w:rFonts w:ascii="Arial" w:cs="Arial" w:eastAsia="Arial" w:hAnsi="Arial"/>
          <w:sz w:val="18"/>
          <w:szCs w:val="18"/>
          <w:color w:val="auto"/>
        </w:rPr>
      </w:pPr>
    </w:p>
    <w:p>
      <w:pPr>
        <w:ind w:left="720" w:right="119" w:hanging="325"/>
        <w:spacing w:after="0" w:line="270"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noncompliance with governmental patent agencies requirements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39" w:hanging="325"/>
        <w:spacing w:after="0" w:line="270" w:lineRule="auto"/>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63" w:lineRule="exact"/>
        <w:rPr>
          <w:rFonts w:ascii="Arial" w:cs="Arial" w:eastAsia="Arial" w:hAnsi="Arial"/>
          <w:sz w:val="17"/>
          <w:szCs w:val="17"/>
          <w:color w:val="auto"/>
        </w:rPr>
      </w:pPr>
    </w:p>
    <w:p>
      <w:pPr>
        <w:ind w:left="720" w:right="59" w:hanging="325"/>
        <w:spacing w:after="0" w:line="248"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82" w:lineRule="exact"/>
        <w:rPr>
          <w:sz w:val="20"/>
          <w:szCs w:val="20"/>
          <w:color w:val="auto"/>
        </w:rPr>
      </w:pPr>
    </w:p>
    <w:p>
      <w:pPr>
        <w:ind w:left="40" w:right="79" w:firstLine="648"/>
        <w:spacing w:after="0" w:line="251" w:lineRule="auto"/>
        <w:rPr>
          <w:sz w:val="20"/>
          <w:szCs w:val="20"/>
          <w:color w:val="auto"/>
        </w:rPr>
      </w:pPr>
      <w:r>
        <w:rPr>
          <w:rFonts w:ascii="Arial" w:cs="Arial" w:eastAsia="Arial" w:hAnsi="Arial"/>
          <w:sz w:val="17"/>
          <w:szCs w:val="17"/>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FDA-approved product. The actual length of the extension will depend on the amount of patent term lost while the product was in clinical trials.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89" w:lineRule="exact"/>
        <w:rPr>
          <w:sz w:val="20"/>
          <w:szCs w:val="20"/>
          <w:color w:val="auto"/>
        </w:rPr>
      </w:pPr>
    </w:p>
    <w:p>
      <w:pPr>
        <w:ind w:left="40" w:right="279"/>
        <w:spacing w:after="0" w:line="261"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71" w:lineRule="exact"/>
        <w:rPr>
          <w:sz w:val="20"/>
          <w:szCs w:val="20"/>
          <w:color w:val="auto"/>
        </w:rPr>
      </w:pPr>
    </w:p>
    <w:p>
      <w:pPr>
        <w:ind w:left="40" w:right="99" w:firstLine="648"/>
        <w:spacing w:after="0" w:line="253"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648"/>
        <w:spacing w:after="0" w:line="250" w:lineRule="auto"/>
        <w:rPr>
          <w:sz w:val="20"/>
          <w:szCs w:val="20"/>
          <w:color w:val="auto"/>
        </w:rPr>
      </w:pPr>
      <w:r>
        <w:rPr>
          <w:rFonts w:ascii="Arial" w:cs="Arial" w:eastAsia="Arial" w:hAnsi="Arial"/>
          <w:sz w:val="17"/>
          <w:szCs w:val="17"/>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of our current or future product candidates that we may develop, license, or acquire. In the event that a third 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194" w:lineRule="exact"/>
        <w:rPr>
          <w:sz w:val="20"/>
          <w:szCs w:val="20"/>
          <w:color w:val="auto"/>
        </w:rPr>
      </w:pPr>
    </w:p>
    <w:p>
      <w:pPr>
        <w:ind w:left="40" w:right="79" w:firstLine="648"/>
        <w:spacing w:after="0" w:line="238" w:lineRule="auto"/>
        <w:rPr>
          <w:sz w:val="20"/>
          <w:szCs w:val="20"/>
          <w:color w:val="auto"/>
        </w:rPr>
      </w:pPr>
      <w:r>
        <w:rPr>
          <w:rFonts w:ascii="Arial" w:cs="Arial" w:eastAsia="Arial" w:hAnsi="Arial"/>
          <w:sz w:val="18"/>
          <w:szCs w:val="18"/>
          <w:color w:val="auto"/>
        </w:rPr>
        <w:t>In addition, the patentability of claims in pending patent applications covering any of our current or future product candidates can be challenged by third parties during prosecution in the USPTO, for example by third-party observations and derivation proceedings, and the validity of claims in issued patents can be challenged by third parties in various post-grant proceedings such as post-grant review, reexamination, and inter-partes review proceedings. For example, petitions for post-grant review of 9 U.S. Patents covering the Axsome PPC programs oral zoledronic acid, the active moiety in our AXS-02 product candidate, and neridronic acid, the active moiety in a product candidate under development by a competitor of Axsome, were filed at the USPTO by Grunenthal GmbH, or Grunenthal, requesting that the Patent Trial and Appeal Board, or PTAB, institute proceedings to review the validity of the patents. Post-grant reviews were instituted for each.</w:t>
      </w:r>
    </w:p>
    <w:p>
      <w:pPr>
        <w:spacing w:after="0" w:line="191"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6"/>
          <w:szCs w:val="16"/>
          <w:color w:val="auto"/>
        </w:rPr>
        <w:t>In July 2020, the PTAB entered final written decisions for U.S. Patents No. 9,931,352; 10,039,774; and 10,052,338, each containing claims directed to the use of neridronic acid for the treatment of CRPS, holding that the claims were invalid for obviousness. In June, the PTAB entered a final written decision for U.S. Patent No. 9,707,245, containing claims directed to the use of neridronic acid for the treatment of CRPS, holding that the claims were invalid for lacking novelty and for obviousness. In May 2020, the PTAB entered a final written decision for U.S. Patent No. 9,867,839, containing claims directed to the use of oral zoledronic acid, and of neridronic acid, for the treatment of joint pain, holding that the sixteen claims covering oral zoledronic acid were valid and that the fourteen claims covering neridronic acid were invalid for obviousness. In February 2020, the PTAB entered a final written decision for U.S. Patent No. 9,820,999, containing claims directed to the use of neridronic acid for the treatment of complex regional pain syndrome, or CRPS, holding that thirteen of the claims were valid, and seventeen of the claims were invalid for lacking novelty. The PTAB previously entered final written decisions for U.S. Patents No. 9,283,239; 9,408,862; and 9,539,268, each containing claims directed to certain dosage forms containing zoledronic acid or the use of certain dosage forms containing zoledronic acid, holding that the claims were invalid for lack of written description, lack of enablement, novelty, and/or obviousness.</w:t>
      </w:r>
    </w:p>
    <w:p>
      <w:pPr>
        <w:spacing w:after="0" w:line="168" w:lineRule="exact"/>
        <w:rPr>
          <w:sz w:val="20"/>
          <w:szCs w:val="20"/>
          <w:color w:val="auto"/>
        </w:rPr>
      </w:pPr>
    </w:p>
    <w:p>
      <w:pPr>
        <w:ind w:left="40" w:right="339" w:firstLine="648"/>
        <w:spacing w:after="0" w:line="279" w:lineRule="auto"/>
        <w:rPr>
          <w:sz w:val="20"/>
          <w:szCs w:val="20"/>
          <w:color w:val="auto"/>
        </w:rPr>
      </w:pPr>
      <w:r>
        <w:rPr>
          <w:rFonts w:ascii="Arial" w:cs="Arial" w:eastAsia="Arial" w:hAnsi="Arial"/>
          <w:sz w:val="16"/>
          <w:szCs w:val="16"/>
          <w:color w:val="auto"/>
        </w:rPr>
        <w:t>Any claim the PTAB determines to be unpatentable as a result of these proceedings would be stricken from the challenged patents or modified. Additionally, we cannot be sure that the validity of the claims in other issued patents covering any of our current or future product candidates will not also be challenged, or that Grunenthal will not file any additional petitions for post-grant review with respect to any of our current or future product candidates. We may incur increased expenses related to the growth of our intellectual property portfolio and to its defense.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648"/>
        <w:spacing w:after="0" w:line="276" w:lineRule="auto"/>
        <w:rPr>
          <w:sz w:val="20"/>
          <w:szCs w:val="20"/>
          <w:color w:val="auto"/>
        </w:rPr>
      </w:pPr>
      <w:r>
        <w:rPr>
          <w:rFonts w:ascii="Arial" w:cs="Arial" w:eastAsia="Arial" w:hAnsi="Arial"/>
          <w:sz w:val="16"/>
          <w:szCs w:val="16"/>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62"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7"/>
          <w:szCs w:val="17"/>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 how.</w:t>
      </w:r>
    </w:p>
    <w:p>
      <w:pPr>
        <w:spacing w:after="0" w:line="180" w:lineRule="exact"/>
        <w:rPr>
          <w:sz w:val="20"/>
          <w:szCs w:val="20"/>
          <w:color w:val="auto"/>
        </w:rPr>
      </w:pPr>
    </w:p>
    <w:p>
      <w:pPr>
        <w:ind w:left="40" w:right="119"/>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82"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non-U.S. patent agencies for the patents and patent applications we own and those that we in-license. We also employ reputable law firms and other professionals to help us comply with the various documentary and other procedural requirements with respect to the patents and patent applications that we own and those that we in-license.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19"/>
        <w:spacing w:after="0" w:line="324" w:lineRule="auto"/>
        <w:rPr>
          <w:sz w:val="20"/>
          <w:szCs w:val="20"/>
          <w:color w:val="auto"/>
        </w:rPr>
      </w:pPr>
      <w:r>
        <w:rPr>
          <w:rFonts w:ascii="Arial" w:cs="Arial" w:eastAsia="Arial" w:hAnsi="Arial"/>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24"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6"/>
          <w:szCs w:val="16"/>
          <w:color w:val="auto"/>
        </w:rPr>
        <w:t>Our ability to develop, manufacture, market, and sell any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which are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the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 candidates may infringe. There could also be existing patents of which we are not aware that any of our current or future product candidates may inadvertently infringe.</w:t>
      </w:r>
    </w:p>
    <w:p>
      <w:pPr>
        <w:spacing w:after="0" w:line="172" w:lineRule="exact"/>
        <w:rPr>
          <w:sz w:val="20"/>
          <w:szCs w:val="20"/>
          <w:color w:val="auto"/>
        </w:rPr>
      </w:pPr>
    </w:p>
    <w:p>
      <w:pPr>
        <w:ind w:left="40" w:right="779" w:firstLine="648"/>
        <w:spacing w:after="0" w:line="261" w:lineRule="auto"/>
        <w:rPr>
          <w:sz w:val="20"/>
          <w:szCs w:val="20"/>
          <w:color w:val="auto"/>
        </w:rPr>
      </w:pPr>
      <w:r>
        <w:rPr>
          <w:rFonts w:ascii="Arial" w:cs="Arial" w:eastAsia="Arial" w:hAnsi="Arial"/>
          <w:sz w:val="18"/>
          <w:szCs w:val="18"/>
          <w:color w:val="auto"/>
        </w:rPr>
        <w:t>If a third party claims that we infringe on their products or technology, we could face a number of issues, including:</w:t>
      </w:r>
    </w:p>
    <w:p>
      <w:pPr>
        <w:spacing w:after="0" w:line="171" w:lineRule="exact"/>
        <w:rPr>
          <w:sz w:val="20"/>
          <w:szCs w:val="20"/>
          <w:color w:val="auto"/>
        </w:rPr>
      </w:pPr>
    </w:p>
    <w:p>
      <w:pPr>
        <w:ind w:left="720" w:right="159" w:hanging="325"/>
        <w:spacing w:after="0" w:line="291"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whether meritorious or not, can be expensive and time consuming to litigate and can divert management’s attention from our core business;</w:t>
      </w:r>
    </w:p>
    <w:p>
      <w:pPr>
        <w:spacing w:after="0" w:line="146" w:lineRule="exact"/>
        <w:rPr>
          <w:rFonts w:ascii="Arial" w:cs="Arial" w:eastAsia="Arial" w:hAnsi="Arial"/>
          <w:sz w:val="17"/>
          <w:szCs w:val="17"/>
          <w:color w:val="auto"/>
        </w:rPr>
      </w:pPr>
    </w:p>
    <w:p>
      <w:pPr>
        <w:ind w:left="720" w:right="159" w:hanging="325"/>
        <w:spacing w:after="0" w:line="261"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damages for past infringement which we may have to pay if a court decides that our product infringes on a competitor’s patent;</w:t>
      </w:r>
    </w:p>
    <w:p>
      <w:pPr>
        <w:spacing w:after="0" w:line="170" w:lineRule="exact"/>
        <w:rPr>
          <w:rFonts w:ascii="Arial" w:cs="Arial" w:eastAsia="Arial" w:hAnsi="Arial"/>
          <w:sz w:val="18"/>
          <w:szCs w:val="18"/>
          <w:color w:val="auto"/>
        </w:rPr>
      </w:pPr>
    </w:p>
    <w:p>
      <w:pPr>
        <w:ind w:left="720" w:right="519" w:hanging="325"/>
        <w:spacing w:after="0" w:line="261"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court prohibiting us from selling or licensing our product unless the patent holder licenses the patent to us, which it would not be required to do;</w:t>
      </w:r>
    </w:p>
    <w:p>
      <w:pPr>
        <w:spacing w:after="0" w:line="170" w:lineRule="exact"/>
        <w:rPr>
          <w:rFonts w:ascii="Arial" w:cs="Arial" w:eastAsia="Arial" w:hAnsi="Arial"/>
          <w:sz w:val="18"/>
          <w:szCs w:val="18"/>
          <w:color w:val="auto"/>
        </w:rPr>
      </w:pPr>
    </w:p>
    <w:p>
      <w:pPr>
        <w:ind w:left="720" w:right="319" w:hanging="325"/>
        <w:spacing w:after="0" w:line="261"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 license is available from a patent holder, we may have to pay substantial royalties or grant cross licenses to our patents; and</w:t>
      </w:r>
    </w:p>
    <w:p>
      <w:pPr>
        <w:spacing w:after="0" w:line="170" w:lineRule="exact"/>
        <w:rPr>
          <w:rFonts w:ascii="Arial" w:cs="Arial" w:eastAsia="Arial" w:hAnsi="Arial"/>
          <w:sz w:val="18"/>
          <w:szCs w:val="18"/>
          <w:color w:val="auto"/>
        </w:rPr>
      </w:pPr>
    </w:p>
    <w:p>
      <w:pPr>
        <w:ind w:left="720" w:right="419" w:hanging="325"/>
        <w:spacing w:after="0" w:line="261"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redesigning our product candidates and processes so they do not infringe, which may not be possible or could require substantial funds and time.</w:t>
      </w:r>
    </w:p>
    <w:p>
      <w:pPr>
        <w:spacing w:after="0" w:line="171"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79"/>
        <w:spacing w:after="0" w:line="261"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1" w:lineRule="exact"/>
        <w:rPr>
          <w:sz w:val="20"/>
          <w:szCs w:val="20"/>
          <w:color w:val="auto"/>
        </w:rPr>
      </w:pPr>
    </w:p>
    <w:p>
      <w:pPr>
        <w:ind w:left="40" w:right="159" w:firstLine="648"/>
        <w:spacing w:after="0" w:line="252" w:lineRule="auto"/>
        <w:rPr>
          <w:sz w:val="20"/>
          <w:szCs w:val="20"/>
          <w:color w:val="auto"/>
        </w:rPr>
      </w:pPr>
      <w:r>
        <w:rPr>
          <w:rFonts w:ascii="Arial" w:cs="Arial" w:eastAsia="Arial" w:hAnsi="Arial"/>
          <w:sz w:val="17"/>
          <w:szCs w:val="17"/>
          <w:color w:val="auto"/>
        </w:rPr>
        <w:t>Competitors may infringe our issued patents, our in licensed patents, or other intellectual property that we own or in 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3" w:lineRule="exact"/>
        <w:rPr>
          <w:sz w:val="20"/>
          <w:szCs w:val="20"/>
          <w:color w:val="auto"/>
        </w:rPr>
      </w:pPr>
    </w:p>
    <w:p>
      <w:pPr>
        <w:ind w:left="40" w:right="359" w:firstLine="648"/>
        <w:spacing w:after="0" w:line="259" w:lineRule="auto"/>
        <w:rPr>
          <w:sz w:val="20"/>
          <w:szCs w:val="20"/>
          <w:color w:val="auto"/>
        </w:rPr>
      </w:pPr>
      <w:r>
        <w:rPr>
          <w:rFonts w:ascii="Arial" w:cs="Arial" w:eastAsia="Arial" w:hAnsi="Arial"/>
          <w:sz w:val="17"/>
          <w:szCs w:val="17"/>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 license needed technology, or enter into development partnerships that would help us bring our product candidates to market.</w:t>
      </w:r>
    </w:p>
    <w:p>
      <w:pPr>
        <w:spacing w:after="0" w:line="174" w:lineRule="exact"/>
        <w:rPr>
          <w:sz w:val="20"/>
          <w:szCs w:val="20"/>
          <w:color w:val="auto"/>
        </w:rPr>
      </w:pPr>
    </w:p>
    <w:p>
      <w:pPr>
        <w:ind w:left="40" w:right="279"/>
        <w:spacing w:after="0" w:line="248" w:lineRule="auto"/>
        <w:rPr>
          <w:sz w:val="20"/>
          <w:szCs w:val="20"/>
          <w:color w:val="auto"/>
        </w:rPr>
      </w:pPr>
      <w:r>
        <w:rPr>
          <w:rFonts w:ascii="Arial" w:cs="Arial" w:eastAsia="Arial" w:hAnsi="Arial"/>
          <w:sz w:val="18"/>
          <w:szCs w:val="18"/>
          <w:b w:val="1"/>
          <w:bCs w:val="1"/>
          <w:i w:val="1"/>
          <w:iCs w:val="1"/>
          <w:color w:val="auto"/>
        </w:rPr>
        <w:t>We have licensed and may need to license certain intellectual property from third parties in the future, such licenses may not be available or may not be available on commercially reasonable terms, and if the licenses are terminated for any reason our business may be materially harmed.</w:t>
      </w:r>
    </w:p>
    <w:p>
      <w:pPr>
        <w:spacing w:after="0" w:line="182" w:lineRule="exact"/>
        <w:rPr>
          <w:sz w:val="20"/>
          <w:szCs w:val="20"/>
          <w:color w:val="auto"/>
        </w:rPr>
      </w:pPr>
    </w:p>
    <w:p>
      <w:pPr>
        <w:ind w:left="40" w:right="119" w:firstLine="648"/>
        <w:spacing w:after="0" w:line="271" w:lineRule="auto"/>
        <w:rPr>
          <w:sz w:val="20"/>
          <w:szCs w:val="20"/>
          <w:color w:val="auto"/>
        </w:rPr>
      </w:pPr>
      <w:r>
        <w:rPr>
          <w:rFonts w:ascii="Arial" w:cs="Arial" w:eastAsia="Arial" w:hAnsi="Arial"/>
          <w:sz w:val="16"/>
          <w:szCs w:val="16"/>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169" w:lineRule="exact"/>
        <w:rPr>
          <w:sz w:val="20"/>
          <w:szCs w:val="20"/>
          <w:color w:val="auto"/>
        </w:rPr>
      </w:pPr>
    </w:p>
    <w:p>
      <w:pPr>
        <w:ind w:left="40" w:right="59" w:firstLine="648"/>
        <w:spacing w:after="0" w:line="251" w:lineRule="auto"/>
        <w:rPr>
          <w:sz w:val="20"/>
          <w:szCs w:val="20"/>
          <w:color w:val="auto"/>
        </w:rPr>
      </w:pPr>
      <w:r>
        <w:rPr>
          <w:rFonts w:ascii="Arial" w:cs="Arial" w:eastAsia="Arial" w:hAnsi="Arial"/>
          <w:sz w:val="17"/>
          <w:szCs w:val="17"/>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$97.54,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seeking and maintaining regulatory approvals for the compounds and products The agreement will expire on a product-by-product basis upon expiration of the last-to-expire royalty term for such product.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99"/>
        <w:spacing w:after="0" w:line="271" w:lineRule="auto"/>
        <w:rPr>
          <w:sz w:val="20"/>
          <w:szCs w:val="20"/>
          <w:color w:val="auto"/>
        </w:rPr>
      </w:pPr>
      <w:r>
        <w:rPr>
          <w:rFonts w:ascii="Arial" w:cs="Arial" w:eastAsia="Arial" w:hAnsi="Arial"/>
          <w:sz w:val="16"/>
          <w:szCs w:val="16"/>
          <w:color w:val="auto"/>
        </w:rPr>
        <w:t>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w:t>
      </w:r>
    </w:p>
    <w:p>
      <w:pPr>
        <w:ind w:left="40" w:right="179"/>
        <w:spacing w:after="0" w:line="238" w:lineRule="auto"/>
        <w:rPr>
          <w:sz w:val="20"/>
          <w:szCs w:val="20"/>
          <w:color w:val="auto"/>
        </w:rPr>
      </w:pPr>
      <w:r>
        <w:rPr>
          <w:rFonts w:ascii="Arial" w:cs="Arial" w:eastAsia="Arial" w:hAnsi="Arial"/>
          <w:sz w:val="18"/>
          <w:szCs w:val="18"/>
          <w:color w:val="auto"/>
        </w:rPr>
        <w:t>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189" w:lineRule="exact"/>
        <w:rPr>
          <w:sz w:val="20"/>
          <w:szCs w:val="20"/>
          <w:color w:val="auto"/>
        </w:rPr>
      </w:pPr>
    </w:p>
    <w:p>
      <w:pPr>
        <w:ind w:left="40" w:right="119" w:firstLine="648"/>
        <w:spacing w:after="0" w:line="268" w:lineRule="auto"/>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AXS-02 and AXS-05, as well as AXS-04, a product candidate that is currently in early stage development, anywhere in the world for human therapeutic, veterinary, and diagnostic use. The agreements were amended in August</w:t>
      </w:r>
    </w:p>
    <w:p>
      <w:pPr>
        <w:spacing w:after="0" w:line="1" w:lineRule="exact"/>
        <w:rPr>
          <w:sz w:val="20"/>
          <w:szCs w:val="20"/>
          <w:color w:val="auto"/>
        </w:rPr>
      </w:pPr>
    </w:p>
    <w:p>
      <w:pPr>
        <w:ind w:left="40" w:right="59"/>
        <w:spacing w:after="0" w:line="266" w:lineRule="auto"/>
        <w:rPr>
          <w:sz w:val="20"/>
          <w:szCs w:val="20"/>
          <w:color w:val="auto"/>
        </w:rPr>
      </w:pPr>
      <w:r>
        <w:rPr>
          <w:rFonts w:ascii="Arial" w:cs="Arial" w:eastAsia="Arial" w:hAnsi="Arial"/>
          <w:sz w:val="16"/>
          <w:szCs w:val="16"/>
          <w:color w:val="auto"/>
        </w:rPr>
        <w:t>2015 to update the schedule of patents and applications subject to the license agreements. Pursuant to the agreements, we are required to use commercially reasonable efforts to develop, obtain regulatory approval for, and commercialize AXS-02, AXS-05, and AXS-04. Under the terms of the agreements, we are required to pay to Antecip a royalty equal to 4.5% for AXS-02, 3.0% for AXS-05, and 1.5% for AXS-04,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 by product and country by 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 We are dependent upon the license agreements with Antecip and if any of the license agreements with Antecip are terminated for any reason, our business, financial condition, results of operations, and prospects will be materially harmed.</w:t>
      </w:r>
    </w:p>
    <w:p>
      <w:pPr>
        <w:spacing w:after="0" w:line="179" w:lineRule="exact"/>
        <w:rPr>
          <w:sz w:val="20"/>
          <w:szCs w:val="20"/>
          <w:color w:val="auto"/>
        </w:rPr>
      </w:pPr>
    </w:p>
    <w:p>
      <w:pPr>
        <w:ind w:left="40" w:right="599"/>
        <w:spacing w:after="0" w:line="291" w:lineRule="auto"/>
        <w:rPr>
          <w:sz w:val="20"/>
          <w:szCs w:val="20"/>
          <w:color w:val="auto"/>
        </w:rPr>
      </w:pPr>
      <w:r>
        <w:rPr>
          <w:rFonts w:ascii="Arial" w:cs="Arial" w:eastAsia="Arial" w:hAnsi="Arial"/>
          <w:sz w:val="17"/>
          <w:szCs w:val="17"/>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47" w:lineRule="exact"/>
        <w:rPr>
          <w:sz w:val="20"/>
          <w:szCs w:val="20"/>
          <w:color w:val="auto"/>
        </w:rPr>
      </w:pPr>
    </w:p>
    <w:p>
      <w:pPr>
        <w:ind w:left="40" w:right="359" w:firstLine="648"/>
        <w:spacing w:after="0" w:line="257" w:lineRule="auto"/>
        <w:rPr>
          <w:sz w:val="20"/>
          <w:szCs w:val="20"/>
          <w:color w:val="auto"/>
        </w:rPr>
      </w:pPr>
      <w:r>
        <w:rPr>
          <w:rFonts w:ascii="Arial" w:cs="Arial" w:eastAsia="Arial" w:hAnsi="Arial"/>
          <w:sz w:val="17"/>
          <w:szCs w:val="17"/>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12" w:lineRule="exact"/>
        <w:rPr>
          <w:sz w:val="20"/>
          <w:szCs w:val="20"/>
          <w:color w:val="auto"/>
        </w:rPr>
      </w:pPr>
    </w:p>
    <w:p>
      <w:pPr>
        <w:ind w:left="40" w:right="99" w:firstLine="648"/>
        <w:spacing w:after="0" w:line="268" w:lineRule="auto"/>
        <w:rPr>
          <w:sz w:val="20"/>
          <w:szCs w:val="20"/>
          <w:color w:val="auto"/>
        </w:rPr>
      </w:pPr>
      <w:r>
        <w:rPr>
          <w:rFonts w:ascii="Arial" w:cs="Arial" w:eastAsia="Arial" w:hAnsi="Arial"/>
          <w:sz w:val="16"/>
          <w:szCs w:val="16"/>
          <w:color w:val="auto"/>
        </w:rPr>
        <w:t>We rely on trade secrets to protect our proprietary technological advances and know-how,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or our licensors may not be able to protect our intellectual property rights throughout the world.</w:t>
      </w:r>
    </w:p>
    <w:p>
      <w:pPr>
        <w:spacing w:after="0" w:line="212"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80" w:lineRule="exact"/>
        <w:rPr>
          <w:sz w:val="20"/>
          <w:szCs w:val="20"/>
          <w:color w:val="auto"/>
        </w:rPr>
      </w:pPr>
    </w:p>
    <w:p>
      <w:pPr>
        <w:ind w:left="40" w:right="99" w:firstLine="648"/>
        <w:spacing w:after="0" w:line="27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LEGAL AND COMPLIANCE MATTERS</w:t>
      </w:r>
    </w:p>
    <w:p>
      <w:pPr>
        <w:spacing w:after="0" w:line="216" w:lineRule="exact"/>
        <w:rPr>
          <w:sz w:val="20"/>
          <w:szCs w:val="20"/>
          <w:color w:val="auto"/>
        </w:rPr>
      </w:pPr>
    </w:p>
    <w:p>
      <w:pPr>
        <w:ind w:left="40" w:right="179"/>
        <w:spacing w:after="0" w:line="294" w:lineRule="auto"/>
        <w:rPr>
          <w:sz w:val="20"/>
          <w:szCs w:val="20"/>
          <w:color w:val="auto"/>
        </w:rPr>
      </w:pPr>
      <w:r>
        <w:rPr>
          <w:rFonts w:ascii="Arial" w:cs="Arial" w:eastAsia="Arial" w:hAnsi="Arial"/>
          <w:sz w:val="16"/>
          <w:szCs w:val="16"/>
          <w:b w:val="1"/>
          <w:bCs w:val="1"/>
          <w:i w:val="1"/>
          <w:iCs w:val="1"/>
          <w:color w:val="auto"/>
        </w:rPr>
        <w:t>If we fail to comply with federal state, and foreign healthcare laws, including fraud and abuse and transparency and health and other information privacy and security laws, we could face substantial penalties and our business, financial condition, results of operations, and prospects could be adversely affected.</w:t>
      </w:r>
    </w:p>
    <w:p>
      <w:pPr>
        <w:spacing w:after="0" w:line="147" w:lineRule="exact"/>
        <w:rPr>
          <w:sz w:val="20"/>
          <w:szCs w:val="20"/>
          <w:color w:val="auto"/>
        </w:rPr>
      </w:pPr>
    </w:p>
    <w:p>
      <w:pPr>
        <w:ind w:left="40" w:right="59" w:firstLine="648"/>
        <w:spacing w:after="0" w:line="271" w:lineRule="auto"/>
        <w:rPr>
          <w:sz w:val="20"/>
          <w:szCs w:val="20"/>
          <w:color w:val="auto"/>
        </w:rPr>
      </w:pPr>
      <w:r>
        <w:rPr>
          <w:rFonts w:ascii="Arial" w:cs="Arial" w:eastAsia="Arial" w:hAnsi="Arial"/>
          <w:sz w:val="16"/>
          <w:szCs w:val="16"/>
          <w:color w:val="auto"/>
        </w:rPr>
        <w:t>As a pharmaceutical company, we are subject to many federal and state healthcare laws, including those described in the “Business—Government Regulation and Product Approval” section of this Annual Report on Form 10-K, such as the federal Anti-Kickback Statute, the federal civil and criminal False Claims Act, the civil monetary penalties statute, the Medicaid Drug Rebate statute and other price reporting requirements, the Veterans Health Care Act of 1992, the Physician Payments Sunshine Act, the Foreign Corrupt Practices Act of 1977, the Patient Protection and Affordable Care Act of 2010, and similar state and foreign laws. Even though we do not and will not control referrals of healthcare services or bill directly to Medicare, Medicaid, or other third party payors, certain federal and state healthcare laws and regulations pertaining to fraud and abuse and patients’ rights are and will be applicable to our business. We would be subject to healthcare fraud and abuse laws by both the federal government and the states in which we conduct our business.</w:t>
      </w:r>
    </w:p>
    <w:p>
      <w:pPr>
        <w:spacing w:after="0" w:line="169" w:lineRule="exact"/>
        <w:rPr>
          <w:sz w:val="20"/>
          <w:szCs w:val="20"/>
          <w:color w:val="auto"/>
        </w:rPr>
      </w:pPr>
    </w:p>
    <w:p>
      <w:pPr>
        <w:ind w:left="40" w:right="119" w:firstLine="648"/>
        <w:spacing w:after="0" w:line="253"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84" w:lineRule="exact"/>
        <w:rPr>
          <w:sz w:val="20"/>
          <w:szCs w:val="20"/>
          <w:color w:val="auto"/>
        </w:rPr>
      </w:pPr>
    </w:p>
    <w:p>
      <w:pPr>
        <w:ind w:left="40" w:right="159" w:firstLine="648"/>
        <w:spacing w:after="0" w:line="241"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89" w:lineRule="exact"/>
        <w:rPr>
          <w:sz w:val="20"/>
          <w:szCs w:val="20"/>
          <w:color w:val="auto"/>
        </w:rPr>
      </w:pPr>
    </w:p>
    <w:p>
      <w:pPr>
        <w:jc w:val="both"/>
        <w:ind w:left="40" w:right="279"/>
        <w:spacing w:after="0" w:line="248" w:lineRule="auto"/>
        <w:rPr>
          <w:sz w:val="20"/>
          <w:szCs w:val="20"/>
          <w:color w:val="auto"/>
        </w:rPr>
      </w:pPr>
      <w:r>
        <w:rPr>
          <w:rFonts w:ascii="Arial" w:cs="Arial" w:eastAsia="Arial" w:hAnsi="Arial"/>
          <w:sz w:val="18"/>
          <w:szCs w:val="18"/>
          <w:b w:val="1"/>
          <w:bCs w:val="1"/>
          <w:i w:val="1"/>
          <w:iCs w:val="1"/>
          <w:color w:val="auto"/>
        </w:rPr>
        <w:t>If the government or third-party payors fail to provide adequate coverage and payment rates for any of our current or future product candidates, or if HMOs or long-term care facilities choose to use therapies that are less expensive, our revenue and prospects for profitability will be limited.</w:t>
      </w:r>
    </w:p>
    <w:p>
      <w:pPr>
        <w:spacing w:after="0" w:line="182"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6"/>
          <w:szCs w:val="16"/>
          <w:color w:val="auto"/>
        </w:rPr>
        <w:t>In both domestic and foreign markets, sales of our future products will depend in part upon the availability of coverage and reimbursement from third party payors. Such third 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648"/>
        <w:spacing w:after="0" w:line="266" w:lineRule="auto"/>
        <w:rPr>
          <w:sz w:val="20"/>
          <w:szCs w:val="20"/>
          <w:color w:val="auto"/>
        </w:rPr>
      </w:pPr>
      <w:r>
        <w:rPr>
          <w:rFonts w:ascii="Arial" w:cs="Arial" w:eastAsia="Arial" w:hAnsi="Arial"/>
          <w:sz w:val="16"/>
          <w:szCs w:val="16"/>
          <w:color w:val="auto"/>
        </w:rPr>
        <w:t>There is significant uncertainty related to third 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regardless of the results of the 2020 presidential election.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 party payors, such as private health insurers and health maintenance organizations, decide which medications they will cover and establish reimbursement levels. The healthcare industry is acutely focused on cost containment, both in the United States and elsewhere. Several third 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383" w:lineRule="exact"/>
        <w:rPr>
          <w:sz w:val="20"/>
          <w:szCs w:val="20"/>
          <w:color w:val="auto"/>
        </w:rPr>
      </w:pPr>
    </w:p>
    <w:p>
      <w:pPr>
        <w:ind w:left="40" w:right="179" w:firstLine="648"/>
        <w:spacing w:after="0" w:line="254" w:lineRule="auto"/>
        <w:rPr>
          <w:sz w:val="20"/>
          <w:szCs w:val="20"/>
          <w:color w:val="auto"/>
        </w:rPr>
      </w:pPr>
      <w:r>
        <w:rPr>
          <w:rFonts w:ascii="Arial" w:cs="Arial" w:eastAsia="Arial" w:hAnsi="Arial"/>
          <w:sz w:val="17"/>
          <w:szCs w:val="17"/>
          <w:color w:val="auto"/>
        </w:rPr>
        <w:t>Third party payors, whether foreign or domestic, or governmental or commercial, are developing increasingly sophisticated methods of controlling healthcare costs. In addition, in the United States, no uniform policy of coverage and reimbursement for drug products exists among third 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 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81" w:lineRule="exact"/>
        <w:rPr>
          <w:sz w:val="20"/>
          <w:szCs w:val="20"/>
          <w:color w:val="auto"/>
        </w:rPr>
      </w:pPr>
    </w:p>
    <w:p>
      <w:pPr>
        <w:ind w:left="40" w:right="359" w:firstLine="648"/>
        <w:spacing w:after="0" w:line="253" w:lineRule="auto"/>
        <w:rPr>
          <w:sz w:val="20"/>
          <w:szCs w:val="20"/>
          <w:color w:val="auto"/>
        </w:rPr>
      </w:pPr>
      <w:r>
        <w:rPr>
          <w:rFonts w:ascii="Arial" w:cs="Arial" w:eastAsia="Arial" w:hAnsi="Arial"/>
          <w:sz w:val="17"/>
          <w:szCs w:val="17"/>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 marketing studies in order to demonstrate the cost effectiveness of any future products to the satisfaction of hospitals and other target customers and their third party payors. Such studies might require us to commit a significant amount of management time and financial and other resources. Our future products might not ultimately be considered cost effective. Adequate third party coverage and reimbursement might not be available to enable us to maintain price levels sufficient to realize an appropriate return on investment in product development.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648"/>
        <w:spacing w:after="0" w:line="252" w:lineRule="auto"/>
        <w:rPr>
          <w:sz w:val="20"/>
          <w:szCs w:val="20"/>
          <w:color w:val="auto"/>
        </w:rPr>
      </w:pPr>
      <w:r>
        <w:rPr>
          <w:rFonts w:ascii="Arial" w:cs="Arial" w:eastAsia="Arial" w:hAnsi="Arial"/>
          <w:sz w:val="17"/>
          <w:szCs w:val="17"/>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 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 party payors do not provide adequate coverage or reimbursement, our prospects for revenue and profitability will suffer.</w:t>
      </w:r>
    </w:p>
    <w:p>
      <w:pPr>
        <w:spacing w:after="0" w:line="183" w:lineRule="exact"/>
        <w:rPr>
          <w:sz w:val="20"/>
          <w:szCs w:val="20"/>
          <w:color w:val="auto"/>
        </w:rPr>
      </w:pPr>
    </w:p>
    <w:p>
      <w:pPr>
        <w:ind w:left="40" w:right="99" w:firstLine="648"/>
        <w:spacing w:after="0" w:line="238" w:lineRule="auto"/>
        <w:rPr>
          <w:sz w:val="20"/>
          <w:szCs w:val="20"/>
          <w:color w:val="auto"/>
        </w:rPr>
      </w:pPr>
      <w:r>
        <w:rPr>
          <w:rFonts w:ascii="Arial" w:cs="Arial" w:eastAsia="Arial" w:hAnsi="Arial"/>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94" w:lineRule="exact"/>
        <w:rPr>
          <w:sz w:val="20"/>
          <w:szCs w:val="20"/>
          <w:color w:val="auto"/>
        </w:rPr>
      </w:pPr>
    </w:p>
    <w:p>
      <w:pPr>
        <w:ind w:left="40" w:right="119" w:firstLine="648"/>
        <w:spacing w:after="0" w:line="272"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68" w:lineRule="exact"/>
        <w:rPr>
          <w:sz w:val="20"/>
          <w:szCs w:val="20"/>
          <w:color w:val="auto"/>
        </w:rPr>
      </w:pPr>
    </w:p>
    <w:p>
      <w:pPr>
        <w:ind w:left="40" w:right="59" w:firstLine="648"/>
        <w:spacing w:after="0" w:line="238" w:lineRule="auto"/>
        <w:rPr>
          <w:sz w:val="20"/>
          <w:szCs w:val="20"/>
          <w:color w:val="auto"/>
        </w:rPr>
      </w:pPr>
      <w:r>
        <w:rPr>
          <w:rFonts w:ascii="Arial" w:cs="Arial" w:eastAsia="Arial" w:hAnsi="Arial"/>
          <w:sz w:val="18"/>
          <w:szCs w:val="18"/>
          <w:color w:val="auto"/>
        </w:rPr>
        <w:t>In addition, increasingly, third 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91" w:lineRule="exact"/>
        <w:rPr>
          <w:sz w:val="20"/>
          <w:szCs w:val="20"/>
          <w:color w:val="auto"/>
        </w:rPr>
      </w:pPr>
    </w:p>
    <w:p>
      <w:pPr>
        <w:ind w:left="40" w:right="239"/>
        <w:spacing w:after="0" w:line="362" w:lineRule="auto"/>
        <w:rPr>
          <w:sz w:val="20"/>
          <w:szCs w:val="20"/>
          <w:color w:val="auto"/>
        </w:rPr>
      </w:pPr>
      <w:r>
        <w:rPr>
          <w:rFonts w:ascii="Arial" w:cs="Arial" w:eastAsia="Arial" w:hAnsi="Arial"/>
          <w:sz w:val="15"/>
          <w:szCs w:val="15"/>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01" w:lineRule="exact"/>
        <w:rPr>
          <w:sz w:val="20"/>
          <w:szCs w:val="20"/>
          <w:color w:val="auto"/>
        </w:rPr>
      </w:pPr>
    </w:p>
    <w:p>
      <w:pPr>
        <w:ind w:left="40" w:right="199" w:firstLine="648"/>
        <w:spacing w:after="0" w:line="276"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648"/>
        <w:spacing w:after="0" w:line="251" w:lineRule="auto"/>
        <w:rPr>
          <w:sz w:val="20"/>
          <w:szCs w:val="20"/>
          <w:color w:val="auto"/>
        </w:rPr>
      </w:pPr>
      <w:r>
        <w:rPr>
          <w:rFonts w:ascii="Arial" w:cs="Arial" w:eastAsia="Arial" w:hAnsi="Arial"/>
          <w:sz w:val="17"/>
          <w:szCs w:val="17"/>
          <w:color w:val="auto"/>
        </w:rPr>
        <w:t>For example, there have been numerous attempts by Congress and the Trump Administration, through legislation and executive orders, to repeal or materially modify various aspects of ACA. In addition, there have been multiple lawsuits challenging the constitutionality of the ACA as well as various components of the ACA, and it is unclear what impact these various efforts have and will have on our business operations and resulting financial condition. Next term, the Supreme Court will hear arguments on the constitutionality of the ACA, in particular with respect to Texas v. Azar’s holding that the TCJA rendered the individual mandate unconstitutional and by extension, the entirety of the ACA. It is unclear how the eventual decisions from the Supreme Court and the various other courts across the country to repeal and replace the ACA will impact the ACA and our business. It is also unclear how regulations and sub-regulatory policy, which fluctuate continually, may affect interpretation and implementation of the ACA and its practical effects on our business, particularly entering an election year. We are unable to predict the future course of federal or state healthcare legislation in the United States directed at broadening the availability of healthcare and containing or lowering the cost of healthcare, including drugs and biologics. The fate of the ACA and any further changes in the law or regulatory framework that reduce our revenue or increase our costs could also have a material and adverse effect on our business, financial condition and results of operations.</w:t>
      </w:r>
    </w:p>
    <w:p>
      <w:pPr>
        <w:spacing w:after="0" w:line="189" w:lineRule="exact"/>
        <w:rPr>
          <w:sz w:val="20"/>
          <w:szCs w:val="20"/>
          <w:color w:val="auto"/>
        </w:rPr>
      </w:pPr>
    </w:p>
    <w:p>
      <w:pPr>
        <w:ind w:left="40" w:right="99" w:firstLine="648"/>
        <w:spacing w:after="0" w:line="252" w:lineRule="auto"/>
        <w:rPr>
          <w:sz w:val="20"/>
          <w:szCs w:val="20"/>
          <w:color w:val="auto"/>
        </w:rPr>
      </w:pPr>
      <w:r>
        <w:rPr>
          <w:rFonts w:ascii="Arial" w:cs="Arial" w:eastAsia="Arial" w:hAnsi="Arial"/>
          <w:sz w:val="17"/>
          <w:szCs w:val="17"/>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and both the U.S. Congress and the Trump Administration have indicated that they will continue to seek new legislative and administrative measures to control drug costs.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83" w:lineRule="exact"/>
        <w:rPr>
          <w:sz w:val="20"/>
          <w:szCs w:val="20"/>
          <w:color w:val="auto"/>
        </w:rPr>
      </w:pPr>
    </w:p>
    <w:p>
      <w:pPr>
        <w:ind w:left="40" w:right="199" w:firstLine="648"/>
        <w:spacing w:after="0" w:line="257" w:lineRule="auto"/>
        <w:rPr>
          <w:sz w:val="20"/>
          <w:szCs w:val="20"/>
          <w:color w:val="auto"/>
        </w:rPr>
      </w:pPr>
      <w:r>
        <w:rPr>
          <w:rFonts w:ascii="Arial" w:cs="Arial" w:eastAsia="Arial" w:hAnsi="Arial"/>
          <w:sz w:val="17"/>
          <w:szCs w:val="17"/>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5" w:lineRule="exact"/>
        <w:rPr>
          <w:sz w:val="20"/>
          <w:szCs w:val="20"/>
          <w:color w:val="auto"/>
        </w:rPr>
      </w:pPr>
    </w:p>
    <w:p>
      <w:pPr>
        <w:ind w:left="40" w:right="159" w:firstLine="648"/>
        <w:spacing w:after="0" w:line="268" w:lineRule="auto"/>
        <w:rPr>
          <w:sz w:val="20"/>
          <w:szCs w:val="20"/>
          <w:color w:val="auto"/>
        </w:rPr>
      </w:pPr>
      <w:r>
        <w:rPr>
          <w:rFonts w:ascii="Arial" w:cs="Arial" w:eastAsia="Arial" w:hAnsi="Arial"/>
          <w:sz w:val="16"/>
          <w:szCs w:val="16"/>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Further, the DSCSA limits the distribution of prescription pharmaceutical products and imposes requirements to ensure overall accountability and security in the drug supply chain. Product identifier information (an aspect of the product tracing scheme) is also now required. The DSCSA requirements, development of standards, and the system for product tracing have been and will continue to be phased in over a period of years through 2023, and subject companies will need to continue their implementation efforts. Many states still have in place licensure and other requirements for manufacturers and distributors of drug products. The distribution of product samples continues to be regulated under the PDMA, and some states also impose regulations on drug sample distribution.</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firstLine="648"/>
        <w:spacing w:after="0" w:line="243" w:lineRule="auto"/>
        <w:rPr>
          <w:sz w:val="20"/>
          <w:szCs w:val="20"/>
          <w:color w:val="auto"/>
        </w:rPr>
      </w:pPr>
      <w:r>
        <w:rPr>
          <w:rFonts w:ascii="Arial" w:cs="Arial" w:eastAsia="Arial" w:hAnsi="Arial"/>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74" w:lineRule="exact"/>
        <w:rPr>
          <w:sz w:val="20"/>
          <w:szCs w:val="20"/>
          <w:color w:val="auto"/>
        </w:rPr>
      </w:pPr>
    </w:p>
    <w:p>
      <w:pPr>
        <w:ind w:left="40" w:right="219"/>
        <w:spacing w:after="0" w:line="261"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71"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80" w:lineRule="exact"/>
        <w:rPr>
          <w:sz w:val="20"/>
          <w:szCs w:val="20"/>
          <w:color w:val="auto"/>
        </w:rPr>
      </w:pPr>
    </w:p>
    <w:p>
      <w:pPr>
        <w:ind w:left="40" w:right="579"/>
        <w:spacing w:after="0" w:line="270"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64"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6"/>
          <w:szCs w:val="16"/>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75" w:lineRule="exact"/>
        <w:rPr>
          <w:sz w:val="20"/>
          <w:szCs w:val="20"/>
          <w:color w:val="auto"/>
        </w:rPr>
      </w:pPr>
    </w:p>
    <w:p>
      <w:pPr>
        <w:jc w:val="both"/>
        <w:ind w:left="40" w:right="119"/>
        <w:spacing w:after="0" w:line="362" w:lineRule="auto"/>
        <w:rPr>
          <w:sz w:val="20"/>
          <w:szCs w:val="20"/>
          <w:color w:val="auto"/>
        </w:rPr>
      </w:pPr>
      <w:r>
        <w:rPr>
          <w:rFonts w:ascii="Arial" w:cs="Arial" w:eastAsia="Arial" w:hAnsi="Arial"/>
          <w:sz w:val="15"/>
          <w:szCs w:val="15"/>
          <w:b w:val="1"/>
          <w:bCs w:val="1"/>
          <w:i w:val="1"/>
          <w:iCs w:val="1"/>
          <w:color w:val="auto"/>
        </w:rPr>
        <w:t>Our third-party manufacturers may use hazardous materials in the production of our product candidates and if so, they must comply with environmental laws and regulations, which can be expensive and restrict how we or they do business.</w:t>
      </w:r>
    </w:p>
    <w:p>
      <w:pPr>
        <w:spacing w:after="0" w:line="101"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6"/>
          <w:szCs w:val="16"/>
          <w:color w:val="auto"/>
        </w:rPr>
        <w:t>Manufacturing activities for the production of our product candidates involve the controlled storage, use, and disposal of hazardous materials, including the components of our product candidates, and other hazardous compounds. Our third-party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firstLine="648"/>
        <w:spacing w:after="0" w:line="284"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2" w:lineRule="exact"/>
        <w:rPr>
          <w:sz w:val="20"/>
          <w:szCs w:val="20"/>
          <w:color w:val="auto"/>
        </w:rPr>
      </w:pPr>
    </w:p>
    <w:p>
      <w:pPr>
        <w:ind w:left="40" w:right="219" w:firstLine="648"/>
        <w:spacing w:after="0" w:line="24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16" w:lineRule="exact"/>
        <w:rPr>
          <w:sz w:val="20"/>
          <w:szCs w:val="20"/>
          <w:color w:val="auto"/>
        </w:rPr>
      </w:pPr>
    </w:p>
    <w:p>
      <w:pPr>
        <w:ind w:left="40" w:right="519"/>
        <w:spacing w:after="0" w:line="261" w:lineRule="auto"/>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171" w:lineRule="exact"/>
        <w:rPr>
          <w:sz w:val="20"/>
          <w:szCs w:val="20"/>
          <w:color w:val="auto"/>
        </w:rPr>
      </w:pPr>
    </w:p>
    <w:p>
      <w:pPr>
        <w:ind w:left="40" w:right="119" w:firstLine="324"/>
        <w:spacing w:after="0" w:line="253" w:lineRule="auto"/>
        <w:rPr>
          <w:sz w:val="20"/>
          <w:szCs w:val="20"/>
          <w:color w:val="auto"/>
        </w:rPr>
      </w:pPr>
      <w:r>
        <w:rPr>
          <w:rFonts w:ascii="Arial" w:cs="Arial" w:eastAsia="Arial" w:hAnsi="Arial"/>
          <w:sz w:val="17"/>
          <w:szCs w:val="17"/>
          <w:color w:val="auto"/>
        </w:rPr>
        <w:t>As of August 3, 2020, we had only 43 full-time employees. We will need to substantially expand our managerial, commercial, financial, manufacturing, and other personnel resources in order to manage our operations and prepare for the commercialization of our product candidates,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180" w:lineRule="exact"/>
        <w:rPr>
          <w:sz w:val="20"/>
          <w:szCs w:val="20"/>
          <w:color w:val="auto"/>
        </w:rPr>
      </w:pPr>
    </w:p>
    <w:p>
      <w:pPr>
        <w:ind w:left="720" w:right="459" w:hanging="325"/>
        <w:spacing w:after="0" w:line="248"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81" w:lineRule="exact"/>
        <w:rPr>
          <w:rFonts w:ascii="Arial" w:cs="Arial" w:eastAsia="Arial" w:hAnsi="Arial"/>
          <w:sz w:val="18"/>
          <w:szCs w:val="18"/>
          <w:color w:val="auto"/>
        </w:rPr>
      </w:pPr>
    </w:p>
    <w:p>
      <w:pPr>
        <w:ind w:left="720" w:right="659" w:hanging="325"/>
        <w:spacing w:after="0" w:line="261"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ensure that our consultants and other service providers successfully carry out their contractual obligations, provide high quality results, and meet expected deadlines;</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 to carry out our own contractual obligations to our licensors and other third parties; and</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continue to improve our operational, financial, and management controls, reporting systems, and procedures.</w:t>
      </w:r>
    </w:p>
    <w:p>
      <w:pPr>
        <w:spacing w:after="0" w:line="235" w:lineRule="exact"/>
        <w:rPr>
          <w:sz w:val="20"/>
          <w:szCs w:val="20"/>
          <w:color w:val="auto"/>
        </w:rPr>
      </w:pPr>
    </w:p>
    <w:p>
      <w:pPr>
        <w:ind w:left="40" w:right="259" w:firstLine="648"/>
        <w:spacing w:after="0" w:line="261" w:lineRule="auto"/>
        <w:rPr>
          <w:sz w:val="20"/>
          <w:szCs w:val="20"/>
          <w:color w:val="auto"/>
        </w:rPr>
      </w:pPr>
      <w:r>
        <w:rPr>
          <w:rFonts w:ascii="Arial" w:cs="Arial" w:eastAsia="Arial" w:hAnsi="Arial"/>
          <w:sz w:val="18"/>
          <w:szCs w:val="18"/>
          <w:color w:val="auto"/>
        </w:rPr>
        <w:t>We may be unable to successfully implement these tasks on a larger scale and, accordingly, may not achieve our development and commercialization goals.</w:t>
      </w:r>
    </w:p>
    <w:p>
      <w:pPr>
        <w:spacing w:after="0" w:line="171" w:lineRule="exact"/>
        <w:rPr>
          <w:sz w:val="20"/>
          <w:szCs w:val="20"/>
          <w:color w:val="auto"/>
        </w:rPr>
      </w:pPr>
    </w:p>
    <w:p>
      <w:pPr>
        <w:ind w:left="40" w:right="539"/>
        <w:spacing w:after="0" w:line="248" w:lineRule="auto"/>
        <w:rPr>
          <w:sz w:val="20"/>
          <w:szCs w:val="20"/>
          <w:color w:val="auto"/>
        </w:rPr>
      </w:pPr>
      <w:r>
        <w:rPr>
          <w:rFonts w:ascii="Arial" w:cs="Arial" w:eastAsia="Arial" w:hAnsi="Arial"/>
          <w:sz w:val="18"/>
          <w:szCs w:val="18"/>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82" w:lineRule="exact"/>
        <w:rPr>
          <w:sz w:val="20"/>
          <w:szCs w:val="20"/>
          <w:color w:val="auto"/>
        </w:rPr>
      </w:pPr>
    </w:p>
    <w:p>
      <w:pPr>
        <w:ind w:left="40" w:right="99" w:firstLine="648"/>
        <w:spacing w:after="0" w:line="272" w:lineRule="auto"/>
        <w:rPr>
          <w:sz w:val="20"/>
          <w:szCs w:val="20"/>
          <w:color w:val="auto"/>
        </w:rPr>
      </w:pPr>
      <w:r>
        <w:rPr>
          <w:rFonts w:ascii="Arial" w:cs="Arial" w:eastAsia="Arial" w:hAnsi="Arial"/>
          <w:sz w:val="16"/>
          <w:szCs w:val="16"/>
          <w:color w:val="auto"/>
        </w:rPr>
        <w:t>As we continue to complete our clinical trials and prepare for commercialization of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61"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171"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We may not be able to manage our business effectively if we are unable to attract and retain key personnel.</w:t>
      </w:r>
    </w:p>
    <w:p>
      <w:pPr>
        <w:spacing w:after="0" w:line="223" w:lineRule="exact"/>
        <w:rPr>
          <w:sz w:val="20"/>
          <w:szCs w:val="20"/>
          <w:color w:val="auto"/>
        </w:rPr>
      </w:pPr>
    </w:p>
    <w:p>
      <w:pPr>
        <w:ind w:left="40" w:right="139" w:firstLine="648"/>
        <w:spacing w:after="0" w:line="241" w:lineRule="auto"/>
        <w:rPr>
          <w:sz w:val="20"/>
          <w:szCs w:val="20"/>
          <w:color w:val="auto"/>
        </w:rPr>
      </w:pPr>
      <w:r>
        <w:rPr>
          <w:rFonts w:ascii="Arial" w:cs="Arial" w:eastAsia="Arial" w:hAnsi="Arial"/>
          <w:sz w:val="18"/>
          <w:szCs w:val="18"/>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9" w:lineRule="exact"/>
        <w:rPr>
          <w:sz w:val="20"/>
          <w:szCs w:val="20"/>
          <w:color w:val="auto"/>
        </w:rPr>
      </w:pPr>
    </w:p>
    <w:p>
      <w:pPr>
        <w:ind w:left="40" w:right="119" w:firstLine="648"/>
        <w:spacing w:after="0" w:line="270" w:lineRule="auto"/>
        <w:rPr>
          <w:sz w:val="20"/>
          <w:szCs w:val="20"/>
          <w:color w:val="auto"/>
        </w:rPr>
      </w:pPr>
      <w:r>
        <w:rPr>
          <w:rFonts w:ascii="Arial" w:cs="Arial" w:eastAsia="Arial" w:hAnsi="Arial"/>
          <w:sz w:val="16"/>
          <w:szCs w:val="16"/>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71" w:lineRule="exact"/>
        <w:rPr>
          <w:sz w:val="20"/>
          <w:szCs w:val="20"/>
          <w:color w:val="auto"/>
        </w:rPr>
      </w:pPr>
    </w:p>
    <w:p>
      <w:pPr>
        <w:ind w:left="40" w:right="279"/>
        <w:spacing w:after="0" w:line="261" w:lineRule="auto"/>
        <w:rPr>
          <w:sz w:val="20"/>
          <w:szCs w:val="20"/>
          <w:color w:val="auto"/>
        </w:rPr>
      </w:pPr>
      <w:r>
        <w:rPr>
          <w:rFonts w:ascii="Arial" w:cs="Arial" w:eastAsia="Arial" w:hAnsi="Arial"/>
          <w:sz w:val="18"/>
          <w:szCs w:val="18"/>
          <w:b w:val="1"/>
          <w:bCs w:val="1"/>
          <w:i w:val="1"/>
          <w:iCs w:val="1"/>
          <w:color w:val="auto"/>
        </w:rPr>
        <w:t>We continue to incur significant increased costs as a result of operating as a public company, and our management is required to devote substantial time to compliance initiatives.</w:t>
      </w:r>
    </w:p>
    <w:p>
      <w:pPr>
        <w:spacing w:after="0" w:line="171" w:lineRule="exact"/>
        <w:rPr>
          <w:sz w:val="20"/>
          <w:szCs w:val="20"/>
          <w:color w:val="auto"/>
        </w:rPr>
      </w:pPr>
    </w:p>
    <w:p>
      <w:pPr>
        <w:ind w:left="40" w:right="199" w:firstLine="648"/>
        <w:spacing w:after="0" w:line="255" w:lineRule="auto"/>
        <w:rPr>
          <w:sz w:val="20"/>
          <w:szCs w:val="20"/>
          <w:color w:val="auto"/>
        </w:rPr>
      </w:pPr>
      <w:r>
        <w:rPr>
          <w:rFonts w:ascii="Arial" w:cs="Arial" w:eastAsia="Arial" w:hAnsi="Arial"/>
          <w:sz w:val="17"/>
          <w:szCs w:val="17"/>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6"/>
          <w:szCs w:val="16"/>
          <w:color w:val="auto"/>
        </w:rPr>
        <w:t>Section 404(a) of the Sarbanes-Oxley Act requires annual management assessments of the effectiveness of our internal control over financial reporting. However, for as long as we remain an “emerging growth company” as defined in the Jumpstart Our Business Startups Act of 2012, or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We may take advantage of these reporting exemptions until we are no longer an “emerging growth company.” As of December 31, 2020, we will no longer be an “emerging growth company”. As such, we will incur significant additional expenses that we did not previously incur in complying with the Sarbanes-Oxley Act and rules implemented by the SEC. The cost of compliance with Section 404 requires us to incur substantial accounting expense and expend significant management time on compliance-related issues as we implement additional corporate governance practices and comply with reporting requirements. Moreover, if we or our independent registered public accounting firm identifies deficiencies in our internal control over financial reporting as material weaknesses, we may be required to make prospective or retroactive changes to our financial statements, consider other areas for further attention or improvement, or be unable to obtain the required attestation in a timely manner, if at all. In addition, the market price of our stock could decline and we could be subject to sanctions or investigations by the SEC or other regulatory authorities, which would require additional financial and management resources.</w:t>
      </w:r>
    </w:p>
    <w:p>
      <w:pPr>
        <w:spacing w:after="0" w:line="169" w:lineRule="exact"/>
        <w:rPr>
          <w:sz w:val="20"/>
          <w:szCs w:val="20"/>
          <w:color w:val="auto"/>
        </w:rPr>
      </w:pPr>
    </w:p>
    <w:p>
      <w:pPr>
        <w:ind w:left="40" w:right="239" w:firstLine="648"/>
        <w:spacing w:after="0" w:line="271"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 over financial reporting that are deemed to be material weaknesses. We will incur substantial accounting expense and expend significant management efforts to comply with internal control over financial reporting requirements. We currently do not have an internal audit group, and we may need to hire additional accounting and financial staff with appropriate public company experience and technical accounting knowledge. 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 or other regulatory authorities, which would require additional financial and management resources.</w:t>
      </w:r>
    </w:p>
    <w:p>
      <w:pPr>
        <w:spacing w:after="0" w:line="169" w:lineRule="exact"/>
        <w:rPr>
          <w:sz w:val="20"/>
          <w:szCs w:val="20"/>
          <w:color w:val="auto"/>
        </w:rPr>
      </w:pPr>
    </w:p>
    <w:p>
      <w:pPr>
        <w:ind w:left="40" w:right="99"/>
        <w:spacing w:after="0" w:line="248"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82" w:lineRule="exact"/>
        <w:rPr>
          <w:sz w:val="20"/>
          <w:szCs w:val="20"/>
          <w:color w:val="auto"/>
        </w:rPr>
      </w:pPr>
    </w:p>
    <w:p>
      <w:pPr>
        <w:ind w:left="40" w:right="159" w:firstLine="648"/>
        <w:spacing w:after="0" w:line="268"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98" w:lineRule="exact"/>
        <w:rPr>
          <w:sz w:val="20"/>
          <w:szCs w:val="20"/>
          <w:color w:val="auto"/>
        </w:rPr>
      </w:pPr>
    </w:p>
    <w:p>
      <w:pPr>
        <w:ind w:left="40" w:right="179" w:firstLine="648"/>
        <w:spacing w:after="0" w:line="276"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62"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6"/>
          <w:szCs w:val="16"/>
          <w:color w:val="auto"/>
        </w:rPr>
        <w:t>In addition, the Sarbanes-Oxley Act requires, among other things, that we maintain effective disclosure controls and procedures and internal control over financial reporting. In particular, Section 404 of the Sarbanes-Oxley Act will require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as of December 31, 2020, once we are no longer an “emerging growth company,” we will be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At such time,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58" w:lineRule="exact"/>
        <w:rPr>
          <w:sz w:val="20"/>
          <w:szCs w:val="20"/>
          <w:color w:val="auto"/>
        </w:rPr>
      </w:pPr>
    </w:p>
    <w:p>
      <w:pPr>
        <w:ind w:left="40" w:right="59" w:firstLine="648"/>
        <w:spacing w:after="0" w:line="241"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212" w:lineRule="exact"/>
        <w:rPr>
          <w:sz w:val="20"/>
          <w:szCs w:val="20"/>
          <w:color w:val="auto"/>
        </w:rPr>
      </w:pPr>
    </w:p>
    <w:p>
      <w:pPr>
        <w:ind w:left="40" w:right="59" w:firstLine="648"/>
        <w:spacing w:after="0" w:line="252" w:lineRule="auto"/>
        <w:rPr>
          <w:sz w:val="20"/>
          <w:szCs w:val="20"/>
          <w:color w:val="auto"/>
        </w:rPr>
      </w:pPr>
      <w:r>
        <w:rPr>
          <w:rFonts w:ascii="Arial" w:cs="Arial" w:eastAsia="Arial" w:hAnsi="Arial"/>
          <w:sz w:val="17"/>
          <w:szCs w:val="17"/>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61"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71" w:lineRule="exact"/>
        <w:rPr>
          <w:sz w:val="20"/>
          <w:szCs w:val="20"/>
          <w:color w:val="auto"/>
        </w:rPr>
      </w:pPr>
    </w:p>
    <w:p>
      <w:pPr>
        <w:ind w:left="40" w:right="59" w:firstLine="648"/>
        <w:spacing w:after="0" w:line="267" w:lineRule="auto"/>
        <w:rPr>
          <w:sz w:val="20"/>
          <w:szCs w:val="20"/>
          <w:color w:val="auto"/>
        </w:rPr>
      </w:pPr>
      <w:r>
        <w:rPr>
          <w:rFonts w:ascii="Arial" w:cs="Arial" w:eastAsia="Arial" w:hAnsi="Arial"/>
          <w:sz w:val="16"/>
          <w:szCs w:val="16"/>
          <w:color w:val="auto"/>
        </w:rPr>
        <w:t>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77" w:lineRule="exact"/>
        <w:rPr>
          <w:sz w:val="20"/>
          <w:szCs w:val="20"/>
          <w:color w:val="auto"/>
        </w:rPr>
      </w:pPr>
    </w:p>
    <w:p>
      <w:pPr>
        <w:ind w:left="40" w:right="59"/>
        <w:spacing w:after="0" w:line="324" w:lineRule="auto"/>
        <w:rPr>
          <w:sz w:val="20"/>
          <w:szCs w:val="20"/>
          <w:color w:val="auto"/>
        </w:rPr>
      </w:pPr>
      <w:r>
        <w:rPr>
          <w:rFonts w:ascii="Arial" w:cs="Arial" w:eastAsia="Arial" w:hAnsi="Arial"/>
          <w:sz w:val="16"/>
          <w:szCs w:val="16"/>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65"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6"/>
          <w:szCs w:val="16"/>
          <w:color w:val="auto"/>
        </w:rPr>
        <w:t>There are numerous other laws and legislative and regulatory initiatives at the federal and state levels addressing privacy and security concerns, and some state privacy and security laws apply more broadly than the Health Insurance Portability and Accountability Act (HIPAA) and its implementing regulations. For example, California recently enacted legislation – the California Consumer Privacy Act, or CCPA – effective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12"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7"/>
          <w:szCs w:val="17"/>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212"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7"/>
          <w:szCs w:val="17"/>
          <w:color w:val="auto"/>
        </w:rPr>
        <w:t>The trading price of our common stock is likely to be highly volatile. For example, in 2019, we experienced an extraordinary level of appreciation in our stock price. Such levels of gain are unlikely to continue in the future, and already during the first half of 2020,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74" w:lineRule="exact"/>
        <w:rPr>
          <w:sz w:val="20"/>
          <w:szCs w:val="20"/>
          <w:color w:val="auto"/>
        </w:rPr>
      </w:pPr>
    </w:p>
    <w:p>
      <w:pPr>
        <w:ind w:left="720" w:right="239" w:hanging="325"/>
        <w:spacing w:after="0" w:line="261"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the commencement, enrollment, and ultimate completion, of our planned and ongoing Phase 3 clinical trials for our product candidates;</w:t>
      </w:r>
    </w:p>
    <w:p>
      <w:pPr>
        <w:spacing w:after="0" w:line="170" w:lineRule="exact"/>
        <w:rPr>
          <w:rFonts w:ascii="Arial" w:cs="Arial" w:eastAsia="Arial" w:hAnsi="Arial"/>
          <w:sz w:val="18"/>
          <w:szCs w:val="18"/>
          <w:color w:val="auto"/>
        </w:rPr>
      </w:pPr>
    </w:p>
    <w:p>
      <w:pPr>
        <w:ind w:left="720" w:right="619" w:hanging="325"/>
        <w:spacing w:after="0" w:line="261"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delay or refusal on the part of the FDA in approving an NDA for any of our current and future product candidates;</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commercial success of any of our current and future product candidates, if approved by the FDA;</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ours;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recommendations by securities analysts;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news relating to our industry as a whole and news relating to trends in our markets;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clinical trials of any of our current and future product candidates or those of our competitors;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provide to the public, if any;</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failure to meet or exceed the estimates and projections of the investment community, including securities analysts;</w:t>
      </w:r>
    </w:p>
    <w:p>
      <w:pPr>
        <w:spacing w:after="0" w:line="234" w:lineRule="exact"/>
        <w:rPr>
          <w:rFonts w:ascii="Arial" w:cs="Arial" w:eastAsia="Arial" w:hAnsi="Arial"/>
          <w:sz w:val="16"/>
          <w:szCs w:val="16"/>
          <w:color w:val="auto"/>
        </w:rPr>
      </w:pPr>
    </w:p>
    <w:p>
      <w:pPr>
        <w:ind w:left="720" w:hanging="325"/>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introduction of competitive products or technologies;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211" w:lineRule="exact"/>
        <w:rPr>
          <w:rFonts w:ascii="Arial" w:cs="Arial" w:eastAsia="Arial" w:hAnsi="Arial"/>
          <w:sz w:val="18"/>
          <w:szCs w:val="18"/>
          <w:color w:val="auto"/>
        </w:rPr>
      </w:pPr>
    </w:p>
    <w:p>
      <w:pPr>
        <w:ind w:left="720" w:right="879" w:hanging="325"/>
        <w:spacing w:after="0" w:line="261"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U.S. equity markets;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data or security breaches;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25"/>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concerning our sources of manufacturing supply, warehousing, and inventory control;</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or other developments relating to patents or other proprietary rights;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211" w:lineRule="exact"/>
        <w:rPr>
          <w:rFonts w:ascii="Arial" w:cs="Arial" w:eastAsia="Arial" w:hAnsi="Arial"/>
          <w:sz w:val="18"/>
          <w:szCs w:val="18"/>
          <w:color w:val="auto"/>
        </w:rPr>
      </w:pPr>
    </w:p>
    <w:p>
      <w:pPr>
        <w:ind w:left="720" w:right="759" w:hanging="325"/>
        <w:spacing w:after="0" w:line="261"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and expectations of additional financing efforts, including the issuance of debt, equity or convertible securities;</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significant stockholders;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market valuations of companies similar to us;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or divestitures;</w:t>
      </w:r>
    </w:p>
    <w:p>
      <w:pPr>
        <w:spacing w:after="0" w:line="223" w:lineRule="exact"/>
        <w:rPr>
          <w:rFonts w:ascii="Arial" w:cs="Arial" w:eastAsia="Arial" w:hAnsi="Arial"/>
          <w:sz w:val="17"/>
          <w:szCs w:val="17"/>
          <w:color w:val="auto"/>
        </w:rPr>
      </w:pPr>
    </w:p>
    <w:p>
      <w:pPr>
        <w:ind w:left="720" w:hanging="325"/>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conditions or trends in our industry; and</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jc w:val="both"/>
        <w:ind w:left="40" w:right="59" w:firstLine="648"/>
        <w:spacing w:after="0" w:line="262" w:lineRule="auto"/>
        <w:rPr>
          <w:sz w:val="20"/>
          <w:szCs w:val="20"/>
          <w:color w:val="auto"/>
        </w:rPr>
      </w:pPr>
      <w:r>
        <w:rPr>
          <w:rFonts w:ascii="Arial" w:cs="Arial" w:eastAsia="Arial" w:hAnsi="Arial"/>
          <w:sz w:val="17"/>
          <w:szCs w:val="17"/>
          <w:color w:val="auto"/>
        </w:rPr>
        <w:t>In addition, the stock market in general, and the market for small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2" w:lineRule="exact"/>
        <w:rPr>
          <w:sz w:val="20"/>
          <w:szCs w:val="20"/>
          <w:color w:val="auto"/>
        </w:rPr>
      </w:pPr>
    </w:p>
    <w:p>
      <w:pPr>
        <w:ind w:left="40" w:right="359" w:firstLine="648"/>
        <w:spacing w:after="0" w:line="294" w:lineRule="auto"/>
        <w:rPr>
          <w:sz w:val="20"/>
          <w:szCs w:val="20"/>
          <w:color w:val="auto"/>
        </w:rPr>
      </w:pPr>
      <w:r>
        <w:rPr>
          <w:rFonts w:ascii="Arial" w:cs="Arial" w:eastAsia="Arial" w:hAnsi="Arial"/>
          <w:sz w:val="16"/>
          <w:szCs w:val="16"/>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47" w:lineRule="exact"/>
        <w:rPr>
          <w:sz w:val="20"/>
          <w:szCs w:val="20"/>
          <w:color w:val="auto"/>
        </w:rPr>
      </w:pPr>
    </w:p>
    <w:p>
      <w:pPr>
        <w:ind w:left="40" w:right="139"/>
        <w:spacing w:after="0" w:line="261"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1" w:lineRule="exact"/>
        <w:rPr>
          <w:sz w:val="20"/>
          <w:szCs w:val="20"/>
          <w:color w:val="auto"/>
        </w:rPr>
      </w:pPr>
    </w:p>
    <w:p>
      <w:pPr>
        <w:ind w:left="40" w:right="139" w:firstLine="648"/>
        <w:spacing w:after="0" w:line="276" w:lineRule="auto"/>
        <w:rPr>
          <w:sz w:val="20"/>
          <w:szCs w:val="20"/>
          <w:color w:val="auto"/>
        </w:rPr>
      </w:pPr>
      <w:r>
        <w:rPr>
          <w:rFonts w:ascii="Arial" w:cs="Arial" w:eastAsia="Arial" w:hAnsi="Arial"/>
          <w:sz w:val="16"/>
          <w:szCs w:val="16"/>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212" w:lineRule="exact"/>
        <w:rPr>
          <w:sz w:val="20"/>
          <w:szCs w:val="20"/>
          <w:color w:val="auto"/>
        </w:rPr>
      </w:pPr>
    </w:p>
    <w:p>
      <w:pPr>
        <w:ind w:left="40" w:right="79" w:firstLine="648"/>
        <w:spacing w:after="0" w:line="261"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71" w:lineRule="exact"/>
        <w:rPr>
          <w:sz w:val="20"/>
          <w:szCs w:val="20"/>
          <w:color w:val="auto"/>
        </w:rPr>
      </w:pPr>
    </w:p>
    <w:p>
      <w:pPr>
        <w:ind w:left="720" w:right="199" w:hanging="325"/>
        <w:spacing w:after="0" w:line="324" w:lineRule="auto"/>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25"/>
        <w:spacing w:after="0" w:line="243"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87" w:lineRule="exact"/>
        <w:rPr>
          <w:rFonts w:ascii="Arial" w:cs="Arial" w:eastAsia="Arial" w:hAnsi="Arial"/>
          <w:sz w:val="18"/>
          <w:szCs w:val="18"/>
          <w:color w:val="auto"/>
        </w:rPr>
      </w:pPr>
    </w:p>
    <w:p>
      <w:pPr>
        <w:ind w:left="720" w:right="139" w:hanging="325"/>
        <w:spacing w:after="0" w:line="261"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identify and enter into third-party manufacturing arrangements capable of manufacturing any of our current or future product candidates in commercial quantities;</w:t>
      </w:r>
    </w:p>
    <w:p>
      <w:pPr>
        <w:spacing w:after="0" w:line="170" w:lineRule="exact"/>
        <w:rPr>
          <w:rFonts w:ascii="Arial" w:cs="Arial" w:eastAsia="Arial" w:hAnsi="Arial"/>
          <w:sz w:val="18"/>
          <w:szCs w:val="18"/>
          <w:color w:val="auto"/>
        </w:rPr>
      </w:pPr>
    </w:p>
    <w:p>
      <w:pPr>
        <w:ind w:left="720" w:right="119" w:hanging="325"/>
        <w:spacing w:after="0" w:line="261"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execution of other collaborative, licensing, or similar arrangements and the timing of payments we may make or receive under these arrangements;</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future development programs;</w:t>
      </w:r>
    </w:p>
    <w:p>
      <w:pPr>
        <w:spacing w:after="0" w:line="211" w:lineRule="exact"/>
        <w:rPr>
          <w:rFonts w:ascii="Arial" w:cs="Arial" w:eastAsia="Arial" w:hAnsi="Arial"/>
          <w:sz w:val="18"/>
          <w:szCs w:val="18"/>
          <w:color w:val="auto"/>
        </w:rPr>
      </w:pPr>
    </w:p>
    <w:p>
      <w:pPr>
        <w:ind w:left="720" w:hanging="325"/>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product liability or intellectual property infringement lawsuit in which we may become involved;</w:t>
      </w:r>
    </w:p>
    <w:p>
      <w:pPr>
        <w:spacing w:after="0" w:line="211" w:lineRule="exact"/>
        <w:rPr>
          <w:rFonts w:ascii="Arial" w:cs="Arial" w:eastAsia="Arial" w:hAnsi="Arial"/>
          <w:sz w:val="18"/>
          <w:szCs w:val="18"/>
          <w:color w:val="auto"/>
        </w:rPr>
      </w:pPr>
    </w:p>
    <w:p>
      <w:pPr>
        <w:ind w:left="720" w:right="439" w:hanging="325"/>
        <w:spacing w:after="0" w:line="261"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developments affecting our current and future product candidates, or the product candidates of our competitors; and</w:t>
      </w:r>
    </w:p>
    <w:p>
      <w:pPr>
        <w:spacing w:after="0" w:line="170" w:lineRule="exact"/>
        <w:rPr>
          <w:rFonts w:ascii="Arial" w:cs="Arial" w:eastAsia="Arial" w:hAnsi="Arial"/>
          <w:sz w:val="18"/>
          <w:szCs w:val="18"/>
          <w:color w:val="auto"/>
        </w:rPr>
      </w:pPr>
    </w:p>
    <w:p>
      <w:pPr>
        <w:ind w:left="720" w:right="159" w:hanging="325"/>
        <w:spacing w:after="0" w:line="261"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receive regulatory approval, the level of underlying demand for such product candidate and wholesaler buying patterns.</w:t>
      </w:r>
    </w:p>
    <w:p>
      <w:pPr>
        <w:spacing w:after="0" w:line="171" w:lineRule="exact"/>
        <w:rPr>
          <w:sz w:val="20"/>
          <w:szCs w:val="20"/>
          <w:color w:val="auto"/>
        </w:rPr>
      </w:pPr>
    </w:p>
    <w:p>
      <w:pPr>
        <w:ind w:left="40" w:right="139" w:firstLine="648"/>
        <w:spacing w:after="0" w:line="284" w:lineRule="auto"/>
        <w:rPr>
          <w:sz w:val="20"/>
          <w:szCs w:val="20"/>
          <w:color w:val="auto"/>
        </w:rPr>
      </w:pPr>
      <w:r>
        <w:rPr>
          <w:rFonts w:ascii="Arial" w:cs="Arial" w:eastAsia="Arial" w:hAnsi="Arial"/>
          <w:sz w:val="16"/>
          <w:szCs w:val="16"/>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55" w:lineRule="exact"/>
        <w:rPr>
          <w:sz w:val="20"/>
          <w:szCs w:val="20"/>
          <w:color w:val="auto"/>
        </w:rPr>
      </w:pPr>
    </w:p>
    <w:p>
      <w:pPr>
        <w:ind w:left="40" w:right="379"/>
        <w:spacing w:after="0" w:line="362" w:lineRule="auto"/>
        <w:rPr>
          <w:sz w:val="20"/>
          <w:szCs w:val="20"/>
          <w:color w:val="auto"/>
        </w:rPr>
      </w:pPr>
      <w:r>
        <w:rPr>
          <w:rFonts w:ascii="Arial" w:cs="Arial" w:eastAsia="Arial" w:hAnsi="Arial"/>
          <w:sz w:val="15"/>
          <w:szCs w:val="15"/>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01"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grants, and license and development agreements in connection with any collaborations.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0" w:lineRule="exact"/>
        <w:rPr>
          <w:sz w:val="20"/>
          <w:szCs w:val="20"/>
          <w:color w:val="auto"/>
        </w:rPr>
      </w:pPr>
    </w:p>
    <w:p>
      <w:pPr>
        <w:ind w:left="40" w:right="119" w:firstLine="648"/>
        <w:spacing w:after="0" w:line="253"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39"/>
        <w:spacing w:after="0" w:line="26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1" w:lineRule="exact"/>
        <w:rPr>
          <w:sz w:val="20"/>
          <w:szCs w:val="20"/>
          <w:color w:val="auto"/>
        </w:rPr>
      </w:pPr>
    </w:p>
    <w:p>
      <w:pPr>
        <w:ind w:left="40" w:right="79" w:firstLine="648"/>
        <w:spacing w:after="0" w:line="239" w:lineRule="auto"/>
        <w:rPr>
          <w:sz w:val="20"/>
          <w:szCs w:val="20"/>
          <w:color w:val="auto"/>
        </w:rPr>
      </w:pPr>
      <w:r>
        <w:rPr>
          <w:rFonts w:ascii="Arial" w:cs="Arial" w:eastAsia="Arial" w:hAnsi="Arial"/>
          <w:sz w:val="18"/>
          <w:szCs w:val="18"/>
          <w:color w:val="auto"/>
        </w:rPr>
        <w:t>As of August 3, 2020, our executive officers, directors, and 5% stockholders and their affiliates beneficially owned an aggregate of approximately 41%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91" w:lineRule="exact"/>
        <w:rPr>
          <w:sz w:val="20"/>
          <w:szCs w:val="20"/>
          <w:color w:val="auto"/>
        </w:rPr>
      </w:pPr>
    </w:p>
    <w:p>
      <w:pPr>
        <w:ind w:left="40" w:right="199" w:firstLine="648"/>
        <w:spacing w:after="0" w:line="238" w:lineRule="auto"/>
        <w:rPr>
          <w:sz w:val="20"/>
          <w:szCs w:val="20"/>
          <w:color w:val="auto"/>
        </w:rPr>
      </w:pPr>
      <w:r>
        <w:rPr>
          <w:rFonts w:ascii="Arial" w:cs="Arial" w:eastAsia="Arial" w:hAnsi="Arial"/>
          <w:sz w:val="18"/>
          <w:szCs w:val="18"/>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91" w:lineRule="exact"/>
        <w:rPr>
          <w:sz w:val="20"/>
          <w:szCs w:val="20"/>
          <w:color w:val="auto"/>
        </w:rPr>
      </w:pPr>
    </w:p>
    <w:p>
      <w:pPr>
        <w:ind w:left="40" w:right="339"/>
        <w:spacing w:after="0" w:line="261"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71" w:lineRule="exact"/>
        <w:rPr>
          <w:sz w:val="20"/>
          <w:szCs w:val="20"/>
          <w:color w:val="auto"/>
        </w:rPr>
      </w:pPr>
    </w:p>
    <w:p>
      <w:pPr>
        <w:ind w:left="40" w:right="79" w:firstLine="648"/>
        <w:spacing w:after="0" w:line="24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88"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7"/>
          <w:szCs w:val="17"/>
          <w:color w:val="auto"/>
        </w:rPr>
        <w:t>As of August 3, 2020, we have outstanding 37,284,266 shares of common stock and 4,166,792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29,322,542 are freely tradable. The remainder of the outstanding shares of common stock are held by our affiliates and may be considered “control securities” for purposes of Rule 144 under the Securities Act.</w:t>
      </w:r>
    </w:p>
    <w:p>
      <w:pPr>
        <w:spacing w:after="0" w:line="175" w:lineRule="exact"/>
        <w:rPr>
          <w:sz w:val="20"/>
          <w:szCs w:val="20"/>
          <w:color w:val="auto"/>
        </w:rPr>
      </w:pPr>
    </w:p>
    <w:p>
      <w:pPr>
        <w:ind w:left="40" w:right="59" w:firstLine="648"/>
        <w:spacing w:after="0" w:line="279" w:lineRule="auto"/>
        <w:rPr>
          <w:sz w:val="20"/>
          <w:szCs w:val="20"/>
          <w:color w:val="auto"/>
        </w:rPr>
      </w:pPr>
      <w:r>
        <w:rPr>
          <w:rFonts w:ascii="Arial" w:cs="Arial" w:eastAsia="Arial" w:hAnsi="Arial"/>
          <w:sz w:val="16"/>
          <w:szCs w:val="16"/>
          <w:color w:val="auto"/>
        </w:rPr>
        <w:t>In addition, we have filed one or more registration statements on Form S-8 registering the issuance of an aggregate of 7,481,050 shares of common stock subject to options or other equity awards issued or reserved for future issuance under our 2015 Omnibus Incentive Compensation Plan, or the Plan. Shares registered under registration statements on Form S-8 will be available for sale in the public market subject to vesting arrangements and exercise of options, the lock-up agreements described above and the restrictions of Rule 144 in the case of our affiliates.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59"/>
        <w:spacing w:after="0" w:line="248"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our capital raises, including our December 2019 public offering and the proceeds from sales pursuant to our Sales Agreement, and may not use them effectively.</w:t>
      </w:r>
    </w:p>
    <w:p>
      <w:pPr>
        <w:spacing w:after="0" w:line="182"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6"/>
          <w:szCs w:val="16"/>
          <w:color w:val="auto"/>
        </w:rPr>
        <w:t>Our management will have broad discretion in the application of the net proceeds from our capital raises, which we refer to as our Capital Raises, including our December 2019 public offering and the proceeds from sales pursuant to our December 2019 “at-the-market” sales agreement with SVB Leerink, which provides for the sale of up to $80.0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68" w:lineRule="exact"/>
        <w:rPr>
          <w:sz w:val="20"/>
          <w:szCs w:val="20"/>
          <w:color w:val="auto"/>
        </w:rPr>
      </w:pPr>
    </w:p>
    <w:p>
      <w:pPr>
        <w:ind w:left="40" w:right="739"/>
        <w:spacing w:after="0" w:line="362" w:lineRule="auto"/>
        <w:rPr>
          <w:sz w:val="20"/>
          <w:szCs w:val="20"/>
          <w:color w:val="auto"/>
        </w:rPr>
      </w:pPr>
      <w:r>
        <w:rPr>
          <w:rFonts w:ascii="Arial" w:cs="Arial" w:eastAsia="Arial" w:hAnsi="Arial"/>
          <w:sz w:val="15"/>
          <w:szCs w:val="15"/>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01" w:lineRule="exact"/>
        <w:rPr>
          <w:sz w:val="20"/>
          <w:szCs w:val="20"/>
          <w:color w:val="auto"/>
        </w:rPr>
      </w:pPr>
    </w:p>
    <w:p>
      <w:pPr>
        <w:ind w:left="40" w:right="219" w:firstLine="648"/>
        <w:spacing w:after="0" w:line="25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and we intend to take advantage of some of the exemptions from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80" w:lineRule="exact"/>
        <w:rPr>
          <w:sz w:val="20"/>
          <w:szCs w:val="20"/>
          <w:color w:val="auto"/>
        </w:rPr>
      </w:pPr>
    </w:p>
    <w:p>
      <w:pPr>
        <w:ind w:left="40" w:right="219" w:firstLine="648"/>
        <w:spacing w:after="0" w:line="265" w:lineRule="auto"/>
        <w:rPr>
          <w:sz w:val="20"/>
          <w:szCs w:val="20"/>
          <w:color w:val="auto"/>
        </w:rPr>
      </w:pPr>
      <w:r>
        <w:rPr>
          <w:rFonts w:ascii="Arial" w:cs="Arial" w:eastAsia="Arial" w:hAnsi="Arial"/>
          <w:sz w:val="16"/>
          <w:szCs w:val="16"/>
          <w:color w:val="auto"/>
        </w:rPr>
        <w:t>We will remain an emerging growth company until the earlier of (1) December 31, 2020, (2) the last day of the fiscal year (a) in which we have total annual gross revenue of at least $1.07 billion, or (b) in which we are deemed to be a large accelerated filer, which means the market value of our common stock that is held by non-affiliates exceeds</w:t>
      </w:r>
    </w:p>
    <w:p>
      <w:pPr>
        <w:ind w:left="40" w:right="79"/>
        <w:spacing w:after="0" w:line="221" w:lineRule="auto"/>
        <w:rPr>
          <w:sz w:val="20"/>
          <w:szCs w:val="20"/>
          <w:color w:val="auto"/>
        </w:rPr>
      </w:pPr>
      <w:r>
        <w:rPr>
          <w:rFonts w:ascii="Arial" w:cs="Arial" w:eastAsia="Arial" w:hAnsi="Arial"/>
          <w:sz w:val="18"/>
          <w:szCs w:val="18"/>
          <w:color w:val="auto"/>
        </w:rPr>
        <w:t>$700 million as of the prior June 30</w:t>
      </w:r>
      <w:r>
        <w:rPr>
          <w:rFonts w:ascii="Arial" w:cs="Arial" w:eastAsia="Arial" w:hAnsi="Arial"/>
          <w:sz w:val="26"/>
          <w:szCs w:val="26"/>
          <w:color w:val="auto"/>
          <w:vertAlign w:val="superscript"/>
        </w:rPr>
        <w:t>th</w:t>
      </w:r>
      <w:r>
        <w:rPr>
          <w:rFonts w:ascii="Arial" w:cs="Arial" w:eastAsia="Arial" w:hAnsi="Arial"/>
          <w:sz w:val="18"/>
          <w:szCs w:val="18"/>
          <w:color w:val="auto"/>
        </w:rPr>
        <w:t>, and (3) the date on which we have issued more than $1.0 billion in non-convertible debt during the prior three-year period. As such, we anticipate that we will no longer be an emerging growth company as of December 31, 2020. To the extent we are no longer eligible to use exemptions from various reporting requirements under the JOBS Act, we may be unable to realize our anticipated cost savings from these exemptions, which could have a material adverse impact on our operating results.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212" w:lineRule="exact"/>
        <w:rPr>
          <w:sz w:val="20"/>
          <w:szCs w:val="20"/>
          <w:color w:val="auto"/>
        </w:rPr>
      </w:pPr>
    </w:p>
    <w:p>
      <w:pPr>
        <w:ind w:left="40" w:right="59" w:firstLine="648"/>
        <w:spacing w:after="0" w:line="267" w:lineRule="auto"/>
        <w:rPr>
          <w:sz w:val="20"/>
          <w:szCs w:val="20"/>
          <w:color w:val="auto"/>
        </w:rPr>
      </w:pPr>
      <w:r>
        <w:rPr>
          <w:rFonts w:ascii="Arial" w:cs="Arial" w:eastAsia="Arial" w:hAnsi="Arial"/>
          <w:sz w:val="16"/>
          <w:szCs w:val="16"/>
          <w:color w:val="auto"/>
        </w:rPr>
        <w:t>Our net operating loss carryforwards and any future research and development tax credits may expire and not be used. As of December 31, 2019, we had U.S. federal net operating loss, NOL, carryforwards of approximately $154 million. Net operating loss carry forwards amounting to $60 million generated before the 2018 tax year will start expiring beginning 2033, if we have not used them prior to that time, and the net operating losses of approximately $94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March 2017 public offering, our December 2017 registered direct offering, our October 2018 registered direct offering, December 2019 public offering, private placements and other transactions that have occurred, may trigger, or may have already triggered, such an ownership change. In addition, since we may need to raise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375"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7"/>
          <w:szCs w:val="17"/>
          <w:color w:val="auto"/>
        </w:rPr>
        <w:t>On March 27, 2020, the Coronavirus Aid, Relief, and Economic Security Act, or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are currently evaluating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80" w:lineRule="exact"/>
        <w:rPr>
          <w:sz w:val="20"/>
          <w:szCs w:val="20"/>
          <w:color w:val="auto"/>
        </w:rPr>
      </w:pPr>
    </w:p>
    <w:p>
      <w:pPr>
        <w:ind w:left="40" w:right="439"/>
        <w:spacing w:after="0" w:line="261" w:lineRule="auto"/>
        <w:rPr>
          <w:sz w:val="20"/>
          <w:szCs w:val="20"/>
          <w:color w:val="auto"/>
        </w:rPr>
      </w:pPr>
      <w:r>
        <w:rPr>
          <w:rFonts w:ascii="Arial" w:cs="Arial" w:eastAsia="Arial" w:hAnsi="Arial"/>
          <w:sz w:val="18"/>
          <w:szCs w:val="18"/>
          <w:b w:val="1"/>
          <w:bCs w:val="1"/>
          <w:i w:val="1"/>
          <w:iCs w:val="1"/>
          <w:color w:val="auto"/>
        </w:rPr>
        <w:t>Because we do not intend to pay dividends on our common stock, returns for our stockholders will be limited to any increase in the value of our stock.</w:t>
      </w:r>
    </w:p>
    <w:p>
      <w:pPr>
        <w:spacing w:after="0" w:line="171"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7"/>
          <w:szCs w:val="17"/>
          <w:color w:val="auto"/>
        </w:rPr>
        <w:t>We have never declared or paid any cash dividends on our capital stock. In addition, the terms of our existing credit facility with SVB and WestRiver preclude us from paying cash dividends without SVB’s and WestRiver’s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48"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82"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6"/>
          <w:szCs w:val="16"/>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68" w:lineRule="exact"/>
        <w:rPr>
          <w:sz w:val="20"/>
          <w:szCs w:val="20"/>
          <w:color w:val="auto"/>
        </w:rPr>
      </w:pPr>
    </w:p>
    <w:p>
      <w:pPr>
        <w:ind w:left="40" w:right="159" w:firstLine="648"/>
        <w:spacing w:after="0" w:line="239"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91" w:lineRule="exact"/>
        <w:rPr>
          <w:sz w:val="20"/>
          <w:szCs w:val="20"/>
          <w:color w:val="auto"/>
        </w:rPr>
      </w:pPr>
    </w:p>
    <w:p>
      <w:pPr>
        <w:ind w:left="40" w:right="99"/>
        <w:spacing w:after="0" w:line="243"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8" w:lineRule="exact"/>
        <w:rPr>
          <w:sz w:val="20"/>
          <w:szCs w:val="20"/>
          <w:color w:val="auto"/>
        </w:rPr>
      </w:pPr>
    </w:p>
    <w:p>
      <w:pPr>
        <w:ind w:left="40" w:right="199" w:firstLine="648"/>
        <w:spacing w:after="0" w:line="239"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91"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7"/>
          <w:szCs w:val="17"/>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ind w:left="40" w:right="279"/>
        <w:spacing w:after="0" w:line="261"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120" w:type="dxa"/>
            <w:vAlign w:val="bottom"/>
            <w:gridSpan w:val="9"/>
          </w:tcPr>
          <w:p>
            <w:pPr>
              <w:ind w:left="760"/>
              <w:spacing w:after="0"/>
              <w:rPr>
                <w:sz w:val="20"/>
                <w:szCs w:val="20"/>
                <w:color w:val="auto"/>
              </w:rPr>
            </w:pPr>
            <w:r>
              <w:rPr>
                <w:rFonts w:ascii="Arial" w:cs="Arial" w:eastAsia="Arial" w:hAnsi="Arial"/>
                <w:sz w:val="18"/>
                <w:szCs w:val="18"/>
                <w:b w:val="1"/>
                <w:bCs w:val="1"/>
                <w:color w:val="auto"/>
              </w:rPr>
              <w:t>INDEX OF EXHIBITS</w:t>
            </w:r>
          </w:p>
        </w:tc>
      </w:tr>
      <w:tr>
        <w:trPr>
          <w:trHeight w:val="558"/>
        </w:trPr>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54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Description</w:t>
            </w:r>
          </w:p>
        </w:tc>
      </w:tr>
      <w:tr>
        <w:trPr>
          <w:trHeight w:val="372"/>
        </w:trPr>
        <w:tc>
          <w:tcPr>
            <w:tcW w:w="76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160" w:type="dxa"/>
            <w:vAlign w:val="bottom"/>
          </w:tcPr>
          <w:p>
            <w:pPr>
              <w:spacing w:after="0"/>
              <w:rPr>
                <w:sz w:val="24"/>
                <w:szCs w:val="24"/>
                <w:color w:val="auto"/>
              </w:rPr>
            </w:pPr>
          </w:p>
        </w:tc>
        <w:tc>
          <w:tcPr>
            <w:tcW w:w="8000" w:type="dxa"/>
            <w:vAlign w:val="bottom"/>
            <w:gridSpan w:val="10"/>
          </w:tcPr>
          <w:p>
            <w:pPr>
              <w:spacing w:after="0"/>
              <w:rPr>
                <w:rFonts w:ascii="Arial" w:cs="Arial" w:eastAsia="Arial" w:hAnsi="Arial"/>
                <w:sz w:val="18"/>
                <w:szCs w:val="18"/>
                <w:color w:val="0000EE"/>
                <w:w w:val="97"/>
              </w:rPr>
            </w:pPr>
            <w:hyperlink w:anchor="page103">
              <w:r>
                <w:rPr>
                  <w:rFonts w:ascii="Arial" w:cs="Arial" w:eastAsia="Arial" w:hAnsi="Arial"/>
                  <w:sz w:val="18"/>
                  <w:szCs w:val="18"/>
                  <w:color w:val="0000EE"/>
                  <w:w w:val="97"/>
                </w:rPr>
                <w:t>WeWork Membership Agreement effective as of August 1, 2020, by and between the Company and 22</w:t>
              </w:r>
            </w:hyperlink>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03">
              <w:r>
                <w:rPr>
                  <w:rFonts w:ascii="Arial" w:cs="Arial" w:eastAsia="Arial" w:hAnsi="Arial"/>
                  <w:sz w:val="18"/>
                  <w:szCs w:val="18"/>
                  <w:color w:val="0000EE"/>
                </w:rPr>
                <w:t>Cortlandt Street HQ LLC.</w:t>
              </w:r>
            </w:hyperlink>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760" w:type="dxa"/>
            <w:vAlign w:val="bottom"/>
          </w:tcPr>
          <w:p>
            <w:pPr>
              <w:jc w:val="center"/>
              <w:spacing w:after="0"/>
              <w:rPr>
                <w:sz w:val="20"/>
                <w:szCs w:val="20"/>
                <w:color w:val="auto"/>
              </w:rPr>
            </w:pPr>
            <w:r>
              <w:rPr>
                <w:rFonts w:ascii="Arial" w:cs="Arial" w:eastAsia="Arial" w:hAnsi="Arial"/>
                <w:sz w:val="18"/>
                <w:szCs w:val="18"/>
                <w:color w:val="auto"/>
                <w:w w:val="97"/>
              </w:rPr>
              <w:t>10.2**</w:t>
            </w:r>
          </w:p>
        </w:tc>
        <w:tc>
          <w:tcPr>
            <w:tcW w:w="160" w:type="dxa"/>
            <w:vAlign w:val="bottom"/>
          </w:tcPr>
          <w:p>
            <w:pPr>
              <w:spacing w:after="0"/>
              <w:rPr>
                <w:sz w:val="24"/>
                <w:szCs w:val="24"/>
                <w:color w:val="auto"/>
              </w:rPr>
            </w:pPr>
          </w:p>
        </w:tc>
        <w:tc>
          <w:tcPr>
            <w:tcW w:w="8000" w:type="dxa"/>
            <w:vAlign w:val="bottom"/>
            <w:gridSpan w:val="10"/>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Axsome Therapeutics, Inc. Amended and Restated 2015 Omnibus Incentive Compensation Plan.</w:t>
              </w:r>
            </w:hyperlink>
          </w:p>
        </w:tc>
      </w:tr>
      <w:tr>
        <w:trPr>
          <w:trHeight w:val="365"/>
        </w:trPr>
        <w:tc>
          <w:tcPr>
            <w:tcW w:w="760" w:type="dxa"/>
            <w:vAlign w:val="bottom"/>
          </w:tcPr>
          <w:p>
            <w:pPr>
              <w:jc w:val="center"/>
              <w:spacing w:after="0"/>
              <w:rPr>
                <w:sz w:val="20"/>
                <w:szCs w:val="20"/>
                <w:color w:val="auto"/>
              </w:rPr>
            </w:pPr>
            <w:r>
              <w:rPr>
                <w:rFonts w:ascii="Arial" w:cs="Arial" w:eastAsia="Arial" w:hAnsi="Arial"/>
                <w:sz w:val="18"/>
                <w:szCs w:val="18"/>
                <w:color w:val="auto"/>
                <w:w w:val="97"/>
              </w:rPr>
              <w:t>31.1**</w:t>
            </w:r>
          </w:p>
        </w:tc>
        <w:tc>
          <w:tcPr>
            <w:tcW w:w="160" w:type="dxa"/>
            <w:vAlign w:val="bottom"/>
          </w:tcPr>
          <w:p>
            <w:pPr>
              <w:spacing w:after="0"/>
              <w:rPr>
                <w:sz w:val="24"/>
                <w:szCs w:val="24"/>
                <w:color w:val="auto"/>
              </w:rPr>
            </w:pPr>
          </w:p>
        </w:tc>
        <w:tc>
          <w:tcPr>
            <w:tcW w:w="8000" w:type="dxa"/>
            <w:vAlign w:val="bottom"/>
            <w:gridSpan w:val="10"/>
          </w:tcPr>
          <w:p>
            <w:pPr>
              <w:spacing w:after="0"/>
              <w:rPr>
                <w:rFonts w:ascii="Arial" w:cs="Arial" w:eastAsia="Arial" w:hAnsi="Arial"/>
                <w:sz w:val="18"/>
                <w:szCs w:val="18"/>
                <w:color w:val="0000EE"/>
                <w:w w:val="96"/>
              </w:rPr>
            </w:pPr>
            <w:hyperlink w:anchor="page145">
              <w:r>
                <w:rPr>
                  <w:rFonts w:ascii="Arial" w:cs="Arial" w:eastAsia="Arial" w:hAnsi="Arial"/>
                  <w:sz w:val="18"/>
                  <w:szCs w:val="18"/>
                  <w:color w:val="0000EE"/>
                  <w:w w:val="96"/>
                </w:rPr>
                <w:t>Certification of Principal Executive Officer pursuant to Rule 13a-14(a)/15d-14(a), as adopted pursuant to</w:t>
              </w:r>
            </w:hyperlink>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0"/>
              </w:rPr>
            </w:pPr>
            <w:hyperlink w:anchor="page145">
              <w:r>
                <w:rPr>
                  <w:rFonts w:ascii="Arial" w:cs="Arial" w:eastAsia="Arial" w:hAnsi="Arial"/>
                  <w:sz w:val="18"/>
                  <w:szCs w:val="18"/>
                  <w:color w:val="0000EE"/>
                  <w:w w:val="90"/>
                </w:rPr>
                <w:t>Section 302 of the Sarbanes-Oxley Act of 2002.</w:t>
              </w:r>
            </w:hyperlink>
          </w:p>
        </w:tc>
        <w:tc>
          <w:tcPr>
            <w:tcW w:w="4100" w:type="dxa"/>
            <w:vAlign w:val="bottom"/>
            <w:tcBorders>
              <w:top w:val="single" w:sz="8" w:color="0000EE"/>
            </w:tcBorders>
            <w:gridSpan w:val="5"/>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760" w:type="dxa"/>
            <w:vAlign w:val="bottom"/>
          </w:tcPr>
          <w:p>
            <w:pPr>
              <w:jc w:val="center"/>
              <w:spacing w:after="0"/>
              <w:rPr>
                <w:sz w:val="20"/>
                <w:szCs w:val="20"/>
                <w:color w:val="auto"/>
              </w:rPr>
            </w:pPr>
            <w:r>
              <w:rPr>
                <w:rFonts w:ascii="Arial" w:cs="Arial" w:eastAsia="Arial" w:hAnsi="Arial"/>
                <w:sz w:val="18"/>
                <w:szCs w:val="18"/>
                <w:color w:val="auto"/>
                <w:w w:val="97"/>
              </w:rPr>
              <w:t>31.2**</w:t>
            </w:r>
          </w:p>
        </w:tc>
        <w:tc>
          <w:tcPr>
            <w:tcW w:w="160" w:type="dxa"/>
            <w:vAlign w:val="bottom"/>
          </w:tcPr>
          <w:p>
            <w:pPr>
              <w:spacing w:after="0"/>
              <w:rPr>
                <w:sz w:val="24"/>
                <w:szCs w:val="24"/>
                <w:color w:val="auto"/>
              </w:rPr>
            </w:pPr>
          </w:p>
        </w:tc>
        <w:tc>
          <w:tcPr>
            <w:tcW w:w="8000" w:type="dxa"/>
            <w:vAlign w:val="bottom"/>
            <w:gridSpan w:val="10"/>
          </w:tcPr>
          <w:p>
            <w:pPr>
              <w:spacing w:after="0"/>
              <w:rPr>
                <w:rFonts w:ascii="Arial" w:cs="Arial" w:eastAsia="Arial" w:hAnsi="Arial"/>
                <w:sz w:val="18"/>
                <w:szCs w:val="18"/>
                <w:color w:val="0000EE"/>
                <w:w w:val="97"/>
              </w:rPr>
            </w:pPr>
            <w:hyperlink w:anchor="page146">
              <w:r>
                <w:rPr>
                  <w:rFonts w:ascii="Arial" w:cs="Arial" w:eastAsia="Arial" w:hAnsi="Arial"/>
                  <w:sz w:val="18"/>
                  <w:szCs w:val="18"/>
                  <w:color w:val="0000EE"/>
                  <w:w w:val="97"/>
                </w:rPr>
                <w:t>Certification of Principal Financial Officer pursuant to Rule 13a-14(a)/15d-14(a), as adopted pursuant to</w:t>
              </w:r>
            </w:hyperlink>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0"/>
              </w:rPr>
            </w:pPr>
            <w:hyperlink w:anchor="page146">
              <w:r>
                <w:rPr>
                  <w:rFonts w:ascii="Arial" w:cs="Arial" w:eastAsia="Arial" w:hAnsi="Arial"/>
                  <w:sz w:val="18"/>
                  <w:szCs w:val="18"/>
                  <w:color w:val="0000EE"/>
                  <w:w w:val="90"/>
                </w:rPr>
                <w:t>Section 302 of the Sarbanes-Oxley Act of 2002.</w:t>
              </w:r>
            </w:hyperlink>
          </w:p>
        </w:tc>
        <w:tc>
          <w:tcPr>
            <w:tcW w:w="4060" w:type="dxa"/>
            <w:vAlign w:val="bottom"/>
            <w:tcBorders>
              <w:top w:val="single" w:sz="8" w:color="0000EE"/>
            </w:tcBorders>
            <w:gridSpan w:val="4"/>
          </w:tcPr>
          <w:p>
            <w:pPr>
              <w:spacing w:after="0"/>
              <w:rPr>
                <w:sz w:val="15"/>
                <w:szCs w:val="15"/>
                <w:color w:val="auto"/>
              </w:rPr>
            </w:pPr>
          </w:p>
        </w:tc>
        <w:tc>
          <w:tcPr>
            <w:tcW w:w="3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76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160" w:type="dxa"/>
            <w:vAlign w:val="bottom"/>
          </w:tcPr>
          <w:p>
            <w:pPr>
              <w:spacing w:after="0"/>
              <w:rPr>
                <w:sz w:val="24"/>
                <w:szCs w:val="24"/>
                <w:color w:val="auto"/>
              </w:rPr>
            </w:pPr>
          </w:p>
        </w:tc>
        <w:tc>
          <w:tcPr>
            <w:tcW w:w="8000" w:type="dxa"/>
            <w:vAlign w:val="bottom"/>
            <w:gridSpan w:val="10"/>
          </w:tcPr>
          <w:p>
            <w:pPr>
              <w:spacing w:after="0"/>
              <w:rPr>
                <w:rFonts w:ascii="Arial" w:cs="Arial" w:eastAsia="Arial" w:hAnsi="Arial"/>
                <w:sz w:val="18"/>
                <w:szCs w:val="18"/>
                <w:color w:val="0000EE"/>
                <w:w w:val="93"/>
              </w:rPr>
            </w:pPr>
            <w:hyperlink w:anchor="page147">
              <w:r>
                <w:rPr>
                  <w:rFonts w:ascii="Arial" w:cs="Arial" w:eastAsia="Arial" w:hAnsi="Arial"/>
                  <w:sz w:val="18"/>
                  <w:szCs w:val="18"/>
                  <w:color w:val="0000EE"/>
                  <w:w w:val="93"/>
                </w:rPr>
                <w:t>Certification of Principal Executive Officer pursuant to 18 U.S.C. §1350, as adopted pursuant to Section 906</w:t>
              </w:r>
            </w:hyperlink>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1"/>
              </w:rPr>
            </w:pPr>
            <w:hyperlink w:anchor="page147">
              <w:r>
                <w:rPr>
                  <w:rFonts w:ascii="Arial" w:cs="Arial" w:eastAsia="Arial" w:hAnsi="Arial"/>
                  <w:sz w:val="18"/>
                  <w:szCs w:val="18"/>
                  <w:color w:val="0000EE"/>
                  <w:w w:val="91"/>
                </w:rPr>
                <w:t>of the Sarbanes-Oxley Act of 2002 (furnished herewith).</w:t>
              </w:r>
            </w:hyperlink>
          </w:p>
        </w:tc>
        <w:tc>
          <w:tcPr>
            <w:tcW w:w="3740" w:type="dxa"/>
            <w:vAlign w:val="bottom"/>
            <w:tcBorders>
              <w:top w:val="single" w:sz="8" w:color="0000EE"/>
            </w:tcBorders>
            <w:gridSpan w:val="4"/>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76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160" w:type="dxa"/>
            <w:vAlign w:val="bottom"/>
          </w:tcPr>
          <w:p>
            <w:pPr>
              <w:spacing w:after="0"/>
              <w:rPr>
                <w:sz w:val="24"/>
                <w:szCs w:val="24"/>
                <w:color w:val="auto"/>
              </w:rPr>
            </w:pPr>
          </w:p>
        </w:tc>
        <w:tc>
          <w:tcPr>
            <w:tcW w:w="8000" w:type="dxa"/>
            <w:vAlign w:val="bottom"/>
            <w:gridSpan w:val="10"/>
          </w:tcPr>
          <w:p>
            <w:pPr>
              <w:spacing w:after="0"/>
              <w:rPr>
                <w:rFonts w:ascii="Arial" w:cs="Arial" w:eastAsia="Arial" w:hAnsi="Arial"/>
                <w:sz w:val="18"/>
                <w:szCs w:val="18"/>
                <w:color w:val="0000EE"/>
                <w:w w:val="91"/>
              </w:rPr>
            </w:pPr>
            <w:hyperlink w:anchor="page148">
              <w:r>
                <w:rPr>
                  <w:rFonts w:ascii="Arial" w:cs="Arial" w:eastAsia="Arial" w:hAnsi="Arial"/>
                  <w:sz w:val="18"/>
                  <w:szCs w:val="18"/>
                  <w:color w:val="0000EE"/>
                  <w:w w:val="91"/>
                </w:rPr>
                <w:t>Certification of Principal Financial Officer pursuant to 18 U.S.C. §1350, as adopted pursuant to Section 906 of</w:t>
              </w:r>
            </w:hyperlink>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8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148">
              <w:r>
                <w:rPr>
                  <w:rFonts w:ascii="Arial" w:cs="Arial" w:eastAsia="Arial" w:hAnsi="Arial"/>
                  <w:sz w:val="18"/>
                  <w:szCs w:val="18"/>
                  <w:color w:val="0000EE"/>
                </w:rPr>
                <w:t>the Sarbanes-Oxley Act of 2002 (furnished herewith).</w:t>
              </w:r>
            </w:hyperlink>
          </w:p>
        </w:tc>
        <w:tc>
          <w:tcPr>
            <w:tcW w:w="2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gridSpan w:val="3"/>
            <w:shd w:val="clear" w:color="auto" w:fill="0000EE"/>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r>
      <w:tr>
        <w:trPr>
          <w:trHeight w:val="398"/>
        </w:trPr>
        <w:tc>
          <w:tcPr>
            <w:tcW w:w="76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60" w:type="dxa"/>
            <w:vAlign w:val="bottom"/>
          </w:tcPr>
          <w:p>
            <w:pPr>
              <w:spacing w:after="0"/>
              <w:rPr>
                <w:sz w:val="24"/>
                <w:szCs w:val="24"/>
                <w:color w:val="auto"/>
              </w:rPr>
            </w:pPr>
          </w:p>
        </w:tc>
        <w:tc>
          <w:tcPr>
            <w:tcW w:w="8000" w:type="dxa"/>
            <w:vAlign w:val="bottom"/>
            <w:gridSpan w:val="10"/>
          </w:tcPr>
          <w:p>
            <w:pPr>
              <w:spacing w:after="0"/>
              <w:rPr>
                <w:sz w:val="20"/>
                <w:szCs w:val="20"/>
                <w:color w:val="auto"/>
              </w:rPr>
            </w:pPr>
            <w:r>
              <w:rPr>
                <w:rFonts w:ascii="Arial" w:cs="Arial" w:eastAsia="Arial" w:hAnsi="Arial"/>
                <w:sz w:val="18"/>
                <w:szCs w:val="18"/>
                <w:color w:val="auto"/>
                <w:w w:val="91"/>
              </w:rPr>
              <w:t>Inline XBRL Instance Document (the instance document does not appear in the Interactive Data File because</w:t>
            </w:r>
          </w:p>
        </w:tc>
      </w:tr>
      <w:tr>
        <w:trPr>
          <w:trHeight w:val="230"/>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0" w:type="dxa"/>
            <w:vAlign w:val="bottom"/>
            <w:gridSpan w:val="10"/>
          </w:tcPr>
          <w:p>
            <w:pPr>
              <w:spacing w:after="0"/>
              <w:rPr>
                <w:sz w:val="20"/>
                <w:szCs w:val="20"/>
                <w:color w:val="auto"/>
              </w:rPr>
            </w:pPr>
            <w:r>
              <w:rPr>
                <w:rFonts w:ascii="Arial" w:cs="Arial" w:eastAsia="Arial" w:hAnsi="Arial"/>
                <w:sz w:val="18"/>
                <w:szCs w:val="18"/>
                <w:color w:val="auto"/>
              </w:rPr>
              <w:t>its XBRL tags are embedded within the Inline XBRL document)</w:t>
            </w:r>
          </w:p>
        </w:tc>
      </w:tr>
      <w:tr>
        <w:trPr>
          <w:trHeight w:val="419"/>
        </w:trPr>
        <w:tc>
          <w:tcPr>
            <w:tcW w:w="76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60" w:type="dxa"/>
            <w:vAlign w:val="bottom"/>
          </w:tcPr>
          <w:p>
            <w:pPr>
              <w:spacing w:after="0"/>
              <w:rPr>
                <w:sz w:val="24"/>
                <w:szCs w:val="24"/>
                <w:color w:val="auto"/>
              </w:rPr>
            </w:pPr>
          </w:p>
        </w:tc>
        <w:tc>
          <w:tcPr>
            <w:tcW w:w="800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05"/>
        </w:trPr>
        <w:tc>
          <w:tcPr>
            <w:tcW w:w="76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60" w:type="dxa"/>
            <w:vAlign w:val="bottom"/>
          </w:tcPr>
          <w:p>
            <w:pPr>
              <w:spacing w:after="0"/>
              <w:rPr>
                <w:sz w:val="24"/>
                <w:szCs w:val="24"/>
                <w:color w:val="auto"/>
              </w:rPr>
            </w:pPr>
          </w:p>
        </w:tc>
        <w:tc>
          <w:tcPr>
            <w:tcW w:w="800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Database Document</w:t>
            </w:r>
          </w:p>
        </w:tc>
      </w:tr>
      <w:tr>
        <w:trPr>
          <w:trHeight w:val="405"/>
        </w:trPr>
        <w:tc>
          <w:tcPr>
            <w:tcW w:w="76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60" w:type="dxa"/>
            <w:vAlign w:val="bottom"/>
          </w:tcPr>
          <w:p>
            <w:pPr>
              <w:spacing w:after="0"/>
              <w:rPr>
                <w:sz w:val="24"/>
                <w:szCs w:val="24"/>
                <w:color w:val="auto"/>
              </w:rPr>
            </w:pPr>
          </w:p>
        </w:tc>
        <w:tc>
          <w:tcPr>
            <w:tcW w:w="800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05"/>
        </w:trPr>
        <w:tc>
          <w:tcPr>
            <w:tcW w:w="76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60" w:type="dxa"/>
            <w:vAlign w:val="bottom"/>
          </w:tcPr>
          <w:p>
            <w:pPr>
              <w:spacing w:after="0"/>
              <w:rPr>
                <w:sz w:val="24"/>
                <w:szCs w:val="24"/>
                <w:color w:val="auto"/>
              </w:rPr>
            </w:pPr>
          </w:p>
        </w:tc>
        <w:tc>
          <w:tcPr>
            <w:tcW w:w="800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05"/>
        </w:trPr>
        <w:tc>
          <w:tcPr>
            <w:tcW w:w="76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60" w:type="dxa"/>
            <w:vAlign w:val="bottom"/>
          </w:tcPr>
          <w:p>
            <w:pPr>
              <w:spacing w:after="0"/>
              <w:rPr>
                <w:sz w:val="24"/>
                <w:szCs w:val="24"/>
                <w:color w:val="auto"/>
              </w:rPr>
            </w:pPr>
          </w:p>
        </w:tc>
        <w:tc>
          <w:tcPr>
            <w:tcW w:w="800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75" w:lineRule="exact"/>
        <w:rPr>
          <w:sz w:val="20"/>
          <w:szCs w:val="20"/>
          <w:color w:val="auto"/>
        </w:rPr>
      </w:pPr>
    </w:p>
    <w:p>
      <w:pPr>
        <w:ind w:left="960" w:right="179" w:hanging="673"/>
        <w:spacing w:after="0" w:line="261" w:lineRule="auto"/>
        <w:tabs>
          <w:tab w:leader="none" w:pos="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57" w:lineRule="exact"/>
        <w:rPr>
          <w:rFonts w:ascii="Arial" w:cs="Arial" w:eastAsia="Arial" w:hAnsi="Arial"/>
          <w:sz w:val="18"/>
          <w:szCs w:val="18"/>
          <w:color w:val="auto"/>
        </w:rPr>
      </w:pPr>
    </w:p>
    <w:p>
      <w:pPr>
        <w:ind w:left="700" w:hanging="6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left="40" w:right="199"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AXSOME THERAPEUTICS, INC.</w:t>
      </w:r>
    </w:p>
    <w:p>
      <w:pPr>
        <w:spacing w:after="0" w:line="198" w:lineRule="exact"/>
        <w:rPr>
          <w:sz w:val="20"/>
          <w:szCs w:val="20"/>
          <w:color w:val="auto"/>
        </w:rPr>
      </w:pPr>
    </w:p>
    <w:p>
      <w:pPr>
        <w:ind w:left="40"/>
        <w:spacing w:after="0"/>
        <w:tabs>
          <w:tab w:leader="none" w:pos="4540" w:val="left"/>
          <w:tab w:leader="none" w:pos="498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6350</wp:posOffset>
            </wp:positionV>
            <wp:extent cx="25114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Herriot Tabuteau, M.D.</w:t>
      </w:r>
    </w:p>
    <w:p>
      <w:pPr>
        <w:ind w:left="500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Executive Officer)</w:t>
      </w:r>
    </w:p>
    <w:p>
      <w:pPr>
        <w:spacing w:after="0" w:line="385" w:lineRule="exact"/>
        <w:rPr>
          <w:sz w:val="20"/>
          <w:szCs w:val="20"/>
          <w:color w:val="auto"/>
        </w:rPr>
      </w:pPr>
    </w:p>
    <w:p>
      <w:pPr>
        <w:ind w:left="40"/>
        <w:spacing w:after="0"/>
        <w:tabs>
          <w:tab w:leader="none" w:pos="4540" w:val="left"/>
          <w:tab w:leader="none" w:pos="498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6350</wp:posOffset>
            </wp:positionV>
            <wp:extent cx="25114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Nick Pizzie</w:t>
      </w:r>
    </w:p>
    <w:p>
      <w:pPr>
        <w:ind w:left="500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10.1</w:t>
      </w:r>
    </w:p>
    <w:p>
      <w:pPr>
        <w:spacing w:after="0" w:line="227"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WEWORK MEMBERSHIP AGREEMENT</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HEADQUARTERS BY WEWORK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488950</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103" w:name="page104"/>
    <w:bookmarkEnd w:id="103"/>
    <w:tbl>
      <w:tblPr>
        <w:tblLayout w:type="fixed"/>
        <w:tblInd w:w="10" w:type="dxa"/>
        <w:tblCellMar>
          <w:top w:w="0" w:type="dxa"/>
          <w:left w:w="0" w:type="dxa"/>
          <w:bottom w:w="0" w:type="dxa"/>
          <w:right w:w="0" w:type="dxa"/>
        </w:tblCellMar>
      </w:tblPr>
      <w:tr>
        <w:trPr>
          <w:trHeight w:val="256"/>
        </w:trPr>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460" w:type="dxa"/>
            <w:vAlign w:val="bottom"/>
            <w:gridSpan w:val="2"/>
          </w:tcPr>
          <w:p>
            <w:pPr>
              <w:jc w:val="center"/>
              <w:ind w:right="2401"/>
              <w:spacing w:after="0"/>
              <w:rPr>
                <w:sz w:val="20"/>
                <w:szCs w:val="20"/>
                <w:color w:val="auto"/>
              </w:rPr>
            </w:pPr>
            <w:r>
              <w:rPr>
                <w:rFonts w:ascii="Arial" w:cs="Arial" w:eastAsia="Arial" w:hAnsi="Arial"/>
                <w:sz w:val="20"/>
                <w:szCs w:val="20"/>
                <w:b w:val="1"/>
                <w:bCs w:val="1"/>
                <w:color w:val="auto"/>
              </w:rPr>
              <w:t>MEMBERSHIP DETAILS FORM</w:t>
            </w:r>
          </w:p>
        </w:tc>
        <w:tc>
          <w:tcPr>
            <w:tcW w:w="0" w:type="dxa"/>
            <w:vAlign w:val="bottom"/>
          </w:tcPr>
          <w:p>
            <w:pPr>
              <w:spacing w:after="0"/>
              <w:rPr>
                <w:sz w:val="1"/>
                <w:szCs w:val="1"/>
                <w:color w:val="auto"/>
              </w:rPr>
            </w:pPr>
          </w:p>
        </w:tc>
      </w:tr>
      <w:tr>
        <w:trPr>
          <w:trHeight w:val="482"/>
        </w:trPr>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Borders>
              <w:left w:val="single" w:sz="8" w:color="auto"/>
            </w:tcBorders>
            <w:shd w:val="clear" w:color="auto" w:fill="F2F2F2"/>
          </w:tcPr>
          <w:p>
            <w:pPr>
              <w:spacing w:after="0"/>
              <w:rPr>
                <w:sz w:val="21"/>
                <w:szCs w:val="21"/>
                <w:color w:val="auto"/>
              </w:rPr>
            </w:pPr>
          </w:p>
        </w:tc>
        <w:tc>
          <w:tcPr>
            <w:tcW w:w="1080" w:type="dxa"/>
            <w:vAlign w:val="bottom"/>
            <w:shd w:val="clear" w:color="auto" w:fill="F2F2F2"/>
          </w:tcPr>
          <w:p>
            <w:pPr>
              <w:spacing w:after="0"/>
              <w:rPr>
                <w:sz w:val="21"/>
                <w:szCs w:val="21"/>
                <w:color w:val="auto"/>
              </w:rPr>
            </w:pPr>
          </w:p>
        </w:tc>
        <w:tc>
          <w:tcPr>
            <w:tcW w:w="80" w:type="dxa"/>
            <w:vAlign w:val="bottom"/>
            <w:shd w:val="clear" w:color="auto" w:fill="F2F2F2"/>
          </w:tcPr>
          <w:p>
            <w:pPr>
              <w:spacing w:after="0"/>
              <w:rPr>
                <w:sz w:val="21"/>
                <w:szCs w:val="21"/>
                <w:color w:val="auto"/>
              </w:rPr>
            </w:pPr>
          </w:p>
        </w:tc>
        <w:tc>
          <w:tcPr>
            <w:tcW w:w="1200" w:type="dxa"/>
            <w:vAlign w:val="bottom"/>
            <w:shd w:val="clear" w:color="auto" w:fill="F2F2F2"/>
          </w:tcPr>
          <w:p>
            <w:pPr>
              <w:spacing w:after="0"/>
              <w:rPr>
                <w:sz w:val="21"/>
                <w:szCs w:val="21"/>
                <w:color w:val="auto"/>
              </w:rPr>
            </w:pPr>
          </w:p>
        </w:tc>
        <w:tc>
          <w:tcPr>
            <w:tcW w:w="7460" w:type="dxa"/>
            <w:vAlign w:val="bottom"/>
            <w:tcBorders>
              <w:right w:val="single" w:sz="8" w:color="auto"/>
            </w:tcBorders>
            <w:gridSpan w:val="2"/>
            <w:shd w:val="clear" w:color="auto" w:fill="F2F2F2"/>
          </w:tcPr>
          <w:p>
            <w:pPr>
              <w:jc w:val="center"/>
              <w:ind w:right="2381"/>
              <w:spacing w:after="0"/>
              <w:rPr>
                <w:sz w:val="20"/>
                <w:szCs w:val="20"/>
                <w:color w:val="auto"/>
              </w:rPr>
            </w:pPr>
            <w:r>
              <w:rPr>
                <w:rFonts w:ascii="Arial" w:cs="Arial" w:eastAsia="Arial" w:hAnsi="Arial"/>
                <w:sz w:val="20"/>
                <w:szCs w:val="20"/>
                <w:b w:val="1"/>
                <w:bCs w:val="1"/>
                <w:color w:val="auto"/>
                <w:w w:val="99"/>
              </w:rPr>
              <w:t>COMPANY</w:t>
            </w:r>
          </w:p>
        </w:tc>
        <w:tc>
          <w:tcPr>
            <w:tcW w:w="0" w:type="dxa"/>
            <w:vAlign w:val="bottom"/>
          </w:tcPr>
          <w:p>
            <w:pPr>
              <w:spacing w:after="0"/>
              <w:rPr>
                <w:sz w:val="1"/>
                <w:szCs w:val="1"/>
                <w:color w:val="auto"/>
              </w:rPr>
            </w:pPr>
          </w:p>
        </w:tc>
      </w:tr>
      <w:tr>
        <w:trPr>
          <w:trHeight w:val="176"/>
        </w:trPr>
        <w:tc>
          <w:tcPr>
            <w:tcW w:w="120" w:type="dxa"/>
            <w:vAlign w:val="bottom"/>
            <w:tcBorders>
              <w:left w:val="single" w:sz="8" w:color="auto"/>
              <w:bottom w:val="single" w:sz="8" w:color="auto"/>
            </w:tcBorders>
            <w:shd w:val="clear" w:color="auto" w:fill="F2F2F2"/>
          </w:tcPr>
          <w:p>
            <w:pPr>
              <w:spacing w:after="0"/>
              <w:rPr>
                <w:sz w:val="15"/>
                <w:szCs w:val="15"/>
                <w:color w:val="auto"/>
              </w:rPr>
            </w:pPr>
          </w:p>
        </w:tc>
        <w:tc>
          <w:tcPr>
            <w:tcW w:w="1080" w:type="dxa"/>
            <w:vAlign w:val="bottom"/>
            <w:tcBorders>
              <w:bottom w:val="single" w:sz="8" w:color="auto"/>
            </w:tcBorders>
            <w:shd w:val="clear" w:color="auto" w:fill="F2F2F2"/>
          </w:tcPr>
          <w:p>
            <w:pPr>
              <w:spacing w:after="0"/>
              <w:rPr>
                <w:sz w:val="15"/>
                <w:szCs w:val="15"/>
                <w:color w:val="auto"/>
              </w:rPr>
            </w:pPr>
          </w:p>
        </w:tc>
        <w:tc>
          <w:tcPr>
            <w:tcW w:w="80" w:type="dxa"/>
            <w:vAlign w:val="bottom"/>
            <w:tcBorders>
              <w:bottom w:val="single" w:sz="8" w:color="auto"/>
            </w:tcBorders>
            <w:shd w:val="clear" w:color="auto" w:fill="F2F2F2"/>
          </w:tcPr>
          <w:p>
            <w:pPr>
              <w:spacing w:after="0"/>
              <w:rPr>
                <w:sz w:val="15"/>
                <w:szCs w:val="15"/>
                <w:color w:val="auto"/>
              </w:rPr>
            </w:pPr>
          </w:p>
        </w:tc>
        <w:tc>
          <w:tcPr>
            <w:tcW w:w="1200" w:type="dxa"/>
            <w:vAlign w:val="bottom"/>
            <w:tcBorders>
              <w:bottom w:val="single" w:sz="8" w:color="auto"/>
            </w:tcBorders>
            <w:shd w:val="clear" w:color="auto" w:fill="F2F2F2"/>
          </w:tcPr>
          <w:p>
            <w:pPr>
              <w:spacing w:after="0"/>
              <w:rPr>
                <w:sz w:val="15"/>
                <w:szCs w:val="15"/>
                <w:color w:val="auto"/>
              </w:rPr>
            </w:pPr>
          </w:p>
        </w:tc>
        <w:tc>
          <w:tcPr>
            <w:tcW w:w="2380" w:type="dxa"/>
            <w:vAlign w:val="bottom"/>
            <w:tcBorders>
              <w:bottom w:val="single" w:sz="8" w:color="auto"/>
              <w:right w:val="single" w:sz="8" w:color="F2F2F2"/>
            </w:tcBorders>
            <w:shd w:val="clear" w:color="auto" w:fill="F2F2F2"/>
          </w:tcPr>
          <w:p>
            <w:pPr>
              <w:spacing w:after="0"/>
              <w:rPr>
                <w:sz w:val="15"/>
                <w:szCs w:val="15"/>
                <w:color w:val="auto"/>
              </w:rPr>
            </w:pPr>
          </w:p>
        </w:tc>
        <w:tc>
          <w:tcPr>
            <w:tcW w:w="5080" w:type="dxa"/>
            <w:vAlign w:val="bottom"/>
            <w:tcBorders>
              <w:bottom w:val="single" w:sz="8" w:color="auto"/>
              <w:right w:val="single" w:sz="8" w:color="auto"/>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6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20"/>
                <w:szCs w:val="20"/>
                <w:b w:val="1"/>
                <w:bCs w:val="1"/>
                <w:color w:val="auto"/>
              </w:rPr>
              <w:t>Company Name (Legal Name):</w:t>
            </w:r>
          </w:p>
        </w:tc>
        <w:tc>
          <w:tcPr>
            <w:tcW w:w="5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Axsome Therapeutics, Inc.</w:t>
            </w:r>
          </w:p>
        </w:tc>
        <w:tc>
          <w:tcPr>
            <w:tcW w:w="0" w:type="dxa"/>
            <w:vAlign w:val="bottom"/>
          </w:tcPr>
          <w:p>
            <w:pPr>
              <w:spacing w:after="0"/>
              <w:rPr>
                <w:sz w:val="1"/>
                <w:szCs w:val="1"/>
                <w:color w:val="auto"/>
              </w:rPr>
            </w:pPr>
          </w:p>
        </w:tc>
      </w:tr>
      <w:tr>
        <w:trPr>
          <w:trHeight w:val="27"/>
        </w:trPr>
        <w:tc>
          <w:tcPr>
            <w:tcW w:w="12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20"/>
                <w:szCs w:val="20"/>
                <w:b w:val="1"/>
                <w:bCs w:val="1"/>
                <w:color w:val="auto"/>
              </w:rPr>
              <w:t>Industry:</w:t>
            </w:r>
          </w:p>
        </w:tc>
        <w:tc>
          <w:tcPr>
            <w:tcW w:w="5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Biopharmaceutical</w:t>
            </w:r>
          </w:p>
        </w:tc>
        <w:tc>
          <w:tcPr>
            <w:tcW w:w="0" w:type="dxa"/>
            <w:vAlign w:val="bottom"/>
          </w:tcPr>
          <w:p>
            <w:pPr>
              <w:spacing w:after="0"/>
              <w:rPr>
                <w:sz w:val="1"/>
                <w:szCs w:val="1"/>
                <w:color w:val="auto"/>
              </w:rPr>
            </w:pPr>
          </w:p>
        </w:tc>
      </w:tr>
      <w:tr>
        <w:trPr>
          <w:trHeight w:val="27"/>
        </w:trPr>
        <w:tc>
          <w:tcPr>
            <w:tcW w:w="12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0" w:type="dxa"/>
            <w:vAlign w:val="bottom"/>
            <w:tcBorders>
              <w:left w:val="single" w:sz="8" w:color="auto"/>
            </w:tcBorders>
            <w:shd w:val="clear" w:color="auto" w:fill="F2F2F2"/>
          </w:tcPr>
          <w:p>
            <w:pPr>
              <w:spacing w:after="0"/>
              <w:rPr>
                <w:sz w:val="21"/>
                <w:szCs w:val="21"/>
                <w:color w:val="auto"/>
              </w:rPr>
            </w:pPr>
          </w:p>
        </w:tc>
        <w:tc>
          <w:tcPr>
            <w:tcW w:w="1080" w:type="dxa"/>
            <w:vAlign w:val="bottom"/>
            <w:shd w:val="clear" w:color="auto" w:fill="F2F2F2"/>
          </w:tcPr>
          <w:p>
            <w:pPr>
              <w:spacing w:after="0"/>
              <w:rPr>
                <w:sz w:val="21"/>
                <w:szCs w:val="21"/>
                <w:color w:val="auto"/>
              </w:rPr>
            </w:pPr>
          </w:p>
        </w:tc>
        <w:tc>
          <w:tcPr>
            <w:tcW w:w="80" w:type="dxa"/>
            <w:vAlign w:val="bottom"/>
            <w:shd w:val="clear" w:color="auto" w:fill="F2F2F2"/>
          </w:tcPr>
          <w:p>
            <w:pPr>
              <w:spacing w:after="0"/>
              <w:rPr>
                <w:sz w:val="21"/>
                <w:szCs w:val="21"/>
                <w:color w:val="auto"/>
              </w:rPr>
            </w:pPr>
          </w:p>
        </w:tc>
        <w:tc>
          <w:tcPr>
            <w:tcW w:w="1200" w:type="dxa"/>
            <w:vAlign w:val="bottom"/>
            <w:shd w:val="clear" w:color="auto" w:fill="F2F2F2"/>
          </w:tcPr>
          <w:p>
            <w:pPr>
              <w:spacing w:after="0"/>
              <w:rPr>
                <w:sz w:val="21"/>
                <w:szCs w:val="21"/>
                <w:color w:val="auto"/>
              </w:rPr>
            </w:pPr>
          </w:p>
        </w:tc>
        <w:tc>
          <w:tcPr>
            <w:tcW w:w="7460" w:type="dxa"/>
            <w:vAlign w:val="bottom"/>
            <w:tcBorders>
              <w:right w:val="single" w:sz="8" w:color="auto"/>
            </w:tcBorders>
            <w:gridSpan w:val="2"/>
            <w:shd w:val="clear" w:color="auto" w:fill="F2F2F2"/>
          </w:tcPr>
          <w:p>
            <w:pPr>
              <w:jc w:val="center"/>
              <w:ind w:right="2381"/>
              <w:spacing w:after="0"/>
              <w:rPr>
                <w:sz w:val="20"/>
                <w:szCs w:val="20"/>
                <w:color w:val="auto"/>
              </w:rPr>
            </w:pPr>
            <w:r>
              <w:rPr>
                <w:rFonts w:ascii="Arial" w:cs="Arial" w:eastAsia="Arial" w:hAnsi="Arial"/>
                <w:sz w:val="20"/>
                <w:szCs w:val="20"/>
                <w:b w:val="1"/>
                <w:bCs w:val="1"/>
                <w:color w:val="auto"/>
              </w:rPr>
              <w:t>WEWORK</w:t>
            </w:r>
          </w:p>
        </w:tc>
        <w:tc>
          <w:tcPr>
            <w:tcW w:w="0" w:type="dxa"/>
            <w:vAlign w:val="bottom"/>
          </w:tcPr>
          <w:p>
            <w:pPr>
              <w:spacing w:after="0"/>
              <w:rPr>
                <w:sz w:val="1"/>
                <w:szCs w:val="1"/>
                <w:color w:val="auto"/>
              </w:rPr>
            </w:pPr>
          </w:p>
        </w:tc>
      </w:tr>
      <w:tr>
        <w:trPr>
          <w:trHeight w:val="176"/>
        </w:trPr>
        <w:tc>
          <w:tcPr>
            <w:tcW w:w="120" w:type="dxa"/>
            <w:vAlign w:val="bottom"/>
            <w:tcBorders>
              <w:left w:val="single" w:sz="8" w:color="auto"/>
              <w:bottom w:val="single" w:sz="8" w:color="auto"/>
            </w:tcBorders>
            <w:shd w:val="clear" w:color="auto" w:fill="F2F2F2"/>
          </w:tcPr>
          <w:p>
            <w:pPr>
              <w:spacing w:after="0"/>
              <w:rPr>
                <w:sz w:val="15"/>
                <w:szCs w:val="15"/>
                <w:color w:val="auto"/>
              </w:rPr>
            </w:pPr>
          </w:p>
        </w:tc>
        <w:tc>
          <w:tcPr>
            <w:tcW w:w="1080" w:type="dxa"/>
            <w:vAlign w:val="bottom"/>
            <w:tcBorders>
              <w:bottom w:val="single" w:sz="8" w:color="auto"/>
            </w:tcBorders>
            <w:shd w:val="clear" w:color="auto" w:fill="F2F2F2"/>
          </w:tcPr>
          <w:p>
            <w:pPr>
              <w:spacing w:after="0"/>
              <w:rPr>
                <w:sz w:val="15"/>
                <w:szCs w:val="15"/>
                <w:color w:val="auto"/>
              </w:rPr>
            </w:pPr>
          </w:p>
        </w:tc>
        <w:tc>
          <w:tcPr>
            <w:tcW w:w="80" w:type="dxa"/>
            <w:vAlign w:val="bottom"/>
            <w:tcBorders>
              <w:bottom w:val="single" w:sz="8" w:color="auto"/>
            </w:tcBorders>
            <w:shd w:val="clear" w:color="auto" w:fill="F2F2F2"/>
          </w:tcPr>
          <w:p>
            <w:pPr>
              <w:spacing w:after="0"/>
              <w:rPr>
                <w:sz w:val="15"/>
                <w:szCs w:val="15"/>
                <w:color w:val="auto"/>
              </w:rPr>
            </w:pPr>
          </w:p>
        </w:tc>
        <w:tc>
          <w:tcPr>
            <w:tcW w:w="1200" w:type="dxa"/>
            <w:vAlign w:val="bottom"/>
            <w:tcBorders>
              <w:bottom w:val="single" w:sz="8" w:color="auto"/>
            </w:tcBorders>
            <w:shd w:val="clear" w:color="auto" w:fill="F2F2F2"/>
          </w:tcPr>
          <w:p>
            <w:pPr>
              <w:spacing w:after="0"/>
              <w:rPr>
                <w:sz w:val="15"/>
                <w:szCs w:val="15"/>
                <w:color w:val="auto"/>
              </w:rPr>
            </w:pPr>
          </w:p>
        </w:tc>
        <w:tc>
          <w:tcPr>
            <w:tcW w:w="2380" w:type="dxa"/>
            <w:vAlign w:val="bottom"/>
            <w:tcBorders>
              <w:bottom w:val="single" w:sz="8" w:color="auto"/>
              <w:right w:val="single" w:sz="8" w:color="F2F2F2"/>
            </w:tcBorders>
            <w:shd w:val="clear" w:color="auto" w:fill="F2F2F2"/>
          </w:tcPr>
          <w:p>
            <w:pPr>
              <w:spacing w:after="0"/>
              <w:rPr>
                <w:sz w:val="15"/>
                <w:szCs w:val="15"/>
                <w:color w:val="auto"/>
              </w:rPr>
            </w:pPr>
          </w:p>
        </w:tc>
        <w:tc>
          <w:tcPr>
            <w:tcW w:w="5080" w:type="dxa"/>
            <w:vAlign w:val="bottom"/>
            <w:tcBorders>
              <w:bottom w:val="single" w:sz="8" w:color="auto"/>
              <w:right w:val="single" w:sz="8" w:color="auto"/>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6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20"/>
                <w:szCs w:val="20"/>
                <w:b w:val="1"/>
                <w:bCs w:val="1"/>
                <w:color w:val="auto"/>
              </w:rPr>
              <w:t>WeWork Entity (Legal Name):</w:t>
            </w:r>
          </w:p>
        </w:tc>
        <w:tc>
          <w:tcPr>
            <w:tcW w:w="5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22 Cortlandt Street HQ LLC</w:t>
            </w:r>
          </w:p>
        </w:tc>
        <w:tc>
          <w:tcPr>
            <w:tcW w:w="0" w:type="dxa"/>
            <w:vAlign w:val="bottom"/>
          </w:tcPr>
          <w:p>
            <w:pPr>
              <w:spacing w:after="0"/>
              <w:rPr>
                <w:sz w:val="1"/>
                <w:szCs w:val="1"/>
                <w:color w:val="auto"/>
              </w:rPr>
            </w:pPr>
          </w:p>
        </w:tc>
      </w:tr>
      <w:tr>
        <w:trPr>
          <w:trHeight w:val="41"/>
        </w:trPr>
        <w:tc>
          <w:tcPr>
            <w:tcW w:w="120" w:type="dxa"/>
            <w:vAlign w:val="bottom"/>
            <w:tcBorders>
              <w:left w:val="single" w:sz="8" w:color="auto"/>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20" w:type="dxa"/>
            <w:vAlign w:val="bottom"/>
            <w:tcBorders>
              <w:left w:val="single" w:sz="8" w:color="auto"/>
            </w:tcBorders>
            <w:shd w:val="clear" w:color="auto" w:fill="F2F2F2"/>
          </w:tcPr>
          <w:p>
            <w:pPr>
              <w:spacing w:after="0"/>
              <w:rPr>
                <w:sz w:val="21"/>
                <w:szCs w:val="21"/>
                <w:color w:val="auto"/>
              </w:rPr>
            </w:pPr>
          </w:p>
        </w:tc>
        <w:tc>
          <w:tcPr>
            <w:tcW w:w="1080" w:type="dxa"/>
            <w:vAlign w:val="bottom"/>
            <w:shd w:val="clear" w:color="auto" w:fill="F2F2F2"/>
          </w:tcPr>
          <w:p>
            <w:pPr>
              <w:spacing w:after="0"/>
              <w:rPr>
                <w:sz w:val="21"/>
                <w:szCs w:val="21"/>
                <w:color w:val="auto"/>
              </w:rPr>
            </w:pPr>
          </w:p>
        </w:tc>
        <w:tc>
          <w:tcPr>
            <w:tcW w:w="80" w:type="dxa"/>
            <w:vAlign w:val="bottom"/>
            <w:shd w:val="clear" w:color="auto" w:fill="F2F2F2"/>
          </w:tcPr>
          <w:p>
            <w:pPr>
              <w:spacing w:after="0"/>
              <w:rPr>
                <w:sz w:val="21"/>
                <w:szCs w:val="21"/>
                <w:color w:val="auto"/>
              </w:rPr>
            </w:pPr>
          </w:p>
        </w:tc>
        <w:tc>
          <w:tcPr>
            <w:tcW w:w="1200" w:type="dxa"/>
            <w:vAlign w:val="bottom"/>
            <w:shd w:val="clear" w:color="auto" w:fill="F2F2F2"/>
          </w:tcPr>
          <w:p>
            <w:pPr>
              <w:spacing w:after="0"/>
              <w:rPr>
                <w:sz w:val="21"/>
                <w:szCs w:val="21"/>
                <w:color w:val="auto"/>
              </w:rPr>
            </w:pPr>
          </w:p>
        </w:tc>
        <w:tc>
          <w:tcPr>
            <w:tcW w:w="7460" w:type="dxa"/>
            <w:vAlign w:val="bottom"/>
            <w:tcBorders>
              <w:right w:val="single" w:sz="8" w:color="auto"/>
            </w:tcBorders>
            <w:gridSpan w:val="2"/>
            <w:shd w:val="clear" w:color="auto" w:fill="F2F2F2"/>
          </w:tcPr>
          <w:p>
            <w:pPr>
              <w:jc w:val="center"/>
              <w:ind w:right="2381"/>
              <w:spacing w:after="0"/>
              <w:rPr>
                <w:sz w:val="20"/>
                <w:szCs w:val="20"/>
                <w:color w:val="auto"/>
              </w:rPr>
            </w:pPr>
            <w:r>
              <w:rPr>
                <w:rFonts w:ascii="Arial" w:cs="Arial" w:eastAsia="Arial" w:hAnsi="Arial"/>
                <w:sz w:val="20"/>
                <w:szCs w:val="20"/>
                <w:b w:val="1"/>
                <w:bCs w:val="1"/>
                <w:color w:val="auto"/>
              </w:rPr>
              <w:t>CONTRACT TERM DETAILS</w:t>
            </w:r>
          </w:p>
        </w:tc>
        <w:tc>
          <w:tcPr>
            <w:tcW w:w="0" w:type="dxa"/>
            <w:vAlign w:val="bottom"/>
          </w:tcPr>
          <w:p>
            <w:pPr>
              <w:spacing w:after="0"/>
              <w:rPr>
                <w:sz w:val="1"/>
                <w:szCs w:val="1"/>
                <w:color w:val="auto"/>
              </w:rPr>
            </w:pPr>
          </w:p>
        </w:tc>
      </w:tr>
      <w:tr>
        <w:trPr>
          <w:trHeight w:val="176"/>
        </w:trPr>
        <w:tc>
          <w:tcPr>
            <w:tcW w:w="120" w:type="dxa"/>
            <w:vAlign w:val="bottom"/>
            <w:tcBorders>
              <w:left w:val="single" w:sz="8" w:color="auto"/>
              <w:bottom w:val="single" w:sz="8" w:color="auto"/>
            </w:tcBorders>
            <w:shd w:val="clear" w:color="auto" w:fill="F2F2F2"/>
          </w:tcPr>
          <w:p>
            <w:pPr>
              <w:spacing w:after="0"/>
              <w:rPr>
                <w:sz w:val="15"/>
                <w:szCs w:val="15"/>
                <w:color w:val="auto"/>
              </w:rPr>
            </w:pPr>
          </w:p>
        </w:tc>
        <w:tc>
          <w:tcPr>
            <w:tcW w:w="1080" w:type="dxa"/>
            <w:vAlign w:val="bottom"/>
            <w:tcBorders>
              <w:bottom w:val="single" w:sz="8" w:color="auto"/>
            </w:tcBorders>
            <w:shd w:val="clear" w:color="auto" w:fill="F2F2F2"/>
          </w:tcPr>
          <w:p>
            <w:pPr>
              <w:spacing w:after="0"/>
              <w:rPr>
                <w:sz w:val="15"/>
                <w:szCs w:val="15"/>
                <w:color w:val="auto"/>
              </w:rPr>
            </w:pPr>
          </w:p>
        </w:tc>
        <w:tc>
          <w:tcPr>
            <w:tcW w:w="80" w:type="dxa"/>
            <w:vAlign w:val="bottom"/>
            <w:tcBorders>
              <w:bottom w:val="single" w:sz="8" w:color="auto"/>
            </w:tcBorders>
            <w:shd w:val="clear" w:color="auto" w:fill="F2F2F2"/>
          </w:tcPr>
          <w:p>
            <w:pPr>
              <w:spacing w:after="0"/>
              <w:rPr>
                <w:sz w:val="15"/>
                <w:szCs w:val="15"/>
                <w:color w:val="auto"/>
              </w:rPr>
            </w:pPr>
          </w:p>
        </w:tc>
        <w:tc>
          <w:tcPr>
            <w:tcW w:w="1200" w:type="dxa"/>
            <w:vAlign w:val="bottom"/>
            <w:tcBorders>
              <w:bottom w:val="single" w:sz="8" w:color="auto"/>
            </w:tcBorders>
            <w:shd w:val="clear" w:color="auto" w:fill="F2F2F2"/>
          </w:tcPr>
          <w:p>
            <w:pPr>
              <w:spacing w:after="0"/>
              <w:rPr>
                <w:sz w:val="15"/>
                <w:szCs w:val="15"/>
                <w:color w:val="auto"/>
              </w:rPr>
            </w:pPr>
          </w:p>
        </w:tc>
        <w:tc>
          <w:tcPr>
            <w:tcW w:w="2380" w:type="dxa"/>
            <w:vAlign w:val="bottom"/>
            <w:tcBorders>
              <w:bottom w:val="single" w:sz="8" w:color="auto"/>
              <w:right w:val="single" w:sz="8" w:color="F2F2F2"/>
            </w:tcBorders>
            <w:shd w:val="clear" w:color="auto" w:fill="F2F2F2"/>
          </w:tcPr>
          <w:p>
            <w:pPr>
              <w:spacing w:after="0"/>
              <w:rPr>
                <w:sz w:val="15"/>
                <w:szCs w:val="15"/>
                <w:color w:val="auto"/>
              </w:rPr>
            </w:pPr>
          </w:p>
        </w:tc>
        <w:tc>
          <w:tcPr>
            <w:tcW w:w="5080" w:type="dxa"/>
            <w:vAlign w:val="bottom"/>
            <w:tcBorders>
              <w:bottom w:val="single" w:sz="8" w:color="auto"/>
              <w:right w:val="single" w:sz="8" w:color="auto"/>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6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20"/>
                <w:szCs w:val="20"/>
                <w:b w:val="1"/>
                <w:bCs w:val="1"/>
                <w:color w:val="auto"/>
              </w:rPr>
              <w:t>Start Date:</w:t>
            </w:r>
          </w:p>
        </w:tc>
        <w:tc>
          <w:tcPr>
            <w:tcW w:w="5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August 1, 2020</w:t>
            </w:r>
          </w:p>
        </w:tc>
        <w:tc>
          <w:tcPr>
            <w:tcW w:w="0" w:type="dxa"/>
            <w:vAlign w:val="bottom"/>
          </w:tcPr>
          <w:p>
            <w:pPr>
              <w:spacing w:after="0"/>
              <w:rPr>
                <w:sz w:val="1"/>
                <w:szCs w:val="1"/>
                <w:color w:val="auto"/>
              </w:rPr>
            </w:pPr>
          </w:p>
        </w:tc>
      </w:tr>
      <w:tr>
        <w:trPr>
          <w:trHeight w:val="27"/>
        </w:trPr>
        <w:tc>
          <w:tcPr>
            <w:tcW w:w="12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860" w:type="dxa"/>
            <w:vAlign w:val="bottom"/>
            <w:tcBorders>
              <w:left w:val="single" w:sz="8" w:color="auto"/>
              <w:right w:val="single" w:sz="8" w:color="auto"/>
            </w:tcBorders>
            <w:gridSpan w:val="5"/>
          </w:tcPr>
          <w:p>
            <w:pPr>
              <w:ind w:left="120"/>
              <w:spacing w:after="0" w:line="207" w:lineRule="exact"/>
              <w:rPr>
                <w:sz w:val="20"/>
                <w:szCs w:val="20"/>
                <w:color w:val="auto"/>
              </w:rPr>
            </w:pPr>
            <w:r>
              <w:rPr>
                <w:rFonts w:ascii="Arial" w:cs="Arial" w:eastAsia="Arial" w:hAnsi="Arial"/>
                <w:sz w:val="20"/>
                <w:szCs w:val="20"/>
                <w:b w:val="1"/>
                <w:bCs w:val="1"/>
                <w:color w:val="auto"/>
                <w:w w:val="97"/>
              </w:rPr>
              <w:t>Initial Commitment Term (Start Date and end date):</w:t>
            </w:r>
          </w:p>
        </w:tc>
        <w:tc>
          <w:tcPr>
            <w:tcW w:w="5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Twelve (12) Months</w:t>
            </w:r>
          </w:p>
        </w:tc>
        <w:tc>
          <w:tcPr>
            <w:tcW w:w="0" w:type="dxa"/>
            <w:vAlign w:val="bottom"/>
          </w:tcPr>
          <w:p>
            <w:pPr>
              <w:spacing w:after="0"/>
              <w:rPr>
                <w:sz w:val="1"/>
                <w:szCs w:val="1"/>
                <w:color w:val="auto"/>
              </w:rPr>
            </w:pPr>
          </w:p>
        </w:tc>
      </w:tr>
      <w:tr>
        <w:trPr>
          <w:trHeight w:val="250"/>
        </w:trPr>
        <w:tc>
          <w:tcPr>
            <w:tcW w:w="120" w:type="dxa"/>
            <w:vAlign w:val="bottom"/>
            <w:tcBorders>
              <w:left w:val="single" w:sz="8" w:color="auto"/>
            </w:tcBorders>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5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August 1, 2020 – July 31, 2021</w:t>
            </w:r>
          </w:p>
        </w:tc>
        <w:tc>
          <w:tcPr>
            <w:tcW w:w="0" w:type="dxa"/>
            <w:vAlign w:val="bottom"/>
          </w:tcPr>
          <w:p>
            <w:pPr>
              <w:spacing w:after="0"/>
              <w:rPr>
                <w:sz w:val="1"/>
                <w:szCs w:val="1"/>
                <w:color w:val="auto"/>
              </w:rPr>
            </w:pPr>
          </w:p>
        </w:tc>
      </w:tr>
      <w:tr>
        <w:trPr>
          <w:trHeight w:val="239"/>
        </w:trPr>
        <w:tc>
          <w:tcPr>
            <w:tcW w:w="120" w:type="dxa"/>
            <w:vAlign w:val="bottom"/>
            <w:tcBorders>
              <w:left w:val="single" w:sz="8" w:color="auto"/>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5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860" w:type="dxa"/>
            <w:vAlign w:val="bottom"/>
            <w:tcBorders>
              <w:left w:val="single" w:sz="8" w:color="auto"/>
              <w:right w:val="single" w:sz="8" w:color="auto"/>
            </w:tcBorders>
            <w:gridSpan w:val="5"/>
          </w:tcPr>
          <w:p>
            <w:pPr>
              <w:ind w:left="120"/>
              <w:spacing w:after="0" w:line="200" w:lineRule="exact"/>
              <w:rPr>
                <w:sz w:val="20"/>
                <w:szCs w:val="20"/>
                <w:color w:val="auto"/>
              </w:rPr>
            </w:pPr>
            <w:r>
              <w:rPr>
                <w:rFonts w:ascii="Arial" w:cs="Arial" w:eastAsia="Arial" w:hAnsi="Arial"/>
                <w:sz w:val="20"/>
                <w:szCs w:val="20"/>
                <w:b w:val="1"/>
                <w:bCs w:val="1"/>
                <w:color w:val="auto"/>
              </w:rPr>
              <w:t>Extension Options (Start Date and end date) (if</w:t>
            </w:r>
          </w:p>
        </w:tc>
        <w:tc>
          <w:tcPr>
            <w:tcW w:w="5080" w:type="dxa"/>
            <w:vAlign w:val="bottom"/>
            <w:tcBorders>
              <w:right w:val="single" w:sz="8" w:color="auto"/>
            </w:tcBorders>
          </w:tcPr>
          <w:p>
            <w:pPr>
              <w:ind w:left="100"/>
              <w:spacing w:after="0" w:line="200" w:lineRule="exact"/>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61"/>
        </w:trPr>
        <w:tc>
          <w:tcPr>
            <w:tcW w:w="486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20"/>
                <w:szCs w:val="20"/>
                <w:b w:val="1"/>
                <w:bCs w:val="1"/>
                <w:color w:val="auto"/>
              </w:rPr>
              <w:t>applicable):</w:t>
            </w:r>
          </w:p>
        </w:tc>
        <w:tc>
          <w:tcPr>
            <w:tcW w:w="50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86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20"/>
                <w:szCs w:val="20"/>
                <w:b w:val="1"/>
                <w:bCs w:val="1"/>
                <w:color w:val="auto"/>
              </w:rPr>
              <w:t>Member Company Termination Notice Required:</w:t>
            </w:r>
          </w:p>
        </w:tc>
        <w:tc>
          <w:tcPr>
            <w:tcW w:w="5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Six (6) Months</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0" w:type="dxa"/>
            <w:vAlign w:val="bottom"/>
            <w:tcBorders>
              <w:left w:val="single" w:sz="8" w:color="auto"/>
            </w:tcBorders>
            <w:shd w:val="clear" w:color="auto" w:fill="F2F2F2"/>
          </w:tcPr>
          <w:p>
            <w:pPr>
              <w:spacing w:after="0"/>
              <w:rPr>
                <w:sz w:val="21"/>
                <w:szCs w:val="21"/>
                <w:color w:val="auto"/>
              </w:rPr>
            </w:pPr>
          </w:p>
        </w:tc>
        <w:tc>
          <w:tcPr>
            <w:tcW w:w="1080" w:type="dxa"/>
            <w:vAlign w:val="bottom"/>
            <w:shd w:val="clear" w:color="auto" w:fill="F2F2F2"/>
          </w:tcPr>
          <w:p>
            <w:pPr>
              <w:spacing w:after="0"/>
              <w:rPr>
                <w:sz w:val="21"/>
                <w:szCs w:val="21"/>
                <w:color w:val="auto"/>
              </w:rPr>
            </w:pPr>
          </w:p>
        </w:tc>
        <w:tc>
          <w:tcPr>
            <w:tcW w:w="80" w:type="dxa"/>
            <w:vAlign w:val="bottom"/>
            <w:shd w:val="clear" w:color="auto" w:fill="F2F2F2"/>
          </w:tcPr>
          <w:p>
            <w:pPr>
              <w:spacing w:after="0"/>
              <w:rPr>
                <w:sz w:val="21"/>
                <w:szCs w:val="21"/>
                <w:color w:val="auto"/>
              </w:rPr>
            </w:pPr>
          </w:p>
        </w:tc>
        <w:tc>
          <w:tcPr>
            <w:tcW w:w="1200" w:type="dxa"/>
            <w:vAlign w:val="bottom"/>
            <w:shd w:val="clear" w:color="auto" w:fill="F2F2F2"/>
          </w:tcPr>
          <w:p>
            <w:pPr>
              <w:spacing w:after="0"/>
              <w:rPr>
                <w:sz w:val="21"/>
                <w:szCs w:val="21"/>
                <w:color w:val="auto"/>
              </w:rPr>
            </w:pPr>
          </w:p>
        </w:tc>
        <w:tc>
          <w:tcPr>
            <w:tcW w:w="7460" w:type="dxa"/>
            <w:vAlign w:val="bottom"/>
            <w:tcBorders>
              <w:right w:val="single" w:sz="8" w:color="auto"/>
            </w:tcBorders>
            <w:gridSpan w:val="2"/>
            <w:shd w:val="clear" w:color="auto" w:fill="F2F2F2"/>
          </w:tcPr>
          <w:p>
            <w:pPr>
              <w:jc w:val="center"/>
              <w:ind w:right="2381"/>
              <w:spacing w:after="0"/>
              <w:rPr>
                <w:sz w:val="20"/>
                <w:szCs w:val="20"/>
                <w:color w:val="auto"/>
              </w:rPr>
            </w:pPr>
            <w:r>
              <w:rPr>
                <w:rFonts w:ascii="Arial" w:cs="Arial" w:eastAsia="Arial" w:hAnsi="Arial"/>
                <w:sz w:val="20"/>
                <w:szCs w:val="20"/>
                <w:b w:val="1"/>
                <w:bCs w:val="1"/>
                <w:color w:val="auto"/>
                <w:w w:val="98"/>
              </w:rPr>
              <w:t>OFFICE SPACE DETAILS AND MEMBERSHIPS</w:t>
            </w:r>
          </w:p>
        </w:tc>
        <w:tc>
          <w:tcPr>
            <w:tcW w:w="0" w:type="dxa"/>
            <w:vAlign w:val="bottom"/>
          </w:tcPr>
          <w:p>
            <w:pPr>
              <w:spacing w:after="0"/>
              <w:rPr>
                <w:sz w:val="1"/>
                <w:szCs w:val="1"/>
                <w:color w:val="auto"/>
              </w:rPr>
            </w:pPr>
          </w:p>
        </w:tc>
      </w:tr>
      <w:tr>
        <w:trPr>
          <w:trHeight w:val="176"/>
        </w:trPr>
        <w:tc>
          <w:tcPr>
            <w:tcW w:w="120" w:type="dxa"/>
            <w:vAlign w:val="bottom"/>
            <w:tcBorders>
              <w:left w:val="single" w:sz="8" w:color="auto"/>
              <w:bottom w:val="single" w:sz="8" w:color="auto"/>
            </w:tcBorders>
            <w:shd w:val="clear" w:color="auto" w:fill="F2F2F2"/>
          </w:tcPr>
          <w:p>
            <w:pPr>
              <w:spacing w:after="0"/>
              <w:rPr>
                <w:sz w:val="15"/>
                <w:szCs w:val="15"/>
                <w:color w:val="auto"/>
              </w:rPr>
            </w:pPr>
          </w:p>
        </w:tc>
        <w:tc>
          <w:tcPr>
            <w:tcW w:w="1080" w:type="dxa"/>
            <w:vAlign w:val="bottom"/>
            <w:tcBorders>
              <w:bottom w:val="single" w:sz="8" w:color="auto"/>
            </w:tcBorders>
            <w:shd w:val="clear" w:color="auto" w:fill="F2F2F2"/>
          </w:tcPr>
          <w:p>
            <w:pPr>
              <w:spacing w:after="0"/>
              <w:rPr>
                <w:sz w:val="15"/>
                <w:szCs w:val="15"/>
                <w:color w:val="auto"/>
              </w:rPr>
            </w:pPr>
          </w:p>
        </w:tc>
        <w:tc>
          <w:tcPr>
            <w:tcW w:w="80" w:type="dxa"/>
            <w:vAlign w:val="bottom"/>
            <w:tcBorders>
              <w:bottom w:val="single" w:sz="8" w:color="auto"/>
            </w:tcBorders>
            <w:shd w:val="clear" w:color="auto" w:fill="F2F2F2"/>
          </w:tcPr>
          <w:p>
            <w:pPr>
              <w:spacing w:after="0"/>
              <w:rPr>
                <w:sz w:val="15"/>
                <w:szCs w:val="15"/>
                <w:color w:val="auto"/>
              </w:rPr>
            </w:pPr>
          </w:p>
        </w:tc>
        <w:tc>
          <w:tcPr>
            <w:tcW w:w="1200" w:type="dxa"/>
            <w:vAlign w:val="bottom"/>
            <w:tcBorders>
              <w:bottom w:val="single" w:sz="8" w:color="auto"/>
            </w:tcBorders>
            <w:shd w:val="clear" w:color="auto" w:fill="F2F2F2"/>
          </w:tcPr>
          <w:p>
            <w:pPr>
              <w:spacing w:after="0"/>
              <w:rPr>
                <w:sz w:val="15"/>
                <w:szCs w:val="15"/>
                <w:color w:val="auto"/>
              </w:rPr>
            </w:pPr>
          </w:p>
        </w:tc>
        <w:tc>
          <w:tcPr>
            <w:tcW w:w="2380" w:type="dxa"/>
            <w:vAlign w:val="bottom"/>
            <w:tcBorders>
              <w:bottom w:val="single" w:sz="8" w:color="auto"/>
              <w:right w:val="single" w:sz="8" w:color="F2F2F2"/>
            </w:tcBorders>
            <w:shd w:val="clear" w:color="auto" w:fill="F2F2F2"/>
          </w:tcPr>
          <w:p>
            <w:pPr>
              <w:spacing w:after="0"/>
              <w:rPr>
                <w:sz w:val="15"/>
                <w:szCs w:val="15"/>
                <w:color w:val="auto"/>
              </w:rPr>
            </w:pPr>
          </w:p>
        </w:tc>
        <w:tc>
          <w:tcPr>
            <w:tcW w:w="5080" w:type="dxa"/>
            <w:vAlign w:val="bottom"/>
            <w:tcBorders>
              <w:bottom w:val="single" w:sz="8" w:color="auto"/>
              <w:right w:val="single" w:sz="8" w:color="auto"/>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6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20"/>
                <w:szCs w:val="20"/>
                <w:b w:val="1"/>
                <w:bCs w:val="1"/>
                <w:color w:val="auto"/>
              </w:rPr>
              <w:t>Address of Main Premises:</w:t>
            </w:r>
          </w:p>
        </w:tc>
        <w:tc>
          <w:tcPr>
            <w:tcW w:w="5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22 Cortlandt Street, New York, NY 1007</w:t>
            </w:r>
          </w:p>
        </w:tc>
        <w:tc>
          <w:tcPr>
            <w:tcW w:w="0" w:type="dxa"/>
            <w:vAlign w:val="bottom"/>
          </w:tcPr>
          <w:p>
            <w:pPr>
              <w:spacing w:after="0"/>
              <w:rPr>
                <w:sz w:val="1"/>
                <w:szCs w:val="1"/>
                <w:color w:val="auto"/>
              </w:rPr>
            </w:pPr>
          </w:p>
        </w:tc>
      </w:tr>
      <w:tr>
        <w:trPr>
          <w:trHeight w:val="27"/>
        </w:trPr>
        <w:tc>
          <w:tcPr>
            <w:tcW w:w="12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860" w:type="dxa"/>
            <w:vAlign w:val="bottom"/>
            <w:tcBorders>
              <w:left w:val="single" w:sz="8" w:color="auto"/>
              <w:right w:val="single" w:sz="8" w:color="auto"/>
            </w:tcBorders>
            <w:gridSpan w:val="5"/>
          </w:tcPr>
          <w:p>
            <w:pPr>
              <w:ind w:left="120"/>
              <w:spacing w:after="0" w:line="200" w:lineRule="exact"/>
              <w:rPr>
                <w:sz w:val="20"/>
                <w:szCs w:val="20"/>
                <w:color w:val="auto"/>
              </w:rPr>
            </w:pPr>
            <w:r>
              <w:rPr>
                <w:rFonts w:ascii="Arial" w:cs="Arial" w:eastAsia="Arial" w:hAnsi="Arial"/>
                <w:sz w:val="20"/>
                <w:szCs w:val="20"/>
                <w:b w:val="1"/>
                <w:bCs w:val="1"/>
                <w:color w:val="auto"/>
                <w:w w:val="89"/>
              </w:rPr>
              <w:t>Dedicated Office Space Description (if applicable) (e.g.,</w:t>
            </w:r>
          </w:p>
        </w:tc>
        <w:tc>
          <w:tcPr>
            <w:tcW w:w="5080" w:type="dxa"/>
            <w:vAlign w:val="bottom"/>
            <w:tcBorders>
              <w:right w:val="single" w:sz="8" w:color="auto"/>
            </w:tcBorders>
          </w:tcPr>
          <w:p>
            <w:pPr>
              <w:ind w:left="100"/>
              <w:spacing w:after="0" w:line="200" w:lineRule="exact"/>
              <w:rPr>
                <w:sz w:val="20"/>
                <w:szCs w:val="20"/>
                <w:color w:val="auto"/>
              </w:rPr>
            </w:pPr>
            <w:r>
              <w:rPr>
                <w:rFonts w:ascii="Arial" w:cs="Arial" w:eastAsia="Arial" w:hAnsi="Arial"/>
                <w:sz w:val="20"/>
                <w:szCs w:val="20"/>
                <w:color w:val="auto"/>
              </w:rPr>
              <w:t>Office Number 16-100</w:t>
            </w:r>
          </w:p>
        </w:tc>
        <w:tc>
          <w:tcPr>
            <w:tcW w:w="0" w:type="dxa"/>
            <w:vAlign w:val="bottom"/>
          </w:tcPr>
          <w:p>
            <w:pPr>
              <w:spacing w:after="0"/>
              <w:rPr>
                <w:sz w:val="1"/>
                <w:szCs w:val="1"/>
                <w:color w:val="auto"/>
              </w:rPr>
            </w:pPr>
          </w:p>
        </w:tc>
      </w:tr>
      <w:tr>
        <w:trPr>
          <w:trHeight w:val="252"/>
        </w:trPr>
        <w:tc>
          <w:tcPr>
            <w:tcW w:w="4860" w:type="dxa"/>
            <w:vAlign w:val="bottom"/>
            <w:tcBorders>
              <w:left w:val="single" w:sz="8" w:color="auto"/>
              <w:bottom w:val="single" w:sz="8" w:color="auto"/>
              <w:right w:val="single" w:sz="8" w:color="auto"/>
            </w:tcBorders>
            <w:gridSpan w:val="5"/>
          </w:tcPr>
          <w:p>
            <w:pPr>
              <w:ind w:left="120"/>
              <w:spacing w:after="0" w:line="252" w:lineRule="exact"/>
              <w:rPr>
                <w:sz w:val="20"/>
                <w:szCs w:val="20"/>
                <w:color w:val="auto"/>
              </w:rPr>
            </w:pPr>
            <w:r>
              <w:rPr>
                <w:rFonts w:ascii="Arial" w:cs="Arial" w:eastAsia="Arial" w:hAnsi="Arial"/>
                <w:sz w:val="20"/>
                <w:szCs w:val="20"/>
                <w:b w:val="1"/>
                <w:bCs w:val="1"/>
                <w:color w:val="auto"/>
              </w:rPr>
              <w:t>entire 4</w:t>
            </w:r>
            <w:r>
              <w:rPr>
                <w:rFonts w:ascii="Arial" w:cs="Arial" w:eastAsia="Arial" w:hAnsi="Arial"/>
                <w:sz w:val="29"/>
                <w:szCs w:val="29"/>
                <w:b w:val="1"/>
                <w:bCs w:val="1"/>
                <w:color w:val="auto"/>
                <w:vertAlign w:val="superscript"/>
              </w:rPr>
              <w:t>th</w:t>
            </w:r>
            <w:r>
              <w:rPr>
                <w:rFonts w:ascii="Arial" w:cs="Arial" w:eastAsia="Arial" w:hAnsi="Arial"/>
                <w:sz w:val="20"/>
                <w:szCs w:val="20"/>
                <w:b w:val="1"/>
                <w:bCs w:val="1"/>
                <w:color w:val="auto"/>
              </w:rPr>
              <w:t xml:space="preserve"> floor of Main Premises):</w:t>
            </w:r>
          </w:p>
        </w:tc>
        <w:tc>
          <w:tcPr>
            <w:tcW w:w="5080" w:type="dxa"/>
            <w:vAlign w:val="bottom"/>
            <w:tcBorders>
              <w:bottom w:val="single" w:sz="8" w:color="auto"/>
              <w:right w:val="single" w:sz="8" w:color="auto"/>
            </w:tcBorders>
          </w:tcPr>
          <w:p>
            <w:pPr>
              <w:ind w:left="100"/>
              <w:spacing w:after="0" w:line="252" w:lineRule="exact"/>
              <w:rPr>
                <w:sz w:val="20"/>
                <w:szCs w:val="20"/>
                <w:color w:val="auto"/>
              </w:rPr>
            </w:pPr>
            <w:r>
              <w:rPr>
                <w:rFonts w:ascii="Arial" w:cs="Arial" w:eastAsia="Arial" w:hAnsi="Arial"/>
                <w:sz w:val="20"/>
                <w:szCs w:val="20"/>
                <w:color w:val="auto"/>
              </w:rPr>
              <w:t>(Entire 16</w:t>
            </w:r>
            <w:r>
              <w:rPr>
                <w:rFonts w:ascii="Arial" w:cs="Arial" w:eastAsia="Arial" w:hAnsi="Arial"/>
                <w:sz w:val="29"/>
                <w:szCs w:val="29"/>
                <w:color w:val="auto"/>
                <w:vertAlign w:val="superscript"/>
              </w:rPr>
              <w:t>th</w:t>
            </w:r>
            <w:r>
              <w:rPr>
                <w:rFonts w:ascii="Arial" w:cs="Arial" w:eastAsia="Arial" w:hAnsi="Arial"/>
                <w:sz w:val="20"/>
                <w:szCs w:val="20"/>
                <w:color w:val="auto"/>
              </w:rPr>
              <w:t xml:space="preserve"> Floor of Main Premises)</w:t>
            </w:r>
          </w:p>
        </w:tc>
        <w:tc>
          <w:tcPr>
            <w:tcW w:w="0" w:type="dxa"/>
            <w:vAlign w:val="bottom"/>
          </w:tcPr>
          <w:p>
            <w:pPr>
              <w:spacing w:after="0"/>
              <w:rPr>
                <w:sz w:val="1"/>
                <w:szCs w:val="1"/>
                <w:color w:val="auto"/>
              </w:rPr>
            </w:pPr>
          </w:p>
        </w:tc>
      </w:tr>
      <w:tr>
        <w:trPr>
          <w:trHeight w:val="206"/>
        </w:trPr>
        <w:tc>
          <w:tcPr>
            <w:tcW w:w="4860" w:type="dxa"/>
            <w:vAlign w:val="bottom"/>
            <w:tcBorders>
              <w:left w:val="single" w:sz="8" w:color="auto"/>
              <w:right w:val="single" w:sz="8" w:color="auto"/>
            </w:tcBorders>
            <w:gridSpan w:val="5"/>
          </w:tcPr>
          <w:p>
            <w:pPr>
              <w:ind w:left="120"/>
              <w:spacing w:after="0" w:line="207" w:lineRule="exact"/>
              <w:rPr>
                <w:sz w:val="20"/>
                <w:szCs w:val="20"/>
                <w:color w:val="auto"/>
              </w:rPr>
            </w:pPr>
            <w:r>
              <w:rPr>
                <w:rFonts w:ascii="Arial" w:cs="Arial" w:eastAsia="Arial" w:hAnsi="Arial"/>
                <w:sz w:val="20"/>
                <w:szCs w:val="20"/>
                <w:b w:val="1"/>
                <w:bCs w:val="1"/>
                <w:color w:val="auto"/>
              </w:rPr>
              <w:t>Office Number(s):</w:t>
            </w:r>
          </w:p>
        </w:tc>
        <w:tc>
          <w:tcPr>
            <w:tcW w:w="5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Office Number 16-100</w:t>
            </w:r>
          </w:p>
        </w:tc>
        <w:tc>
          <w:tcPr>
            <w:tcW w:w="0" w:type="dxa"/>
            <w:vAlign w:val="bottom"/>
          </w:tcPr>
          <w:p>
            <w:pPr>
              <w:spacing w:after="0"/>
              <w:rPr>
                <w:sz w:val="1"/>
                <w:szCs w:val="1"/>
                <w:color w:val="auto"/>
              </w:rPr>
            </w:pPr>
          </w:p>
        </w:tc>
      </w:tr>
      <w:tr>
        <w:trPr>
          <w:trHeight w:val="260"/>
        </w:trPr>
        <w:tc>
          <w:tcPr>
            <w:tcW w:w="120" w:type="dxa"/>
            <w:vAlign w:val="bottom"/>
            <w:tcBorders>
              <w:left w:val="single" w:sz="8" w:color="auto"/>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380" w:type="dxa"/>
            <w:vAlign w:val="bottom"/>
            <w:tcBorders>
              <w:bottom w:val="single" w:sz="8" w:color="auto"/>
              <w:right w:val="single" w:sz="8" w:color="auto"/>
            </w:tcBorders>
          </w:tcPr>
          <w:p>
            <w:pPr>
              <w:spacing w:after="0"/>
              <w:rPr>
                <w:sz w:val="22"/>
                <w:szCs w:val="22"/>
                <w:color w:val="auto"/>
              </w:rPr>
            </w:pPr>
          </w:p>
        </w:tc>
        <w:tc>
          <w:tcPr>
            <w:tcW w:w="5080" w:type="dxa"/>
            <w:vAlign w:val="bottom"/>
            <w:tcBorders>
              <w:bottom w:val="single" w:sz="8" w:color="auto"/>
              <w:right w:val="single" w:sz="8" w:color="auto"/>
            </w:tcBorders>
          </w:tcPr>
          <w:p>
            <w:pPr>
              <w:ind w:left="100"/>
              <w:spacing w:after="0" w:line="260" w:lineRule="exact"/>
              <w:rPr>
                <w:sz w:val="20"/>
                <w:szCs w:val="20"/>
                <w:color w:val="auto"/>
              </w:rPr>
            </w:pPr>
            <w:r>
              <w:rPr>
                <w:rFonts w:ascii="Arial" w:cs="Arial" w:eastAsia="Arial" w:hAnsi="Arial"/>
                <w:sz w:val="20"/>
                <w:szCs w:val="20"/>
                <w:color w:val="auto"/>
              </w:rPr>
              <w:t>(Entire 16</w:t>
            </w:r>
            <w:r>
              <w:rPr>
                <w:rFonts w:ascii="Arial" w:cs="Arial" w:eastAsia="Arial" w:hAnsi="Arial"/>
                <w:sz w:val="29"/>
                <w:szCs w:val="29"/>
                <w:color w:val="auto"/>
                <w:vertAlign w:val="superscript"/>
              </w:rPr>
              <w:t>th</w:t>
            </w:r>
            <w:r>
              <w:rPr>
                <w:rFonts w:ascii="Arial" w:cs="Arial" w:eastAsia="Arial" w:hAnsi="Arial"/>
                <w:sz w:val="20"/>
                <w:szCs w:val="20"/>
                <w:color w:val="auto"/>
              </w:rPr>
              <w:t xml:space="preserve"> Floor of Main Premises)</w:t>
            </w:r>
          </w:p>
        </w:tc>
        <w:tc>
          <w:tcPr>
            <w:tcW w:w="0" w:type="dxa"/>
            <w:vAlign w:val="bottom"/>
          </w:tcPr>
          <w:p>
            <w:pPr>
              <w:spacing w:after="0"/>
              <w:rPr>
                <w:sz w:val="1"/>
                <w:szCs w:val="1"/>
                <w:color w:val="auto"/>
              </w:rPr>
            </w:pPr>
          </w:p>
        </w:tc>
      </w:tr>
      <w:tr>
        <w:trPr>
          <w:trHeight w:val="250"/>
        </w:trPr>
        <w:tc>
          <w:tcPr>
            <w:tcW w:w="486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20"/>
                <w:szCs w:val="20"/>
                <w:b w:val="1"/>
                <w:bCs w:val="1"/>
                <w:color w:val="auto"/>
              </w:rPr>
              <w:t>Capacity and Individual Memberships:</w:t>
            </w:r>
          </w:p>
        </w:tc>
        <w:tc>
          <w:tcPr>
            <w:tcW w:w="5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145</w:t>
            </w:r>
          </w:p>
        </w:tc>
        <w:tc>
          <w:tcPr>
            <w:tcW w:w="0" w:type="dxa"/>
            <w:vAlign w:val="bottom"/>
          </w:tcPr>
          <w:p>
            <w:pPr>
              <w:spacing w:after="0"/>
              <w:rPr>
                <w:sz w:val="1"/>
                <w:szCs w:val="1"/>
                <w:color w:val="auto"/>
              </w:rPr>
            </w:pPr>
          </w:p>
        </w:tc>
      </w:tr>
      <w:tr>
        <w:trPr>
          <w:trHeight w:val="27"/>
        </w:trPr>
        <w:tc>
          <w:tcPr>
            <w:tcW w:w="12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0" w:type="dxa"/>
            <w:vAlign w:val="bottom"/>
            <w:tcBorders>
              <w:left w:val="single" w:sz="8" w:color="auto"/>
            </w:tcBorders>
            <w:shd w:val="clear" w:color="auto" w:fill="F2F2F2"/>
          </w:tcPr>
          <w:p>
            <w:pPr>
              <w:spacing w:after="0"/>
              <w:rPr>
                <w:sz w:val="21"/>
                <w:szCs w:val="21"/>
                <w:color w:val="auto"/>
              </w:rPr>
            </w:pPr>
          </w:p>
        </w:tc>
        <w:tc>
          <w:tcPr>
            <w:tcW w:w="1080" w:type="dxa"/>
            <w:vAlign w:val="bottom"/>
            <w:shd w:val="clear" w:color="auto" w:fill="F2F2F2"/>
          </w:tcPr>
          <w:p>
            <w:pPr>
              <w:spacing w:after="0"/>
              <w:rPr>
                <w:sz w:val="21"/>
                <w:szCs w:val="21"/>
                <w:color w:val="auto"/>
              </w:rPr>
            </w:pPr>
          </w:p>
        </w:tc>
        <w:tc>
          <w:tcPr>
            <w:tcW w:w="80" w:type="dxa"/>
            <w:vAlign w:val="bottom"/>
            <w:shd w:val="clear" w:color="auto" w:fill="F2F2F2"/>
          </w:tcPr>
          <w:p>
            <w:pPr>
              <w:spacing w:after="0"/>
              <w:rPr>
                <w:sz w:val="21"/>
                <w:szCs w:val="21"/>
                <w:color w:val="auto"/>
              </w:rPr>
            </w:pPr>
          </w:p>
        </w:tc>
        <w:tc>
          <w:tcPr>
            <w:tcW w:w="1200" w:type="dxa"/>
            <w:vAlign w:val="bottom"/>
            <w:shd w:val="clear" w:color="auto" w:fill="F2F2F2"/>
          </w:tcPr>
          <w:p>
            <w:pPr>
              <w:spacing w:after="0"/>
              <w:rPr>
                <w:sz w:val="21"/>
                <w:szCs w:val="21"/>
                <w:color w:val="auto"/>
              </w:rPr>
            </w:pPr>
          </w:p>
        </w:tc>
        <w:tc>
          <w:tcPr>
            <w:tcW w:w="7460" w:type="dxa"/>
            <w:vAlign w:val="bottom"/>
            <w:tcBorders>
              <w:right w:val="single" w:sz="8" w:color="auto"/>
            </w:tcBorders>
            <w:gridSpan w:val="2"/>
            <w:shd w:val="clear" w:color="auto" w:fill="F2F2F2"/>
          </w:tcPr>
          <w:p>
            <w:pPr>
              <w:jc w:val="center"/>
              <w:ind w:right="2381"/>
              <w:spacing w:after="0"/>
              <w:rPr>
                <w:sz w:val="20"/>
                <w:szCs w:val="20"/>
                <w:color w:val="auto"/>
              </w:rPr>
            </w:pPr>
            <w:r>
              <w:rPr>
                <w:rFonts w:ascii="Arial" w:cs="Arial" w:eastAsia="Arial" w:hAnsi="Arial"/>
                <w:sz w:val="20"/>
                <w:szCs w:val="20"/>
                <w:b w:val="1"/>
                <w:bCs w:val="1"/>
                <w:color w:val="auto"/>
              </w:rPr>
              <w:t>PRICING / FINANCIAL TERMS</w:t>
            </w:r>
          </w:p>
        </w:tc>
        <w:tc>
          <w:tcPr>
            <w:tcW w:w="0" w:type="dxa"/>
            <w:vAlign w:val="bottom"/>
          </w:tcPr>
          <w:p>
            <w:pPr>
              <w:spacing w:after="0"/>
              <w:rPr>
                <w:sz w:val="1"/>
                <w:szCs w:val="1"/>
                <w:color w:val="auto"/>
              </w:rPr>
            </w:pPr>
          </w:p>
        </w:tc>
      </w:tr>
      <w:tr>
        <w:trPr>
          <w:trHeight w:val="81"/>
        </w:trPr>
        <w:tc>
          <w:tcPr>
            <w:tcW w:w="120" w:type="dxa"/>
            <w:vAlign w:val="bottom"/>
            <w:tcBorders>
              <w:left w:val="single" w:sz="8" w:color="auto"/>
              <w:bottom w:val="single" w:sz="8" w:color="auto"/>
            </w:tcBorders>
            <w:shd w:val="clear" w:color="auto" w:fill="F2F2F2"/>
          </w:tcPr>
          <w:p>
            <w:pPr>
              <w:spacing w:after="0"/>
              <w:rPr>
                <w:sz w:val="7"/>
                <w:szCs w:val="7"/>
                <w:color w:val="auto"/>
              </w:rPr>
            </w:pPr>
          </w:p>
        </w:tc>
        <w:tc>
          <w:tcPr>
            <w:tcW w:w="1080" w:type="dxa"/>
            <w:vAlign w:val="bottom"/>
            <w:tcBorders>
              <w:bottom w:val="single" w:sz="8" w:color="auto"/>
            </w:tcBorders>
            <w:shd w:val="clear" w:color="auto" w:fill="F2F2F2"/>
          </w:tcPr>
          <w:p>
            <w:pPr>
              <w:spacing w:after="0"/>
              <w:rPr>
                <w:sz w:val="7"/>
                <w:szCs w:val="7"/>
                <w:color w:val="auto"/>
              </w:rPr>
            </w:pPr>
          </w:p>
        </w:tc>
        <w:tc>
          <w:tcPr>
            <w:tcW w:w="80" w:type="dxa"/>
            <w:vAlign w:val="bottom"/>
            <w:tcBorders>
              <w:bottom w:val="single" w:sz="8" w:color="auto"/>
            </w:tcBorders>
            <w:shd w:val="clear" w:color="auto" w:fill="F2F2F2"/>
          </w:tcPr>
          <w:p>
            <w:pPr>
              <w:spacing w:after="0"/>
              <w:rPr>
                <w:sz w:val="7"/>
                <w:szCs w:val="7"/>
                <w:color w:val="auto"/>
              </w:rPr>
            </w:pPr>
          </w:p>
        </w:tc>
        <w:tc>
          <w:tcPr>
            <w:tcW w:w="1200" w:type="dxa"/>
            <w:vAlign w:val="bottom"/>
            <w:tcBorders>
              <w:bottom w:val="single" w:sz="8" w:color="auto"/>
            </w:tcBorders>
            <w:shd w:val="clear" w:color="auto" w:fill="F2F2F2"/>
          </w:tcPr>
          <w:p>
            <w:pPr>
              <w:spacing w:after="0"/>
              <w:rPr>
                <w:sz w:val="7"/>
                <w:szCs w:val="7"/>
                <w:color w:val="auto"/>
              </w:rPr>
            </w:pPr>
          </w:p>
        </w:tc>
        <w:tc>
          <w:tcPr>
            <w:tcW w:w="2380" w:type="dxa"/>
            <w:vAlign w:val="bottom"/>
            <w:tcBorders>
              <w:bottom w:val="single" w:sz="8" w:color="auto"/>
              <w:right w:val="single" w:sz="8" w:color="F2F2F2"/>
            </w:tcBorders>
            <w:shd w:val="clear" w:color="auto" w:fill="F2F2F2"/>
          </w:tcPr>
          <w:p>
            <w:pPr>
              <w:spacing w:after="0"/>
              <w:rPr>
                <w:sz w:val="7"/>
                <w:szCs w:val="7"/>
                <w:color w:val="auto"/>
              </w:rPr>
            </w:pPr>
          </w:p>
        </w:tc>
        <w:tc>
          <w:tcPr>
            <w:tcW w:w="5080" w:type="dxa"/>
            <w:vAlign w:val="bottom"/>
            <w:tcBorders>
              <w:bottom w:val="single" w:sz="8" w:color="auto"/>
              <w:right w:val="single" w:sz="8" w:color="auto"/>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tcBorders>
            <w:gridSpan w:val="2"/>
            <w:vMerge w:val="restart"/>
          </w:tcPr>
          <w:p>
            <w:pPr>
              <w:ind w:left="120"/>
              <w:spacing w:after="0" w:line="183" w:lineRule="exact"/>
              <w:rPr>
                <w:sz w:val="20"/>
                <w:szCs w:val="20"/>
                <w:color w:val="auto"/>
              </w:rPr>
            </w:pPr>
            <w:r>
              <w:rPr>
                <w:rFonts w:ascii="Arial" w:cs="Arial" w:eastAsia="Arial" w:hAnsi="Arial"/>
                <w:sz w:val="20"/>
                <w:szCs w:val="20"/>
                <w:b w:val="1"/>
                <w:bCs w:val="1"/>
                <w:color w:val="auto"/>
                <w:w w:val="90"/>
              </w:rPr>
              <w:t>Monthly Fee</w:t>
            </w: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76"/>
              </w:rPr>
              <w:t>1</w:t>
            </w:r>
          </w:p>
        </w:tc>
        <w:tc>
          <w:tcPr>
            <w:tcW w:w="1200" w:type="dxa"/>
            <w:vAlign w:val="bottom"/>
            <w:vMerge w:val="restart"/>
          </w:tcPr>
          <w:p>
            <w:pPr>
              <w:jc w:val="right"/>
              <w:ind w:right="1058"/>
              <w:spacing w:after="0" w:line="183" w:lineRule="exact"/>
              <w:rPr>
                <w:sz w:val="20"/>
                <w:szCs w:val="20"/>
                <w:color w:val="auto"/>
              </w:rPr>
            </w:pPr>
            <w:r>
              <w:rPr>
                <w:rFonts w:ascii="Arial" w:cs="Arial" w:eastAsia="Arial" w:hAnsi="Arial"/>
                <w:sz w:val="16"/>
                <w:szCs w:val="16"/>
                <w:b w:val="1"/>
                <w:bCs w:val="1"/>
                <w:u w:val="single" w:color="auto"/>
                <w:color w:val="auto"/>
                <w:w w:val="74"/>
              </w:rPr>
              <w:t>:</w:t>
            </w:r>
          </w:p>
        </w:tc>
        <w:tc>
          <w:tcPr>
            <w:tcW w:w="2380" w:type="dxa"/>
            <w:vAlign w:val="bottom"/>
            <w:tcBorders>
              <w:right w:val="single" w:sz="8" w:color="auto"/>
            </w:tcBorders>
            <w:vMerge w:val="restart"/>
          </w:tcPr>
          <w:p>
            <w:pPr>
              <w:spacing w:after="0"/>
              <w:rPr>
                <w:sz w:val="12"/>
                <w:szCs w:val="12"/>
                <w:color w:val="auto"/>
              </w:rPr>
            </w:pPr>
          </w:p>
        </w:tc>
        <w:tc>
          <w:tcPr>
            <w:tcW w:w="5080" w:type="dxa"/>
            <w:vAlign w:val="bottom"/>
            <w:tcBorders>
              <w:right w:val="single" w:sz="8" w:color="auto"/>
            </w:tcBorders>
            <w:vMerge w:val="restart"/>
          </w:tcPr>
          <w:p>
            <w:pPr>
              <w:ind w:left="100"/>
              <w:spacing w:after="0" w:line="183" w:lineRule="exact"/>
              <w:rPr>
                <w:sz w:val="20"/>
                <w:szCs w:val="20"/>
                <w:color w:val="auto"/>
              </w:rPr>
            </w:pPr>
            <w:r>
              <w:rPr>
                <w:rFonts w:ascii="Arial" w:cs="Arial" w:eastAsia="Arial" w:hAnsi="Arial"/>
                <w:sz w:val="20"/>
                <w:szCs w:val="20"/>
                <w:color w:val="auto"/>
              </w:rPr>
              <w:t>$105,000.00</w:t>
            </w:r>
          </w:p>
        </w:tc>
        <w:tc>
          <w:tcPr>
            <w:tcW w:w="0" w:type="dxa"/>
            <w:vAlign w:val="bottom"/>
          </w:tcPr>
          <w:p>
            <w:pPr>
              <w:spacing w:after="0"/>
              <w:rPr>
                <w:sz w:val="1"/>
                <w:szCs w:val="1"/>
                <w:color w:val="auto"/>
              </w:rPr>
            </w:pPr>
          </w:p>
        </w:tc>
      </w:tr>
      <w:tr>
        <w:trPr>
          <w:trHeight w:val="21"/>
        </w:trPr>
        <w:tc>
          <w:tcPr>
            <w:tcW w:w="1200" w:type="dxa"/>
            <w:vAlign w:val="bottom"/>
            <w:tcBorders>
              <w:left w:val="single" w:sz="8" w:color="auto"/>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2380" w:type="dxa"/>
            <w:vAlign w:val="bottom"/>
            <w:tcBorders>
              <w:right w:val="single" w:sz="8" w:color="auto"/>
            </w:tcBorders>
            <w:vMerge w:val="continue"/>
          </w:tcPr>
          <w:p>
            <w:pPr>
              <w:spacing w:after="0" w:line="20" w:lineRule="exact"/>
              <w:rPr>
                <w:sz w:val="1"/>
                <w:szCs w:val="1"/>
                <w:color w:val="auto"/>
              </w:rPr>
            </w:pPr>
          </w:p>
        </w:tc>
        <w:tc>
          <w:tcPr>
            <w:tcW w:w="508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120" w:type="dxa"/>
            <w:vAlign w:val="bottom"/>
            <w:tcBorders>
              <w:left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See “Monthly Fee Schedule” below for additional detail.</w:t>
            </w:r>
          </w:p>
        </w:tc>
        <w:tc>
          <w:tcPr>
            <w:tcW w:w="0" w:type="dxa"/>
            <w:vAlign w:val="bottom"/>
          </w:tcPr>
          <w:p>
            <w:pPr>
              <w:spacing w:after="0"/>
              <w:rPr>
                <w:sz w:val="1"/>
                <w:szCs w:val="1"/>
                <w:color w:val="auto"/>
              </w:rPr>
            </w:pPr>
          </w:p>
        </w:tc>
      </w:tr>
      <w:tr>
        <w:trPr>
          <w:trHeight w:val="198"/>
        </w:trPr>
        <w:tc>
          <w:tcPr>
            <w:tcW w:w="120" w:type="dxa"/>
            <w:vAlign w:val="bottom"/>
            <w:tcBorders>
              <w:left w:val="single" w:sz="8" w:color="auto"/>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3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20" w:type="dxa"/>
            <w:vAlign w:val="bottom"/>
            <w:tcBorders>
              <w:left w:val="single" w:sz="8" w:color="auto"/>
            </w:tcBorders>
          </w:tcPr>
          <w:p>
            <w:pPr>
              <w:spacing w:after="0"/>
              <w:rPr>
                <w:sz w:val="21"/>
                <w:szCs w:val="21"/>
                <w:color w:val="auto"/>
              </w:rPr>
            </w:pPr>
          </w:p>
        </w:tc>
        <w:tc>
          <w:tcPr>
            <w:tcW w:w="4740" w:type="dxa"/>
            <w:vAlign w:val="bottom"/>
            <w:tcBorders>
              <w:right w:val="single" w:sz="8" w:color="auto"/>
            </w:tcBorders>
            <w:gridSpan w:val="4"/>
          </w:tcPr>
          <w:p>
            <w:pPr>
              <w:ind w:left="620"/>
              <w:spacing w:after="0"/>
              <w:rPr>
                <w:sz w:val="20"/>
                <w:szCs w:val="20"/>
                <w:color w:val="auto"/>
              </w:rPr>
            </w:pPr>
            <w:r>
              <w:rPr>
                <w:rFonts w:ascii="Arial" w:cs="Arial" w:eastAsia="Arial" w:hAnsi="Arial"/>
                <w:sz w:val="20"/>
                <w:szCs w:val="20"/>
                <w:color w:val="auto"/>
              </w:rPr>
              <w:t>Base Monthly Fee:</w:t>
            </w:r>
          </w:p>
        </w:tc>
        <w:tc>
          <w:tcPr>
            <w:tcW w:w="5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$105,000.00</w:t>
            </w:r>
          </w:p>
        </w:tc>
        <w:tc>
          <w:tcPr>
            <w:tcW w:w="0" w:type="dxa"/>
            <w:vAlign w:val="bottom"/>
          </w:tcPr>
          <w:p>
            <w:pPr>
              <w:spacing w:after="0"/>
              <w:rPr>
                <w:sz w:val="1"/>
                <w:szCs w:val="1"/>
                <w:color w:val="auto"/>
              </w:rPr>
            </w:pPr>
          </w:p>
        </w:tc>
      </w:tr>
      <w:tr>
        <w:trPr>
          <w:trHeight w:val="276"/>
        </w:trPr>
        <w:tc>
          <w:tcPr>
            <w:tcW w:w="120" w:type="dxa"/>
            <w:vAlign w:val="bottom"/>
            <w:tcBorders>
              <w:left w:val="single" w:sz="8" w:color="auto"/>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0" w:type="dxa"/>
            <w:vAlign w:val="bottom"/>
            <w:tcBorders>
              <w:left w:val="single" w:sz="8" w:color="auto"/>
            </w:tcBorders>
          </w:tcPr>
          <w:p>
            <w:pPr>
              <w:spacing w:after="0"/>
              <w:rPr>
                <w:sz w:val="17"/>
                <w:szCs w:val="17"/>
                <w:color w:val="auto"/>
              </w:rPr>
            </w:pPr>
          </w:p>
        </w:tc>
        <w:tc>
          <w:tcPr>
            <w:tcW w:w="4740" w:type="dxa"/>
            <w:vAlign w:val="bottom"/>
            <w:tcBorders>
              <w:right w:val="single" w:sz="8" w:color="auto"/>
            </w:tcBorders>
            <w:gridSpan w:val="4"/>
          </w:tcPr>
          <w:p>
            <w:pPr>
              <w:ind w:left="620"/>
              <w:spacing w:after="0" w:line="207" w:lineRule="exact"/>
              <w:rPr>
                <w:sz w:val="20"/>
                <w:szCs w:val="20"/>
                <w:color w:val="auto"/>
              </w:rPr>
            </w:pPr>
            <w:r>
              <w:rPr>
                <w:rFonts w:ascii="Arial" w:cs="Arial" w:eastAsia="Arial" w:hAnsi="Arial"/>
                <w:sz w:val="20"/>
                <w:szCs w:val="20"/>
                <w:color w:val="auto"/>
              </w:rPr>
              <w:t>Buy Up (Custom Work) Fees (Monthly)</w:t>
            </w:r>
          </w:p>
        </w:tc>
        <w:tc>
          <w:tcPr>
            <w:tcW w:w="5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29"/>
        </w:trPr>
        <w:tc>
          <w:tcPr>
            <w:tcW w:w="120" w:type="dxa"/>
            <w:vAlign w:val="bottom"/>
            <w:tcBorders>
              <w:left w:val="single" w:sz="8" w:color="auto"/>
            </w:tcBorders>
          </w:tcPr>
          <w:p>
            <w:pPr>
              <w:spacing w:after="0"/>
              <w:rPr>
                <w:sz w:val="19"/>
                <w:szCs w:val="19"/>
                <w:color w:val="auto"/>
              </w:rPr>
            </w:pPr>
          </w:p>
        </w:tc>
        <w:tc>
          <w:tcPr>
            <w:tcW w:w="4740" w:type="dxa"/>
            <w:vAlign w:val="bottom"/>
            <w:tcBorders>
              <w:right w:val="single" w:sz="8" w:color="auto"/>
            </w:tcBorders>
            <w:gridSpan w:val="4"/>
          </w:tcPr>
          <w:p>
            <w:pPr>
              <w:ind w:left="620"/>
              <w:spacing w:after="0"/>
              <w:rPr>
                <w:sz w:val="20"/>
                <w:szCs w:val="20"/>
                <w:color w:val="auto"/>
              </w:rPr>
            </w:pPr>
            <w:r>
              <w:rPr>
                <w:rFonts w:ascii="Arial" w:cs="Arial" w:eastAsia="Arial" w:hAnsi="Arial"/>
                <w:sz w:val="20"/>
                <w:szCs w:val="20"/>
                <w:color w:val="auto"/>
              </w:rPr>
              <w:t>(throughout the duration of the Term)</w:t>
            </w:r>
          </w:p>
        </w:tc>
        <w:tc>
          <w:tcPr>
            <w:tcW w:w="5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20" w:type="dxa"/>
            <w:vAlign w:val="bottom"/>
            <w:tcBorders>
              <w:left w:val="single" w:sz="8" w:color="auto"/>
              <w:bottom w:val="single" w:sz="8" w:color="auto"/>
            </w:tcBorders>
          </w:tcPr>
          <w:p>
            <w:pPr>
              <w:spacing w:after="0"/>
              <w:rPr>
                <w:sz w:val="22"/>
                <w:szCs w:val="22"/>
                <w:color w:val="auto"/>
              </w:rPr>
            </w:pPr>
          </w:p>
        </w:tc>
        <w:tc>
          <w:tcPr>
            <w:tcW w:w="4740" w:type="dxa"/>
            <w:vAlign w:val="bottom"/>
            <w:tcBorders>
              <w:bottom w:val="single" w:sz="8" w:color="auto"/>
              <w:right w:val="single" w:sz="8" w:color="auto"/>
            </w:tcBorders>
            <w:gridSpan w:val="4"/>
          </w:tcPr>
          <w:p>
            <w:pPr>
              <w:ind w:left="620"/>
              <w:spacing w:after="0"/>
              <w:rPr>
                <w:sz w:val="20"/>
                <w:szCs w:val="20"/>
                <w:color w:val="auto"/>
              </w:rPr>
            </w:pPr>
            <w:r>
              <w:rPr>
                <w:rFonts w:ascii="Arial" w:cs="Arial" w:eastAsia="Arial" w:hAnsi="Arial"/>
                <w:sz w:val="20"/>
                <w:szCs w:val="20"/>
                <w:color w:val="auto"/>
              </w:rPr>
              <w:t>(see Exhibit B, if applicable):</w:t>
            </w:r>
          </w:p>
        </w:tc>
        <w:tc>
          <w:tcPr>
            <w:tcW w:w="50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20" w:type="dxa"/>
            <w:vAlign w:val="bottom"/>
            <w:tcBorders>
              <w:left w:val="single" w:sz="8" w:color="auto"/>
            </w:tcBorders>
          </w:tcPr>
          <w:p>
            <w:pPr>
              <w:spacing w:after="0"/>
              <w:rPr>
                <w:sz w:val="18"/>
                <w:szCs w:val="18"/>
                <w:color w:val="auto"/>
              </w:rPr>
            </w:pPr>
          </w:p>
        </w:tc>
        <w:tc>
          <w:tcPr>
            <w:tcW w:w="4740" w:type="dxa"/>
            <w:vAlign w:val="bottom"/>
            <w:tcBorders>
              <w:right w:val="single" w:sz="8" w:color="auto"/>
            </w:tcBorders>
            <w:gridSpan w:val="4"/>
          </w:tcPr>
          <w:p>
            <w:pPr>
              <w:ind w:left="620"/>
              <w:spacing w:after="0" w:line="211" w:lineRule="exact"/>
              <w:rPr>
                <w:sz w:val="20"/>
                <w:szCs w:val="20"/>
                <w:color w:val="auto"/>
              </w:rPr>
            </w:pPr>
            <w:r>
              <w:rPr>
                <w:rFonts w:ascii="Arial" w:cs="Arial" w:eastAsia="Arial" w:hAnsi="Arial"/>
                <w:sz w:val="20"/>
                <w:szCs w:val="20"/>
                <w:color w:val="auto"/>
                <w:w w:val="91"/>
              </w:rPr>
              <w:t>Additional Services Fees (Monthly) (see Exhibit C,</w:t>
            </w:r>
          </w:p>
        </w:tc>
        <w:tc>
          <w:tcPr>
            <w:tcW w:w="5080" w:type="dxa"/>
            <w:vAlign w:val="bottom"/>
            <w:tcBorders>
              <w:right w:val="single" w:sz="8" w:color="auto"/>
            </w:tcBorders>
          </w:tcPr>
          <w:p>
            <w:pPr>
              <w:ind w:left="100"/>
              <w:spacing w:after="0" w:line="211" w:lineRule="exact"/>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5"/>
        </w:trPr>
        <w:tc>
          <w:tcPr>
            <w:tcW w:w="120" w:type="dxa"/>
            <w:vAlign w:val="bottom"/>
            <w:tcBorders>
              <w:left w:val="single" w:sz="8" w:color="auto"/>
              <w:bottom w:val="single" w:sz="8" w:color="auto"/>
            </w:tcBorders>
          </w:tcPr>
          <w:p>
            <w:pPr>
              <w:spacing w:after="0"/>
              <w:rPr>
                <w:sz w:val="22"/>
                <w:szCs w:val="22"/>
                <w:color w:val="auto"/>
              </w:rPr>
            </w:pPr>
          </w:p>
        </w:tc>
        <w:tc>
          <w:tcPr>
            <w:tcW w:w="4740" w:type="dxa"/>
            <w:vAlign w:val="bottom"/>
            <w:tcBorders>
              <w:bottom w:val="single" w:sz="8" w:color="auto"/>
              <w:right w:val="single" w:sz="8" w:color="auto"/>
            </w:tcBorders>
            <w:gridSpan w:val="4"/>
          </w:tcPr>
          <w:p>
            <w:pPr>
              <w:ind w:left="620"/>
              <w:spacing w:after="0"/>
              <w:rPr>
                <w:sz w:val="20"/>
                <w:szCs w:val="20"/>
                <w:color w:val="auto"/>
              </w:rPr>
            </w:pPr>
            <w:r>
              <w:rPr>
                <w:rFonts w:ascii="Arial" w:cs="Arial" w:eastAsia="Arial" w:hAnsi="Arial"/>
                <w:sz w:val="20"/>
                <w:szCs w:val="20"/>
                <w:color w:val="auto"/>
              </w:rPr>
              <w:t>if applicable):</w:t>
            </w:r>
          </w:p>
        </w:tc>
        <w:tc>
          <w:tcPr>
            <w:tcW w:w="50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86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20"/>
                <w:szCs w:val="20"/>
                <w:b w:val="1"/>
                <w:bCs w:val="1"/>
                <w:color w:val="auto"/>
              </w:rPr>
              <w:t>Service Retainer:</w:t>
            </w:r>
          </w:p>
        </w:tc>
        <w:tc>
          <w:tcPr>
            <w:tcW w:w="5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$315,000.00</w:t>
            </w:r>
          </w:p>
        </w:tc>
        <w:tc>
          <w:tcPr>
            <w:tcW w:w="0" w:type="dxa"/>
            <w:vAlign w:val="bottom"/>
          </w:tcPr>
          <w:p>
            <w:pPr>
              <w:spacing w:after="0"/>
              <w:rPr>
                <w:sz w:val="1"/>
                <w:szCs w:val="1"/>
                <w:color w:val="auto"/>
              </w:rPr>
            </w:pPr>
          </w:p>
        </w:tc>
      </w:tr>
      <w:tr>
        <w:trPr>
          <w:trHeight w:val="203"/>
        </w:trPr>
        <w:tc>
          <w:tcPr>
            <w:tcW w:w="120" w:type="dxa"/>
            <w:vAlign w:val="bottom"/>
            <w:tcBorders>
              <w:left w:val="single" w:sz="8" w:color="auto"/>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3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right="60" w:firstLine="8"/>
        <w:spacing w:after="0" w:line="208" w:lineRule="auto"/>
        <w:tabs>
          <w:tab w:leader="none" w:pos="170" w:val="left"/>
        </w:tabs>
        <w:numPr>
          <w:ilvl w:val="0"/>
          <w:numId w:val="40"/>
        </w:numPr>
        <w:rPr>
          <w:rFonts w:ascii="Arial" w:cs="Arial" w:eastAsia="Arial" w:hAnsi="Arial"/>
          <w:sz w:val="29"/>
          <w:szCs w:val="29"/>
          <w:color w:val="auto"/>
          <w:vertAlign w:val="superscript"/>
        </w:rPr>
      </w:pPr>
      <w:r>
        <w:rPr>
          <w:rFonts w:ascii="Arial" w:cs="Arial" w:eastAsia="Arial" w:hAnsi="Arial"/>
          <w:sz w:val="19"/>
          <w:szCs w:val="19"/>
          <w:color w:val="auto"/>
        </w:rPr>
        <w:t>The Monthly Fee includes the (i) Base Monthly Fee (including applicable Discounts) (ii) monthly Buy Up (Custom Work) Fees and (iii) Additional Services Fees as set forth above. Applicable taxes (if any) are not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873" w:right="97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26"/>
        </w:trPr>
        <w:tc>
          <w:tcPr>
            <w:tcW w:w="408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5060" w:type="dxa"/>
            <w:vAlign w:val="bottom"/>
            <w:tcBorders>
              <w:top w:val="single" w:sz="8" w:color="auto"/>
            </w:tcBorders>
            <w:gridSpan w:val="5"/>
          </w:tcPr>
          <w:p>
            <w:pPr>
              <w:ind w:left="100"/>
              <w:spacing w:after="0" w:line="227" w:lineRule="exact"/>
              <w:rPr>
                <w:sz w:val="20"/>
                <w:szCs w:val="20"/>
                <w:color w:val="auto"/>
              </w:rPr>
            </w:pPr>
            <w:r>
              <w:rPr>
                <w:rFonts w:ascii="Arial" w:cs="Arial" w:eastAsia="Arial" w:hAnsi="Arial"/>
                <w:sz w:val="20"/>
                <w:szCs w:val="20"/>
                <w:color w:val="auto"/>
                <w:w w:val="97"/>
              </w:rPr>
              <w:t>To be paid within seven (7) Regular Business Days of the</w:t>
            </w:r>
          </w:p>
        </w:tc>
        <w:tc>
          <w:tcPr>
            <w:tcW w:w="20" w:type="dxa"/>
            <w:vAlign w:val="bottom"/>
            <w:tcBorders>
              <w:top w:val="single" w:sz="8" w:color="auto"/>
            </w:tcBorders>
          </w:tcPr>
          <w:p>
            <w:pPr>
              <w:spacing w:after="0"/>
              <w:rPr>
                <w:sz w:val="19"/>
                <w:szCs w:val="19"/>
                <w:color w:val="auto"/>
              </w:rPr>
            </w:pPr>
          </w:p>
        </w:tc>
      </w:tr>
      <w:tr>
        <w:trPr>
          <w:trHeight w:val="230"/>
        </w:trPr>
        <w:tc>
          <w:tcPr>
            <w:tcW w:w="408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5060" w:type="dxa"/>
            <w:vAlign w:val="bottom"/>
            <w:gridSpan w:val="5"/>
          </w:tcPr>
          <w:p>
            <w:pPr>
              <w:ind w:left="100"/>
              <w:spacing w:after="0"/>
              <w:rPr>
                <w:sz w:val="20"/>
                <w:szCs w:val="20"/>
                <w:color w:val="auto"/>
              </w:rPr>
            </w:pPr>
            <w:r>
              <w:rPr>
                <w:rFonts w:ascii="Arial" w:cs="Arial" w:eastAsia="Arial" w:hAnsi="Arial"/>
                <w:sz w:val="20"/>
                <w:szCs w:val="20"/>
                <w:color w:val="auto"/>
                <w:w w:val="92"/>
              </w:rPr>
              <w:t>Effective Date (defined below) and, in any event, prior to the</w:t>
            </w:r>
          </w:p>
        </w:tc>
        <w:tc>
          <w:tcPr>
            <w:tcW w:w="20" w:type="dxa"/>
            <w:vAlign w:val="bottom"/>
          </w:tcPr>
          <w:p>
            <w:pPr>
              <w:spacing w:after="0"/>
              <w:rPr>
                <w:sz w:val="19"/>
                <w:szCs w:val="19"/>
                <w:color w:val="auto"/>
              </w:rPr>
            </w:pPr>
          </w:p>
        </w:tc>
      </w:tr>
      <w:tr>
        <w:trPr>
          <w:trHeight w:val="206"/>
        </w:trPr>
        <w:tc>
          <w:tcPr>
            <w:tcW w:w="40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5060" w:type="dxa"/>
            <w:vAlign w:val="bottom"/>
            <w:gridSpan w:val="5"/>
          </w:tcPr>
          <w:p>
            <w:pPr>
              <w:ind w:left="100"/>
              <w:spacing w:after="0" w:line="206" w:lineRule="exact"/>
              <w:rPr>
                <w:sz w:val="20"/>
                <w:szCs w:val="20"/>
                <w:color w:val="auto"/>
              </w:rPr>
            </w:pPr>
            <w:r>
              <w:rPr>
                <w:rFonts w:ascii="Arial" w:cs="Arial" w:eastAsia="Arial" w:hAnsi="Arial"/>
                <w:sz w:val="20"/>
                <w:szCs w:val="20"/>
                <w:color w:val="auto"/>
                <w:w w:val="91"/>
              </w:rPr>
              <w:t>Start Date. You shall not be permitted to move into the Office</w:t>
            </w:r>
          </w:p>
        </w:tc>
        <w:tc>
          <w:tcPr>
            <w:tcW w:w="20" w:type="dxa"/>
            <w:vAlign w:val="bottom"/>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4080" w:type="dxa"/>
            <w:vAlign w:val="bottom"/>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5060" w:type="dxa"/>
            <w:vAlign w:val="bottom"/>
            <w:gridSpan w:val="5"/>
          </w:tcPr>
          <w:p>
            <w:pPr>
              <w:ind w:left="100"/>
              <w:spacing w:after="0"/>
              <w:rPr>
                <w:sz w:val="20"/>
                <w:szCs w:val="20"/>
                <w:color w:val="auto"/>
              </w:rPr>
            </w:pPr>
            <w:r>
              <w:rPr>
                <w:rFonts w:ascii="Arial" w:cs="Arial" w:eastAsia="Arial" w:hAnsi="Arial"/>
                <w:sz w:val="20"/>
                <w:szCs w:val="20"/>
                <w:color w:val="auto"/>
              </w:rPr>
              <w:t>Space until the Service Retainer has been fully paid.</w:t>
            </w:r>
          </w:p>
        </w:tc>
        <w:tc>
          <w:tcPr>
            <w:tcW w:w="20" w:type="dxa"/>
            <w:vAlign w:val="bottom"/>
          </w:tcPr>
          <w:p>
            <w:pPr>
              <w:spacing w:after="0"/>
              <w:rPr>
                <w:sz w:val="22"/>
                <w:szCs w:val="22"/>
                <w:color w:val="auto"/>
              </w:rPr>
            </w:pPr>
          </w:p>
        </w:tc>
      </w:tr>
      <w:tr>
        <w:trPr>
          <w:trHeight w:val="36"/>
        </w:trPr>
        <w:tc>
          <w:tcPr>
            <w:tcW w:w="4080" w:type="dxa"/>
            <w:vAlign w:val="bottom"/>
            <w:tcBorders>
              <w:bottom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4080" w:type="dxa"/>
            <w:vAlign w:val="bottom"/>
          </w:tcPr>
          <w:p>
            <w:pPr>
              <w:ind w:left="120"/>
              <w:spacing w:after="0"/>
              <w:rPr>
                <w:sz w:val="20"/>
                <w:szCs w:val="20"/>
                <w:color w:val="auto"/>
              </w:rPr>
            </w:pPr>
            <w:r>
              <w:rPr>
                <w:rFonts w:ascii="Arial" w:cs="Arial" w:eastAsia="Arial" w:hAnsi="Arial"/>
                <w:sz w:val="20"/>
                <w:szCs w:val="20"/>
                <w:b w:val="1"/>
                <w:bCs w:val="1"/>
                <w:color w:val="auto"/>
              </w:rPr>
              <w:t>Set-Up Fee:</w:t>
            </w:r>
          </w:p>
        </w:tc>
        <w:tc>
          <w:tcPr>
            <w:tcW w:w="780" w:type="dxa"/>
            <w:vAlign w:val="bottom"/>
            <w:tcBorders>
              <w:right w:val="single" w:sz="8" w:color="auto"/>
            </w:tcBorders>
          </w:tcPr>
          <w:p>
            <w:pPr>
              <w:spacing w:after="0"/>
              <w:rPr>
                <w:sz w:val="21"/>
                <w:szCs w:val="21"/>
                <w:color w:val="auto"/>
              </w:rPr>
            </w:pPr>
          </w:p>
        </w:tc>
        <w:tc>
          <w:tcPr>
            <w:tcW w:w="520" w:type="dxa"/>
            <w:vAlign w:val="bottom"/>
          </w:tcPr>
          <w:p>
            <w:pPr>
              <w:ind w:left="100"/>
              <w:spacing w:after="0"/>
              <w:rPr>
                <w:sz w:val="20"/>
                <w:szCs w:val="20"/>
                <w:color w:val="auto"/>
              </w:rPr>
            </w:pPr>
            <w:r>
              <w:rPr>
                <w:rFonts w:ascii="Arial" w:cs="Arial" w:eastAsia="Arial" w:hAnsi="Arial"/>
                <w:sz w:val="20"/>
                <w:szCs w:val="20"/>
                <w:color w:val="auto"/>
              </w:rPr>
              <w:t>$0</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50"/>
        </w:trPr>
        <w:tc>
          <w:tcPr>
            <w:tcW w:w="4080" w:type="dxa"/>
            <w:vAlign w:val="bottom"/>
          </w:tcPr>
          <w:p>
            <w:pPr>
              <w:ind w:left="120"/>
              <w:spacing w:after="0"/>
              <w:rPr>
                <w:sz w:val="20"/>
                <w:szCs w:val="20"/>
                <w:color w:val="auto"/>
              </w:rPr>
            </w:pPr>
            <w:r>
              <w:rPr>
                <w:rFonts w:ascii="Arial" w:cs="Arial" w:eastAsia="Arial" w:hAnsi="Arial"/>
                <w:sz w:val="20"/>
                <w:szCs w:val="20"/>
                <w:b w:val="1"/>
                <w:bCs w:val="1"/>
                <w:color w:val="auto"/>
              </w:rPr>
              <w:t>Custom Work / Buy Up Fees (One Time):</w:t>
            </w:r>
          </w:p>
        </w:tc>
        <w:tc>
          <w:tcPr>
            <w:tcW w:w="780" w:type="dxa"/>
            <w:vAlign w:val="bottom"/>
            <w:tcBorders>
              <w:right w:val="single" w:sz="8" w:color="auto"/>
            </w:tcBorders>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0"/>
                <w:szCs w:val="20"/>
                <w:color w:val="auto"/>
              </w:rPr>
              <w:t>$0</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2"/>
        </w:trPr>
        <w:tc>
          <w:tcPr>
            <w:tcW w:w="408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5060" w:type="dxa"/>
            <w:vAlign w:val="bottom"/>
            <w:gridSpan w:val="5"/>
          </w:tcPr>
          <w:p>
            <w:pPr>
              <w:ind w:left="100"/>
              <w:spacing w:after="0"/>
              <w:rPr>
                <w:sz w:val="20"/>
                <w:szCs w:val="20"/>
                <w:color w:val="auto"/>
              </w:rPr>
            </w:pPr>
            <w:r>
              <w:rPr>
                <w:rFonts w:ascii="Arial" w:cs="Arial" w:eastAsia="Arial" w:hAnsi="Arial"/>
                <w:sz w:val="20"/>
                <w:szCs w:val="20"/>
                <w:color w:val="auto"/>
                <w:w w:val="97"/>
              </w:rPr>
              <w:t>To be paid within seven (7) Regular Business Days of the</w:t>
            </w:r>
          </w:p>
        </w:tc>
        <w:tc>
          <w:tcPr>
            <w:tcW w:w="20" w:type="dxa"/>
            <w:vAlign w:val="bottom"/>
          </w:tcPr>
          <w:p>
            <w:pPr>
              <w:spacing w:after="0"/>
              <w:rPr>
                <w:sz w:val="24"/>
                <w:szCs w:val="24"/>
                <w:color w:val="auto"/>
              </w:rPr>
            </w:pPr>
          </w:p>
        </w:tc>
      </w:tr>
      <w:tr>
        <w:trPr>
          <w:trHeight w:val="229"/>
        </w:trPr>
        <w:tc>
          <w:tcPr>
            <w:tcW w:w="408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5060" w:type="dxa"/>
            <w:vAlign w:val="bottom"/>
            <w:gridSpan w:val="5"/>
          </w:tcPr>
          <w:p>
            <w:pPr>
              <w:ind w:left="100"/>
              <w:spacing w:after="0"/>
              <w:rPr>
                <w:sz w:val="20"/>
                <w:szCs w:val="20"/>
                <w:color w:val="auto"/>
              </w:rPr>
            </w:pPr>
            <w:r>
              <w:rPr>
                <w:rFonts w:ascii="Arial" w:cs="Arial" w:eastAsia="Arial" w:hAnsi="Arial"/>
                <w:sz w:val="20"/>
                <w:szCs w:val="20"/>
                <w:color w:val="auto"/>
                <w:w w:val="92"/>
              </w:rPr>
              <w:t>Effective Date and, in any event, prior to the Start Date. You</w:t>
            </w:r>
          </w:p>
        </w:tc>
        <w:tc>
          <w:tcPr>
            <w:tcW w:w="20" w:type="dxa"/>
            <w:vAlign w:val="bottom"/>
          </w:tcPr>
          <w:p>
            <w:pPr>
              <w:spacing w:after="0"/>
              <w:rPr>
                <w:sz w:val="19"/>
                <w:szCs w:val="19"/>
                <w:color w:val="auto"/>
              </w:rPr>
            </w:pPr>
          </w:p>
        </w:tc>
      </w:tr>
      <w:tr>
        <w:trPr>
          <w:trHeight w:val="206"/>
        </w:trPr>
        <w:tc>
          <w:tcPr>
            <w:tcW w:w="40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5060" w:type="dxa"/>
            <w:vAlign w:val="bottom"/>
            <w:gridSpan w:val="5"/>
          </w:tcPr>
          <w:p>
            <w:pPr>
              <w:ind w:left="100"/>
              <w:spacing w:after="0" w:line="206" w:lineRule="exact"/>
              <w:rPr>
                <w:sz w:val="20"/>
                <w:szCs w:val="20"/>
                <w:color w:val="auto"/>
              </w:rPr>
            </w:pPr>
            <w:r>
              <w:rPr>
                <w:rFonts w:ascii="Arial" w:cs="Arial" w:eastAsia="Arial" w:hAnsi="Arial"/>
                <w:sz w:val="20"/>
                <w:szCs w:val="20"/>
                <w:color w:val="auto"/>
                <w:w w:val="92"/>
              </w:rPr>
              <w:t>shall not be permitted to move into the Office Space until the</w:t>
            </w:r>
          </w:p>
        </w:tc>
        <w:tc>
          <w:tcPr>
            <w:tcW w:w="20" w:type="dxa"/>
            <w:vAlign w:val="bottom"/>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3"/>
        </w:trPr>
        <w:tc>
          <w:tcPr>
            <w:tcW w:w="40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060" w:type="dxa"/>
            <w:vAlign w:val="bottom"/>
            <w:gridSpan w:val="5"/>
          </w:tcPr>
          <w:p>
            <w:pPr>
              <w:ind w:left="100"/>
              <w:spacing w:after="0"/>
              <w:rPr>
                <w:sz w:val="20"/>
                <w:szCs w:val="20"/>
                <w:color w:val="auto"/>
              </w:rPr>
            </w:pPr>
            <w:r>
              <w:rPr>
                <w:rFonts w:ascii="Arial" w:cs="Arial" w:eastAsia="Arial" w:hAnsi="Arial"/>
                <w:sz w:val="20"/>
                <w:szCs w:val="20"/>
                <w:color w:val="auto"/>
              </w:rPr>
              <w:t>Set-Up Fee has been</w:t>
            </w:r>
          </w:p>
        </w:tc>
        <w:tc>
          <w:tcPr>
            <w:tcW w:w="20" w:type="dxa"/>
            <w:vAlign w:val="bottom"/>
          </w:tcPr>
          <w:p>
            <w:pPr>
              <w:spacing w:after="0"/>
              <w:rPr>
                <w:sz w:val="20"/>
                <w:szCs w:val="20"/>
                <w:color w:val="auto"/>
              </w:rPr>
            </w:pPr>
          </w:p>
        </w:tc>
      </w:tr>
      <w:tr>
        <w:trPr>
          <w:trHeight w:val="246"/>
        </w:trPr>
        <w:tc>
          <w:tcPr>
            <w:tcW w:w="408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5060" w:type="dxa"/>
            <w:vAlign w:val="bottom"/>
            <w:tcBorders>
              <w:bottom w:val="single" w:sz="8" w:color="auto"/>
            </w:tcBorders>
            <w:gridSpan w:val="5"/>
          </w:tcPr>
          <w:p>
            <w:pPr>
              <w:ind w:left="100"/>
              <w:spacing w:after="0"/>
              <w:rPr>
                <w:sz w:val="20"/>
                <w:szCs w:val="20"/>
                <w:color w:val="auto"/>
              </w:rPr>
            </w:pPr>
            <w:r>
              <w:rPr>
                <w:rFonts w:ascii="Arial" w:cs="Arial" w:eastAsia="Arial" w:hAnsi="Arial"/>
                <w:sz w:val="20"/>
                <w:szCs w:val="20"/>
                <w:color w:val="auto"/>
              </w:rPr>
              <w:t>fully paid.</w:t>
            </w:r>
          </w:p>
        </w:tc>
        <w:tc>
          <w:tcPr>
            <w:tcW w:w="20" w:type="dxa"/>
            <w:vAlign w:val="bottom"/>
            <w:tcBorders>
              <w:bottom w:val="single" w:sz="8" w:color="auto"/>
            </w:tcBorders>
          </w:tcPr>
          <w:p>
            <w:pPr>
              <w:spacing w:after="0"/>
              <w:rPr>
                <w:sz w:val="21"/>
                <w:szCs w:val="21"/>
                <w:color w:val="auto"/>
              </w:rPr>
            </w:pPr>
          </w:p>
        </w:tc>
      </w:tr>
      <w:tr>
        <w:trPr>
          <w:trHeight w:val="250"/>
        </w:trPr>
        <w:tc>
          <w:tcPr>
            <w:tcW w:w="4080" w:type="dxa"/>
            <w:vAlign w:val="bottom"/>
            <w:shd w:val="clear" w:color="auto" w:fill="F2F2F2"/>
          </w:tcPr>
          <w:p>
            <w:pPr>
              <w:spacing w:after="0"/>
              <w:rPr>
                <w:sz w:val="21"/>
                <w:szCs w:val="21"/>
                <w:color w:val="auto"/>
              </w:rPr>
            </w:pPr>
          </w:p>
        </w:tc>
        <w:tc>
          <w:tcPr>
            <w:tcW w:w="5840" w:type="dxa"/>
            <w:vAlign w:val="bottom"/>
            <w:gridSpan w:val="6"/>
            <w:shd w:val="clear" w:color="auto" w:fill="F2F2F2"/>
          </w:tcPr>
          <w:p>
            <w:pPr>
              <w:ind w:left="460"/>
              <w:spacing w:after="0"/>
              <w:rPr>
                <w:sz w:val="20"/>
                <w:szCs w:val="20"/>
                <w:color w:val="auto"/>
              </w:rPr>
            </w:pPr>
            <w:r>
              <w:rPr>
                <w:rFonts w:ascii="Arial" w:cs="Arial" w:eastAsia="Arial" w:hAnsi="Arial"/>
                <w:sz w:val="20"/>
                <w:szCs w:val="20"/>
                <w:b w:val="1"/>
                <w:bCs w:val="1"/>
                <w:color w:val="auto"/>
              </w:rPr>
              <w:t>BILLING</w:t>
            </w:r>
          </w:p>
        </w:tc>
        <w:tc>
          <w:tcPr>
            <w:tcW w:w="20" w:type="dxa"/>
            <w:vAlign w:val="bottom"/>
          </w:tcPr>
          <w:p>
            <w:pPr>
              <w:spacing w:after="0"/>
              <w:rPr>
                <w:sz w:val="21"/>
                <w:szCs w:val="21"/>
                <w:color w:val="auto"/>
              </w:rPr>
            </w:pPr>
          </w:p>
        </w:tc>
      </w:tr>
      <w:tr>
        <w:trPr>
          <w:trHeight w:val="176"/>
        </w:trPr>
        <w:tc>
          <w:tcPr>
            <w:tcW w:w="4080" w:type="dxa"/>
            <w:vAlign w:val="bottom"/>
            <w:tcBorders>
              <w:bottom w:val="single" w:sz="8" w:color="auto"/>
            </w:tcBorders>
            <w:shd w:val="clear" w:color="auto" w:fill="F2F2F2"/>
          </w:tcPr>
          <w:p>
            <w:pPr>
              <w:spacing w:after="0"/>
              <w:rPr>
                <w:sz w:val="15"/>
                <w:szCs w:val="15"/>
                <w:color w:val="auto"/>
              </w:rPr>
            </w:pPr>
          </w:p>
        </w:tc>
        <w:tc>
          <w:tcPr>
            <w:tcW w:w="780" w:type="dxa"/>
            <w:vAlign w:val="bottom"/>
            <w:tcBorders>
              <w:bottom w:val="single" w:sz="8" w:color="auto"/>
              <w:right w:val="single" w:sz="8" w:color="F2F2F2"/>
            </w:tcBorders>
            <w:shd w:val="clear" w:color="auto" w:fill="F2F2F2"/>
          </w:tcPr>
          <w:p>
            <w:pPr>
              <w:spacing w:after="0"/>
              <w:rPr>
                <w:sz w:val="15"/>
                <w:szCs w:val="15"/>
                <w:color w:val="auto"/>
              </w:rPr>
            </w:pPr>
          </w:p>
        </w:tc>
        <w:tc>
          <w:tcPr>
            <w:tcW w:w="520" w:type="dxa"/>
            <w:vAlign w:val="bottom"/>
            <w:tcBorders>
              <w:bottom w:val="single" w:sz="8" w:color="auto"/>
            </w:tcBorders>
            <w:shd w:val="clear" w:color="auto" w:fill="F2F2F2"/>
          </w:tcPr>
          <w:p>
            <w:pPr>
              <w:spacing w:after="0"/>
              <w:rPr>
                <w:sz w:val="15"/>
                <w:szCs w:val="15"/>
                <w:color w:val="auto"/>
              </w:rPr>
            </w:pPr>
          </w:p>
        </w:tc>
        <w:tc>
          <w:tcPr>
            <w:tcW w:w="260" w:type="dxa"/>
            <w:vAlign w:val="bottom"/>
            <w:tcBorders>
              <w:bottom w:val="single" w:sz="8" w:color="auto"/>
            </w:tcBorders>
            <w:shd w:val="clear" w:color="auto" w:fill="F2F2F2"/>
          </w:tcPr>
          <w:p>
            <w:pPr>
              <w:spacing w:after="0"/>
              <w:rPr>
                <w:sz w:val="15"/>
                <w:szCs w:val="15"/>
                <w:color w:val="auto"/>
              </w:rPr>
            </w:pPr>
          </w:p>
        </w:tc>
        <w:tc>
          <w:tcPr>
            <w:tcW w:w="1000" w:type="dxa"/>
            <w:vAlign w:val="bottom"/>
            <w:tcBorders>
              <w:bottom w:val="single" w:sz="8" w:color="auto"/>
            </w:tcBorders>
            <w:shd w:val="clear" w:color="auto" w:fill="F2F2F2"/>
          </w:tcPr>
          <w:p>
            <w:pPr>
              <w:spacing w:after="0"/>
              <w:rPr>
                <w:sz w:val="15"/>
                <w:szCs w:val="15"/>
                <w:color w:val="auto"/>
              </w:rPr>
            </w:pPr>
          </w:p>
        </w:tc>
        <w:tc>
          <w:tcPr>
            <w:tcW w:w="260" w:type="dxa"/>
            <w:vAlign w:val="bottom"/>
            <w:tcBorders>
              <w:bottom w:val="single" w:sz="8" w:color="auto"/>
            </w:tcBorders>
            <w:shd w:val="clear" w:color="auto" w:fill="F2F2F2"/>
          </w:tcPr>
          <w:p>
            <w:pPr>
              <w:spacing w:after="0"/>
              <w:rPr>
                <w:sz w:val="15"/>
                <w:szCs w:val="15"/>
                <w:color w:val="auto"/>
              </w:rPr>
            </w:pPr>
          </w:p>
        </w:tc>
        <w:tc>
          <w:tcPr>
            <w:tcW w:w="3020" w:type="dxa"/>
            <w:vAlign w:val="bottom"/>
            <w:tcBorders>
              <w:bottom w:val="single" w:sz="8" w:color="auto"/>
            </w:tcBorders>
            <w:shd w:val="clear" w:color="auto" w:fill="F2F2F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50"/>
        </w:trPr>
        <w:tc>
          <w:tcPr>
            <w:tcW w:w="4080" w:type="dxa"/>
            <w:vAlign w:val="bottom"/>
          </w:tcPr>
          <w:p>
            <w:pPr>
              <w:ind w:left="120"/>
              <w:spacing w:after="0"/>
              <w:rPr>
                <w:sz w:val="20"/>
                <w:szCs w:val="20"/>
                <w:color w:val="auto"/>
              </w:rPr>
            </w:pPr>
            <w:r>
              <w:rPr>
                <w:rFonts w:ascii="Arial" w:cs="Arial" w:eastAsia="Arial" w:hAnsi="Arial"/>
                <w:sz w:val="20"/>
                <w:szCs w:val="20"/>
                <w:b w:val="1"/>
                <w:bCs w:val="1"/>
                <w:color w:val="auto"/>
              </w:rPr>
              <w:t>Payment Method:</w:t>
            </w:r>
          </w:p>
        </w:tc>
        <w:tc>
          <w:tcPr>
            <w:tcW w:w="780" w:type="dxa"/>
            <w:vAlign w:val="bottom"/>
          </w:tcPr>
          <w:p>
            <w:pPr>
              <w:spacing w:after="0"/>
              <w:rPr>
                <w:sz w:val="21"/>
                <w:szCs w:val="21"/>
                <w:color w:val="auto"/>
              </w:rPr>
            </w:pPr>
          </w:p>
        </w:tc>
        <w:tc>
          <w:tcPr>
            <w:tcW w:w="5060" w:type="dxa"/>
            <w:vAlign w:val="bottom"/>
            <w:gridSpan w:val="5"/>
          </w:tcPr>
          <w:p>
            <w:pPr>
              <w:ind w:left="100"/>
              <w:spacing w:after="0"/>
              <w:rPr>
                <w:sz w:val="20"/>
                <w:szCs w:val="20"/>
                <w:color w:val="auto"/>
              </w:rPr>
            </w:pPr>
            <w:r>
              <w:rPr>
                <w:rFonts w:ascii="Arial" w:cs="Arial" w:eastAsia="Arial" w:hAnsi="Arial"/>
                <w:sz w:val="20"/>
                <w:szCs w:val="20"/>
                <w:color w:val="auto"/>
              </w:rPr>
              <w:t>ACH, Credit Card or Wire Transfer</w:t>
            </w:r>
          </w:p>
        </w:tc>
        <w:tc>
          <w:tcPr>
            <w:tcW w:w="20" w:type="dxa"/>
            <w:vAlign w:val="bottom"/>
          </w:tcPr>
          <w:p>
            <w:pPr>
              <w:spacing w:after="0"/>
              <w:rPr>
                <w:sz w:val="21"/>
                <w:szCs w:val="21"/>
                <w:color w:val="auto"/>
              </w:rPr>
            </w:pPr>
          </w:p>
        </w:tc>
      </w:tr>
      <w:tr>
        <w:trPr>
          <w:trHeight w:val="27"/>
        </w:trPr>
        <w:tc>
          <w:tcPr>
            <w:tcW w:w="4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4080" w:type="dxa"/>
            <w:vAlign w:val="bottom"/>
          </w:tcPr>
          <w:p>
            <w:pPr>
              <w:ind w:left="120"/>
              <w:spacing w:after="0"/>
              <w:rPr>
                <w:sz w:val="20"/>
                <w:szCs w:val="20"/>
                <w:color w:val="auto"/>
              </w:rPr>
            </w:pPr>
            <w:r>
              <w:rPr>
                <w:rFonts w:ascii="Arial" w:cs="Arial" w:eastAsia="Arial" w:hAnsi="Arial"/>
                <w:sz w:val="20"/>
                <w:szCs w:val="20"/>
                <w:b w:val="1"/>
                <w:bCs w:val="1"/>
                <w:color w:val="auto"/>
              </w:rPr>
              <w:t>Net Payment Term (if applicable):</w:t>
            </w: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6"/>
        </w:trPr>
        <w:tc>
          <w:tcPr>
            <w:tcW w:w="4080" w:type="dxa"/>
            <w:vAlign w:val="bottom"/>
          </w:tcPr>
          <w:p>
            <w:pPr>
              <w:ind w:left="120"/>
              <w:spacing w:after="0" w:line="207" w:lineRule="exact"/>
              <w:rPr>
                <w:sz w:val="20"/>
                <w:szCs w:val="20"/>
                <w:color w:val="auto"/>
              </w:rPr>
            </w:pPr>
            <w:r>
              <w:rPr>
                <w:rFonts w:ascii="Arial" w:cs="Arial" w:eastAsia="Arial" w:hAnsi="Arial"/>
                <w:sz w:val="20"/>
                <w:szCs w:val="20"/>
                <w:b w:val="1"/>
                <w:bCs w:val="1"/>
                <w:color w:val="auto"/>
              </w:rPr>
              <w:t>Billing Notes:</w:t>
            </w:r>
          </w:p>
        </w:tc>
        <w:tc>
          <w:tcPr>
            <w:tcW w:w="780" w:type="dxa"/>
            <w:vAlign w:val="bottom"/>
          </w:tcPr>
          <w:p>
            <w:pPr>
              <w:spacing w:after="0"/>
              <w:rPr>
                <w:sz w:val="17"/>
                <w:szCs w:val="17"/>
                <w:color w:val="auto"/>
              </w:rPr>
            </w:pPr>
          </w:p>
        </w:tc>
        <w:tc>
          <w:tcPr>
            <w:tcW w:w="5060" w:type="dxa"/>
            <w:vAlign w:val="bottom"/>
            <w:gridSpan w:val="5"/>
          </w:tcPr>
          <w:p>
            <w:pPr>
              <w:ind w:left="100"/>
              <w:spacing w:after="0" w:line="207" w:lineRule="exact"/>
              <w:rPr>
                <w:sz w:val="20"/>
                <w:szCs w:val="20"/>
                <w:color w:val="auto"/>
              </w:rPr>
            </w:pPr>
            <w:r>
              <w:rPr>
                <w:rFonts w:ascii="Arial" w:cs="Arial" w:eastAsia="Arial" w:hAnsi="Arial"/>
                <w:sz w:val="20"/>
                <w:szCs w:val="20"/>
                <w:color w:val="222222"/>
              </w:rPr>
              <w:t>Payment terms:</w:t>
            </w:r>
          </w:p>
        </w:tc>
        <w:tc>
          <w:tcPr>
            <w:tcW w:w="20" w:type="dxa"/>
            <w:vAlign w:val="bottom"/>
          </w:tcPr>
          <w:p>
            <w:pPr>
              <w:spacing w:after="0"/>
              <w:rPr>
                <w:sz w:val="17"/>
                <w:szCs w:val="17"/>
                <w:color w:val="auto"/>
              </w:rPr>
            </w:pPr>
          </w:p>
        </w:tc>
      </w:tr>
      <w:tr>
        <w:trPr>
          <w:trHeight w:val="229"/>
        </w:trPr>
        <w:tc>
          <w:tcPr>
            <w:tcW w:w="4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60" w:type="dxa"/>
            <w:vAlign w:val="bottom"/>
            <w:gridSpan w:val="5"/>
          </w:tcPr>
          <w:p>
            <w:pPr>
              <w:ind w:left="100"/>
              <w:spacing w:after="0"/>
              <w:rPr>
                <w:sz w:val="20"/>
                <w:szCs w:val="20"/>
                <w:color w:val="auto"/>
              </w:rPr>
            </w:pPr>
            <w:r>
              <w:rPr>
                <w:rFonts w:ascii="Arial" w:cs="Arial" w:eastAsia="Arial" w:hAnsi="Arial"/>
                <w:sz w:val="20"/>
                <w:szCs w:val="20"/>
                <w:color w:val="222222"/>
              </w:rPr>
              <w:t>8/1/20 – 11/30/20: $90,000.00</w:t>
            </w:r>
          </w:p>
        </w:tc>
        <w:tc>
          <w:tcPr>
            <w:tcW w:w="20" w:type="dxa"/>
            <w:vAlign w:val="bottom"/>
          </w:tcPr>
          <w:p>
            <w:pPr>
              <w:spacing w:after="0"/>
              <w:rPr>
                <w:sz w:val="19"/>
                <w:szCs w:val="19"/>
                <w:color w:val="auto"/>
              </w:rPr>
            </w:pPr>
          </w:p>
        </w:tc>
      </w:tr>
      <w:tr>
        <w:trPr>
          <w:trHeight w:val="230"/>
        </w:trPr>
        <w:tc>
          <w:tcPr>
            <w:tcW w:w="4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60" w:type="dxa"/>
            <w:vAlign w:val="bottom"/>
            <w:gridSpan w:val="5"/>
          </w:tcPr>
          <w:p>
            <w:pPr>
              <w:ind w:left="100"/>
              <w:spacing w:after="0"/>
              <w:rPr>
                <w:sz w:val="20"/>
                <w:szCs w:val="20"/>
                <w:color w:val="auto"/>
              </w:rPr>
            </w:pPr>
            <w:r>
              <w:rPr>
                <w:rFonts w:ascii="Arial" w:cs="Arial" w:eastAsia="Arial" w:hAnsi="Arial"/>
                <w:sz w:val="20"/>
                <w:szCs w:val="20"/>
                <w:color w:val="222222"/>
              </w:rPr>
              <w:t>12/1/20 – 3/31/21: $100,000.00</w:t>
            </w:r>
          </w:p>
        </w:tc>
        <w:tc>
          <w:tcPr>
            <w:tcW w:w="20" w:type="dxa"/>
            <w:vAlign w:val="bottom"/>
          </w:tcPr>
          <w:p>
            <w:pPr>
              <w:spacing w:after="0"/>
              <w:rPr>
                <w:sz w:val="19"/>
                <w:szCs w:val="19"/>
                <w:color w:val="auto"/>
              </w:rPr>
            </w:pPr>
          </w:p>
        </w:tc>
      </w:tr>
      <w:tr>
        <w:trPr>
          <w:trHeight w:val="250"/>
        </w:trPr>
        <w:tc>
          <w:tcPr>
            <w:tcW w:w="4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60" w:type="dxa"/>
            <w:vAlign w:val="bottom"/>
            <w:gridSpan w:val="5"/>
          </w:tcPr>
          <w:p>
            <w:pPr>
              <w:ind w:left="100"/>
              <w:spacing w:after="0"/>
              <w:rPr>
                <w:sz w:val="20"/>
                <w:szCs w:val="20"/>
                <w:color w:val="auto"/>
              </w:rPr>
            </w:pPr>
            <w:r>
              <w:rPr>
                <w:rFonts w:ascii="Arial" w:cs="Arial" w:eastAsia="Arial" w:hAnsi="Arial"/>
                <w:sz w:val="20"/>
                <w:szCs w:val="20"/>
                <w:color w:val="222222"/>
              </w:rPr>
              <w:t>4/1/21 – 7/31/21: $125,000.00</w:t>
            </w:r>
          </w:p>
        </w:tc>
        <w:tc>
          <w:tcPr>
            <w:tcW w:w="20" w:type="dxa"/>
            <w:vAlign w:val="bottom"/>
          </w:tcPr>
          <w:p>
            <w:pPr>
              <w:spacing w:after="0"/>
              <w:rPr>
                <w:sz w:val="21"/>
                <w:szCs w:val="2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723265</wp:posOffset>
            </wp:positionV>
            <wp:extent cx="6301105" cy="6926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01105" cy="6926580"/>
                    </a:xfrm>
                    <a:prstGeom prst="rect">
                      <a:avLst/>
                    </a:prstGeom>
                    <a:noFill/>
                  </pic:spPr>
                </pic:pic>
              </a:graphicData>
            </a:graphic>
          </wp:anchor>
        </w:drawing>
      </w:r>
    </w:p>
    <w:p>
      <w:pPr>
        <w:spacing w:after="0" w:line="286" w:lineRule="exact"/>
        <w:rPr>
          <w:sz w:val="20"/>
          <w:szCs w:val="20"/>
          <w:color w:val="auto"/>
        </w:rPr>
      </w:pPr>
    </w:p>
    <w:p>
      <w:pPr>
        <w:ind w:left="120" w:right="840" w:firstLine="714"/>
        <w:spacing w:after="0" w:line="331" w:lineRule="auto"/>
        <w:rPr>
          <w:sz w:val="20"/>
          <w:szCs w:val="20"/>
          <w:color w:val="auto"/>
        </w:rPr>
      </w:pPr>
      <w:r>
        <w:rPr>
          <w:rFonts w:ascii="Arial" w:cs="Arial" w:eastAsia="Arial" w:hAnsi="Arial"/>
          <w:sz w:val="20"/>
          <w:szCs w:val="20"/>
          <w:b w:val="1"/>
          <w:bCs w:val="1"/>
          <w:color w:val="auto"/>
        </w:rPr>
        <w:t>SERVICE CREDIT AND REPLACEMENT FEES (FOR USE OUTSIDE OF MAIN PREMISES) Conference Room (per credit): $25.00</w:t>
      </w:r>
    </w:p>
    <w:p>
      <w:pPr>
        <w:ind w:left="120"/>
        <w:spacing w:after="0"/>
        <w:rPr>
          <w:sz w:val="20"/>
          <w:szCs w:val="20"/>
          <w:color w:val="auto"/>
        </w:rPr>
      </w:pPr>
      <w:r>
        <w:rPr>
          <w:rFonts w:ascii="Arial" w:cs="Arial" w:eastAsia="Arial" w:hAnsi="Arial"/>
          <w:sz w:val="20"/>
          <w:szCs w:val="20"/>
          <w:b w:val="1"/>
          <w:bCs w:val="1"/>
          <w:color w:val="auto"/>
        </w:rPr>
        <w:t>Black &amp; White printing (per sheet printed): $0.08</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Color printing (per sheet printed): $0.40</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Keycard Replacement Fee</w:t>
      </w:r>
      <w:r>
        <w:rPr>
          <w:rFonts w:ascii="Arial" w:cs="Arial" w:eastAsia="Arial" w:hAnsi="Arial"/>
          <w:sz w:val="20"/>
          <w:szCs w:val="20"/>
          <w:color w:val="auto"/>
        </w:rPr>
        <w:t>:</w:t>
      </w:r>
      <w:r>
        <w:rPr>
          <w:rFonts w:ascii="Arial" w:cs="Arial" w:eastAsia="Arial" w:hAnsi="Arial"/>
          <w:sz w:val="20"/>
          <w:szCs w:val="20"/>
          <w:b w:val="1"/>
          <w:bCs w:val="1"/>
          <w:color w:val="auto"/>
        </w:rPr>
        <w:t xml:space="preserve"> $25.00</w:t>
      </w:r>
    </w:p>
    <w:p>
      <w:pPr>
        <w:spacing w:after="0" w:line="235" w:lineRule="exact"/>
        <w:rPr>
          <w:sz w:val="20"/>
          <w:szCs w:val="20"/>
          <w:color w:val="auto"/>
        </w:rPr>
      </w:pPr>
    </w:p>
    <w:p>
      <w:pPr>
        <w:jc w:val="both"/>
        <w:ind w:left="120" w:right="40"/>
        <w:spacing w:after="0" w:line="260" w:lineRule="auto"/>
        <w:rPr>
          <w:sz w:val="20"/>
          <w:szCs w:val="20"/>
          <w:color w:val="auto"/>
        </w:rPr>
      </w:pPr>
      <w:r>
        <w:rPr>
          <w:rFonts w:ascii="Arial" w:cs="Arial" w:eastAsia="Arial" w:hAnsi="Arial"/>
          <w:sz w:val="20"/>
          <w:szCs w:val="20"/>
          <w:color w:val="auto"/>
        </w:rPr>
        <w:t>WeWork reserves the right to increase the service credit and replacement fees in a manner that applies to all members at the Premises subject to providing you with thirty (30) days’ advanced notice.</w:t>
      </w:r>
    </w:p>
    <w:p>
      <w:pPr>
        <w:spacing w:after="0" w:line="36"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PURCHASED PRINTING AND CONFERENCE ROOM CREDITS FOR USE OUTSIDE OF MAIN PREMISES (IF APPLICABLE)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20" w:type="dxa"/>
            <w:vAlign w:val="bottom"/>
            <w:tcBorders>
              <w:top w:val="single" w:sz="8" w:color="auto"/>
            </w:tcBorders>
          </w:tcPr>
          <w:p>
            <w:pPr>
              <w:spacing w:after="0"/>
              <w:rPr>
                <w:sz w:val="17"/>
                <w:szCs w:val="17"/>
                <w:color w:val="auto"/>
              </w:rPr>
            </w:pPr>
          </w:p>
        </w:tc>
        <w:tc>
          <w:tcPr>
            <w:tcW w:w="2740" w:type="dxa"/>
            <w:vAlign w:val="bottom"/>
            <w:tcBorders>
              <w:top w:val="single" w:sz="8" w:color="auto"/>
              <w:right w:val="single" w:sz="8" w:color="auto"/>
            </w:tcBorders>
            <w:gridSpan w:val="2"/>
          </w:tcPr>
          <w:p>
            <w:pPr>
              <w:spacing w:after="0" w:line="203" w:lineRule="exact"/>
              <w:rPr>
                <w:sz w:val="20"/>
                <w:szCs w:val="20"/>
                <w:color w:val="auto"/>
              </w:rPr>
            </w:pPr>
            <w:r>
              <w:rPr>
                <w:rFonts w:ascii="Arial" w:cs="Arial" w:eastAsia="Arial" w:hAnsi="Arial"/>
                <w:sz w:val="20"/>
                <w:szCs w:val="20"/>
                <w:b w:val="1"/>
                <w:bCs w:val="1"/>
                <w:color w:val="auto"/>
              </w:rPr>
              <w:t>Service</w:t>
            </w:r>
          </w:p>
        </w:tc>
        <w:tc>
          <w:tcPr>
            <w:tcW w:w="5060" w:type="dxa"/>
            <w:vAlign w:val="bottom"/>
            <w:tcBorders>
              <w:top w:val="single" w:sz="8" w:color="auto"/>
            </w:tcBorders>
            <w:gridSpan w:val="3"/>
          </w:tcPr>
          <w:p>
            <w:pPr>
              <w:ind w:left="2300"/>
              <w:spacing w:after="0" w:line="203" w:lineRule="exact"/>
              <w:rPr>
                <w:sz w:val="20"/>
                <w:szCs w:val="20"/>
                <w:color w:val="auto"/>
              </w:rPr>
            </w:pPr>
            <w:r>
              <w:rPr>
                <w:rFonts w:ascii="Arial" w:cs="Arial" w:eastAsia="Arial" w:hAnsi="Arial"/>
                <w:sz w:val="20"/>
                <w:szCs w:val="20"/>
                <w:b w:val="1"/>
                <w:bCs w:val="1"/>
                <w:color w:val="auto"/>
              </w:rPr>
              <w:t>Units</w:t>
            </w:r>
          </w:p>
        </w:tc>
        <w:tc>
          <w:tcPr>
            <w:tcW w:w="20" w:type="dxa"/>
            <w:vAlign w:val="bottom"/>
            <w:tcBorders>
              <w:top w:val="single" w:sz="8" w:color="auto"/>
            </w:tcBorders>
          </w:tcPr>
          <w:p>
            <w:pPr>
              <w:spacing w:after="0"/>
              <w:rPr>
                <w:sz w:val="17"/>
                <w:szCs w:val="17"/>
                <w:color w:val="auto"/>
              </w:rPr>
            </w:pPr>
          </w:p>
        </w:tc>
      </w:tr>
      <w:tr>
        <w:trPr>
          <w:trHeight w:val="264"/>
        </w:trPr>
        <w:tc>
          <w:tcPr>
            <w:tcW w:w="2120" w:type="dxa"/>
            <w:vAlign w:val="bottom"/>
            <w:tcBorders>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2120" w:type="dxa"/>
            <w:vAlign w:val="bottom"/>
            <w:tcBorders>
              <w:bottom w:val="single" w:sz="8" w:color="auto"/>
              <w:right w:val="single" w:sz="8" w:color="auto"/>
            </w:tcBorders>
          </w:tcPr>
          <w:p>
            <w:pPr>
              <w:spacing w:after="0"/>
              <w:rPr>
                <w:sz w:val="22"/>
                <w:szCs w:val="22"/>
                <w:color w:val="auto"/>
              </w:rPr>
            </w:pPr>
          </w:p>
        </w:tc>
        <w:tc>
          <w:tcPr>
            <w:tcW w:w="2300" w:type="dxa"/>
            <w:vAlign w:val="bottom"/>
            <w:tcBorders>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2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50"/>
        </w:trPr>
        <w:tc>
          <w:tcPr>
            <w:tcW w:w="4860" w:type="dxa"/>
            <w:vAlign w:val="bottom"/>
            <w:tcBorders>
              <w:right w:val="single" w:sz="8" w:color="auto"/>
            </w:tcBorders>
            <w:gridSpan w:val="3"/>
          </w:tcPr>
          <w:p>
            <w:pPr>
              <w:ind w:left="120"/>
              <w:spacing w:after="0"/>
              <w:rPr>
                <w:sz w:val="20"/>
                <w:szCs w:val="20"/>
                <w:color w:val="auto"/>
              </w:rPr>
            </w:pPr>
            <w:r>
              <w:rPr>
                <w:rFonts w:ascii="Arial" w:cs="Arial" w:eastAsia="Arial" w:hAnsi="Arial"/>
                <w:sz w:val="20"/>
                <w:szCs w:val="20"/>
                <w:b w:val="1"/>
                <w:bCs w:val="1"/>
                <w:color w:val="auto"/>
              </w:rPr>
              <w:t>Conference Room Credits:</w:t>
            </w:r>
          </w:p>
        </w:tc>
        <w:tc>
          <w:tcPr>
            <w:tcW w:w="5060" w:type="dxa"/>
            <w:vAlign w:val="bottom"/>
            <w:gridSpan w:val="3"/>
          </w:tcPr>
          <w:p>
            <w:pPr>
              <w:ind w:left="100"/>
              <w:spacing w:after="0"/>
              <w:rPr>
                <w:sz w:val="20"/>
                <w:szCs w:val="20"/>
                <w:color w:val="auto"/>
              </w:rPr>
            </w:pPr>
            <w:r>
              <w:rPr>
                <w:rFonts w:ascii="Arial" w:cs="Arial" w:eastAsia="Arial" w:hAnsi="Arial"/>
                <w:sz w:val="20"/>
                <w:szCs w:val="20"/>
                <w:color w:val="auto"/>
              </w:rPr>
              <w:t>35 Conference Room credits per month</w:t>
            </w:r>
          </w:p>
        </w:tc>
        <w:tc>
          <w:tcPr>
            <w:tcW w:w="20" w:type="dxa"/>
            <w:vAlign w:val="bottom"/>
          </w:tcPr>
          <w:p>
            <w:pPr>
              <w:spacing w:after="0"/>
              <w:rPr>
                <w:sz w:val="21"/>
                <w:szCs w:val="21"/>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4860" w:type="dxa"/>
            <w:vAlign w:val="bottom"/>
            <w:tcBorders>
              <w:right w:val="single" w:sz="8" w:color="auto"/>
            </w:tcBorders>
            <w:gridSpan w:val="3"/>
          </w:tcPr>
          <w:p>
            <w:pPr>
              <w:ind w:left="120"/>
              <w:spacing w:after="0"/>
              <w:rPr>
                <w:sz w:val="20"/>
                <w:szCs w:val="20"/>
                <w:color w:val="auto"/>
              </w:rPr>
            </w:pPr>
            <w:r>
              <w:rPr>
                <w:rFonts w:ascii="Arial" w:cs="Arial" w:eastAsia="Arial" w:hAnsi="Arial"/>
                <w:sz w:val="20"/>
                <w:szCs w:val="20"/>
                <w:b w:val="1"/>
                <w:bCs w:val="1"/>
                <w:color w:val="auto"/>
              </w:rPr>
              <w:t>Black and White Print and Copy Credits:</w:t>
            </w:r>
          </w:p>
        </w:tc>
        <w:tc>
          <w:tcPr>
            <w:tcW w:w="5060" w:type="dxa"/>
            <w:vAlign w:val="bottom"/>
            <w:gridSpan w:val="3"/>
          </w:tcPr>
          <w:p>
            <w:pPr>
              <w:ind w:left="100"/>
              <w:spacing w:after="0"/>
              <w:rPr>
                <w:sz w:val="20"/>
                <w:szCs w:val="20"/>
                <w:color w:val="auto"/>
              </w:rPr>
            </w:pPr>
            <w:r>
              <w:rPr>
                <w:rFonts w:ascii="Arial" w:cs="Arial" w:eastAsia="Arial" w:hAnsi="Arial"/>
                <w:sz w:val="20"/>
                <w:szCs w:val="20"/>
                <w:color w:val="auto"/>
              </w:rPr>
              <w:t>100 Black and White Print and Copy Credits per month</w:t>
            </w:r>
          </w:p>
        </w:tc>
        <w:tc>
          <w:tcPr>
            <w:tcW w:w="20" w:type="dxa"/>
            <w:vAlign w:val="bottom"/>
          </w:tcPr>
          <w:p>
            <w:pPr>
              <w:spacing w:after="0"/>
              <w:rPr>
                <w:sz w:val="21"/>
                <w:szCs w:val="21"/>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4860" w:type="dxa"/>
            <w:vAlign w:val="bottom"/>
            <w:tcBorders>
              <w:right w:val="single" w:sz="8" w:color="auto"/>
            </w:tcBorders>
            <w:gridSpan w:val="3"/>
          </w:tcPr>
          <w:p>
            <w:pPr>
              <w:ind w:left="120"/>
              <w:spacing w:after="0"/>
              <w:rPr>
                <w:sz w:val="20"/>
                <w:szCs w:val="20"/>
                <w:color w:val="auto"/>
              </w:rPr>
            </w:pPr>
            <w:r>
              <w:rPr>
                <w:rFonts w:ascii="Arial" w:cs="Arial" w:eastAsia="Arial" w:hAnsi="Arial"/>
                <w:sz w:val="20"/>
                <w:szCs w:val="20"/>
                <w:b w:val="1"/>
                <w:bCs w:val="1"/>
                <w:color w:val="auto"/>
              </w:rPr>
              <w:t>Color Print and Copy Credits:</w:t>
            </w:r>
          </w:p>
        </w:tc>
        <w:tc>
          <w:tcPr>
            <w:tcW w:w="5060" w:type="dxa"/>
            <w:vAlign w:val="bottom"/>
            <w:gridSpan w:val="3"/>
          </w:tcPr>
          <w:p>
            <w:pPr>
              <w:ind w:left="100"/>
              <w:spacing w:after="0"/>
              <w:rPr>
                <w:sz w:val="20"/>
                <w:szCs w:val="20"/>
                <w:color w:val="auto"/>
              </w:rPr>
            </w:pPr>
            <w:r>
              <w:rPr>
                <w:rFonts w:ascii="Arial" w:cs="Arial" w:eastAsia="Arial" w:hAnsi="Arial"/>
                <w:sz w:val="20"/>
                <w:szCs w:val="20"/>
                <w:color w:val="auto"/>
              </w:rPr>
              <w:t>50 Color Print and Copy Credits per month</w:t>
            </w:r>
          </w:p>
        </w:tc>
        <w:tc>
          <w:tcPr>
            <w:tcW w:w="20" w:type="dxa"/>
            <w:vAlign w:val="bottom"/>
          </w:tcPr>
          <w:p>
            <w:pPr>
              <w:spacing w:after="0"/>
              <w:rPr>
                <w:sz w:val="21"/>
                <w:szCs w:val="21"/>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9920" w:type="dxa"/>
            <w:vAlign w:val="bottom"/>
            <w:gridSpan w:val="6"/>
            <w:shd w:val="clear" w:color="auto" w:fill="F2F2F2"/>
          </w:tcPr>
          <w:p>
            <w:pPr>
              <w:ind w:left="1860"/>
              <w:spacing w:after="0"/>
              <w:rPr>
                <w:sz w:val="20"/>
                <w:szCs w:val="20"/>
                <w:color w:val="auto"/>
              </w:rPr>
            </w:pPr>
            <w:r>
              <w:rPr>
                <w:rFonts w:ascii="Arial" w:cs="Arial" w:eastAsia="Arial" w:hAnsi="Arial"/>
                <w:sz w:val="20"/>
                <w:szCs w:val="20"/>
                <w:b w:val="1"/>
                <w:bCs w:val="1"/>
                <w:color w:val="auto"/>
              </w:rPr>
              <w:t>CUSTOM WORK (“WEWORK WORK”) DETAILS (IF APPLICABLE)</w:t>
            </w:r>
          </w:p>
        </w:tc>
        <w:tc>
          <w:tcPr>
            <w:tcW w:w="20" w:type="dxa"/>
            <w:vAlign w:val="bottom"/>
          </w:tcPr>
          <w:p>
            <w:pPr>
              <w:spacing w:after="0"/>
              <w:rPr>
                <w:sz w:val="21"/>
                <w:szCs w:val="21"/>
                <w:color w:val="auto"/>
              </w:rPr>
            </w:pPr>
          </w:p>
        </w:tc>
      </w:tr>
      <w:tr>
        <w:trPr>
          <w:trHeight w:val="176"/>
        </w:trPr>
        <w:tc>
          <w:tcPr>
            <w:tcW w:w="2120" w:type="dxa"/>
            <w:vAlign w:val="bottom"/>
            <w:tcBorders>
              <w:bottom w:val="single" w:sz="8" w:color="auto"/>
            </w:tcBorders>
            <w:shd w:val="clear" w:color="auto" w:fill="F2F2F2"/>
          </w:tcPr>
          <w:p>
            <w:pPr>
              <w:spacing w:after="0"/>
              <w:rPr>
                <w:sz w:val="15"/>
                <w:szCs w:val="15"/>
                <w:color w:val="auto"/>
              </w:rPr>
            </w:pPr>
          </w:p>
        </w:tc>
        <w:tc>
          <w:tcPr>
            <w:tcW w:w="620" w:type="dxa"/>
            <w:vAlign w:val="bottom"/>
            <w:tcBorders>
              <w:bottom w:val="single" w:sz="8" w:color="auto"/>
            </w:tcBorders>
            <w:shd w:val="clear" w:color="auto" w:fill="F2F2F2"/>
          </w:tcPr>
          <w:p>
            <w:pPr>
              <w:spacing w:after="0"/>
              <w:rPr>
                <w:sz w:val="15"/>
                <w:szCs w:val="15"/>
                <w:color w:val="auto"/>
              </w:rPr>
            </w:pPr>
          </w:p>
        </w:tc>
        <w:tc>
          <w:tcPr>
            <w:tcW w:w="2120" w:type="dxa"/>
            <w:vAlign w:val="bottom"/>
            <w:tcBorders>
              <w:bottom w:val="single" w:sz="8" w:color="auto"/>
              <w:right w:val="single" w:sz="8" w:color="F2F2F2"/>
            </w:tcBorders>
            <w:shd w:val="clear" w:color="auto" w:fill="F2F2F2"/>
          </w:tcPr>
          <w:p>
            <w:pPr>
              <w:spacing w:after="0"/>
              <w:rPr>
                <w:sz w:val="15"/>
                <w:szCs w:val="15"/>
                <w:color w:val="auto"/>
              </w:rPr>
            </w:pPr>
          </w:p>
        </w:tc>
        <w:tc>
          <w:tcPr>
            <w:tcW w:w="2300" w:type="dxa"/>
            <w:vAlign w:val="bottom"/>
            <w:tcBorders>
              <w:bottom w:val="single" w:sz="8" w:color="auto"/>
            </w:tcBorders>
            <w:shd w:val="clear" w:color="auto" w:fill="F2F2F2"/>
          </w:tcPr>
          <w:p>
            <w:pPr>
              <w:spacing w:after="0"/>
              <w:rPr>
                <w:sz w:val="15"/>
                <w:szCs w:val="15"/>
                <w:color w:val="auto"/>
              </w:rPr>
            </w:pPr>
          </w:p>
        </w:tc>
        <w:tc>
          <w:tcPr>
            <w:tcW w:w="460" w:type="dxa"/>
            <w:vAlign w:val="bottom"/>
            <w:tcBorders>
              <w:bottom w:val="single" w:sz="8" w:color="auto"/>
            </w:tcBorders>
            <w:shd w:val="clear" w:color="auto" w:fill="F2F2F2"/>
          </w:tcPr>
          <w:p>
            <w:pPr>
              <w:spacing w:after="0"/>
              <w:rPr>
                <w:sz w:val="15"/>
                <w:szCs w:val="15"/>
                <w:color w:val="auto"/>
              </w:rPr>
            </w:pPr>
          </w:p>
        </w:tc>
        <w:tc>
          <w:tcPr>
            <w:tcW w:w="2300" w:type="dxa"/>
            <w:vAlign w:val="bottom"/>
            <w:tcBorders>
              <w:bottom w:val="single" w:sz="8" w:color="auto"/>
            </w:tcBorders>
            <w:shd w:val="clear" w:color="auto" w:fill="F2F2F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50"/>
        </w:trPr>
        <w:tc>
          <w:tcPr>
            <w:tcW w:w="4860" w:type="dxa"/>
            <w:vAlign w:val="bottom"/>
            <w:tcBorders>
              <w:right w:val="single" w:sz="8" w:color="auto"/>
            </w:tcBorders>
            <w:gridSpan w:val="3"/>
          </w:tcPr>
          <w:p>
            <w:pPr>
              <w:ind w:left="120"/>
              <w:spacing w:after="0"/>
              <w:rPr>
                <w:sz w:val="20"/>
                <w:szCs w:val="20"/>
                <w:color w:val="auto"/>
              </w:rPr>
            </w:pPr>
            <w:r>
              <w:rPr>
                <w:rFonts w:ascii="Arial" w:cs="Arial" w:eastAsia="Arial" w:hAnsi="Arial"/>
                <w:sz w:val="20"/>
                <w:szCs w:val="20"/>
                <w:b w:val="1"/>
                <w:bCs w:val="1"/>
                <w:color w:val="auto"/>
              </w:rPr>
              <w:t>WeWork Work Description:</w:t>
            </w:r>
          </w:p>
        </w:tc>
        <w:tc>
          <w:tcPr>
            <w:tcW w:w="5060" w:type="dxa"/>
            <w:vAlign w:val="bottom"/>
            <w:gridSpan w:val="3"/>
          </w:tcPr>
          <w:p>
            <w:pPr>
              <w:ind w:left="100"/>
              <w:spacing w:after="0"/>
              <w:rPr>
                <w:sz w:val="20"/>
                <w:szCs w:val="20"/>
                <w:color w:val="auto"/>
              </w:rPr>
            </w:pPr>
            <w:r>
              <w:rPr>
                <w:rFonts w:ascii="Arial" w:cs="Arial" w:eastAsia="Arial" w:hAnsi="Arial"/>
                <w:sz w:val="20"/>
                <w:szCs w:val="20"/>
                <w:color w:val="auto"/>
              </w:rPr>
              <w:t>N/A</w:t>
            </w:r>
          </w:p>
        </w:tc>
        <w:tc>
          <w:tcPr>
            <w:tcW w:w="20" w:type="dxa"/>
            <w:vAlign w:val="bottom"/>
          </w:tcPr>
          <w:p>
            <w:pPr>
              <w:spacing w:after="0"/>
              <w:rPr>
                <w:sz w:val="21"/>
                <w:szCs w:val="21"/>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118" w:right="979" w:bottom="1440" w:gutter="0" w:footer="0" w:header="0"/>
        </w:sectPr>
      </w:pPr>
    </w:p>
    <w:bookmarkStart w:id="105" w:name="page106"/>
    <w:bookmarkEnd w:id="105"/>
    <w:tbl>
      <w:tblPr>
        <w:tblLayout w:type="fixed"/>
        <w:tblInd w:w="10" w:type="dxa"/>
        <w:tblCellMar>
          <w:top w:w="0" w:type="dxa"/>
          <w:left w:w="0" w:type="dxa"/>
          <w:bottom w:w="0" w:type="dxa"/>
          <w:right w:w="0" w:type="dxa"/>
        </w:tblCellMar>
      </w:tblPr>
      <w:tr>
        <w:trPr>
          <w:trHeight w:val="270"/>
        </w:trPr>
        <w:tc>
          <w:tcPr>
            <w:tcW w:w="49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w w:val="97"/>
              </w:rPr>
              <w:t>WeWork Work Cost Allocation between the Parties:</w:t>
            </w:r>
          </w:p>
        </w:tc>
        <w:tc>
          <w:tcPr>
            <w:tcW w:w="50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N/A</w:t>
            </w:r>
          </w:p>
        </w:tc>
      </w:tr>
      <w:tr>
        <w:trPr>
          <w:trHeight w:val="216"/>
        </w:trPr>
        <w:tc>
          <w:tcPr>
            <w:tcW w:w="4900" w:type="dxa"/>
            <w:vAlign w:val="bottom"/>
            <w:tcBorders>
              <w:left w:val="single" w:sz="8" w:color="auto"/>
              <w:bottom w:val="single" w:sz="8" w:color="auto"/>
              <w:right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r>
      <w:tr>
        <w:trPr>
          <w:trHeight w:val="250"/>
        </w:trPr>
        <w:tc>
          <w:tcPr>
            <w:tcW w:w="9920" w:type="dxa"/>
            <w:vAlign w:val="bottom"/>
            <w:tcBorders>
              <w:left w:val="single" w:sz="8" w:color="auto"/>
              <w:right w:val="single" w:sz="8" w:color="auto"/>
            </w:tcBorders>
            <w:gridSpan w:val="2"/>
            <w:shd w:val="clear" w:color="auto" w:fill="F2F2F2"/>
          </w:tcPr>
          <w:p>
            <w:pPr>
              <w:ind w:left="3120"/>
              <w:spacing w:after="0"/>
              <w:rPr>
                <w:sz w:val="20"/>
                <w:szCs w:val="20"/>
                <w:color w:val="auto"/>
              </w:rPr>
            </w:pPr>
            <w:r>
              <w:rPr>
                <w:rFonts w:ascii="Arial" w:cs="Arial" w:eastAsia="Arial" w:hAnsi="Arial"/>
                <w:sz w:val="20"/>
                <w:szCs w:val="20"/>
                <w:b w:val="1"/>
                <w:bCs w:val="1"/>
                <w:color w:val="auto"/>
              </w:rPr>
              <w:t>ADDITIONAL ITEMS (IF APPLICABLE)</w:t>
            </w:r>
          </w:p>
        </w:tc>
      </w:tr>
      <w:tr>
        <w:trPr>
          <w:trHeight w:val="176"/>
        </w:trPr>
        <w:tc>
          <w:tcPr>
            <w:tcW w:w="4900" w:type="dxa"/>
            <w:vAlign w:val="bottom"/>
            <w:tcBorders>
              <w:left w:val="single" w:sz="8" w:color="auto"/>
              <w:bottom w:val="single" w:sz="8" w:color="auto"/>
              <w:right w:val="single" w:sz="8" w:color="F2F2F2"/>
            </w:tcBorders>
            <w:shd w:val="clear" w:color="auto" w:fill="F2F2F2"/>
          </w:tcPr>
          <w:p>
            <w:pPr>
              <w:spacing w:after="0"/>
              <w:rPr>
                <w:sz w:val="15"/>
                <w:szCs w:val="15"/>
                <w:color w:val="auto"/>
              </w:rPr>
            </w:pPr>
          </w:p>
        </w:tc>
        <w:tc>
          <w:tcPr>
            <w:tcW w:w="5020" w:type="dxa"/>
            <w:vAlign w:val="bottom"/>
            <w:tcBorders>
              <w:bottom w:val="single" w:sz="8" w:color="auto"/>
              <w:right w:val="single" w:sz="8" w:color="auto"/>
            </w:tcBorders>
            <w:shd w:val="clear" w:color="auto" w:fill="F2F2F2"/>
          </w:tcPr>
          <w:p>
            <w:pPr>
              <w:spacing w:after="0"/>
              <w:rPr>
                <w:sz w:val="15"/>
                <w:szCs w:val="15"/>
                <w:color w:val="auto"/>
              </w:rPr>
            </w:pPr>
          </w:p>
        </w:tc>
      </w:tr>
      <w:tr>
        <w:trPr>
          <w:trHeight w:val="206"/>
        </w:trPr>
        <w:tc>
          <w:tcPr>
            <w:tcW w:w="490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b w:val="1"/>
                <w:bCs w:val="1"/>
                <w:color w:val="auto"/>
              </w:rPr>
              <w:t>Overtime HVAC:</w:t>
            </w:r>
          </w:p>
        </w:tc>
        <w:tc>
          <w:tcPr>
            <w:tcW w:w="5020" w:type="dxa"/>
            <w:vAlign w:val="bottom"/>
            <w:tcBorders>
              <w:right w:val="single" w:sz="8" w:color="auto"/>
            </w:tcBorders>
          </w:tcPr>
          <w:p>
            <w:pPr>
              <w:ind w:left="60"/>
              <w:spacing w:after="0" w:line="207" w:lineRule="exact"/>
              <w:rPr>
                <w:sz w:val="20"/>
                <w:szCs w:val="20"/>
                <w:color w:val="auto"/>
              </w:rPr>
            </w:pPr>
            <w:r>
              <w:rPr>
                <w:rFonts w:ascii="Arial" w:cs="Arial" w:eastAsia="Arial" w:hAnsi="Arial"/>
                <w:sz w:val="20"/>
                <w:szCs w:val="20"/>
                <w:color w:val="auto"/>
                <w:w w:val="96"/>
              </w:rPr>
              <w:t>Overtime HVAC Hours: outside of HVAC Standard Hours.</w:t>
            </w:r>
          </w:p>
        </w:tc>
      </w:tr>
      <w:tr>
        <w:trPr>
          <w:trHeight w:val="229"/>
        </w:trPr>
        <w:tc>
          <w:tcPr>
            <w:tcW w:w="4900" w:type="dxa"/>
            <w:vAlign w:val="bottom"/>
            <w:tcBorders>
              <w:left w:val="single" w:sz="8" w:color="auto"/>
              <w:right w:val="single" w:sz="8" w:color="auto"/>
            </w:tcBorders>
          </w:tcPr>
          <w:p>
            <w:pPr>
              <w:spacing w:after="0"/>
              <w:rPr>
                <w:sz w:val="19"/>
                <w:szCs w:val="19"/>
                <w:color w:val="auto"/>
              </w:rPr>
            </w:pPr>
          </w:p>
        </w:tc>
        <w:tc>
          <w:tcPr>
            <w:tcW w:w="50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5"/>
              </w:rPr>
              <w:t>“HVAC Standard Hours” are: Monday through Friday: 8:00</w:t>
            </w:r>
          </w:p>
        </w:tc>
      </w:tr>
      <w:tr>
        <w:trPr>
          <w:trHeight w:val="250"/>
        </w:trPr>
        <w:tc>
          <w:tcPr>
            <w:tcW w:w="4900" w:type="dxa"/>
            <w:vAlign w:val="bottom"/>
            <w:tcBorders>
              <w:left w:val="single" w:sz="8" w:color="auto"/>
              <w:right w:val="single" w:sz="8" w:color="auto"/>
            </w:tcBorders>
          </w:tcPr>
          <w:p>
            <w:pPr>
              <w:spacing w:after="0"/>
              <w:rPr>
                <w:sz w:val="21"/>
                <w:szCs w:val="21"/>
                <w:color w:val="auto"/>
              </w:rPr>
            </w:pPr>
          </w:p>
        </w:tc>
        <w:tc>
          <w:tcPr>
            <w:tcW w:w="50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AM to 6:00 PM (PST).</w:t>
            </w:r>
          </w:p>
        </w:tc>
      </w:tr>
      <w:tr>
        <w:trPr>
          <w:trHeight w:val="438"/>
        </w:trPr>
        <w:tc>
          <w:tcPr>
            <w:tcW w:w="4900" w:type="dxa"/>
            <w:vAlign w:val="bottom"/>
            <w:tcBorders>
              <w:left w:val="single" w:sz="8" w:color="auto"/>
              <w:right w:val="single" w:sz="8" w:color="auto"/>
            </w:tcBorders>
          </w:tcPr>
          <w:p>
            <w:pPr>
              <w:spacing w:after="0"/>
              <w:rPr>
                <w:sz w:val="24"/>
                <w:szCs w:val="24"/>
                <w:color w:val="auto"/>
              </w:rPr>
            </w:pPr>
          </w:p>
        </w:tc>
        <w:tc>
          <w:tcPr>
            <w:tcW w:w="50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Price for Overtime HVAC: Member Company shall be</w:t>
            </w:r>
          </w:p>
        </w:tc>
      </w:tr>
      <w:tr>
        <w:trPr>
          <w:trHeight w:val="230"/>
        </w:trPr>
        <w:tc>
          <w:tcPr>
            <w:tcW w:w="4900" w:type="dxa"/>
            <w:vAlign w:val="bottom"/>
            <w:tcBorders>
              <w:left w:val="single" w:sz="8" w:color="auto"/>
              <w:right w:val="single" w:sz="8" w:color="auto"/>
            </w:tcBorders>
          </w:tcPr>
          <w:p>
            <w:pPr>
              <w:spacing w:after="0"/>
              <w:rPr>
                <w:sz w:val="19"/>
                <w:szCs w:val="19"/>
                <w:color w:val="auto"/>
              </w:rPr>
            </w:pPr>
          </w:p>
        </w:tc>
        <w:tc>
          <w:tcPr>
            <w:tcW w:w="50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4"/>
              </w:rPr>
              <w:t>responsible for the landlord or WeWork’s cost of furnishing</w:t>
            </w:r>
          </w:p>
        </w:tc>
      </w:tr>
      <w:tr>
        <w:trPr>
          <w:trHeight w:val="229"/>
        </w:trPr>
        <w:tc>
          <w:tcPr>
            <w:tcW w:w="4900" w:type="dxa"/>
            <w:vAlign w:val="bottom"/>
            <w:tcBorders>
              <w:left w:val="single" w:sz="8" w:color="auto"/>
              <w:right w:val="single" w:sz="8" w:color="auto"/>
            </w:tcBorders>
          </w:tcPr>
          <w:p>
            <w:pPr>
              <w:spacing w:after="0"/>
              <w:rPr>
                <w:sz w:val="19"/>
                <w:szCs w:val="19"/>
                <w:color w:val="auto"/>
              </w:rPr>
            </w:pPr>
          </w:p>
        </w:tc>
        <w:tc>
          <w:tcPr>
            <w:tcW w:w="50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Overtime HVAC services to the Office Space equal to:</w:t>
            </w:r>
          </w:p>
        </w:tc>
      </w:tr>
      <w:tr>
        <w:trPr>
          <w:trHeight w:val="230"/>
        </w:trPr>
        <w:tc>
          <w:tcPr>
            <w:tcW w:w="4900" w:type="dxa"/>
            <w:vAlign w:val="bottom"/>
            <w:tcBorders>
              <w:left w:val="single" w:sz="8" w:color="auto"/>
              <w:right w:val="single" w:sz="8" w:color="auto"/>
            </w:tcBorders>
          </w:tcPr>
          <w:p>
            <w:pPr>
              <w:spacing w:after="0"/>
              <w:rPr>
                <w:sz w:val="19"/>
                <w:szCs w:val="19"/>
                <w:color w:val="auto"/>
              </w:rPr>
            </w:pPr>
          </w:p>
        </w:tc>
        <w:tc>
          <w:tcPr>
            <w:tcW w:w="502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w w:val="98"/>
              </w:rPr>
              <w:t>· Air Conditioning = $440/hour (minimum four (4)</w:t>
            </w:r>
          </w:p>
        </w:tc>
      </w:tr>
      <w:tr>
        <w:trPr>
          <w:trHeight w:val="229"/>
        </w:trPr>
        <w:tc>
          <w:tcPr>
            <w:tcW w:w="4900" w:type="dxa"/>
            <w:vAlign w:val="bottom"/>
            <w:tcBorders>
              <w:left w:val="single" w:sz="8" w:color="auto"/>
              <w:right w:val="single" w:sz="8" w:color="auto"/>
            </w:tcBorders>
          </w:tcPr>
          <w:p>
            <w:pPr>
              <w:spacing w:after="0"/>
              <w:rPr>
                <w:sz w:val="19"/>
                <w:szCs w:val="19"/>
                <w:color w:val="auto"/>
              </w:rPr>
            </w:pPr>
          </w:p>
        </w:tc>
        <w:tc>
          <w:tcPr>
            <w:tcW w:w="502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hours per day)</w:t>
            </w:r>
          </w:p>
        </w:tc>
      </w:tr>
      <w:tr>
        <w:trPr>
          <w:trHeight w:val="229"/>
        </w:trPr>
        <w:tc>
          <w:tcPr>
            <w:tcW w:w="4900" w:type="dxa"/>
            <w:vAlign w:val="bottom"/>
            <w:tcBorders>
              <w:left w:val="single" w:sz="8" w:color="auto"/>
              <w:right w:val="single" w:sz="8" w:color="auto"/>
            </w:tcBorders>
          </w:tcPr>
          <w:p>
            <w:pPr>
              <w:spacing w:after="0"/>
              <w:rPr>
                <w:sz w:val="19"/>
                <w:szCs w:val="19"/>
                <w:color w:val="auto"/>
              </w:rPr>
            </w:pPr>
          </w:p>
        </w:tc>
        <w:tc>
          <w:tcPr>
            <w:tcW w:w="502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w w:val="99"/>
              </w:rPr>
              <w:t>· Heating and Ventilation = $330/hour (minimum</w:t>
            </w:r>
          </w:p>
        </w:tc>
      </w:tr>
      <w:tr>
        <w:trPr>
          <w:trHeight w:val="250"/>
        </w:trPr>
        <w:tc>
          <w:tcPr>
            <w:tcW w:w="4900" w:type="dxa"/>
            <w:vAlign w:val="bottom"/>
            <w:tcBorders>
              <w:left w:val="single" w:sz="8" w:color="auto"/>
              <w:right w:val="single" w:sz="8" w:color="auto"/>
            </w:tcBorders>
          </w:tcPr>
          <w:p>
            <w:pPr>
              <w:spacing w:after="0"/>
              <w:rPr>
                <w:sz w:val="21"/>
                <w:szCs w:val="21"/>
                <w:color w:val="auto"/>
              </w:rPr>
            </w:pPr>
          </w:p>
        </w:tc>
        <w:tc>
          <w:tcPr>
            <w:tcW w:w="502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four (4) hours per day)</w:t>
            </w:r>
          </w:p>
        </w:tc>
      </w:tr>
      <w:tr>
        <w:trPr>
          <w:trHeight w:val="104"/>
        </w:trPr>
        <w:tc>
          <w:tcPr>
            <w:tcW w:w="4900" w:type="dxa"/>
            <w:vAlign w:val="bottom"/>
            <w:tcBorders>
              <w:left w:val="single" w:sz="8" w:color="auto"/>
              <w:bottom w:val="single" w:sz="8" w:color="auto"/>
              <w:right w:val="single" w:sz="8" w:color="auto"/>
            </w:tcBorders>
          </w:tcPr>
          <w:p>
            <w:pPr>
              <w:spacing w:after="0"/>
              <w:rPr>
                <w:sz w:val="9"/>
                <w:szCs w:val="9"/>
                <w:color w:val="auto"/>
              </w:rPr>
            </w:pPr>
          </w:p>
        </w:tc>
        <w:tc>
          <w:tcPr>
            <w:tcW w:w="5020" w:type="dxa"/>
            <w:vAlign w:val="bottom"/>
            <w:tcBorders>
              <w:bottom w:val="single" w:sz="8" w:color="auto"/>
              <w:right w:val="single" w:sz="8" w:color="auto"/>
            </w:tcBorders>
          </w:tcPr>
          <w:p>
            <w:pPr>
              <w:spacing w:after="0"/>
              <w:rPr>
                <w:sz w:val="9"/>
                <w:szCs w:val="9"/>
                <w:color w:val="auto"/>
              </w:rPr>
            </w:pPr>
          </w:p>
        </w:tc>
      </w:tr>
      <w:tr>
        <w:trPr>
          <w:trHeight w:val="250"/>
        </w:trPr>
        <w:tc>
          <w:tcPr>
            <w:tcW w:w="4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IT Services:</w:t>
            </w:r>
          </w:p>
        </w:tc>
        <w:tc>
          <w:tcPr>
            <w:tcW w:w="50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N/A</w:t>
            </w:r>
          </w:p>
        </w:tc>
      </w:tr>
      <w:tr>
        <w:trPr>
          <w:trHeight w:val="27"/>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r>
      <w:tr>
        <w:trPr>
          <w:trHeight w:val="250"/>
        </w:trPr>
        <w:tc>
          <w:tcPr>
            <w:tcW w:w="4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Security Access:</w:t>
            </w:r>
          </w:p>
        </w:tc>
        <w:tc>
          <w:tcPr>
            <w:tcW w:w="50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N/A</w:t>
            </w:r>
          </w:p>
        </w:tc>
      </w:tr>
      <w:tr>
        <w:trPr>
          <w:trHeight w:val="27"/>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r>
      <w:tr>
        <w:trPr>
          <w:trHeight w:val="250"/>
        </w:trPr>
        <w:tc>
          <w:tcPr>
            <w:tcW w:w="4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Parking (if applicable) (excluding tax):</w:t>
            </w:r>
          </w:p>
        </w:tc>
        <w:tc>
          <w:tcPr>
            <w:tcW w:w="50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N/A</w:t>
            </w:r>
          </w:p>
        </w:tc>
      </w:tr>
      <w:tr>
        <w:trPr>
          <w:trHeight w:val="27"/>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r>
      <w:tr>
        <w:trPr>
          <w:trHeight w:val="200"/>
        </w:trPr>
        <w:tc>
          <w:tcPr>
            <w:tcW w:w="4900" w:type="dxa"/>
            <w:vAlign w:val="bottom"/>
            <w:tcBorders>
              <w:left w:val="single" w:sz="8" w:color="auto"/>
              <w:right w:val="single" w:sz="8" w:color="auto"/>
            </w:tcBorders>
          </w:tcPr>
          <w:p>
            <w:pPr>
              <w:ind w:left="120"/>
              <w:spacing w:after="0" w:line="200" w:lineRule="exact"/>
              <w:rPr>
                <w:sz w:val="20"/>
                <w:szCs w:val="20"/>
                <w:color w:val="auto"/>
              </w:rPr>
            </w:pPr>
            <w:r>
              <w:rPr>
                <w:rFonts w:ascii="Arial" w:cs="Arial" w:eastAsia="Arial" w:hAnsi="Arial"/>
                <w:sz w:val="20"/>
                <w:szCs w:val="20"/>
                <w:b w:val="1"/>
                <w:bCs w:val="1"/>
                <w:color w:val="auto"/>
              </w:rPr>
              <w:t>Broker used in connection with the Agreement (if</w:t>
            </w:r>
          </w:p>
        </w:tc>
        <w:tc>
          <w:tcPr>
            <w:tcW w:w="5020" w:type="dxa"/>
            <w:vAlign w:val="bottom"/>
            <w:tcBorders>
              <w:right w:val="single" w:sz="8" w:color="auto"/>
            </w:tcBorders>
          </w:tcPr>
          <w:p>
            <w:pPr>
              <w:ind w:left="60"/>
              <w:spacing w:after="0" w:line="200" w:lineRule="exact"/>
              <w:rPr>
                <w:sz w:val="20"/>
                <w:szCs w:val="20"/>
                <w:color w:val="auto"/>
              </w:rPr>
            </w:pPr>
            <w:r>
              <w:rPr>
                <w:rFonts w:ascii="Arial" w:cs="Arial" w:eastAsia="Arial" w:hAnsi="Arial"/>
                <w:sz w:val="20"/>
                <w:szCs w:val="20"/>
                <w:color w:val="auto"/>
              </w:rPr>
              <w:t>N/A</w:t>
            </w:r>
          </w:p>
        </w:tc>
      </w:tr>
      <w:tr>
        <w:trPr>
          <w:trHeight w:val="252"/>
        </w:trPr>
        <w:tc>
          <w:tcPr>
            <w:tcW w:w="4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applicable):</w:t>
            </w:r>
          </w:p>
        </w:tc>
        <w:tc>
          <w:tcPr>
            <w:tcW w:w="5020" w:type="dxa"/>
            <w:vAlign w:val="bottom"/>
            <w:tcBorders>
              <w:bottom w:val="single" w:sz="8" w:color="auto"/>
              <w:right w:val="single" w:sz="8" w:color="auto"/>
            </w:tcBorders>
          </w:tcPr>
          <w:p>
            <w:pPr>
              <w:spacing w:after="0"/>
              <w:rPr>
                <w:sz w:val="21"/>
                <w:szCs w:val="21"/>
                <w:color w:val="auto"/>
              </w:rPr>
            </w:pPr>
          </w:p>
        </w:tc>
      </w:tr>
      <w:tr>
        <w:trPr>
          <w:trHeight w:val="206"/>
        </w:trPr>
        <w:tc>
          <w:tcPr>
            <w:tcW w:w="490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b w:val="1"/>
                <w:bCs w:val="1"/>
                <w:color w:val="auto"/>
              </w:rPr>
              <w:t>Exhibits/Annexes:</w:t>
            </w:r>
          </w:p>
        </w:tc>
        <w:tc>
          <w:tcPr>
            <w:tcW w:w="5020" w:type="dxa"/>
            <w:vAlign w:val="bottom"/>
            <w:tcBorders>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Exhibit A: House Rules</w:t>
            </w:r>
          </w:p>
        </w:tc>
      </w:tr>
      <w:tr>
        <w:trPr>
          <w:trHeight w:val="229"/>
        </w:trPr>
        <w:tc>
          <w:tcPr>
            <w:tcW w:w="4900" w:type="dxa"/>
            <w:vAlign w:val="bottom"/>
            <w:tcBorders>
              <w:left w:val="single" w:sz="8" w:color="auto"/>
              <w:right w:val="single" w:sz="8" w:color="auto"/>
            </w:tcBorders>
          </w:tcPr>
          <w:p>
            <w:pPr>
              <w:spacing w:after="0"/>
              <w:rPr>
                <w:sz w:val="19"/>
                <w:szCs w:val="19"/>
                <w:color w:val="auto"/>
              </w:rPr>
            </w:pPr>
          </w:p>
        </w:tc>
        <w:tc>
          <w:tcPr>
            <w:tcW w:w="50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Exhibit B: Buy Up (Custom Work)</w:t>
            </w:r>
          </w:p>
        </w:tc>
      </w:tr>
      <w:tr>
        <w:trPr>
          <w:trHeight w:val="255"/>
        </w:trPr>
        <w:tc>
          <w:tcPr>
            <w:tcW w:w="4900" w:type="dxa"/>
            <w:vAlign w:val="bottom"/>
            <w:tcBorders>
              <w:left w:val="single" w:sz="8" w:color="auto"/>
              <w:bottom w:val="single" w:sz="8" w:color="auto"/>
              <w:right w:val="single" w:sz="8" w:color="auto"/>
            </w:tcBorders>
          </w:tcPr>
          <w:p>
            <w:pPr>
              <w:spacing w:after="0"/>
              <w:rPr>
                <w:sz w:val="22"/>
                <w:szCs w:val="22"/>
                <w:color w:val="auto"/>
              </w:rPr>
            </w:pPr>
          </w:p>
        </w:tc>
        <w:tc>
          <w:tcPr>
            <w:tcW w:w="5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Exhibit C: Additional Services</w:t>
            </w:r>
          </w:p>
        </w:tc>
      </w:tr>
      <w:tr>
        <w:trPr>
          <w:trHeight w:val="255"/>
        </w:trPr>
        <w:tc>
          <w:tcPr>
            <w:tcW w:w="4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Additional Notes (if applicable):</w:t>
            </w:r>
          </w:p>
        </w:tc>
        <w:tc>
          <w:tcPr>
            <w:tcW w:w="5020" w:type="dxa"/>
            <w:vAlign w:val="bottom"/>
            <w:tcBorders>
              <w:right w:val="single" w:sz="8" w:color="auto"/>
            </w:tcBorders>
          </w:tcPr>
          <w:p>
            <w:pPr>
              <w:spacing w:after="0"/>
              <w:rPr>
                <w:sz w:val="22"/>
                <w:szCs w:val="22"/>
                <w:color w:val="auto"/>
              </w:rPr>
            </w:pPr>
          </w:p>
        </w:tc>
      </w:tr>
      <w:tr>
        <w:trPr>
          <w:trHeight w:val="27"/>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5" w:right="999"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20"/>
          <w:szCs w:val="20"/>
          <w:b w:val="1"/>
          <w:bCs w:val="1"/>
          <w:color w:val="auto"/>
        </w:rPr>
        <w:t>Monthly Fee Schedule</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80" w:type="dxa"/>
            <w:vAlign w:val="bottom"/>
            <w:tcBorders>
              <w:top w:val="single" w:sz="8" w:color="auto"/>
              <w:left w:val="single" w:sz="8" w:color="auto"/>
            </w:tcBorders>
            <w:shd w:val="clear" w:color="auto" w:fill="D9D9D9"/>
          </w:tcPr>
          <w:p>
            <w:pPr>
              <w:spacing w:after="0"/>
              <w:rPr>
                <w:sz w:val="17"/>
                <w:szCs w:val="17"/>
                <w:color w:val="auto"/>
              </w:rPr>
            </w:pPr>
          </w:p>
        </w:tc>
        <w:tc>
          <w:tcPr>
            <w:tcW w:w="1500" w:type="dxa"/>
            <w:vAlign w:val="bottom"/>
            <w:tcBorders>
              <w:top w:val="single" w:sz="8" w:color="auto"/>
            </w:tcBorders>
            <w:shd w:val="clear" w:color="auto" w:fill="D9D9D9"/>
          </w:tcPr>
          <w:p>
            <w:pPr>
              <w:jc w:val="center"/>
              <w:spacing w:after="0" w:line="203" w:lineRule="exact"/>
              <w:rPr>
                <w:sz w:val="20"/>
                <w:szCs w:val="20"/>
                <w:color w:val="auto"/>
              </w:rPr>
            </w:pPr>
            <w:r>
              <w:rPr>
                <w:rFonts w:ascii="Arial" w:cs="Arial" w:eastAsia="Arial" w:hAnsi="Arial"/>
                <w:sz w:val="20"/>
                <w:szCs w:val="20"/>
                <w:color w:val="auto"/>
                <w:w w:val="93"/>
              </w:rPr>
              <w:t>Applicable Period:</w:t>
            </w:r>
          </w:p>
        </w:tc>
        <w:tc>
          <w:tcPr>
            <w:tcW w:w="380" w:type="dxa"/>
            <w:vAlign w:val="bottom"/>
            <w:tcBorders>
              <w:top w:val="single" w:sz="8" w:color="auto"/>
              <w:right w:val="single" w:sz="8" w:color="auto"/>
            </w:tcBorders>
            <w:shd w:val="clear" w:color="auto" w:fill="D9D9D9"/>
          </w:tcPr>
          <w:p>
            <w:pPr>
              <w:spacing w:after="0"/>
              <w:rPr>
                <w:sz w:val="17"/>
                <w:szCs w:val="17"/>
                <w:color w:val="auto"/>
              </w:rPr>
            </w:pPr>
          </w:p>
        </w:tc>
        <w:tc>
          <w:tcPr>
            <w:tcW w:w="580" w:type="dxa"/>
            <w:vAlign w:val="bottom"/>
            <w:tcBorders>
              <w:top w:val="single" w:sz="8" w:color="auto"/>
            </w:tcBorders>
            <w:shd w:val="clear" w:color="auto" w:fill="D9D9D9"/>
          </w:tcPr>
          <w:p>
            <w:pPr>
              <w:spacing w:after="0"/>
              <w:rPr>
                <w:sz w:val="17"/>
                <w:szCs w:val="17"/>
                <w:color w:val="auto"/>
              </w:rPr>
            </w:pPr>
          </w:p>
        </w:tc>
        <w:tc>
          <w:tcPr>
            <w:tcW w:w="1480" w:type="dxa"/>
            <w:vAlign w:val="bottom"/>
            <w:tcBorders>
              <w:top w:val="single" w:sz="8" w:color="auto"/>
            </w:tcBorders>
            <w:gridSpan w:val="3"/>
            <w:shd w:val="clear" w:color="auto" w:fill="D9D9D9"/>
          </w:tcPr>
          <w:p>
            <w:pPr>
              <w:jc w:val="center"/>
              <w:spacing w:after="0" w:line="203" w:lineRule="exact"/>
              <w:rPr>
                <w:sz w:val="20"/>
                <w:szCs w:val="20"/>
                <w:color w:val="auto"/>
              </w:rPr>
            </w:pPr>
            <w:r>
              <w:rPr>
                <w:rFonts w:ascii="Arial" w:cs="Arial" w:eastAsia="Arial" w:hAnsi="Arial"/>
                <w:sz w:val="20"/>
                <w:szCs w:val="20"/>
                <w:color w:val="auto"/>
                <w:w w:val="88"/>
              </w:rPr>
              <w:t>Market Rate (Base</w:t>
            </w:r>
          </w:p>
        </w:tc>
        <w:tc>
          <w:tcPr>
            <w:tcW w:w="600" w:type="dxa"/>
            <w:vAlign w:val="bottom"/>
            <w:tcBorders>
              <w:top w:val="single" w:sz="8" w:color="auto"/>
              <w:right w:val="single" w:sz="8" w:color="auto"/>
            </w:tcBorders>
            <w:shd w:val="clear" w:color="auto" w:fill="D9D9D9"/>
          </w:tcPr>
          <w:p>
            <w:pPr>
              <w:spacing w:after="0"/>
              <w:rPr>
                <w:sz w:val="17"/>
                <w:szCs w:val="17"/>
                <w:color w:val="auto"/>
              </w:rPr>
            </w:pPr>
          </w:p>
        </w:tc>
        <w:tc>
          <w:tcPr>
            <w:tcW w:w="360" w:type="dxa"/>
            <w:vAlign w:val="bottom"/>
            <w:tcBorders>
              <w:top w:val="single" w:sz="8" w:color="auto"/>
            </w:tcBorders>
            <w:shd w:val="clear" w:color="auto" w:fill="D9D9D9"/>
          </w:tcPr>
          <w:p>
            <w:pPr>
              <w:spacing w:after="0"/>
              <w:rPr>
                <w:sz w:val="17"/>
                <w:szCs w:val="17"/>
                <w:color w:val="auto"/>
              </w:rPr>
            </w:pPr>
          </w:p>
        </w:tc>
        <w:tc>
          <w:tcPr>
            <w:tcW w:w="1460" w:type="dxa"/>
            <w:vAlign w:val="bottom"/>
            <w:tcBorders>
              <w:top w:val="single" w:sz="8" w:color="auto"/>
            </w:tcBorders>
            <w:gridSpan w:val="3"/>
            <w:shd w:val="clear" w:color="auto" w:fill="D9D9D9"/>
          </w:tcPr>
          <w:p>
            <w:pPr>
              <w:jc w:val="center"/>
              <w:spacing w:after="0" w:line="203" w:lineRule="exact"/>
              <w:rPr>
                <w:sz w:val="20"/>
                <w:szCs w:val="20"/>
                <w:color w:val="auto"/>
              </w:rPr>
            </w:pPr>
            <w:r>
              <w:rPr>
                <w:rFonts w:ascii="Arial" w:cs="Arial" w:eastAsia="Arial" w:hAnsi="Arial"/>
                <w:sz w:val="20"/>
                <w:szCs w:val="20"/>
                <w:color w:val="auto"/>
                <w:w w:val="90"/>
              </w:rPr>
              <w:t>Base Monthly Fee</w:t>
            </w:r>
          </w:p>
        </w:tc>
        <w:tc>
          <w:tcPr>
            <w:tcW w:w="400" w:type="dxa"/>
            <w:vAlign w:val="bottom"/>
            <w:tcBorders>
              <w:top w:val="single" w:sz="8" w:color="auto"/>
              <w:right w:val="single" w:sz="8" w:color="auto"/>
            </w:tcBorders>
            <w:shd w:val="clear" w:color="auto" w:fill="D9D9D9"/>
          </w:tcPr>
          <w:p>
            <w:pPr>
              <w:spacing w:after="0"/>
              <w:rPr>
                <w:sz w:val="17"/>
                <w:szCs w:val="17"/>
                <w:color w:val="auto"/>
              </w:rPr>
            </w:pPr>
          </w:p>
        </w:tc>
        <w:tc>
          <w:tcPr>
            <w:tcW w:w="340" w:type="dxa"/>
            <w:vAlign w:val="bottom"/>
            <w:tcBorders>
              <w:top w:val="single" w:sz="8" w:color="auto"/>
              <w:right w:val="single" w:sz="8" w:color="D9D9D9"/>
            </w:tcBorders>
            <w:shd w:val="clear" w:color="auto" w:fill="D9D9D9"/>
          </w:tcPr>
          <w:p>
            <w:pPr>
              <w:spacing w:after="0"/>
              <w:rPr>
                <w:sz w:val="17"/>
                <w:szCs w:val="17"/>
                <w:color w:val="auto"/>
              </w:rPr>
            </w:pPr>
          </w:p>
        </w:tc>
        <w:tc>
          <w:tcPr>
            <w:tcW w:w="2460" w:type="dxa"/>
            <w:vAlign w:val="bottom"/>
            <w:tcBorders>
              <w:top w:val="single" w:sz="8" w:color="auto"/>
              <w:right w:val="single" w:sz="8" w:color="auto"/>
            </w:tcBorders>
            <w:gridSpan w:val="4"/>
            <w:shd w:val="clear" w:color="auto" w:fill="D9D9D9"/>
          </w:tcPr>
          <w:p>
            <w:pPr>
              <w:jc w:val="center"/>
              <w:ind w:right="380"/>
              <w:spacing w:after="0" w:line="203" w:lineRule="exact"/>
              <w:rPr>
                <w:sz w:val="20"/>
                <w:szCs w:val="20"/>
                <w:color w:val="auto"/>
              </w:rPr>
            </w:pPr>
            <w:r>
              <w:rPr>
                <w:rFonts w:ascii="Arial" w:cs="Arial" w:eastAsia="Arial" w:hAnsi="Arial"/>
                <w:sz w:val="20"/>
                <w:szCs w:val="20"/>
                <w:color w:val="auto"/>
                <w:w w:val="92"/>
              </w:rPr>
              <w:t>Total Discounted Monthly</w:t>
            </w:r>
          </w:p>
        </w:tc>
      </w:tr>
      <w:tr>
        <w:trPr>
          <w:trHeight w:val="20"/>
        </w:trPr>
        <w:tc>
          <w:tcPr>
            <w:tcW w:w="380" w:type="dxa"/>
            <w:vAlign w:val="bottom"/>
            <w:tcBorders>
              <w:left w:val="single" w:sz="8" w:color="auto"/>
            </w:tcBorders>
            <w:shd w:val="clear" w:color="auto" w:fill="D9D9D9"/>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D9D9D9"/>
          </w:tcPr>
          <w:p>
            <w:pPr>
              <w:spacing w:after="0" w:line="20" w:lineRule="exact"/>
              <w:rPr>
                <w:sz w:val="1"/>
                <w:szCs w:val="1"/>
                <w:color w:val="auto"/>
              </w:rPr>
            </w:pPr>
          </w:p>
        </w:tc>
        <w:tc>
          <w:tcPr>
            <w:tcW w:w="580" w:type="dxa"/>
            <w:vAlign w:val="bottom"/>
            <w:shd w:val="clear" w:color="auto" w:fill="D9D9D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D9D9D9"/>
          </w:tcPr>
          <w:p>
            <w:pPr>
              <w:spacing w:after="0" w:line="20" w:lineRule="exact"/>
              <w:rPr>
                <w:sz w:val="1"/>
                <w:szCs w:val="1"/>
                <w:color w:val="auto"/>
              </w:rPr>
            </w:pPr>
          </w:p>
        </w:tc>
        <w:tc>
          <w:tcPr>
            <w:tcW w:w="360" w:type="dxa"/>
            <w:vAlign w:val="bottom"/>
            <w:shd w:val="clear" w:color="auto" w:fill="D9D9D9"/>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D9D9D9"/>
          </w:tcPr>
          <w:p>
            <w:pPr>
              <w:spacing w:after="0" w:line="20" w:lineRule="exact"/>
              <w:rPr>
                <w:sz w:val="1"/>
                <w:szCs w:val="1"/>
                <w:color w:val="auto"/>
              </w:rPr>
            </w:pPr>
          </w:p>
        </w:tc>
        <w:tc>
          <w:tcPr>
            <w:tcW w:w="340" w:type="dxa"/>
            <w:vAlign w:val="bottom"/>
            <w:tcBorders>
              <w:right w:val="single" w:sz="8" w:color="D9D9D9"/>
            </w:tcBorders>
            <w:shd w:val="clear" w:color="auto" w:fill="D9D9D9"/>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0" w:type="dxa"/>
            <w:vAlign w:val="bottom"/>
            <w:tcBorders>
              <w:right w:val="single" w:sz="8" w:color="D9D9D9"/>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D9D9D9"/>
          </w:tcPr>
          <w:p>
            <w:pPr>
              <w:spacing w:after="0" w:line="20" w:lineRule="exact"/>
              <w:rPr>
                <w:sz w:val="1"/>
                <w:szCs w:val="1"/>
                <w:color w:val="auto"/>
              </w:rPr>
            </w:pPr>
          </w:p>
        </w:tc>
      </w:tr>
      <w:tr>
        <w:trPr>
          <w:trHeight w:val="209"/>
        </w:trPr>
        <w:tc>
          <w:tcPr>
            <w:tcW w:w="380" w:type="dxa"/>
            <w:vAlign w:val="bottom"/>
            <w:tcBorders>
              <w:left w:val="single" w:sz="8" w:color="auto"/>
            </w:tcBorders>
            <w:shd w:val="clear" w:color="auto" w:fill="D9D9D9"/>
          </w:tcPr>
          <w:p>
            <w:pPr>
              <w:spacing w:after="0"/>
              <w:rPr>
                <w:sz w:val="18"/>
                <w:szCs w:val="18"/>
                <w:color w:val="auto"/>
              </w:rPr>
            </w:pPr>
          </w:p>
        </w:tc>
        <w:tc>
          <w:tcPr>
            <w:tcW w:w="1500" w:type="dxa"/>
            <w:vAlign w:val="bottom"/>
            <w:shd w:val="clear" w:color="auto" w:fill="D9D9D9"/>
          </w:tcPr>
          <w:p>
            <w:pPr>
              <w:jc w:val="center"/>
              <w:spacing w:after="0" w:line="209" w:lineRule="exact"/>
              <w:rPr>
                <w:sz w:val="20"/>
                <w:szCs w:val="20"/>
                <w:color w:val="auto"/>
              </w:rPr>
            </w:pPr>
            <w:r>
              <w:rPr>
                <w:rFonts w:ascii="Arial" w:cs="Arial" w:eastAsia="Arial" w:hAnsi="Arial"/>
                <w:sz w:val="20"/>
                <w:szCs w:val="20"/>
                <w:b w:val="1"/>
                <w:bCs w:val="1"/>
                <w:i w:val="1"/>
                <w:iCs w:val="1"/>
                <w:color w:val="auto"/>
                <w:w w:val="86"/>
              </w:rPr>
              <w:t>(Insert exact Start</w:t>
            </w:r>
          </w:p>
        </w:tc>
        <w:tc>
          <w:tcPr>
            <w:tcW w:w="380" w:type="dxa"/>
            <w:vAlign w:val="bottom"/>
            <w:tcBorders>
              <w:right w:val="single" w:sz="8" w:color="auto"/>
            </w:tcBorders>
            <w:shd w:val="clear" w:color="auto" w:fill="D9D9D9"/>
          </w:tcPr>
          <w:p>
            <w:pPr>
              <w:spacing w:after="0"/>
              <w:rPr>
                <w:sz w:val="18"/>
                <w:szCs w:val="18"/>
                <w:color w:val="auto"/>
              </w:rPr>
            </w:pPr>
          </w:p>
        </w:tc>
        <w:tc>
          <w:tcPr>
            <w:tcW w:w="58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1320" w:type="dxa"/>
            <w:vAlign w:val="bottom"/>
            <w:gridSpan w:val="2"/>
            <w:shd w:val="clear" w:color="auto" w:fill="D9D9D9"/>
          </w:tcPr>
          <w:p>
            <w:pPr>
              <w:jc w:val="center"/>
              <w:ind w:right="180"/>
              <w:spacing w:after="0" w:line="209" w:lineRule="exact"/>
              <w:rPr>
                <w:sz w:val="20"/>
                <w:szCs w:val="20"/>
                <w:color w:val="auto"/>
              </w:rPr>
            </w:pPr>
            <w:r>
              <w:rPr>
                <w:rFonts w:ascii="Arial" w:cs="Arial" w:eastAsia="Arial" w:hAnsi="Arial"/>
                <w:sz w:val="20"/>
                <w:szCs w:val="20"/>
                <w:color w:val="auto"/>
                <w:w w:val="93"/>
              </w:rPr>
              <w:t>Monthly Fee):</w:t>
            </w:r>
          </w:p>
        </w:tc>
        <w:tc>
          <w:tcPr>
            <w:tcW w:w="600" w:type="dxa"/>
            <w:vAlign w:val="bottom"/>
            <w:tcBorders>
              <w:right w:val="single" w:sz="8" w:color="auto"/>
            </w:tcBorders>
            <w:shd w:val="clear" w:color="auto" w:fill="D9D9D9"/>
          </w:tcPr>
          <w:p>
            <w:pPr>
              <w:spacing w:after="0"/>
              <w:rPr>
                <w:sz w:val="18"/>
                <w:szCs w:val="18"/>
                <w:color w:val="auto"/>
              </w:rPr>
            </w:pPr>
          </w:p>
        </w:tc>
        <w:tc>
          <w:tcPr>
            <w:tcW w:w="360" w:type="dxa"/>
            <w:vAlign w:val="bottom"/>
            <w:shd w:val="clear" w:color="auto" w:fill="D9D9D9"/>
          </w:tcPr>
          <w:p>
            <w:pPr>
              <w:spacing w:after="0"/>
              <w:rPr>
                <w:sz w:val="18"/>
                <w:szCs w:val="18"/>
                <w:color w:val="auto"/>
              </w:rPr>
            </w:pPr>
          </w:p>
        </w:tc>
        <w:tc>
          <w:tcPr>
            <w:tcW w:w="1460" w:type="dxa"/>
            <w:vAlign w:val="bottom"/>
            <w:gridSpan w:val="3"/>
            <w:shd w:val="clear" w:color="auto" w:fill="D9D9D9"/>
          </w:tcPr>
          <w:p>
            <w:pPr>
              <w:jc w:val="center"/>
              <w:spacing w:after="0" w:line="209" w:lineRule="exact"/>
              <w:rPr>
                <w:sz w:val="20"/>
                <w:szCs w:val="20"/>
                <w:color w:val="auto"/>
              </w:rPr>
            </w:pPr>
            <w:r>
              <w:rPr>
                <w:rFonts w:ascii="Arial" w:cs="Arial" w:eastAsia="Arial" w:hAnsi="Arial"/>
                <w:sz w:val="20"/>
                <w:szCs w:val="20"/>
                <w:color w:val="auto"/>
                <w:w w:val="93"/>
              </w:rPr>
              <w:t>Discount:</w:t>
            </w:r>
          </w:p>
        </w:tc>
        <w:tc>
          <w:tcPr>
            <w:tcW w:w="400" w:type="dxa"/>
            <w:vAlign w:val="bottom"/>
            <w:tcBorders>
              <w:right w:val="single" w:sz="8" w:color="auto"/>
            </w:tcBorders>
            <w:shd w:val="clear" w:color="auto" w:fill="D9D9D9"/>
          </w:tcPr>
          <w:p>
            <w:pPr>
              <w:spacing w:after="0"/>
              <w:rPr>
                <w:sz w:val="18"/>
                <w:szCs w:val="18"/>
                <w:color w:val="auto"/>
              </w:rPr>
            </w:pPr>
          </w:p>
        </w:tc>
        <w:tc>
          <w:tcPr>
            <w:tcW w:w="2800" w:type="dxa"/>
            <w:vAlign w:val="bottom"/>
            <w:tcBorders>
              <w:right w:val="single" w:sz="8" w:color="auto"/>
            </w:tcBorders>
            <w:gridSpan w:val="5"/>
            <w:shd w:val="clear" w:color="auto" w:fill="D9D9D9"/>
          </w:tcPr>
          <w:p>
            <w:pPr>
              <w:jc w:val="center"/>
              <w:ind w:right="40"/>
              <w:spacing w:after="0" w:line="209" w:lineRule="exact"/>
              <w:rPr>
                <w:sz w:val="20"/>
                <w:szCs w:val="20"/>
                <w:color w:val="auto"/>
              </w:rPr>
            </w:pPr>
            <w:r>
              <w:rPr>
                <w:rFonts w:ascii="Arial" w:cs="Arial" w:eastAsia="Arial" w:hAnsi="Arial"/>
                <w:sz w:val="20"/>
                <w:szCs w:val="20"/>
                <w:color w:val="auto"/>
                <w:w w:val="87"/>
              </w:rPr>
              <w:t>Fee Due (tax, Services Fee</w:t>
            </w:r>
          </w:p>
        </w:tc>
      </w:tr>
      <w:tr>
        <w:trPr>
          <w:trHeight w:val="20"/>
        </w:trPr>
        <w:tc>
          <w:tcPr>
            <w:tcW w:w="380" w:type="dxa"/>
            <w:vAlign w:val="bottom"/>
            <w:tcBorders>
              <w:left w:val="single" w:sz="8" w:color="auto"/>
            </w:tcBorders>
            <w:shd w:val="clear" w:color="auto" w:fill="D9D9D9"/>
          </w:tcPr>
          <w:p>
            <w:pPr>
              <w:spacing w:after="0" w:line="20" w:lineRule="exact"/>
              <w:rPr>
                <w:sz w:val="1"/>
                <w:szCs w:val="1"/>
                <w:color w:val="auto"/>
              </w:rPr>
            </w:pPr>
          </w:p>
        </w:tc>
        <w:tc>
          <w:tcPr>
            <w:tcW w:w="1880" w:type="dxa"/>
            <w:vAlign w:val="bottom"/>
            <w:tcBorders>
              <w:right w:val="single" w:sz="8" w:color="auto"/>
            </w:tcBorders>
            <w:gridSpan w:val="2"/>
            <w:shd w:val="clear" w:color="auto" w:fill="D9D9D9"/>
          </w:tcPr>
          <w:p>
            <w:pPr>
              <w:spacing w:after="0" w:line="20" w:lineRule="exact"/>
              <w:rPr>
                <w:sz w:val="1"/>
                <w:szCs w:val="1"/>
                <w:color w:val="auto"/>
              </w:rPr>
            </w:pPr>
          </w:p>
        </w:tc>
        <w:tc>
          <w:tcPr>
            <w:tcW w:w="580" w:type="dxa"/>
            <w:vAlign w:val="bottom"/>
            <w:shd w:val="clear" w:color="auto" w:fill="D9D9D9"/>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gridSpan w:val="2"/>
            <w:shd w:val="clear" w:color="auto" w:fill="D9D9D9"/>
          </w:tcPr>
          <w:p>
            <w:pPr>
              <w:spacing w:after="0" w:line="20" w:lineRule="exact"/>
              <w:rPr>
                <w:sz w:val="1"/>
                <w:szCs w:val="1"/>
                <w:color w:val="auto"/>
              </w:rPr>
            </w:pPr>
          </w:p>
        </w:tc>
        <w:tc>
          <w:tcPr>
            <w:tcW w:w="360" w:type="dxa"/>
            <w:vAlign w:val="bottom"/>
            <w:shd w:val="clear" w:color="auto" w:fill="D9D9D9"/>
          </w:tcPr>
          <w:p>
            <w:pPr>
              <w:spacing w:after="0" w:line="20" w:lineRule="exact"/>
              <w:rPr>
                <w:sz w:val="1"/>
                <w:szCs w:val="1"/>
                <w:color w:val="auto"/>
              </w:rPr>
            </w:pPr>
          </w:p>
        </w:tc>
        <w:tc>
          <w:tcPr>
            <w:tcW w:w="340" w:type="dxa"/>
            <w:vAlign w:val="bottom"/>
            <w:shd w:val="clear" w:color="auto" w:fill="D9D9D9"/>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D9D9D9"/>
          </w:tcPr>
          <w:p>
            <w:pPr>
              <w:spacing w:after="0" w:line="20" w:lineRule="exact"/>
              <w:rPr>
                <w:sz w:val="1"/>
                <w:szCs w:val="1"/>
                <w:color w:val="auto"/>
              </w:rPr>
            </w:pPr>
          </w:p>
        </w:tc>
        <w:tc>
          <w:tcPr>
            <w:tcW w:w="400" w:type="dxa"/>
            <w:vAlign w:val="bottom"/>
            <w:tcBorders>
              <w:right w:val="single" w:sz="8" w:color="auto"/>
            </w:tcBorders>
            <w:shd w:val="clear" w:color="auto" w:fill="D9D9D9"/>
          </w:tcPr>
          <w:p>
            <w:pPr>
              <w:spacing w:after="0" w:line="20" w:lineRule="exact"/>
              <w:rPr>
                <w:sz w:val="1"/>
                <w:szCs w:val="1"/>
                <w:color w:val="auto"/>
              </w:rPr>
            </w:pPr>
          </w:p>
        </w:tc>
        <w:tc>
          <w:tcPr>
            <w:tcW w:w="340" w:type="dxa"/>
            <w:vAlign w:val="bottom"/>
            <w:tcBorders>
              <w:right w:val="single" w:sz="8" w:color="auto"/>
            </w:tcBorders>
            <w:shd w:val="clear" w:color="auto" w:fill="D9D9D9"/>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D9D9D9"/>
          </w:tcPr>
          <w:p>
            <w:pPr>
              <w:spacing w:after="0" w:line="20" w:lineRule="exact"/>
              <w:rPr>
                <w:sz w:val="1"/>
                <w:szCs w:val="1"/>
                <w:color w:val="auto"/>
              </w:rPr>
            </w:pPr>
          </w:p>
        </w:tc>
      </w:tr>
      <w:tr>
        <w:trPr>
          <w:trHeight w:val="210"/>
        </w:trPr>
        <w:tc>
          <w:tcPr>
            <w:tcW w:w="380" w:type="dxa"/>
            <w:vAlign w:val="bottom"/>
            <w:tcBorders>
              <w:left w:val="single" w:sz="8" w:color="auto"/>
            </w:tcBorders>
            <w:shd w:val="clear" w:color="auto" w:fill="D9D9D9"/>
          </w:tcPr>
          <w:p>
            <w:pPr>
              <w:spacing w:after="0"/>
              <w:rPr>
                <w:sz w:val="18"/>
                <w:szCs w:val="18"/>
                <w:color w:val="auto"/>
              </w:rPr>
            </w:pPr>
          </w:p>
        </w:tc>
        <w:tc>
          <w:tcPr>
            <w:tcW w:w="1880" w:type="dxa"/>
            <w:vAlign w:val="bottom"/>
            <w:tcBorders>
              <w:right w:val="single" w:sz="8" w:color="auto"/>
            </w:tcBorders>
            <w:gridSpan w:val="2"/>
            <w:shd w:val="clear" w:color="auto" w:fill="D9D9D9"/>
          </w:tcPr>
          <w:p>
            <w:pPr>
              <w:jc w:val="center"/>
              <w:ind w:right="380"/>
              <w:spacing w:after="0" w:line="209" w:lineRule="exact"/>
              <w:rPr>
                <w:sz w:val="20"/>
                <w:szCs w:val="20"/>
                <w:color w:val="auto"/>
              </w:rPr>
            </w:pPr>
            <w:r>
              <w:rPr>
                <w:rFonts w:ascii="Arial" w:cs="Arial" w:eastAsia="Arial" w:hAnsi="Arial"/>
                <w:sz w:val="20"/>
                <w:szCs w:val="20"/>
                <w:b w:val="1"/>
                <w:bCs w:val="1"/>
                <w:i w:val="1"/>
                <w:iCs w:val="1"/>
                <w:color w:val="auto"/>
                <w:w w:val="86"/>
              </w:rPr>
              <w:t>and End Dates)</w:t>
            </w:r>
          </w:p>
        </w:tc>
        <w:tc>
          <w:tcPr>
            <w:tcW w:w="58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1920" w:type="dxa"/>
            <w:vAlign w:val="bottom"/>
            <w:tcBorders>
              <w:right w:val="single" w:sz="8" w:color="auto"/>
            </w:tcBorders>
            <w:gridSpan w:val="3"/>
            <w:shd w:val="clear" w:color="auto" w:fill="D9D9D9"/>
          </w:tcPr>
          <w:p>
            <w:pPr>
              <w:jc w:val="center"/>
              <w:ind w:right="780"/>
              <w:spacing w:after="0" w:line="209" w:lineRule="exact"/>
              <w:rPr>
                <w:sz w:val="20"/>
                <w:szCs w:val="20"/>
                <w:color w:val="auto"/>
              </w:rPr>
            </w:pPr>
            <w:r>
              <w:rPr>
                <w:rFonts w:ascii="Arial" w:cs="Arial" w:eastAsia="Arial" w:hAnsi="Arial"/>
                <w:sz w:val="20"/>
                <w:szCs w:val="20"/>
                <w:color w:val="auto"/>
                <w:w w:val="90"/>
              </w:rPr>
              <w:t>(tax excluded)</w:t>
            </w:r>
          </w:p>
        </w:tc>
        <w:tc>
          <w:tcPr>
            <w:tcW w:w="360" w:type="dxa"/>
            <w:vAlign w:val="bottom"/>
            <w:shd w:val="clear" w:color="auto" w:fill="D9D9D9"/>
          </w:tcPr>
          <w:p>
            <w:pPr>
              <w:spacing w:after="0"/>
              <w:rPr>
                <w:sz w:val="18"/>
                <w:szCs w:val="18"/>
                <w:color w:val="auto"/>
              </w:rPr>
            </w:pPr>
          </w:p>
        </w:tc>
        <w:tc>
          <w:tcPr>
            <w:tcW w:w="1860" w:type="dxa"/>
            <w:vAlign w:val="bottom"/>
            <w:tcBorders>
              <w:right w:val="single" w:sz="8" w:color="auto"/>
            </w:tcBorders>
            <w:gridSpan w:val="4"/>
            <w:shd w:val="clear" w:color="auto" w:fill="D9D9D9"/>
          </w:tcPr>
          <w:p>
            <w:pPr>
              <w:jc w:val="center"/>
              <w:ind w:right="400"/>
              <w:spacing w:after="0" w:line="209" w:lineRule="exact"/>
              <w:rPr>
                <w:sz w:val="20"/>
                <w:szCs w:val="20"/>
                <w:color w:val="auto"/>
              </w:rPr>
            </w:pPr>
            <w:r>
              <w:rPr>
                <w:rFonts w:ascii="Arial" w:cs="Arial" w:eastAsia="Arial" w:hAnsi="Arial"/>
                <w:sz w:val="20"/>
                <w:szCs w:val="20"/>
                <w:b w:val="1"/>
                <w:bCs w:val="1"/>
                <w:i w:val="1"/>
                <w:iCs w:val="1"/>
                <w:color w:val="auto"/>
                <w:w w:val="88"/>
              </w:rPr>
              <w:t>(if applicable)</w:t>
            </w:r>
          </w:p>
        </w:tc>
        <w:tc>
          <w:tcPr>
            <w:tcW w:w="340" w:type="dxa"/>
            <w:vAlign w:val="bottom"/>
            <w:tcBorders>
              <w:right w:val="single" w:sz="8" w:color="D9D9D9"/>
            </w:tcBorders>
            <w:shd w:val="clear" w:color="auto" w:fill="D9D9D9"/>
          </w:tcPr>
          <w:p>
            <w:pPr>
              <w:spacing w:after="0"/>
              <w:rPr>
                <w:sz w:val="18"/>
                <w:szCs w:val="18"/>
                <w:color w:val="auto"/>
              </w:rPr>
            </w:pPr>
          </w:p>
        </w:tc>
        <w:tc>
          <w:tcPr>
            <w:tcW w:w="2460" w:type="dxa"/>
            <w:vAlign w:val="bottom"/>
            <w:tcBorders>
              <w:right w:val="single" w:sz="8" w:color="auto"/>
            </w:tcBorders>
            <w:gridSpan w:val="4"/>
            <w:shd w:val="clear" w:color="auto" w:fill="D9D9D9"/>
          </w:tcPr>
          <w:p>
            <w:pPr>
              <w:jc w:val="center"/>
              <w:ind w:right="360"/>
              <w:spacing w:after="0" w:line="209" w:lineRule="exact"/>
              <w:rPr>
                <w:sz w:val="20"/>
                <w:szCs w:val="20"/>
                <w:color w:val="auto"/>
              </w:rPr>
            </w:pPr>
            <w:r>
              <w:rPr>
                <w:rFonts w:ascii="Arial" w:cs="Arial" w:eastAsia="Arial" w:hAnsi="Arial"/>
                <w:sz w:val="20"/>
                <w:szCs w:val="20"/>
                <w:color w:val="auto"/>
                <w:w w:val="90"/>
              </w:rPr>
              <w:t>and Custom Work/Buy Up</w:t>
            </w:r>
          </w:p>
        </w:tc>
      </w:tr>
      <w:tr>
        <w:trPr>
          <w:trHeight w:val="209"/>
        </w:trPr>
        <w:tc>
          <w:tcPr>
            <w:tcW w:w="380" w:type="dxa"/>
            <w:vAlign w:val="bottom"/>
            <w:tcBorders>
              <w:top w:val="single" w:sz="8" w:color="D9D9D9"/>
              <w:left w:val="single" w:sz="8" w:color="auto"/>
            </w:tcBorders>
            <w:shd w:val="clear" w:color="auto" w:fill="D9D9D9"/>
          </w:tcPr>
          <w:p>
            <w:pPr>
              <w:spacing w:after="0"/>
              <w:rPr>
                <w:sz w:val="18"/>
                <w:szCs w:val="18"/>
                <w:color w:val="auto"/>
              </w:rPr>
            </w:pPr>
          </w:p>
        </w:tc>
        <w:tc>
          <w:tcPr>
            <w:tcW w:w="1500" w:type="dxa"/>
            <w:vAlign w:val="bottom"/>
            <w:tcBorders>
              <w:top w:val="single" w:sz="8" w:color="D9D9D9"/>
            </w:tcBorders>
            <w:shd w:val="clear" w:color="auto" w:fill="D9D9D9"/>
          </w:tcPr>
          <w:p>
            <w:pPr>
              <w:spacing w:after="0"/>
              <w:rPr>
                <w:sz w:val="18"/>
                <w:szCs w:val="18"/>
                <w:color w:val="auto"/>
              </w:rPr>
            </w:pPr>
          </w:p>
        </w:tc>
        <w:tc>
          <w:tcPr>
            <w:tcW w:w="380" w:type="dxa"/>
            <w:vAlign w:val="bottom"/>
            <w:tcBorders>
              <w:top w:val="single" w:sz="8" w:color="D9D9D9"/>
              <w:right w:val="single" w:sz="8" w:color="auto"/>
            </w:tcBorders>
            <w:shd w:val="clear" w:color="auto" w:fill="D9D9D9"/>
          </w:tcPr>
          <w:p>
            <w:pPr>
              <w:spacing w:after="0"/>
              <w:rPr>
                <w:sz w:val="18"/>
                <w:szCs w:val="18"/>
                <w:color w:val="auto"/>
              </w:rPr>
            </w:pPr>
          </w:p>
        </w:tc>
        <w:tc>
          <w:tcPr>
            <w:tcW w:w="580" w:type="dxa"/>
            <w:vAlign w:val="bottom"/>
            <w:tcBorders>
              <w:top w:val="single" w:sz="8" w:color="D9D9D9"/>
            </w:tcBorders>
            <w:shd w:val="clear" w:color="auto" w:fill="D9D9D9"/>
          </w:tcPr>
          <w:p>
            <w:pPr>
              <w:spacing w:after="0"/>
              <w:rPr>
                <w:sz w:val="18"/>
                <w:szCs w:val="18"/>
                <w:color w:val="auto"/>
              </w:rPr>
            </w:pPr>
          </w:p>
        </w:tc>
        <w:tc>
          <w:tcPr>
            <w:tcW w:w="160" w:type="dxa"/>
            <w:vAlign w:val="bottom"/>
            <w:tcBorders>
              <w:top w:val="single" w:sz="8" w:color="D9D9D9"/>
            </w:tcBorders>
            <w:shd w:val="clear" w:color="auto" w:fill="D9D9D9"/>
          </w:tcPr>
          <w:p>
            <w:pPr>
              <w:spacing w:after="0"/>
              <w:rPr>
                <w:sz w:val="18"/>
                <w:szCs w:val="18"/>
                <w:color w:val="auto"/>
              </w:rPr>
            </w:pPr>
          </w:p>
        </w:tc>
        <w:tc>
          <w:tcPr>
            <w:tcW w:w="1140" w:type="dxa"/>
            <w:vAlign w:val="bottom"/>
            <w:tcBorders>
              <w:top w:val="single" w:sz="8" w:color="auto"/>
            </w:tcBorders>
            <w:shd w:val="clear" w:color="auto" w:fill="D9D9D9"/>
          </w:tcPr>
          <w:p>
            <w:pPr>
              <w:spacing w:after="0"/>
              <w:rPr>
                <w:sz w:val="18"/>
                <w:szCs w:val="18"/>
                <w:color w:val="auto"/>
              </w:rPr>
            </w:pPr>
          </w:p>
        </w:tc>
        <w:tc>
          <w:tcPr>
            <w:tcW w:w="180" w:type="dxa"/>
            <w:vAlign w:val="bottom"/>
            <w:tcBorders>
              <w:top w:val="single" w:sz="8" w:color="D9D9D9"/>
            </w:tcBorders>
            <w:shd w:val="clear" w:color="auto" w:fill="D9D9D9"/>
          </w:tcPr>
          <w:p>
            <w:pPr>
              <w:spacing w:after="0"/>
              <w:rPr>
                <w:sz w:val="18"/>
                <w:szCs w:val="18"/>
                <w:color w:val="auto"/>
              </w:rPr>
            </w:pPr>
          </w:p>
        </w:tc>
        <w:tc>
          <w:tcPr>
            <w:tcW w:w="600" w:type="dxa"/>
            <w:vAlign w:val="bottom"/>
            <w:tcBorders>
              <w:top w:val="single" w:sz="8" w:color="D9D9D9"/>
              <w:right w:val="single" w:sz="8" w:color="auto"/>
            </w:tcBorders>
            <w:shd w:val="clear" w:color="auto" w:fill="D9D9D9"/>
          </w:tcPr>
          <w:p>
            <w:pPr>
              <w:spacing w:after="0"/>
              <w:rPr>
                <w:sz w:val="18"/>
                <w:szCs w:val="18"/>
                <w:color w:val="auto"/>
              </w:rPr>
            </w:pPr>
          </w:p>
        </w:tc>
        <w:tc>
          <w:tcPr>
            <w:tcW w:w="360" w:type="dxa"/>
            <w:vAlign w:val="bottom"/>
            <w:tcBorders>
              <w:top w:val="single" w:sz="8" w:color="D9D9D9"/>
            </w:tcBorders>
            <w:shd w:val="clear" w:color="auto" w:fill="D9D9D9"/>
          </w:tcPr>
          <w:p>
            <w:pPr>
              <w:spacing w:after="0"/>
              <w:rPr>
                <w:sz w:val="18"/>
                <w:szCs w:val="18"/>
                <w:color w:val="auto"/>
              </w:rPr>
            </w:pPr>
          </w:p>
        </w:tc>
        <w:tc>
          <w:tcPr>
            <w:tcW w:w="340" w:type="dxa"/>
            <w:vAlign w:val="bottom"/>
            <w:tcBorders>
              <w:top w:val="single" w:sz="8" w:color="D9D9D9"/>
            </w:tcBorders>
            <w:shd w:val="clear" w:color="auto" w:fill="D9D9D9"/>
          </w:tcPr>
          <w:p>
            <w:pPr>
              <w:spacing w:after="0"/>
              <w:rPr>
                <w:sz w:val="18"/>
                <w:szCs w:val="18"/>
                <w:color w:val="auto"/>
              </w:rPr>
            </w:pPr>
          </w:p>
        </w:tc>
        <w:tc>
          <w:tcPr>
            <w:tcW w:w="780" w:type="dxa"/>
            <w:vAlign w:val="bottom"/>
            <w:tcBorders>
              <w:top w:val="single" w:sz="8" w:color="D9D9D9"/>
            </w:tcBorders>
            <w:shd w:val="clear" w:color="auto" w:fill="D9D9D9"/>
          </w:tcPr>
          <w:p>
            <w:pPr>
              <w:spacing w:after="0"/>
              <w:rPr>
                <w:sz w:val="18"/>
                <w:szCs w:val="18"/>
                <w:color w:val="auto"/>
              </w:rPr>
            </w:pPr>
          </w:p>
        </w:tc>
        <w:tc>
          <w:tcPr>
            <w:tcW w:w="340" w:type="dxa"/>
            <w:vAlign w:val="bottom"/>
            <w:tcBorders>
              <w:top w:val="single" w:sz="8" w:color="D9D9D9"/>
            </w:tcBorders>
            <w:shd w:val="clear" w:color="auto" w:fill="D9D9D9"/>
          </w:tcPr>
          <w:p>
            <w:pPr>
              <w:spacing w:after="0"/>
              <w:rPr>
                <w:sz w:val="18"/>
                <w:szCs w:val="18"/>
                <w:color w:val="auto"/>
              </w:rPr>
            </w:pPr>
          </w:p>
        </w:tc>
        <w:tc>
          <w:tcPr>
            <w:tcW w:w="400" w:type="dxa"/>
            <w:vAlign w:val="bottom"/>
            <w:tcBorders>
              <w:top w:val="single" w:sz="8" w:color="D9D9D9"/>
              <w:right w:val="single" w:sz="8" w:color="auto"/>
            </w:tcBorders>
            <w:shd w:val="clear" w:color="auto" w:fill="D9D9D9"/>
          </w:tcPr>
          <w:p>
            <w:pPr>
              <w:spacing w:after="0"/>
              <w:rPr>
                <w:sz w:val="18"/>
                <w:szCs w:val="18"/>
                <w:color w:val="auto"/>
              </w:rPr>
            </w:pPr>
          </w:p>
        </w:tc>
        <w:tc>
          <w:tcPr>
            <w:tcW w:w="340" w:type="dxa"/>
            <w:vAlign w:val="bottom"/>
            <w:tcBorders>
              <w:top w:val="single" w:sz="8" w:color="D9D9D9"/>
              <w:right w:val="single" w:sz="8" w:color="D9D9D9"/>
            </w:tcBorders>
            <w:shd w:val="clear" w:color="auto" w:fill="D9D9D9"/>
          </w:tcPr>
          <w:p>
            <w:pPr>
              <w:spacing w:after="0"/>
              <w:rPr>
                <w:sz w:val="18"/>
                <w:szCs w:val="18"/>
                <w:color w:val="auto"/>
              </w:rPr>
            </w:pPr>
          </w:p>
        </w:tc>
        <w:tc>
          <w:tcPr>
            <w:tcW w:w="2100" w:type="dxa"/>
            <w:vAlign w:val="bottom"/>
            <w:tcBorders>
              <w:top w:val="single" w:sz="8" w:color="auto"/>
              <w:right w:val="single" w:sz="8" w:color="D9D9D9"/>
            </w:tcBorders>
            <w:gridSpan w:val="3"/>
            <w:shd w:val="clear" w:color="auto" w:fill="D9D9D9"/>
          </w:tcPr>
          <w:p>
            <w:pPr>
              <w:jc w:val="center"/>
              <w:ind w:right="20"/>
              <w:spacing w:after="0" w:line="209" w:lineRule="exact"/>
              <w:rPr>
                <w:sz w:val="20"/>
                <w:szCs w:val="20"/>
                <w:color w:val="auto"/>
              </w:rPr>
            </w:pPr>
            <w:r>
              <w:rPr>
                <w:rFonts w:ascii="Arial" w:cs="Arial" w:eastAsia="Arial" w:hAnsi="Arial"/>
                <w:sz w:val="20"/>
                <w:szCs w:val="20"/>
                <w:color w:val="auto"/>
                <w:w w:val="87"/>
              </w:rPr>
              <w:t>Fees excluded):</w:t>
            </w:r>
          </w:p>
        </w:tc>
        <w:tc>
          <w:tcPr>
            <w:tcW w:w="360" w:type="dxa"/>
            <w:vAlign w:val="bottom"/>
            <w:tcBorders>
              <w:top w:val="single" w:sz="8" w:color="D9D9D9"/>
              <w:right w:val="single" w:sz="8" w:color="auto"/>
            </w:tcBorders>
            <w:shd w:val="clear" w:color="auto" w:fill="D9D9D9"/>
          </w:tcPr>
          <w:p>
            <w:pPr>
              <w:spacing w:after="0"/>
              <w:rPr>
                <w:sz w:val="18"/>
                <w:szCs w:val="18"/>
                <w:color w:val="auto"/>
              </w:rPr>
            </w:pPr>
          </w:p>
        </w:tc>
      </w:tr>
      <w:tr>
        <w:trPr>
          <w:trHeight w:val="250"/>
        </w:trPr>
        <w:tc>
          <w:tcPr>
            <w:tcW w:w="380" w:type="dxa"/>
            <w:vAlign w:val="bottom"/>
            <w:tcBorders>
              <w:top w:val="single" w:sz="8" w:color="D9D9D9"/>
              <w:left w:val="single" w:sz="8" w:color="auto"/>
              <w:bottom w:val="single" w:sz="8" w:color="auto"/>
            </w:tcBorders>
            <w:shd w:val="clear" w:color="auto" w:fill="D9D9D9"/>
          </w:tcPr>
          <w:p>
            <w:pPr>
              <w:spacing w:after="0"/>
              <w:rPr>
                <w:sz w:val="21"/>
                <w:szCs w:val="21"/>
                <w:color w:val="auto"/>
              </w:rPr>
            </w:pPr>
          </w:p>
        </w:tc>
        <w:tc>
          <w:tcPr>
            <w:tcW w:w="1500" w:type="dxa"/>
            <w:vAlign w:val="bottom"/>
            <w:tcBorders>
              <w:top w:val="single" w:sz="8" w:color="D9D9D9"/>
              <w:bottom w:val="single" w:sz="8" w:color="auto"/>
            </w:tcBorders>
            <w:shd w:val="clear" w:color="auto" w:fill="D9D9D9"/>
          </w:tcPr>
          <w:p>
            <w:pPr>
              <w:spacing w:after="0"/>
              <w:rPr>
                <w:sz w:val="21"/>
                <w:szCs w:val="21"/>
                <w:color w:val="auto"/>
              </w:rPr>
            </w:pPr>
          </w:p>
        </w:tc>
        <w:tc>
          <w:tcPr>
            <w:tcW w:w="380" w:type="dxa"/>
            <w:vAlign w:val="bottom"/>
            <w:tcBorders>
              <w:top w:val="single" w:sz="8" w:color="D9D9D9"/>
              <w:bottom w:val="single" w:sz="8" w:color="auto"/>
              <w:right w:val="single" w:sz="8" w:color="auto"/>
            </w:tcBorders>
            <w:shd w:val="clear" w:color="auto" w:fill="D9D9D9"/>
          </w:tcPr>
          <w:p>
            <w:pPr>
              <w:spacing w:after="0"/>
              <w:rPr>
                <w:sz w:val="21"/>
                <w:szCs w:val="21"/>
                <w:color w:val="auto"/>
              </w:rPr>
            </w:pPr>
          </w:p>
        </w:tc>
        <w:tc>
          <w:tcPr>
            <w:tcW w:w="580" w:type="dxa"/>
            <w:vAlign w:val="bottom"/>
            <w:tcBorders>
              <w:top w:val="single" w:sz="8" w:color="D9D9D9"/>
              <w:bottom w:val="single" w:sz="8" w:color="auto"/>
            </w:tcBorders>
            <w:shd w:val="clear" w:color="auto" w:fill="D9D9D9"/>
          </w:tcPr>
          <w:p>
            <w:pPr>
              <w:spacing w:after="0"/>
              <w:rPr>
                <w:sz w:val="21"/>
                <w:szCs w:val="21"/>
                <w:color w:val="auto"/>
              </w:rPr>
            </w:pPr>
          </w:p>
        </w:tc>
        <w:tc>
          <w:tcPr>
            <w:tcW w:w="160" w:type="dxa"/>
            <w:vAlign w:val="bottom"/>
            <w:tcBorders>
              <w:top w:val="single" w:sz="8" w:color="D9D9D9"/>
              <w:bottom w:val="single" w:sz="8" w:color="auto"/>
            </w:tcBorders>
            <w:shd w:val="clear" w:color="auto" w:fill="D9D9D9"/>
          </w:tcPr>
          <w:p>
            <w:pPr>
              <w:spacing w:after="0"/>
              <w:rPr>
                <w:sz w:val="21"/>
                <w:szCs w:val="21"/>
                <w:color w:val="auto"/>
              </w:rPr>
            </w:pPr>
          </w:p>
        </w:tc>
        <w:tc>
          <w:tcPr>
            <w:tcW w:w="1140" w:type="dxa"/>
            <w:vAlign w:val="bottom"/>
            <w:tcBorders>
              <w:top w:val="single" w:sz="8" w:color="D9D9D9"/>
              <w:bottom w:val="single" w:sz="8" w:color="auto"/>
            </w:tcBorders>
            <w:shd w:val="clear" w:color="auto" w:fill="D9D9D9"/>
          </w:tcPr>
          <w:p>
            <w:pPr>
              <w:spacing w:after="0"/>
              <w:rPr>
                <w:sz w:val="21"/>
                <w:szCs w:val="21"/>
                <w:color w:val="auto"/>
              </w:rPr>
            </w:pPr>
          </w:p>
        </w:tc>
        <w:tc>
          <w:tcPr>
            <w:tcW w:w="180" w:type="dxa"/>
            <w:vAlign w:val="bottom"/>
            <w:tcBorders>
              <w:top w:val="single" w:sz="8" w:color="D9D9D9"/>
              <w:bottom w:val="single" w:sz="8" w:color="auto"/>
            </w:tcBorders>
            <w:shd w:val="clear" w:color="auto" w:fill="D9D9D9"/>
          </w:tcPr>
          <w:p>
            <w:pPr>
              <w:spacing w:after="0"/>
              <w:rPr>
                <w:sz w:val="21"/>
                <w:szCs w:val="21"/>
                <w:color w:val="auto"/>
              </w:rPr>
            </w:pPr>
          </w:p>
        </w:tc>
        <w:tc>
          <w:tcPr>
            <w:tcW w:w="600" w:type="dxa"/>
            <w:vAlign w:val="bottom"/>
            <w:tcBorders>
              <w:top w:val="single" w:sz="8" w:color="D9D9D9"/>
              <w:bottom w:val="single" w:sz="8" w:color="auto"/>
              <w:right w:val="single" w:sz="8" w:color="auto"/>
            </w:tcBorders>
            <w:shd w:val="clear" w:color="auto" w:fill="D9D9D9"/>
          </w:tcPr>
          <w:p>
            <w:pPr>
              <w:spacing w:after="0"/>
              <w:rPr>
                <w:sz w:val="21"/>
                <w:szCs w:val="21"/>
                <w:color w:val="auto"/>
              </w:rPr>
            </w:pPr>
          </w:p>
        </w:tc>
        <w:tc>
          <w:tcPr>
            <w:tcW w:w="360" w:type="dxa"/>
            <w:vAlign w:val="bottom"/>
            <w:tcBorders>
              <w:top w:val="single" w:sz="8" w:color="D9D9D9"/>
              <w:bottom w:val="single" w:sz="8" w:color="auto"/>
            </w:tcBorders>
            <w:shd w:val="clear" w:color="auto" w:fill="D9D9D9"/>
          </w:tcPr>
          <w:p>
            <w:pPr>
              <w:spacing w:after="0"/>
              <w:rPr>
                <w:sz w:val="21"/>
                <w:szCs w:val="21"/>
                <w:color w:val="auto"/>
              </w:rPr>
            </w:pPr>
          </w:p>
        </w:tc>
        <w:tc>
          <w:tcPr>
            <w:tcW w:w="340" w:type="dxa"/>
            <w:vAlign w:val="bottom"/>
            <w:tcBorders>
              <w:top w:val="single" w:sz="8" w:color="D9D9D9"/>
              <w:bottom w:val="single" w:sz="8" w:color="auto"/>
            </w:tcBorders>
            <w:shd w:val="clear" w:color="auto" w:fill="D9D9D9"/>
          </w:tcPr>
          <w:p>
            <w:pPr>
              <w:spacing w:after="0"/>
              <w:rPr>
                <w:sz w:val="21"/>
                <w:szCs w:val="21"/>
                <w:color w:val="auto"/>
              </w:rPr>
            </w:pPr>
          </w:p>
        </w:tc>
        <w:tc>
          <w:tcPr>
            <w:tcW w:w="780" w:type="dxa"/>
            <w:vAlign w:val="bottom"/>
            <w:tcBorders>
              <w:top w:val="single" w:sz="8" w:color="D9D9D9"/>
              <w:bottom w:val="single" w:sz="8" w:color="auto"/>
            </w:tcBorders>
            <w:shd w:val="clear" w:color="auto" w:fill="D9D9D9"/>
          </w:tcPr>
          <w:p>
            <w:pPr>
              <w:spacing w:after="0"/>
              <w:rPr>
                <w:sz w:val="21"/>
                <w:szCs w:val="21"/>
                <w:color w:val="auto"/>
              </w:rPr>
            </w:pPr>
          </w:p>
        </w:tc>
        <w:tc>
          <w:tcPr>
            <w:tcW w:w="340" w:type="dxa"/>
            <w:vAlign w:val="bottom"/>
            <w:tcBorders>
              <w:top w:val="single" w:sz="8" w:color="D9D9D9"/>
              <w:bottom w:val="single" w:sz="8" w:color="auto"/>
            </w:tcBorders>
            <w:shd w:val="clear" w:color="auto" w:fill="D9D9D9"/>
          </w:tcPr>
          <w:p>
            <w:pPr>
              <w:spacing w:after="0"/>
              <w:rPr>
                <w:sz w:val="21"/>
                <w:szCs w:val="21"/>
                <w:color w:val="auto"/>
              </w:rPr>
            </w:pPr>
          </w:p>
        </w:tc>
        <w:tc>
          <w:tcPr>
            <w:tcW w:w="400" w:type="dxa"/>
            <w:vAlign w:val="bottom"/>
            <w:tcBorders>
              <w:top w:val="single" w:sz="8" w:color="D9D9D9"/>
              <w:bottom w:val="single" w:sz="8" w:color="auto"/>
              <w:right w:val="single" w:sz="8" w:color="auto"/>
            </w:tcBorders>
            <w:shd w:val="clear" w:color="auto" w:fill="D9D9D9"/>
          </w:tcPr>
          <w:p>
            <w:pPr>
              <w:spacing w:after="0"/>
              <w:rPr>
                <w:sz w:val="21"/>
                <w:szCs w:val="21"/>
                <w:color w:val="auto"/>
              </w:rPr>
            </w:pPr>
          </w:p>
        </w:tc>
        <w:tc>
          <w:tcPr>
            <w:tcW w:w="340" w:type="dxa"/>
            <w:vAlign w:val="bottom"/>
            <w:tcBorders>
              <w:top w:val="single" w:sz="8" w:color="D9D9D9"/>
              <w:bottom w:val="single" w:sz="8" w:color="auto"/>
              <w:right w:val="single" w:sz="8" w:color="D9D9D9"/>
            </w:tcBorders>
            <w:shd w:val="clear" w:color="auto" w:fill="D9D9D9"/>
          </w:tcPr>
          <w:p>
            <w:pPr>
              <w:spacing w:after="0"/>
              <w:rPr>
                <w:sz w:val="21"/>
                <w:szCs w:val="21"/>
                <w:color w:val="auto"/>
              </w:rPr>
            </w:pPr>
          </w:p>
        </w:tc>
        <w:tc>
          <w:tcPr>
            <w:tcW w:w="420" w:type="dxa"/>
            <w:vAlign w:val="bottom"/>
            <w:tcBorders>
              <w:top w:val="single" w:sz="8" w:color="D9D9D9"/>
              <w:bottom w:val="single" w:sz="8" w:color="auto"/>
            </w:tcBorders>
            <w:shd w:val="clear" w:color="auto" w:fill="D9D9D9"/>
          </w:tcPr>
          <w:p>
            <w:pPr>
              <w:spacing w:after="0"/>
              <w:rPr>
                <w:sz w:val="21"/>
                <w:szCs w:val="21"/>
                <w:color w:val="auto"/>
              </w:rPr>
            </w:pPr>
          </w:p>
        </w:tc>
        <w:tc>
          <w:tcPr>
            <w:tcW w:w="1240" w:type="dxa"/>
            <w:vAlign w:val="bottom"/>
            <w:tcBorders>
              <w:top w:val="single" w:sz="8" w:color="auto"/>
              <w:bottom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6"/>
              </w:rPr>
              <w:t>(</w:t>
            </w:r>
            <w:r>
              <w:rPr>
                <w:rFonts w:ascii="Arial" w:cs="Arial" w:eastAsia="Arial" w:hAnsi="Arial"/>
                <w:sz w:val="20"/>
                <w:szCs w:val="20"/>
                <w:b w:val="1"/>
                <w:bCs w:val="1"/>
                <w:i w:val="1"/>
                <w:iCs w:val="1"/>
                <w:color w:val="auto"/>
                <w:w w:val="86"/>
              </w:rPr>
              <w:t>if applicable)</w:t>
            </w:r>
          </w:p>
        </w:tc>
        <w:tc>
          <w:tcPr>
            <w:tcW w:w="800" w:type="dxa"/>
            <w:vAlign w:val="bottom"/>
            <w:tcBorders>
              <w:top w:val="single" w:sz="8" w:color="D9D9D9"/>
              <w:bottom w:val="single" w:sz="8" w:color="auto"/>
              <w:right w:val="single" w:sz="8" w:color="auto"/>
            </w:tcBorders>
            <w:gridSpan w:val="2"/>
            <w:shd w:val="clear" w:color="auto" w:fill="D9D9D9"/>
          </w:tcPr>
          <w:p>
            <w:pPr>
              <w:spacing w:after="0"/>
              <w:rPr>
                <w:sz w:val="21"/>
                <w:szCs w:val="21"/>
                <w:color w:val="auto"/>
              </w:rPr>
            </w:pPr>
          </w:p>
        </w:tc>
      </w:tr>
      <w:tr>
        <w:trPr>
          <w:trHeight w:val="206"/>
        </w:trPr>
        <w:tc>
          <w:tcPr>
            <w:tcW w:w="380" w:type="dxa"/>
            <w:vAlign w:val="bottom"/>
            <w:tcBorders>
              <w:left w:val="single" w:sz="8" w:color="auto"/>
            </w:tcBorders>
          </w:tcPr>
          <w:p>
            <w:pPr>
              <w:spacing w:after="0"/>
              <w:rPr>
                <w:sz w:val="17"/>
                <w:szCs w:val="17"/>
                <w:color w:val="auto"/>
              </w:rPr>
            </w:pPr>
          </w:p>
        </w:tc>
        <w:tc>
          <w:tcPr>
            <w:tcW w:w="1880" w:type="dxa"/>
            <w:vAlign w:val="bottom"/>
            <w:tcBorders>
              <w:right w:val="single" w:sz="8" w:color="auto"/>
            </w:tcBorders>
            <w:gridSpan w:val="2"/>
          </w:tcPr>
          <w:p>
            <w:pPr>
              <w:jc w:val="right"/>
              <w:ind w:right="20"/>
              <w:spacing w:after="0" w:line="207" w:lineRule="exact"/>
              <w:rPr>
                <w:sz w:val="20"/>
                <w:szCs w:val="20"/>
                <w:color w:val="auto"/>
              </w:rPr>
            </w:pPr>
            <w:r>
              <w:rPr>
                <w:rFonts w:ascii="Arial" w:cs="Arial" w:eastAsia="Arial" w:hAnsi="Arial"/>
                <w:sz w:val="20"/>
                <w:szCs w:val="20"/>
                <w:color w:val="auto"/>
              </w:rPr>
              <w:t>August 1, 2020 –</w:t>
            </w:r>
          </w:p>
        </w:tc>
        <w:tc>
          <w:tcPr>
            <w:tcW w:w="1880" w:type="dxa"/>
            <w:vAlign w:val="bottom"/>
            <w:gridSpan w:val="3"/>
          </w:tcPr>
          <w:p>
            <w:pPr>
              <w:jc w:val="right"/>
              <w:ind w:right="721"/>
              <w:spacing w:after="0" w:line="207" w:lineRule="exact"/>
              <w:rPr>
                <w:sz w:val="20"/>
                <w:szCs w:val="20"/>
                <w:color w:val="auto"/>
              </w:rPr>
            </w:pPr>
            <w:r>
              <w:rPr>
                <w:rFonts w:ascii="Arial" w:cs="Arial" w:eastAsia="Arial" w:hAnsi="Arial"/>
                <w:sz w:val="20"/>
                <w:szCs w:val="20"/>
                <w:color w:val="auto"/>
                <w:w w:val="93"/>
              </w:rPr>
              <w:t>$167,500.00</w:t>
            </w:r>
          </w:p>
        </w:tc>
        <w:tc>
          <w:tcPr>
            <w:tcW w:w="1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480" w:type="dxa"/>
            <w:vAlign w:val="bottom"/>
            <w:gridSpan w:val="3"/>
          </w:tcPr>
          <w:p>
            <w:pPr>
              <w:ind w:left="80"/>
              <w:spacing w:after="0" w:line="207" w:lineRule="exact"/>
              <w:rPr>
                <w:sz w:val="20"/>
                <w:szCs w:val="20"/>
                <w:color w:val="auto"/>
              </w:rPr>
            </w:pPr>
            <w:r>
              <w:rPr>
                <w:rFonts w:ascii="Arial" w:cs="Arial" w:eastAsia="Arial" w:hAnsi="Arial"/>
                <w:sz w:val="20"/>
                <w:szCs w:val="20"/>
                <w:color w:val="auto"/>
              </w:rPr>
              <w:t>$77,500.00</w:t>
            </w:r>
          </w:p>
        </w:tc>
        <w:tc>
          <w:tcPr>
            <w:tcW w:w="3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000" w:type="dxa"/>
            <w:vAlign w:val="bottom"/>
            <w:gridSpan w:val="3"/>
            <w:shd w:val="clear" w:color="auto" w:fill="F2F2F2"/>
          </w:tcPr>
          <w:p>
            <w:pPr>
              <w:ind w:left="80"/>
              <w:spacing w:after="0" w:line="207" w:lineRule="exact"/>
              <w:rPr>
                <w:sz w:val="20"/>
                <w:szCs w:val="20"/>
                <w:color w:val="auto"/>
              </w:rPr>
            </w:pPr>
            <w:r>
              <w:rPr>
                <w:rFonts w:ascii="Arial" w:cs="Arial" w:eastAsia="Arial" w:hAnsi="Arial"/>
                <w:sz w:val="20"/>
                <w:szCs w:val="20"/>
                <w:color w:val="auto"/>
              </w:rPr>
              <w:t>$90,000.00</w:t>
            </w:r>
          </w:p>
        </w:tc>
        <w:tc>
          <w:tcPr>
            <w:tcW w:w="440" w:type="dxa"/>
            <w:vAlign w:val="bottom"/>
            <w:tcBorders>
              <w:right w:val="single" w:sz="8" w:color="F2F2F2"/>
            </w:tcBorders>
            <w:shd w:val="clear" w:color="auto" w:fill="F2F2F2"/>
          </w:tcPr>
          <w:p>
            <w:pPr>
              <w:spacing w:after="0"/>
              <w:rPr>
                <w:sz w:val="17"/>
                <w:szCs w:val="17"/>
                <w:color w:val="auto"/>
              </w:rPr>
            </w:pPr>
          </w:p>
        </w:tc>
        <w:tc>
          <w:tcPr>
            <w:tcW w:w="360" w:type="dxa"/>
            <w:vAlign w:val="bottom"/>
            <w:tcBorders>
              <w:right w:val="single" w:sz="8" w:color="auto"/>
            </w:tcBorders>
            <w:shd w:val="clear" w:color="auto" w:fill="F2F2F2"/>
          </w:tcPr>
          <w:p>
            <w:pPr>
              <w:spacing w:after="0"/>
              <w:rPr>
                <w:sz w:val="17"/>
                <w:szCs w:val="17"/>
                <w:color w:val="auto"/>
              </w:rPr>
            </w:pPr>
          </w:p>
        </w:tc>
      </w:tr>
      <w:tr>
        <w:trPr>
          <w:trHeight w:val="246"/>
        </w:trPr>
        <w:tc>
          <w:tcPr>
            <w:tcW w:w="380" w:type="dxa"/>
            <w:vAlign w:val="bottom"/>
            <w:tcBorders>
              <w:left w:val="single" w:sz="8" w:color="auto"/>
              <w:bottom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November 30, 2020</w:t>
            </w:r>
          </w:p>
        </w:tc>
        <w:tc>
          <w:tcPr>
            <w:tcW w:w="5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right w:val="single" w:sz="8" w:color="F2F2F2"/>
            </w:tcBorders>
            <w:shd w:val="clear" w:color="auto" w:fill="F2F2F2"/>
          </w:tcPr>
          <w:p>
            <w:pPr>
              <w:spacing w:after="0"/>
              <w:rPr>
                <w:sz w:val="21"/>
                <w:szCs w:val="21"/>
                <w:color w:val="auto"/>
              </w:rPr>
            </w:pPr>
          </w:p>
        </w:tc>
        <w:tc>
          <w:tcPr>
            <w:tcW w:w="420" w:type="dxa"/>
            <w:vAlign w:val="bottom"/>
            <w:tcBorders>
              <w:bottom w:val="single" w:sz="8" w:color="auto"/>
            </w:tcBorders>
            <w:shd w:val="clear" w:color="auto" w:fill="F2F2F2"/>
          </w:tcPr>
          <w:p>
            <w:pPr>
              <w:spacing w:after="0"/>
              <w:rPr>
                <w:sz w:val="21"/>
                <w:szCs w:val="21"/>
                <w:color w:val="auto"/>
              </w:rPr>
            </w:pPr>
          </w:p>
        </w:tc>
        <w:tc>
          <w:tcPr>
            <w:tcW w:w="1240" w:type="dxa"/>
            <w:vAlign w:val="bottom"/>
            <w:tcBorders>
              <w:bottom w:val="single" w:sz="8" w:color="auto"/>
            </w:tcBorders>
            <w:shd w:val="clear" w:color="auto" w:fill="F2F2F2"/>
          </w:tcPr>
          <w:p>
            <w:pPr>
              <w:spacing w:after="0"/>
              <w:rPr>
                <w:sz w:val="21"/>
                <w:szCs w:val="21"/>
                <w:color w:val="auto"/>
              </w:rPr>
            </w:pPr>
          </w:p>
        </w:tc>
        <w:tc>
          <w:tcPr>
            <w:tcW w:w="440" w:type="dxa"/>
            <w:vAlign w:val="bottom"/>
            <w:tcBorders>
              <w:bottom w:val="single" w:sz="8" w:color="auto"/>
              <w:right w:val="single" w:sz="8" w:color="F2F2F2"/>
            </w:tcBorders>
            <w:shd w:val="clear" w:color="auto" w:fill="F2F2F2"/>
          </w:tcPr>
          <w:p>
            <w:pPr>
              <w:spacing w:after="0"/>
              <w:rPr>
                <w:sz w:val="21"/>
                <w:szCs w:val="21"/>
                <w:color w:val="auto"/>
              </w:rPr>
            </w:pPr>
          </w:p>
        </w:tc>
        <w:tc>
          <w:tcPr>
            <w:tcW w:w="360" w:type="dxa"/>
            <w:vAlign w:val="bottom"/>
            <w:tcBorders>
              <w:bottom w:val="single" w:sz="8" w:color="auto"/>
              <w:right w:val="single" w:sz="8" w:color="auto"/>
            </w:tcBorders>
            <w:shd w:val="clear" w:color="auto" w:fill="F2F2F2"/>
          </w:tcPr>
          <w:p>
            <w:pPr>
              <w:spacing w:after="0"/>
              <w:rPr>
                <w:sz w:val="21"/>
                <w:szCs w:val="21"/>
                <w:color w:val="auto"/>
              </w:rPr>
            </w:pPr>
          </w:p>
        </w:tc>
      </w:tr>
      <w:tr>
        <w:trPr>
          <w:trHeight w:val="206"/>
        </w:trPr>
        <w:tc>
          <w:tcPr>
            <w:tcW w:w="380" w:type="dxa"/>
            <w:vAlign w:val="bottom"/>
            <w:tcBorders>
              <w:left w:val="single" w:sz="8" w:color="auto"/>
            </w:tcBorders>
          </w:tcPr>
          <w:p>
            <w:pPr>
              <w:spacing w:after="0"/>
              <w:rPr>
                <w:sz w:val="17"/>
                <w:szCs w:val="17"/>
                <w:color w:val="auto"/>
              </w:rPr>
            </w:pPr>
          </w:p>
        </w:tc>
        <w:tc>
          <w:tcPr>
            <w:tcW w:w="1880" w:type="dxa"/>
            <w:vAlign w:val="bottom"/>
            <w:tcBorders>
              <w:right w:val="single" w:sz="8" w:color="auto"/>
            </w:tcBorders>
            <w:gridSpan w:val="2"/>
          </w:tcPr>
          <w:p>
            <w:pPr>
              <w:jc w:val="right"/>
              <w:ind w:right="20"/>
              <w:spacing w:after="0" w:line="207" w:lineRule="exact"/>
              <w:rPr>
                <w:sz w:val="20"/>
                <w:szCs w:val="20"/>
                <w:color w:val="auto"/>
              </w:rPr>
            </w:pPr>
            <w:r>
              <w:rPr>
                <w:rFonts w:ascii="Arial" w:cs="Arial" w:eastAsia="Arial" w:hAnsi="Arial"/>
                <w:sz w:val="20"/>
                <w:szCs w:val="20"/>
                <w:color w:val="auto"/>
              </w:rPr>
              <w:t>December 1, 2020 –</w:t>
            </w:r>
          </w:p>
        </w:tc>
        <w:tc>
          <w:tcPr>
            <w:tcW w:w="1880" w:type="dxa"/>
            <w:vAlign w:val="bottom"/>
            <w:gridSpan w:val="3"/>
          </w:tcPr>
          <w:p>
            <w:pPr>
              <w:jc w:val="right"/>
              <w:ind w:right="721"/>
              <w:spacing w:after="0" w:line="207" w:lineRule="exact"/>
              <w:rPr>
                <w:sz w:val="20"/>
                <w:szCs w:val="20"/>
                <w:color w:val="auto"/>
              </w:rPr>
            </w:pPr>
            <w:r>
              <w:rPr>
                <w:rFonts w:ascii="Arial" w:cs="Arial" w:eastAsia="Arial" w:hAnsi="Arial"/>
                <w:sz w:val="20"/>
                <w:szCs w:val="20"/>
                <w:color w:val="auto"/>
                <w:w w:val="93"/>
              </w:rPr>
              <w:t>$167,500.00</w:t>
            </w:r>
          </w:p>
        </w:tc>
        <w:tc>
          <w:tcPr>
            <w:tcW w:w="1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480" w:type="dxa"/>
            <w:vAlign w:val="bottom"/>
            <w:gridSpan w:val="3"/>
          </w:tcPr>
          <w:p>
            <w:pPr>
              <w:ind w:left="80"/>
              <w:spacing w:after="0" w:line="207" w:lineRule="exact"/>
              <w:rPr>
                <w:sz w:val="20"/>
                <w:szCs w:val="20"/>
                <w:color w:val="auto"/>
              </w:rPr>
            </w:pPr>
            <w:r>
              <w:rPr>
                <w:rFonts w:ascii="Arial" w:cs="Arial" w:eastAsia="Arial" w:hAnsi="Arial"/>
                <w:sz w:val="20"/>
                <w:szCs w:val="20"/>
                <w:color w:val="auto"/>
              </w:rPr>
              <w:t>$67,500.00</w:t>
            </w:r>
          </w:p>
        </w:tc>
        <w:tc>
          <w:tcPr>
            <w:tcW w:w="3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000" w:type="dxa"/>
            <w:vAlign w:val="bottom"/>
            <w:gridSpan w:val="3"/>
            <w:shd w:val="clear" w:color="auto" w:fill="F2F2F2"/>
          </w:tcPr>
          <w:p>
            <w:pPr>
              <w:ind w:left="80"/>
              <w:spacing w:after="0" w:line="207" w:lineRule="exact"/>
              <w:rPr>
                <w:sz w:val="20"/>
                <w:szCs w:val="20"/>
                <w:color w:val="auto"/>
              </w:rPr>
            </w:pPr>
            <w:r>
              <w:rPr>
                <w:rFonts w:ascii="Arial" w:cs="Arial" w:eastAsia="Arial" w:hAnsi="Arial"/>
                <w:sz w:val="20"/>
                <w:szCs w:val="20"/>
                <w:color w:val="auto"/>
              </w:rPr>
              <w:t>$100,000.00</w:t>
            </w:r>
          </w:p>
        </w:tc>
        <w:tc>
          <w:tcPr>
            <w:tcW w:w="440" w:type="dxa"/>
            <w:vAlign w:val="bottom"/>
            <w:tcBorders>
              <w:right w:val="single" w:sz="8" w:color="F2F2F2"/>
            </w:tcBorders>
            <w:shd w:val="clear" w:color="auto" w:fill="F2F2F2"/>
          </w:tcPr>
          <w:p>
            <w:pPr>
              <w:spacing w:after="0"/>
              <w:rPr>
                <w:sz w:val="17"/>
                <w:szCs w:val="17"/>
                <w:color w:val="auto"/>
              </w:rPr>
            </w:pPr>
          </w:p>
        </w:tc>
        <w:tc>
          <w:tcPr>
            <w:tcW w:w="360" w:type="dxa"/>
            <w:vAlign w:val="bottom"/>
            <w:tcBorders>
              <w:right w:val="single" w:sz="8" w:color="auto"/>
            </w:tcBorders>
            <w:shd w:val="clear" w:color="auto" w:fill="F2F2F2"/>
          </w:tcPr>
          <w:p>
            <w:pPr>
              <w:spacing w:after="0"/>
              <w:rPr>
                <w:sz w:val="17"/>
                <w:szCs w:val="17"/>
                <w:color w:val="auto"/>
              </w:rPr>
            </w:pPr>
          </w:p>
        </w:tc>
      </w:tr>
      <w:tr>
        <w:trPr>
          <w:trHeight w:val="246"/>
        </w:trPr>
        <w:tc>
          <w:tcPr>
            <w:tcW w:w="380" w:type="dxa"/>
            <w:vAlign w:val="bottom"/>
            <w:tcBorders>
              <w:left w:val="single" w:sz="8" w:color="auto"/>
              <w:bottom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March 31, 2021</w:t>
            </w:r>
          </w:p>
        </w:tc>
        <w:tc>
          <w:tcPr>
            <w:tcW w:w="5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right w:val="single" w:sz="8" w:color="F2F2F2"/>
            </w:tcBorders>
            <w:shd w:val="clear" w:color="auto" w:fill="F2F2F2"/>
          </w:tcPr>
          <w:p>
            <w:pPr>
              <w:spacing w:after="0"/>
              <w:rPr>
                <w:sz w:val="21"/>
                <w:szCs w:val="21"/>
                <w:color w:val="auto"/>
              </w:rPr>
            </w:pPr>
          </w:p>
        </w:tc>
        <w:tc>
          <w:tcPr>
            <w:tcW w:w="420" w:type="dxa"/>
            <w:vAlign w:val="bottom"/>
            <w:tcBorders>
              <w:bottom w:val="single" w:sz="8" w:color="auto"/>
            </w:tcBorders>
            <w:shd w:val="clear" w:color="auto" w:fill="F2F2F2"/>
          </w:tcPr>
          <w:p>
            <w:pPr>
              <w:spacing w:after="0"/>
              <w:rPr>
                <w:sz w:val="21"/>
                <w:szCs w:val="21"/>
                <w:color w:val="auto"/>
              </w:rPr>
            </w:pPr>
          </w:p>
        </w:tc>
        <w:tc>
          <w:tcPr>
            <w:tcW w:w="1240" w:type="dxa"/>
            <w:vAlign w:val="bottom"/>
            <w:tcBorders>
              <w:bottom w:val="single" w:sz="8" w:color="auto"/>
            </w:tcBorders>
            <w:shd w:val="clear" w:color="auto" w:fill="F2F2F2"/>
          </w:tcPr>
          <w:p>
            <w:pPr>
              <w:spacing w:after="0"/>
              <w:rPr>
                <w:sz w:val="21"/>
                <w:szCs w:val="21"/>
                <w:color w:val="auto"/>
              </w:rPr>
            </w:pPr>
          </w:p>
        </w:tc>
        <w:tc>
          <w:tcPr>
            <w:tcW w:w="440" w:type="dxa"/>
            <w:vAlign w:val="bottom"/>
            <w:tcBorders>
              <w:bottom w:val="single" w:sz="8" w:color="auto"/>
              <w:right w:val="single" w:sz="8" w:color="F2F2F2"/>
            </w:tcBorders>
            <w:shd w:val="clear" w:color="auto" w:fill="F2F2F2"/>
          </w:tcPr>
          <w:p>
            <w:pPr>
              <w:spacing w:after="0"/>
              <w:rPr>
                <w:sz w:val="21"/>
                <w:szCs w:val="21"/>
                <w:color w:val="auto"/>
              </w:rPr>
            </w:pPr>
          </w:p>
        </w:tc>
        <w:tc>
          <w:tcPr>
            <w:tcW w:w="360" w:type="dxa"/>
            <w:vAlign w:val="bottom"/>
            <w:tcBorders>
              <w:bottom w:val="single" w:sz="8" w:color="auto"/>
              <w:right w:val="single" w:sz="8" w:color="auto"/>
            </w:tcBorders>
            <w:shd w:val="clear" w:color="auto" w:fill="F2F2F2"/>
          </w:tcPr>
          <w:p>
            <w:pPr>
              <w:spacing w:after="0"/>
              <w:rPr>
                <w:sz w:val="21"/>
                <w:szCs w:val="21"/>
                <w:color w:val="auto"/>
              </w:rPr>
            </w:pPr>
          </w:p>
        </w:tc>
      </w:tr>
      <w:tr>
        <w:trPr>
          <w:trHeight w:val="206"/>
        </w:trPr>
        <w:tc>
          <w:tcPr>
            <w:tcW w:w="380" w:type="dxa"/>
            <w:vAlign w:val="bottom"/>
            <w:tcBorders>
              <w:left w:val="single" w:sz="8" w:color="auto"/>
            </w:tcBorders>
          </w:tcPr>
          <w:p>
            <w:pPr>
              <w:spacing w:after="0"/>
              <w:rPr>
                <w:sz w:val="17"/>
                <w:szCs w:val="17"/>
                <w:color w:val="auto"/>
              </w:rPr>
            </w:pPr>
          </w:p>
        </w:tc>
        <w:tc>
          <w:tcPr>
            <w:tcW w:w="1880" w:type="dxa"/>
            <w:vAlign w:val="bottom"/>
            <w:tcBorders>
              <w:right w:val="single" w:sz="8" w:color="auto"/>
            </w:tcBorders>
            <w:gridSpan w:val="2"/>
          </w:tcPr>
          <w:p>
            <w:pPr>
              <w:jc w:val="right"/>
              <w:ind w:right="20"/>
              <w:spacing w:after="0" w:line="207" w:lineRule="exact"/>
              <w:rPr>
                <w:sz w:val="20"/>
                <w:szCs w:val="20"/>
                <w:color w:val="auto"/>
              </w:rPr>
            </w:pPr>
            <w:r>
              <w:rPr>
                <w:rFonts w:ascii="Arial" w:cs="Arial" w:eastAsia="Arial" w:hAnsi="Arial"/>
                <w:sz w:val="20"/>
                <w:szCs w:val="20"/>
                <w:color w:val="auto"/>
              </w:rPr>
              <w:t>April 1, 2021 –</w:t>
            </w:r>
          </w:p>
        </w:tc>
        <w:tc>
          <w:tcPr>
            <w:tcW w:w="1880" w:type="dxa"/>
            <w:vAlign w:val="bottom"/>
            <w:gridSpan w:val="3"/>
          </w:tcPr>
          <w:p>
            <w:pPr>
              <w:jc w:val="right"/>
              <w:ind w:right="721"/>
              <w:spacing w:after="0" w:line="207" w:lineRule="exact"/>
              <w:rPr>
                <w:sz w:val="20"/>
                <w:szCs w:val="20"/>
                <w:color w:val="auto"/>
              </w:rPr>
            </w:pPr>
            <w:r>
              <w:rPr>
                <w:rFonts w:ascii="Arial" w:cs="Arial" w:eastAsia="Arial" w:hAnsi="Arial"/>
                <w:sz w:val="20"/>
                <w:szCs w:val="20"/>
                <w:color w:val="auto"/>
                <w:w w:val="93"/>
              </w:rPr>
              <w:t>$167,500.00</w:t>
            </w:r>
          </w:p>
        </w:tc>
        <w:tc>
          <w:tcPr>
            <w:tcW w:w="1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480" w:type="dxa"/>
            <w:vAlign w:val="bottom"/>
            <w:gridSpan w:val="3"/>
          </w:tcPr>
          <w:p>
            <w:pPr>
              <w:ind w:left="80"/>
              <w:spacing w:after="0" w:line="207" w:lineRule="exact"/>
              <w:rPr>
                <w:sz w:val="20"/>
                <w:szCs w:val="20"/>
                <w:color w:val="auto"/>
              </w:rPr>
            </w:pPr>
            <w:r>
              <w:rPr>
                <w:rFonts w:ascii="Arial" w:cs="Arial" w:eastAsia="Arial" w:hAnsi="Arial"/>
                <w:sz w:val="20"/>
                <w:szCs w:val="20"/>
                <w:color w:val="auto"/>
              </w:rPr>
              <w:t>$42,500</w:t>
            </w:r>
          </w:p>
        </w:tc>
        <w:tc>
          <w:tcPr>
            <w:tcW w:w="3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000" w:type="dxa"/>
            <w:vAlign w:val="bottom"/>
            <w:gridSpan w:val="3"/>
            <w:shd w:val="clear" w:color="auto" w:fill="F2F2F2"/>
          </w:tcPr>
          <w:p>
            <w:pPr>
              <w:ind w:left="80"/>
              <w:spacing w:after="0" w:line="207" w:lineRule="exact"/>
              <w:rPr>
                <w:sz w:val="20"/>
                <w:szCs w:val="20"/>
                <w:color w:val="auto"/>
              </w:rPr>
            </w:pPr>
            <w:r>
              <w:rPr>
                <w:rFonts w:ascii="Arial" w:cs="Arial" w:eastAsia="Arial" w:hAnsi="Arial"/>
                <w:sz w:val="20"/>
                <w:szCs w:val="20"/>
                <w:color w:val="auto"/>
              </w:rPr>
              <w:t>$125,000.00</w:t>
            </w:r>
          </w:p>
        </w:tc>
        <w:tc>
          <w:tcPr>
            <w:tcW w:w="440" w:type="dxa"/>
            <w:vAlign w:val="bottom"/>
            <w:tcBorders>
              <w:right w:val="single" w:sz="8" w:color="F2F2F2"/>
            </w:tcBorders>
            <w:shd w:val="clear" w:color="auto" w:fill="F2F2F2"/>
          </w:tcPr>
          <w:p>
            <w:pPr>
              <w:spacing w:after="0"/>
              <w:rPr>
                <w:sz w:val="17"/>
                <w:szCs w:val="17"/>
                <w:color w:val="auto"/>
              </w:rPr>
            </w:pPr>
          </w:p>
        </w:tc>
        <w:tc>
          <w:tcPr>
            <w:tcW w:w="360" w:type="dxa"/>
            <w:vAlign w:val="bottom"/>
            <w:tcBorders>
              <w:right w:val="single" w:sz="8" w:color="auto"/>
            </w:tcBorders>
            <w:shd w:val="clear" w:color="auto" w:fill="F2F2F2"/>
          </w:tcPr>
          <w:p>
            <w:pPr>
              <w:spacing w:after="0"/>
              <w:rPr>
                <w:sz w:val="17"/>
                <w:szCs w:val="17"/>
                <w:color w:val="auto"/>
              </w:rPr>
            </w:pPr>
          </w:p>
        </w:tc>
      </w:tr>
      <w:tr>
        <w:trPr>
          <w:trHeight w:val="246"/>
        </w:trPr>
        <w:tc>
          <w:tcPr>
            <w:tcW w:w="380" w:type="dxa"/>
            <w:vAlign w:val="bottom"/>
            <w:tcBorders>
              <w:left w:val="single" w:sz="8" w:color="auto"/>
              <w:bottom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July 31, 2021</w:t>
            </w:r>
          </w:p>
        </w:tc>
        <w:tc>
          <w:tcPr>
            <w:tcW w:w="5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right w:val="single" w:sz="8" w:color="F2F2F2"/>
            </w:tcBorders>
            <w:shd w:val="clear" w:color="auto" w:fill="F2F2F2"/>
          </w:tcPr>
          <w:p>
            <w:pPr>
              <w:spacing w:after="0"/>
              <w:rPr>
                <w:sz w:val="21"/>
                <w:szCs w:val="21"/>
                <w:color w:val="auto"/>
              </w:rPr>
            </w:pPr>
          </w:p>
        </w:tc>
        <w:tc>
          <w:tcPr>
            <w:tcW w:w="420" w:type="dxa"/>
            <w:vAlign w:val="bottom"/>
            <w:tcBorders>
              <w:bottom w:val="single" w:sz="8" w:color="auto"/>
            </w:tcBorders>
            <w:shd w:val="clear" w:color="auto" w:fill="F2F2F2"/>
          </w:tcPr>
          <w:p>
            <w:pPr>
              <w:spacing w:after="0"/>
              <w:rPr>
                <w:sz w:val="21"/>
                <w:szCs w:val="21"/>
                <w:color w:val="auto"/>
              </w:rPr>
            </w:pPr>
          </w:p>
        </w:tc>
        <w:tc>
          <w:tcPr>
            <w:tcW w:w="1240" w:type="dxa"/>
            <w:vAlign w:val="bottom"/>
            <w:tcBorders>
              <w:bottom w:val="single" w:sz="8" w:color="auto"/>
            </w:tcBorders>
            <w:shd w:val="clear" w:color="auto" w:fill="F2F2F2"/>
          </w:tcPr>
          <w:p>
            <w:pPr>
              <w:spacing w:after="0"/>
              <w:rPr>
                <w:sz w:val="21"/>
                <w:szCs w:val="21"/>
                <w:color w:val="auto"/>
              </w:rPr>
            </w:pPr>
          </w:p>
        </w:tc>
        <w:tc>
          <w:tcPr>
            <w:tcW w:w="440" w:type="dxa"/>
            <w:vAlign w:val="bottom"/>
            <w:tcBorders>
              <w:bottom w:val="single" w:sz="8" w:color="auto"/>
              <w:right w:val="single" w:sz="8" w:color="F2F2F2"/>
            </w:tcBorders>
            <w:shd w:val="clear" w:color="auto" w:fill="F2F2F2"/>
          </w:tcPr>
          <w:p>
            <w:pPr>
              <w:spacing w:after="0"/>
              <w:rPr>
                <w:sz w:val="21"/>
                <w:szCs w:val="21"/>
                <w:color w:val="auto"/>
              </w:rPr>
            </w:pPr>
          </w:p>
        </w:tc>
        <w:tc>
          <w:tcPr>
            <w:tcW w:w="360" w:type="dxa"/>
            <w:vAlign w:val="bottom"/>
            <w:tcBorders>
              <w:bottom w:val="single" w:sz="8" w:color="auto"/>
              <w:right w:val="single" w:sz="8" w:color="auto"/>
            </w:tcBorders>
            <w:shd w:val="clear" w:color="auto" w:fill="F2F2F2"/>
          </w:tcPr>
          <w:p>
            <w:pPr>
              <w:spacing w:after="0"/>
              <w:rPr>
                <w:sz w:val="21"/>
                <w:szCs w:val="21"/>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Notes to the Monthly Fee Schedule:</w:t>
      </w:r>
    </w:p>
    <w:p>
      <w:pPr>
        <w:spacing w:after="0" w:line="181" w:lineRule="exact"/>
        <w:rPr>
          <w:sz w:val="20"/>
          <w:szCs w:val="20"/>
          <w:color w:val="auto"/>
        </w:rPr>
      </w:pPr>
    </w:p>
    <w:p>
      <w:pPr>
        <w:ind w:left="560" w:right="40" w:hanging="411"/>
        <w:spacing w:after="0" w:line="287" w:lineRule="auto"/>
        <w:tabs>
          <w:tab w:leader="none" w:pos="519"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Monthly Fee is subject to Section 4 of the Agreement, including the automatic annual increase and amendments to the Monthly Fee following the Initial Commitment Term and any additional commitment term(s)</w:t>
      </w:r>
    </w:p>
    <w:p>
      <w:pPr>
        <w:spacing w:after="0" w:line="125" w:lineRule="exact"/>
        <w:rPr>
          <w:rFonts w:ascii="Arial" w:cs="Arial" w:eastAsia="Arial" w:hAnsi="Arial"/>
          <w:sz w:val="19"/>
          <w:szCs w:val="19"/>
          <w:color w:val="auto"/>
        </w:rPr>
      </w:pPr>
    </w:p>
    <w:p>
      <w:pPr>
        <w:ind w:left="560" w:right="20" w:hanging="411"/>
        <w:spacing w:after="0" w:line="260" w:lineRule="auto"/>
        <w:tabs>
          <w:tab w:leader="none" w:pos="519" w:val="left"/>
        </w:tabs>
        <w:numPr>
          <w:ilvl w:val="0"/>
          <w:numId w:val="41"/>
        </w:numPr>
        <w:rPr>
          <w:rFonts w:ascii="Arial" w:cs="Arial" w:eastAsia="Arial" w:hAnsi="Arial"/>
          <w:sz w:val="20"/>
          <w:szCs w:val="20"/>
          <w:color w:val="auto"/>
        </w:rPr>
      </w:pPr>
      <w:r>
        <w:rPr>
          <w:rFonts w:ascii="Arial" w:cs="Arial" w:eastAsia="Arial" w:hAnsi="Arial"/>
          <w:sz w:val="20"/>
          <w:szCs w:val="20"/>
          <w:color w:val="auto"/>
        </w:rPr>
        <w:t>If discounts vary from month to month, discounts should be stated on a monthly basis (and start and end dates stated clearly)</w:t>
      </w:r>
    </w:p>
    <w:p>
      <w:pPr>
        <w:spacing w:after="0" w:line="136" w:lineRule="exact"/>
        <w:rPr>
          <w:rFonts w:ascii="Arial" w:cs="Arial" w:eastAsia="Arial" w:hAnsi="Arial"/>
          <w:sz w:val="20"/>
          <w:szCs w:val="20"/>
          <w:color w:val="auto"/>
        </w:rPr>
      </w:pPr>
    </w:p>
    <w:p>
      <w:pPr>
        <w:ind w:left="520" w:hanging="370"/>
        <w:spacing w:after="0"/>
        <w:tabs>
          <w:tab w:leader="none" w:pos="5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If discounts apply to optional additional commitment terms, these should be clearly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1183" w:right="979" w:bottom="1440" w:gutter="0" w:footer="0" w:header="0"/>
        </w:sectPr>
      </w:pPr>
    </w:p>
    <w:bookmarkStart w:id="107" w:name="page108"/>
    <w:bookmarkEnd w:id="107"/>
    <w:tbl>
      <w:tblPr>
        <w:tblLayout w:type="fixed"/>
        <w:tblInd w:w="10" w:type="dxa"/>
        <w:tblCellMar>
          <w:top w:w="0" w:type="dxa"/>
          <w:left w:w="0" w:type="dxa"/>
          <w:bottom w:w="0" w:type="dxa"/>
          <w:right w:w="0" w:type="dxa"/>
        </w:tblCellMar>
      </w:tblPr>
      <w:tr>
        <w:trPr>
          <w:trHeight w:val="270"/>
        </w:trPr>
        <w:tc>
          <w:tcPr>
            <w:tcW w:w="120" w:type="dxa"/>
            <w:vAlign w:val="bottom"/>
            <w:tcBorders>
              <w:top w:val="single" w:sz="8" w:color="auto"/>
              <w:left w:val="single" w:sz="8" w:color="auto"/>
            </w:tcBorders>
            <w:shd w:val="clear" w:color="auto" w:fill="F2F2F2"/>
          </w:tcPr>
          <w:p>
            <w:pPr>
              <w:spacing w:after="0"/>
              <w:rPr>
                <w:sz w:val="23"/>
                <w:szCs w:val="23"/>
                <w:color w:val="auto"/>
              </w:rPr>
            </w:pPr>
          </w:p>
        </w:tc>
        <w:tc>
          <w:tcPr>
            <w:tcW w:w="1880" w:type="dxa"/>
            <w:vAlign w:val="bottom"/>
            <w:tcBorders>
              <w:top w:val="single" w:sz="8" w:color="auto"/>
            </w:tcBorders>
            <w:shd w:val="clear" w:color="auto" w:fill="F2F2F2"/>
          </w:tcPr>
          <w:p>
            <w:pPr>
              <w:spacing w:after="0"/>
              <w:rPr>
                <w:sz w:val="23"/>
                <w:szCs w:val="23"/>
                <w:color w:val="auto"/>
              </w:rPr>
            </w:pPr>
          </w:p>
        </w:tc>
        <w:tc>
          <w:tcPr>
            <w:tcW w:w="40" w:type="dxa"/>
            <w:vAlign w:val="bottom"/>
            <w:tcBorders>
              <w:top w:val="single" w:sz="8" w:color="auto"/>
            </w:tcBorders>
            <w:shd w:val="clear" w:color="auto" w:fill="F2F2F2"/>
          </w:tcPr>
          <w:p>
            <w:pPr>
              <w:spacing w:after="0"/>
              <w:rPr>
                <w:sz w:val="23"/>
                <w:szCs w:val="23"/>
                <w:color w:val="auto"/>
              </w:rPr>
            </w:pPr>
          </w:p>
        </w:tc>
        <w:tc>
          <w:tcPr>
            <w:tcW w:w="660" w:type="dxa"/>
            <w:vAlign w:val="bottom"/>
            <w:tcBorders>
              <w:top w:val="single" w:sz="8" w:color="auto"/>
            </w:tcBorders>
            <w:shd w:val="clear" w:color="auto" w:fill="F2F2F2"/>
          </w:tcPr>
          <w:p>
            <w:pPr>
              <w:spacing w:after="0"/>
              <w:rPr>
                <w:sz w:val="23"/>
                <w:szCs w:val="23"/>
                <w:color w:val="auto"/>
              </w:rPr>
            </w:pPr>
          </w:p>
        </w:tc>
        <w:tc>
          <w:tcPr>
            <w:tcW w:w="20" w:type="dxa"/>
            <w:vAlign w:val="bottom"/>
            <w:tcBorders>
              <w:top w:val="single" w:sz="8" w:color="auto"/>
            </w:tcBorders>
            <w:shd w:val="clear" w:color="auto" w:fill="F2F2F2"/>
          </w:tcPr>
          <w:p>
            <w:pPr>
              <w:spacing w:after="0"/>
              <w:rPr>
                <w:sz w:val="23"/>
                <w:szCs w:val="23"/>
                <w:color w:val="auto"/>
              </w:rPr>
            </w:pPr>
          </w:p>
        </w:tc>
        <w:tc>
          <w:tcPr>
            <w:tcW w:w="400" w:type="dxa"/>
            <w:vAlign w:val="bottom"/>
            <w:tcBorders>
              <w:top w:val="single" w:sz="8" w:color="auto"/>
            </w:tcBorders>
            <w:shd w:val="clear" w:color="auto" w:fill="F2F2F2"/>
          </w:tcPr>
          <w:p>
            <w:pPr>
              <w:spacing w:after="0"/>
              <w:rPr>
                <w:sz w:val="23"/>
                <w:szCs w:val="23"/>
                <w:color w:val="auto"/>
              </w:rPr>
            </w:pPr>
          </w:p>
        </w:tc>
        <w:tc>
          <w:tcPr>
            <w:tcW w:w="6820" w:type="dxa"/>
            <w:vAlign w:val="bottom"/>
            <w:tcBorders>
              <w:top w:val="single" w:sz="8" w:color="auto"/>
              <w:right w:val="single" w:sz="8" w:color="auto"/>
            </w:tcBorders>
            <w:gridSpan w:val="2"/>
            <w:shd w:val="clear" w:color="auto" w:fill="F2F2F2"/>
          </w:tcPr>
          <w:p>
            <w:pPr>
              <w:jc w:val="center"/>
              <w:ind w:right="3041"/>
              <w:spacing w:after="0"/>
              <w:rPr>
                <w:sz w:val="20"/>
                <w:szCs w:val="20"/>
                <w:color w:val="auto"/>
              </w:rPr>
            </w:pPr>
            <w:r>
              <w:rPr>
                <w:rFonts w:ascii="Arial" w:cs="Arial" w:eastAsia="Arial" w:hAnsi="Arial"/>
                <w:sz w:val="20"/>
                <w:szCs w:val="20"/>
                <w:b w:val="1"/>
                <w:bCs w:val="1"/>
                <w:color w:val="auto"/>
              </w:rPr>
              <w:t>MEMBER CONTACT DETAILS</w:t>
            </w:r>
          </w:p>
        </w:tc>
      </w:tr>
      <w:tr>
        <w:trPr>
          <w:trHeight w:val="176"/>
        </w:trPr>
        <w:tc>
          <w:tcPr>
            <w:tcW w:w="120" w:type="dxa"/>
            <w:vAlign w:val="bottom"/>
            <w:tcBorders>
              <w:left w:val="single" w:sz="8" w:color="auto"/>
              <w:bottom w:val="single" w:sz="8" w:color="auto"/>
            </w:tcBorders>
            <w:shd w:val="clear" w:color="auto" w:fill="F2F2F2"/>
          </w:tcPr>
          <w:p>
            <w:pPr>
              <w:spacing w:after="0"/>
              <w:rPr>
                <w:sz w:val="15"/>
                <w:szCs w:val="15"/>
                <w:color w:val="auto"/>
              </w:rPr>
            </w:pPr>
          </w:p>
        </w:tc>
        <w:tc>
          <w:tcPr>
            <w:tcW w:w="1880" w:type="dxa"/>
            <w:vAlign w:val="bottom"/>
            <w:tcBorders>
              <w:bottom w:val="single" w:sz="8" w:color="auto"/>
            </w:tcBorders>
            <w:shd w:val="clear" w:color="auto" w:fill="F2F2F2"/>
          </w:tcPr>
          <w:p>
            <w:pPr>
              <w:spacing w:after="0"/>
              <w:rPr>
                <w:sz w:val="15"/>
                <w:szCs w:val="15"/>
                <w:color w:val="auto"/>
              </w:rPr>
            </w:pPr>
          </w:p>
        </w:tc>
        <w:tc>
          <w:tcPr>
            <w:tcW w:w="40" w:type="dxa"/>
            <w:vAlign w:val="bottom"/>
            <w:tcBorders>
              <w:bottom w:val="single" w:sz="8" w:color="auto"/>
            </w:tcBorders>
            <w:shd w:val="clear" w:color="auto" w:fill="F2F2F2"/>
          </w:tcPr>
          <w:p>
            <w:pPr>
              <w:spacing w:after="0"/>
              <w:rPr>
                <w:sz w:val="15"/>
                <w:szCs w:val="15"/>
                <w:color w:val="auto"/>
              </w:rPr>
            </w:pPr>
          </w:p>
        </w:tc>
        <w:tc>
          <w:tcPr>
            <w:tcW w:w="660" w:type="dxa"/>
            <w:vAlign w:val="bottom"/>
            <w:tcBorders>
              <w:bottom w:val="single" w:sz="8" w:color="auto"/>
            </w:tcBorders>
            <w:shd w:val="clear" w:color="auto" w:fill="F2F2F2"/>
          </w:tcPr>
          <w:p>
            <w:pPr>
              <w:spacing w:after="0"/>
              <w:rPr>
                <w:sz w:val="15"/>
                <w:szCs w:val="15"/>
                <w:color w:val="auto"/>
              </w:rPr>
            </w:pPr>
          </w:p>
        </w:tc>
        <w:tc>
          <w:tcPr>
            <w:tcW w:w="20" w:type="dxa"/>
            <w:vAlign w:val="bottom"/>
            <w:tcBorders>
              <w:bottom w:val="single" w:sz="8" w:color="auto"/>
            </w:tcBorders>
            <w:shd w:val="clear" w:color="auto" w:fill="F2F2F2"/>
          </w:tcPr>
          <w:p>
            <w:pPr>
              <w:spacing w:after="0"/>
              <w:rPr>
                <w:sz w:val="15"/>
                <w:szCs w:val="15"/>
                <w:color w:val="auto"/>
              </w:rPr>
            </w:pPr>
          </w:p>
        </w:tc>
        <w:tc>
          <w:tcPr>
            <w:tcW w:w="400" w:type="dxa"/>
            <w:vAlign w:val="bottom"/>
            <w:tcBorders>
              <w:bottom w:val="single" w:sz="8" w:color="auto"/>
            </w:tcBorders>
            <w:shd w:val="clear" w:color="auto" w:fill="F2F2F2"/>
          </w:tcPr>
          <w:p>
            <w:pPr>
              <w:spacing w:after="0"/>
              <w:rPr>
                <w:sz w:val="15"/>
                <w:szCs w:val="15"/>
                <w:color w:val="auto"/>
              </w:rPr>
            </w:pPr>
          </w:p>
        </w:tc>
        <w:tc>
          <w:tcPr>
            <w:tcW w:w="1380" w:type="dxa"/>
            <w:vAlign w:val="bottom"/>
            <w:tcBorders>
              <w:bottom w:val="single" w:sz="8" w:color="auto"/>
              <w:right w:val="single" w:sz="8" w:color="F2F2F2"/>
            </w:tcBorders>
            <w:shd w:val="clear" w:color="auto" w:fill="F2F2F2"/>
          </w:tcPr>
          <w:p>
            <w:pPr>
              <w:spacing w:after="0"/>
              <w:rPr>
                <w:sz w:val="15"/>
                <w:szCs w:val="15"/>
                <w:color w:val="auto"/>
              </w:rPr>
            </w:pPr>
          </w:p>
        </w:tc>
        <w:tc>
          <w:tcPr>
            <w:tcW w:w="5440" w:type="dxa"/>
            <w:vAlign w:val="bottom"/>
            <w:tcBorders>
              <w:bottom w:val="single" w:sz="8" w:color="auto"/>
              <w:right w:val="single" w:sz="8" w:color="auto"/>
            </w:tcBorders>
            <w:shd w:val="clear" w:color="auto" w:fill="F2F2F2"/>
          </w:tcPr>
          <w:p>
            <w:pPr>
              <w:spacing w:after="0"/>
              <w:rPr>
                <w:sz w:val="15"/>
                <w:szCs w:val="15"/>
                <w:color w:val="auto"/>
              </w:rPr>
            </w:pPr>
          </w:p>
        </w:tc>
      </w:tr>
      <w:tr>
        <w:trPr>
          <w:trHeight w:val="183"/>
        </w:trPr>
        <w:tc>
          <w:tcPr>
            <w:tcW w:w="120" w:type="dxa"/>
            <w:vAlign w:val="bottom"/>
            <w:tcBorders>
              <w:left w:val="single" w:sz="8" w:color="auto"/>
            </w:tcBorders>
          </w:tcPr>
          <w:p>
            <w:pPr>
              <w:spacing w:after="0"/>
              <w:rPr>
                <w:sz w:val="15"/>
                <w:szCs w:val="15"/>
                <w:color w:val="auto"/>
              </w:rPr>
            </w:pPr>
          </w:p>
        </w:tc>
        <w:tc>
          <w:tcPr>
            <w:tcW w:w="3000" w:type="dxa"/>
            <w:vAlign w:val="bottom"/>
            <w:gridSpan w:val="5"/>
          </w:tcPr>
          <w:p>
            <w:pPr>
              <w:spacing w:after="0" w:line="183" w:lineRule="exact"/>
              <w:rPr>
                <w:sz w:val="20"/>
                <w:szCs w:val="20"/>
                <w:color w:val="auto"/>
              </w:rPr>
            </w:pPr>
            <w:r>
              <w:rPr>
                <w:rFonts w:ascii="Arial" w:cs="Arial" w:eastAsia="Arial" w:hAnsi="Arial"/>
                <w:sz w:val="20"/>
                <w:szCs w:val="20"/>
                <w:b w:val="1"/>
                <w:bCs w:val="1"/>
                <w:color w:val="auto"/>
              </w:rPr>
              <w:t>PRIMARY MEMBER</w:t>
            </w:r>
          </w:p>
        </w:tc>
        <w:tc>
          <w:tcPr>
            <w:tcW w:w="1380" w:type="dxa"/>
            <w:vAlign w:val="bottom"/>
          </w:tcPr>
          <w:p>
            <w:pPr>
              <w:spacing w:after="0"/>
              <w:rPr>
                <w:sz w:val="15"/>
                <w:szCs w:val="15"/>
                <w:color w:val="auto"/>
              </w:rPr>
            </w:pPr>
          </w:p>
        </w:tc>
        <w:tc>
          <w:tcPr>
            <w:tcW w:w="5440" w:type="dxa"/>
            <w:vAlign w:val="bottom"/>
            <w:tcBorders>
              <w:right w:val="single" w:sz="8" w:color="auto"/>
            </w:tcBorders>
          </w:tcPr>
          <w:p>
            <w:pPr>
              <w:spacing w:after="0"/>
              <w:rPr>
                <w:sz w:val="15"/>
                <w:szCs w:val="15"/>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5440" w:type="dxa"/>
            <w:vAlign w:val="bottom"/>
            <w:tcBorders>
              <w:bottom w:val="single" w:sz="8" w:color="auto"/>
              <w:right w:val="single" w:sz="8" w:color="auto"/>
            </w:tcBorders>
          </w:tcPr>
          <w:p>
            <w:pPr>
              <w:spacing w:after="0"/>
              <w:rPr>
                <w:sz w:val="19"/>
                <w:szCs w:val="19"/>
                <w:color w:val="auto"/>
              </w:rPr>
            </w:pPr>
          </w:p>
        </w:tc>
      </w:tr>
      <w:tr>
        <w:trPr>
          <w:trHeight w:val="244"/>
        </w:trPr>
        <w:tc>
          <w:tcPr>
            <w:tcW w:w="120" w:type="dxa"/>
            <w:vAlign w:val="bottom"/>
            <w:tcBorders>
              <w:left w:val="single" w:sz="8" w:color="auto"/>
            </w:tcBorders>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20"/>
                <w:szCs w:val="20"/>
                <w:color w:val="auto"/>
              </w:rPr>
              <w:t>Primary Member Name:</w:t>
            </w:r>
          </w:p>
        </w:tc>
        <w:tc>
          <w:tcPr>
            <w:tcW w:w="1380" w:type="dxa"/>
            <w:vAlign w:val="bottom"/>
            <w:tcBorders>
              <w:right w:val="single" w:sz="8" w:color="auto"/>
            </w:tcBorders>
          </w:tcPr>
          <w:p>
            <w:pPr>
              <w:spacing w:after="0"/>
              <w:rPr>
                <w:sz w:val="21"/>
                <w:szCs w:val="21"/>
                <w:color w:val="auto"/>
              </w:rPr>
            </w:pPr>
          </w:p>
        </w:tc>
        <w:tc>
          <w:tcPr>
            <w:tcW w:w="5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Mark Jacobson (Chief People Officer)</w:t>
            </w:r>
          </w:p>
        </w:tc>
      </w:tr>
      <w:tr>
        <w:trPr>
          <w:trHeight w:val="33"/>
        </w:trPr>
        <w:tc>
          <w:tcPr>
            <w:tcW w:w="120" w:type="dxa"/>
            <w:vAlign w:val="bottom"/>
            <w:tcBorders>
              <w:left w:val="single" w:sz="8" w:color="auto"/>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r>
      <w:tr>
        <w:trPr>
          <w:trHeight w:val="244"/>
        </w:trPr>
        <w:tc>
          <w:tcPr>
            <w:tcW w:w="120" w:type="dxa"/>
            <w:vAlign w:val="bottom"/>
            <w:tcBorders>
              <w:left w:val="single" w:sz="8" w:color="auto"/>
            </w:tcBorders>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20"/>
                <w:szCs w:val="20"/>
                <w:color w:val="auto"/>
              </w:rPr>
              <w:t>Phone Number:</w:t>
            </w:r>
          </w:p>
        </w:tc>
        <w:tc>
          <w:tcPr>
            <w:tcW w:w="1380" w:type="dxa"/>
            <w:vAlign w:val="bottom"/>
            <w:tcBorders>
              <w:right w:val="single" w:sz="8" w:color="auto"/>
            </w:tcBorders>
          </w:tcPr>
          <w:p>
            <w:pPr>
              <w:spacing w:after="0"/>
              <w:rPr>
                <w:sz w:val="21"/>
                <w:szCs w:val="21"/>
                <w:color w:val="auto"/>
              </w:rPr>
            </w:pPr>
          </w:p>
        </w:tc>
        <w:tc>
          <w:tcPr>
            <w:tcW w:w="5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212-332-3243</w:t>
            </w:r>
          </w:p>
        </w:tc>
      </w:tr>
      <w:tr>
        <w:trPr>
          <w:trHeight w:val="33"/>
        </w:trPr>
        <w:tc>
          <w:tcPr>
            <w:tcW w:w="120" w:type="dxa"/>
            <w:vAlign w:val="bottom"/>
            <w:tcBorders>
              <w:left w:val="single" w:sz="8" w:color="auto"/>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r>
      <w:tr>
        <w:trPr>
          <w:trHeight w:val="244"/>
        </w:trPr>
        <w:tc>
          <w:tcPr>
            <w:tcW w:w="120" w:type="dxa"/>
            <w:vAlign w:val="bottom"/>
            <w:tcBorders>
              <w:left w:val="single" w:sz="8" w:color="auto"/>
            </w:tcBorders>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20"/>
                <w:szCs w:val="20"/>
                <w:color w:val="auto"/>
              </w:rPr>
              <w:t>Email:</w:t>
            </w:r>
          </w:p>
        </w:tc>
        <w:tc>
          <w:tcPr>
            <w:tcW w:w="1380" w:type="dxa"/>
            <w:vAlign w:val="bottom"/>
            <w:tcBorders>
              <w:right w:val="single" w:sz="8" w:color="auto"/>
            </w:tcBorders>
          </w:tcPr>
          <w:p>
            <w:pPr>
              <w:spacing w:after="0"/>
              <w:rPr>
                <w:sz w:val="21"/>
                <w:szCs w:val="21"/>
                <w:color w:val="auto"/>
              </w:rPr>
            </w:pPr>
          </w:p>
        </w:tc>
        <w:tc>
          <w:tcPr>
            <w:tcW w:w="5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mjacobson@axsome.com</w:t>
            </w:r>
          </w:p>
        </w:tc>
      </w:tr>
      <w:tr>
        <w:trPr>
          <w:trHeight w:val="33"/>
        </w:trPr>
        <w:tc>
          <w:tcPr>
            <w:tcW w:w="120" w:type="dxa"/>
            <w:vAlign w:val="bottom"/>
            <w:tcBorders>
              <w:left w:val="single" w:sz="8" w:color="auto"/>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r>
      <w:tr>
        <w:trPr>
          <w:trHeight w:val="277"/>
        </w:trPr>
        <w:tc>
          <w:tcPr>
            <w:tcW w:w="120" w:type="dxa"/>
            <w:vAlign w:val="bottom"/>
            <w:tcBorders>
              <w:left w:val="single" w:sz="8" w:color="auto"/>
              <w:bottom w:val="single" w:sz="8" w:color="auto"/>
            </w:tcBorders>
          </w:tcPr>
          <w:p>
            <w:pPr>
              <w:spacing w:after="0"/>
              <w:rPr>
                <w:sz w:val="24"/>
                <w:szCs w:val="24"/>
                <w:color w:val="auto"/>
              </w:rPr>
            </w:pPr>
          </w:p>
        </w:tc>
        <w:tc>
          <w:tcPr>
            <w:tcW w:w="30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rPr>
              <w:t>Address:</w:t>
            </w:r>
          </w:p>
        </w:tc>
        <w:tc>
          <w:tcPr>
            <w:tcW w:w="1380" w:type="dxa"/>
            <w:vAlign w:val="bottom"/>
            <w:tcBorders>
              <w:bottom w:val="single" w:sz="8" w:color="auto"/>
              <w:right w:val="single" w:sz="8" w:color="auto"/>
            </w:tcBorders>
          </w:tcPr>
          <w:p>
            <w:pPr>
              <w:spacing w:after="0"/>
              <w:rPr>
                <w:sz w:val="24"/>
                <w:szCs w:val="24"/>
                <w:color w:val="auto"/>
              </w:rPr>
            </w:pPr>
          </w:p>
        </w:tc>
        <w:tc>
          <w:tcPr>
            <w:tcW w:w="5440" w:type="dxa"/>
            <w:vAlign w:val="bottom"/>
            <w:tcBorders>
              <w:bottom w:val="single" w:sz="8" w:color="auto"/>
              <w:right w:val="single" w:sz="8" w:color="auto"/>
            </w:tcBorders>
          </w:tcPr>
          <w:p>
            <w:pPr>
              <w:ind w:left="100"/>
              <w:spacing w:after="0" w:line="277" w:lineRule="exact"/>
              <w:rPr>
                <w:sz w:val="20"/>
                <w:szCs w:val="20"/>
                <w:color w:val="auto"/>
              </w:rPr>
            </w:pPr>
            <w:r>
              <w:rPr>
                <w:rFonts w:ascii="Arial" w:cs="Arial" w:eastAsia="Arial" w:hAnsi="Arial"/>
                <w:sz w:val="20"/>
                <w:szCs w:val="20"/>
                <w:color w:val="auto"/>
              </w:rPr>
              <w:t>200 Broadway, 3</w:t>
            </w:r>
            <w:r>
              <w:rPr>
                <w:rFonts w:ascii="Arial" w:cs="Arial" w:eastAsia="Arial" w:hAnsi="Arial"/>
                <w:sz w:val="29"/>
                <w:szCs w:val="29"/>
                <w:color w:val="auto"/>
                <w:vertAlign w:val="superscript"/>
              </w:rPr>
              <w:t>rd</w:t>
            </w:r>
            <w:r>
              <w:rPr>
                <w:rFonts w:ascii="Arial" w:cs="Arial" w:eastAsia="Arial" w:hAnsi="Arial"/>
                <w:sz w:val="20"/>
                <w:szCs w:val="20"/>
                <w:color w:val="auto"/>
              </w:rPr>
              <w:t xml:space="preserve"> Floor, New York, NY 10038</w:t>
            </w:r>
          </w:p>
        </w:tc>
      </w:tr>
      <w:tr>
        <w:trPr>
          <w:trHeight w:val="183"/>
        </w:trPr>
        <w:tc>
          <w:tcPr>
            <w:tcW w:w="120" w:type="dxa"/>
            <w:vAlign w:val="bottom"/>
            <w:tcBorders>
              <w:left w:val="single" w:sz="8" w:color="auto"/>
            </w:tcBorders>
          </w:tcPr>
          <w:p>
            <w:pPr>
              <w:spacing w:after="0"/>
              <w:rPr>
                <w:sz w:val="15"/>
                <w:szCs w:val="15"/>
                <w:color w:val="auto"/>
              </w:rPr>
            </w:pPr>
          </w:p>
        </w:tc>
        <w:tc>
          <w:tcPr>
            <w:tcW w:w="2580" w:type="dxa"/>
            <w:vAlign w:val="bottom"/>
            <w:tcBorders>
              <w:bottom w:val="single" w:sz="8" w:color="auto"/>
            </w:tcBorders>
            <w:gridSpan w:val="3"/>
          </w:tcPr>
          <w:p>
            <w:pPr>
              <w:spacing w:after="0" w:line="183" w:lineRule="exact"/>
              <w:rPr>
                <w:sz w:val="20"/>
                <w:szCs w:val="20"/>
                <w:color w:val="auto"/>
              </w:rPr>
            </w:pPr>
            <w:r>
              <w:rPr>
                <w:rFonts w:ascii="Arial" w:cs="Arial" w:eastAsia="Arial" w:hAnsi="Arial"/>
                <w:sz w:val="20"/>
                <w:szCs w:val="20"/>
                <w:b w:val="1"/>
                <w:bCs w:val="1"/>
                <w:color w:val="auto"/>
              </w:rPr>
              <w:t>AUTHORIZED SIGNATORY</w:t>
            </w:r>
          </w:p>
        </w:tc>
        <w:tc>
          <w:tcPr>
            <w:tcW w:w="42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544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______Please check here if Primary member is also</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30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rPr>
              <w:t>Authorized Signatory</w:t>
            </w:r>
          </w:p>
        </w:tc>
        <w:tc>
          <w:tcPr>
            <w:tcW w:w="1380" w:type="dxa"/>
            <w:vAlign w:val="bottom"/>
            <w:tcBorders>
              <w:bottom w:val="single" w:sz="8" w:color="auto"/>
            </w:tcBorders>
          </w:tcPr>
          <w:p>
            <w:pPr>
              <w:spacing w:after="0"/>
              <w:rPr>
                <w:sz w:val="21"/>
                <w:szCs w:val="21"/>
                <w:color w:val="auto"/>
              </w:rPr>
            </w:pPr>
          </w:p>
        </w:tc>
        <w:tc>
          <w:tcPr>
            <w:tcW w:w="5440" w:type="dxa"/>
            <w:vAlign w:val="bottom"/>
            <w:tcBorders>
              <w:bottom w:val="single" w:sz="8" w:color="auto"/>
              <w:right w:val="single" w:sz="8" w:color="auto"/>
            </w:tcBorders>
          </w:tcPr>
          <w:p>
            <w:pPr>
              <w:spacing w:after="0"/>
              <w:rPr>
                <w:sz w:val="21"/>
                <w:szCs w:val="21"/>
                <w:color w:val="auto"/>
              </w:rPr>
            </w:pPr>
          </w:p>
        </w:tc>
      </w:tr>
      <w:tr>
        <w:trPr>
          <w:trHeight w:val="244"/>
        </w:trPr>
        <w:tc>
          <w:tcPr>
            <w:tcW w:w="120" w:type="dxa"/>
            <w:vAlign w:val="bottom"/>
            <w:tcBorders>
              <w:left w:val="single" w:sz="8" w:color="auto"/>
            </w:tcBorders>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20"/>
                <w:szCs w:val="20"/>
                <w:color w:val="auto"/>
              </w:rPr>
              <w:t>Contact Name:</w:t>
            </w:r>
          </w:p>
        </w:tc>
        <w:tc>
          <w:tcPr>
            <w:tcW w:w="1380" w:type="dxa"/>
            <w:vAlign w:val="bottom"/>
            <w:tcBorders>
              <w:right w:val="single" w:sz="8" w:color="auto"/>
            </w:tcBorders>
          </w:tcPr>
          <w:p>
            <w:pPr>
              <w:spacing w:after="0"/>
              <w:rPr>
                <w:sz w:val="21"/>
                <w:szCs w:val="21"/>
                <w:color w:val="auto"/>
              </w:rPr>
            </w:pPr>
          </w:p>
        </w:tc>
        <w:tc>
          <w:tcPr>
            <w:tcW w:w="5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Nick Pizzie (Chief Financial Officer)</w:t>
            </w:r>
          </w:p>
        </w:tc>
      </w:tr>
      <w:tr>
        <w:trPr>
          <w:trHeight w:val="33"/>
        </w:trPr>
        <w:tc>
          <w:tcPr>
            <w:tcW w:w="120" w:type="dxa"/>
            <w:vAlign w:val="bottom"/>
            <w:tcBorders>
              <w:left w:val="single" w:sz="8" w:color="auto"/>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r>
      <w:tr>
        <w:trPr>
          <w:trHeight w:val="244"/>
        </w:trPr>
        <w:tc>
          <w:tcPr>
            <w:tcW w:w="120" w:type="dxa"/>
            <w:vAlign w:val="bottom"/>
            <w:tcBorders>
              <w:left w:val="single" w:sz="8" w:color="auto"/>
            </w:tcBorders>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20"/>
                <w:szCs w:val="20"/>
                <w:color w:val="auto"/>
              </w:rPr>
              <w:t>Phone Number:</w:t>
            </w:r>
          </w:p>
        </w:tc>
        <w:tc>
          <w:tcPr>
            <w:tcW w:w="1380" w:type="dxa"/>
            <w:vAlign w:val="bottom"/>
            <w:tcBorders>
              <w:right w:val="single" w:sz="8" w:color="auto"/>
            </w:tcBorders>
          </w:tcPr>
          <w:p>
            <w:pPr>
              <w:spacing w:after="0"/>
              <w:rPr>
                <w:sz w:val="21"/>
                <w:szCs w:val="21"/>
                <w:color w:val="auto"/>
              </w:rPr>
            </w:pPr>
          </w:p>
        </w:tc>
        <w:tc>
          <w:tcPr>
            <w:tcW w:w="5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1-646-844-6270</w:t>
            </w:r>
          </w:p>
        </w:tc>
      </w:tr>
      <w:tr>
        <w:trPr>
          <w:trHeight w:val="33"/>
        </w:trPr>
        <w:tc>
          <w:tcPr>
            <w:tcW w:w="120" w:type="dxa"/>
            <w:vAlign w:val="bottom"/>
            <w:tcBorders>
              <w:left w:val="single" w:sz="8" w:color="auto"/>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r>
      <w:tr>
        <w:trPr>
          <w:trHeight w:val="244"/>
        </w:trPr>
        <w:tc>
          <w:tcPr>
            <w:tcW w:w="120" w:type="dxa"/>
            <w:vAlign w:val="bottom"/>
            <w:tcBorders>
              <w:left w:val="single" w:sz="8" w:color="auto"/>
            </w:tcBorders>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20"/>
                <w:szCs w:val="20"/>
                <w:color w:val="auto"/>
              </w:rPr>
              <w:t>Email:</w:t>
            </w:r>
          </w:p>
        </w:tc>
        <w:tc>
          <w:tcPr>
            <w:tcW w:w="1380" w:type="dxa"/>
            <w:vAlign w:val="bottom"/>
            <w:tcBorders>
              <w:right w:val="single" w:sz="8" w:color="auto"/>
            </w:tcBorders>
          </w:tcPr>
          <w:p>
            <w:pPr>
              <w:spacing w:after="0"/>
              <w:rPr>
                <w:sz w:val="21"/>
                <w:szCs w:val="21"/>
                <w:color w:val="auto"/>
              </w:rPr>
            </w:pPr>
          </w:p>
        </w:tc>
        <w:tc>
          <w:tcPr>
            <w:tcW w:w="5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npizzie@axsome.com</w:t>
            </w:r>
          </w:p>
        </w:tc>
      </w:tr>
      <w:tr>
        <w:trPr>
          <w:trHeight w:val="33"/>
        </w:trPr>
        <w:tc>
          <w:tcPr>
            <w:tcW w:w="120" w:type="dxa"/>
            <w:vAlign w:val="bottom"/>
            <w:tcBorders>
              <w:left w:val="single" w:sz="8" w:color="auto"/>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r>
      <w:tr>
        <w:trPr>
          <w:trHeight w:val="277"/>
        </w:trPr>
        <w:tc>
          <w:tcPr>
            <w:tcW w:w="120" w:type="dxa"/>
            <w:vAlign w:val="bottom"/>
            <w:tcBorders>
              <w:left w:val="single" w:sz="8" w:color="auto"/>
              <w:bottom w:val="single" w:sz="8" w:color="auto"/>
            </w:tcBorders>
          </w:tcPr>
          <w:p>
            <w:pPr>
              <w:spacing w:after="0"/>
              <w:rPr>
                <w:sz w:val="24"/>
                <w:szCs w:val="24"/>
                <w:color w:val="auto"/>
              </w:rPr>
            </w:pPr>
          </w:p>
        </w:tc>
        <w:tc>
          <w:tcPr>
            <w:tcW w:w="30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rPr>
              <w:t>Address:</w:t>
            </w:r>
          </w:p>
        </w:tc>
        <w:tc>
          <w:tcPr>
            <w:tcW w:w="1380" w:type="dxa"/>
            <w:vAlign w:val="bottom"/>
            <w:tcBorders>
              <w:bottom w:val="single" w:sz="8" w:color="auto"/>
              <w:right w:val="single" w:sz="8" w:color="auto"/>
            </w:tcBorders>
          </w:tcPr>
          <w:p>
            <w:pPr>
              <w:spacing w:after="0"/>
              <w:rPr>
                <w:sz w:val="24"/>
                <w:szCs w:val="24"/>
                <w:color w:val="auto"/>
              </w:rPr>
            </w:pPr>
          </w:p>
        </w:tc>
        <w:tc>
          <w:tcPr>
            <w:tcW w:w="5440" w:type="dxa"/>
            <w:vAlign w:val="bottom"/>
            <w:tcBorders>
              <w:bottom w:val="single" w:sz="8" w:color="auto"/>
              <w:right w:val="single" w:sz="8" w:color="auto"/>
            </w:tcBorders>
          </w:tcPr>
          <w:p>
            <w:pPr>
              <w:ind w:left="100"/>
              <w:spacing w:after="0" w:line="277" w:lineRule="exact"/>
              <w:rPr>
                <w:sz w:val="20"/>
                <w:szCs w:val="20"/>
                <w:color w:val="auto"/>
              </w:rPr>
            </w:pPr>
            <w:r>
              <w:rPr>
                <w:rFonts w:ascii="Arial" w:cs="Arial" w:eastAsia="Arial" w:hAnsi="Arial"/>
                <w:sz w:val="20"/>
                <w:szCs w:val="20"/>
                <w:color w:val="auto"/>
              </w:rPr>
              <w:t>200 Broadway, 3</w:t>
            </w:r>
            <w:r>
              <w:rPr>
                <w:rFonts w:ascii="Arial" w:cs="Arial" w:eastAsia="Arial" w:hAnsi="Arial"/>
                <w:sz w:val="29"/>
                <w:szCs w:val="29"/>
                <w:color w:val="auto"/>
                <w:vertAlign w:val="superscript"/>
              </w:rPr>
              <w:t>rd</w:t>
            </w:r>
            <w:r>
              <w:rPr>
                <w:rFonts w:ascii="Arial" w:cs="Arial" w:eastAsia="Arial" w:hAnsi="Arial"/>
                <w:sz w:val="20"/>
                <w:szCs w:val="20"/>
                <w:color w:val="auto"/>
              </w:rPr>
              <w:t xml:space="preserve"> Floor, New York, NY 10038</w:t>
            </w:r>
          </w:p>
        </w:tc>
      </w:tr>
      <w:tr>
        <w:trPr>
          <w:trHeight w:val="466"/>
        </w:trPr>
        <w:tc>
          <w:tcPr>
            <w:tcW w:w="120" w:type="dxa"/>
            <w:vAlign w:val="bottom"/>
            <w:tcBorders>
              <w:left w:val="single" w:sz="8" w:color="auto"/>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440" w:type="dxa"/>
            <w:vAlign w:val="bottom"/>
            <w:tcBorders>
              <w:bottom w:val="single" w:sz="8" w:color="auto"/>
              <w:right w:val="single" w:sz="8" w:color="auto"/>
            </w:tcBorders>
          </w:tcPr>
          <w:p>
            <w:pPr>
              <w:spacing w:after="0"/>
              <w:rPr>
                <w:sz w:val="24"/>
                <w:szCs w:val="24"/>
                <w:color w:val="auto"/>
              </w:rPr>
            </w:pPr>
          </w:p>
        </w:tc>
      </w:tr>
      <w:tr>
        <w:trPr>
          <w:trHeight w:val="183"/>
        </w:trPr>
        <w:tc>
          <w:tcPr>
            <w:tcW w:w="120" w:type="dxa"/>
            <w:vAlign w:val="bottom"/>
            <w:tcBorders>
              <w:left w:val="single" w:sz="8" w:color="auto"/>
            </w:tcBorders>
          </w:tcPr>
          <w:p>
            <w:pPr>
              <w:spacing w:after="0"/>
              <w:rPr>
                <w:sz w:val="15"/>
                <w:szCs w:val="15"/>
                <w:color w:val="auto"/>
              </w:rPr>
            </w:pPr>
          </w:p>
        </w:tc>
        <w:tc>
          <w:tcPr>
            <w:tcW w:w="1880" w:type="dxa"/>
            <w:vAlign w:val="bottom"/>
            <w:tcBorders>
              <w:bottom w:val="single" w:sz="8" w:color="auto"/>
            </w:tcBorders>
          </w:tcPr>
          <w:p>
            <w:pPr>
              <w:spacing w:after="0" w:line="183" w:lineRule="exact"/>
              <w:rPr>
                <w:sz w:val="20"/>
                <w:szCs w:val="20"/>
                <w:color w:val="auto"/>
              </w:rPr>
            </w:pPr>
            <w:r>
              <w:rPr>
                <w:rFonts w:ascii="Arial" w:cs="Arial" w:eastAsia="Arial" w:hAnsi="Arial"/>
                <w:sz w:val="20"/>
                <w:szCs w:val="20"/>
                <w:b w:val="1"/>
                <w:bCs w:val="1"/>
                <w:color w:val="auto"/>
              </w:rPr>
              <w:t>BILLING CONTACT</w:t>
            </w:r>
          </w:p>
        </w:tc>
        <w:tc>
          <w:tcPr>
            <w:tcW w:w="1120" w:type="dxa"/>
            <w:vAlign w:val="bottom"/>
            <w:gridSpan w:val="4"/>
          </w:tcPr>
          <w:p>
            <w:pPr>
              <w:spacing w:after="0"/>
              <w:rPr>
                <w:sz w:val="15"/>
                <w:szCs w:val="15"/>
                <w:color w:val="auto"/>
              </w:rPr>
            </w:pPr>
          </w:p>
        </w:tc>
        <w:tc>
          <w:tcPr>
            <w:tcW w:w="1380" w:type="dxa"/>
            <w:vAlign w:val="bottom"/>
          </w:tcPr>
          <w:p>
            <w:pPr>
              <w:spacing w:after="0"/>
              <w:rPr>
                <w:sz w:val="15"/>
                <w:szCs w:val="15"/>
                <w:color w:val="auto"/>
              </w:rPr>
            </w:pPr>
          </w:p>
        </w:tc>
        <w:tc>
          <w:tcPr>
            <w:tcW w:w="544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______Please check here if Primary member is also</w:t>
            </w: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30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rPr>
              <w:t>Billing Contact</w:t>
            </w:r>
          </w:p>
        </w:tc>
        <w:tc>
          <w:tcPr>
            <w:tcW w:w="1380" w:type="dxa"/>
            <w:vAlign w:val="bottom"/>
            <w:tcBorders>
              <w:bottom w:val="single" w:sz="8" w:color="auto"/>
            </w:tcBorders>
          </w:tcPr>
          <w:p>
            <w:pPr>
              <w:spacing w:after="0"/>
              <w:rPr>
                <w:sz w:val="21"/>
                <w:szCs w:val="21"/>
                <w:color w:val="auto"/>
              </w:rPr>
            </w:pPr>
          </w:p>
        </w:tc>
        <w:tc>
          <w:tcPr>
            <w:tcW w:w="5440" w:type="dxa"/>
            <w:vAlign w:val="bottom"/>
            <w:tcBorders>
              <w:bottom w:val="single" w:sz="8" w:color="auto"/>
              <w:right w:val="single" w:sz="8" w:color="auto"/>
            </w:tcBorders>
          </w:tcPr>
          <w:p>
            <w:pPr>
              <w:spacing w:after="0"/>
              <w:rPr>
                <w:sz w:val="21"/>
                <w:szCs w:val="21"/>
                <w:color w:val="auto"/>
              </w:rPr>
            </w:pPr>
          </w:p>
        </w:tc>
      </w:tr>
      <w:tr>
        <w:trPr>
          <w:trHeight w:val="244"/>
        </w:trPr>
        <w:tc>
          <w:tcPr>
            <w:tcW w:w="120" w:type="dxa"/>
            <w:vAlign w:val="bottom"/>
            <w:tcBorders>
              <w:left w:val="single" w:sz="8" w:color="auto"/>
            </w:tcBorders>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20"/>
                <w:szCs w:val="20"/>
                <w:color w:val="auto"/>
              </w:rPr>
              <w:t>Contact Name:</w:t>
            </w:r>
          </w:p>
        </w:tc>
        <w:tc>
          <w:tcPr>
            <w:tcW w:w="1380" w:type="dxa"/>
            <w:vAlign w:val="bottom"/>
            <w:tcBorders>
              <w:right w:val="single" w:sz="8" w:color="auto"/>
            </w:tcBorders>
          </w:tcPr>
          <w:p>
            <w:pPr>
              <w:spacing w:after="0"/>
              <w:rPr>
                <w:sz w:val="21"/>
                <w:szCs w:val="21"/>
                <w:color w:val="auto"/>
              </w:rPr>
            </w:pPr>
          </w:p>
        </w:tc>
        <w:tc>
          <w:tcPr>
            <w:tcW w:w="5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Nick Pizzie (Chief Financial Officer)</w:t>
            </w:r>
          </w:p>
        </w:tc>
      </w:tr>
      <w:tr>
        <w:trPr>
          <w:trHeight w:val="33"/>
        </w:trPr>
        <w:tc>
          <w:tcPr>
            <w:tcW w:w="120" w:type="dxa"/>
            <w:vAlign w:val="bottom"/>
            <w:tcBorders>
              <w:left w:val="single" w:sz="8" w:color="auto"/>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r>
      <w:tr>
        <w:trPr>
          <w:trHeight w:val="244"/>
        </w:trPr>
        <w:tc>
          <w:tcPr>
            <w:tcW w:w="120" w:type="dxa"/>
            <w:vAlign w:val="bottom"/>
            <w:tcBorders>
              <w:left w:val="single" w:sz="8" w:color="auto"/>
            </w:tcBorders>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20"/>
                <w:szCs w:val="20"/>
                <w:color w:val="auto"/>
              </w:rPr>
              <w:t>Phone Number:</w:t>
            </w:r>
          </w:p>
        </w:tc>
        <w:tc>
          <w:tcPr>
            <w:tcW w:w="1380" w:type="dxa"/>
            <w:vAlign w:val="bottom"/>
            <w:tcBorders>
              <w:right w:val="single" w:sz="8" w:color="auto"/>
            </w:tcBorders>
          </w:tcPr>
          <w:p>
            <w:pPr>
              <w:spacing w:after="0"/>
              <w:rPr>
                <w:sz w:val="21"/>
                <w:szCs w:val="21"/>
                <w:color w:val="auto"/>
              </w:rPr>
            </w:pPr>
          </w:p>
        </w:tc>
        <w:tc>
          <w:tcPr>
            <w:tcW w:w="5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1-646-844-6270</w:t>
            </w:r>
          </w:p>
        </w:tc>
      </w:tr>
      <w:tr>
        <w:trPr>
          <w:trHeight w:val="33"/>
        </w:trPr>
        <w:tc>
          <w:tcPr>
            <w:tcW w:w="120" w:type="dxa"/>
            <w:vAlign w:val="bottom"/>
            <w:tcBorders>
              <w:left w:val="single" w:sz="8" w:color="auto"/>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r>
      <w:tr>
        <w:trPr>
          <w:trHeight w:val="244"/>
        </w:trPr>
        <w:tc>
          <w:tcPr>
            <w:tcW w:w="120" w:type="dxa"/>
            <w:vAlign w:val="bottom"/>
            <w:tcBorders>
              <w:left w:val="single" w:sz="8" w:color="auto"/>
            </w:tcBorders>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20"/>
                <w:szCs w:val="20"/>
                <w:color w:val="auto"/>
              </w:rPr>
              <w:t>Email:</w:t>
            </w:r>
          </w:p>
        </w:tc>
        <w:tc>
          <w:tcPr>
            <w:tcW w:w="1380" w:type="dxa"/>
            <w:vAlign w:val="bottom"/>
            <w:tcBorders>
              <w:right w:val="single" w:sz="8" w:color="auto"/>
            </w:tcBorders>
          </w:tcPr>
          <w:p>
            <w:pPr>
              <w:spacing w:after="0"/>
              <w:rPr>
                <w:sz w:val="21"/>
                <w:szCs w:val="21"/>
                <w:color w:val="auto"/>
              </w:rPr>
            </w:pPr>
          </w:p>
        </w:tc>
        <w:tc>
          <w:tcPr>
            <w:tcW w:w="5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npizzie@axsome.com</w:t>
            </w:r>
          </w:p>
        </w:tc>
      </w:tr>
      <w:tr>
        <w:trPr>
          <w:trHeight w:val="33"/>
        </w:trPr>
        <w:tc>
          <w:tcPr>
            <w:tcW w:w="120" w:type="dxa"/>
            <w:vAlign w:val="bottom"/>
            <w:tcBorders>
              <w:left w:val="single" w:sz="8" w:color="auto"/>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r>
      <w:tr>
        <w:trPr>
          <w:trHeight w:val="277"/>
        </w:trPr>
        <w:tc>
          <w:tcPr>
            <w:tcW w:w="120" w:type="dxa"/>
            <w:vAlign w:val="bottom"/>
            <w:tcBorders>
              <w:left w:val="single" w:sz="8" w:color="auto"/>
              <w:bottom w:val="single" w:sz="8" w:color="auto"/>
            </w:tcBorders>
          </w:tcPr>
          <w:p>
            <w:pPr>
              <w:spacing w:after="0"/>
              <w:rPr>
                <w:sz w:val="24"/>
                <w:szCs w:val="24"/>
                <w:color w:val="auto"/>
              </w:rPr>
            </w:pPr>
          </w:p>
        </w:tc>
        <w:tc>
          <w:tcPr>
            <w:tcW w:w="30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rPr>
              <w:t>Address:</w:t>
            </w:r>
          </w:p>
        </w:tc>
        <w:tc>
          <w:tcPr>
            <w:tcW w:w="1380" w:type="dxa"/>
            <w:vAlign w:val="bottom"/>
            <w:tcBorders>
              <w:bottom w:val="single" w:sz="8" w:color="auto"/>
              <w:right w:val="single" w:sz="8" w:color="auto"/>
            </w:tcBorders>
          </w:tcPr>
          <w:p>
            <w:pPr>
              <w:spacing w:after="0"/>
              <w:rPr>
                <w:sz w:val="24"/>
                <w:szCs w:val="24"/>
                <w:color w:val="auto"/>
              </w:rPr>
            </w:pPr>
          </w:p>
        </w:tc>
        <w:tc>
          <w:tcPr>
            <w:tcW w:w="5440" w:type="dxa"/>
            <w:vAlign w:val="bottom"/>
            <w:tcBorders>
              <w:bottom w:val="single" w:sz="8" w:color="auto"/>
              <w:right w:val="single" w:sz="8" w:color="auto"/>
            </w:tcBorders>
          </w:tcPr>
          <w:p>
            <w:pPr>
              <w:ind w:left="100"/>
              <w:spacing w:after="0" w:line="277" w:lineRule="exact"/>
              <w:rPr>
                <w:sz w:val="20"/>
                <w:szCs w:val="20"/>
                <w:color w:val="auto"/>
              </w:rPr>
            </w:pPr>
            <w:r>
              <w:rPr>
                <w:rFonts w:ascii="Arial" w:cs="Arial" w:eastAsia="Arial" w:hAnsi="Arial"/>
                <w:sz w:val="20"/>
                <w:szCs w:val="20"/>
                <w:color w:val="auto"/>
              </w:rPr>
              <w:t>200 Broadway, 3</w:t>
            </w:r>
            <w:r>
              <w:rPr>
                <w:rFonts w:ascii="Arial" w:cs="Arial" w:eastAsia="Arial" w:hAnsi="Arial"/>
                <w:sz w:val="29"/>
                <w:szCs w:val="29"/>
                <w:color w:val="auto"/>
                <w:vertAlign w:val="superscript"/>
              </w:rPr>
              <w:t>rd</w:t>
            </w:r>
            <w:r>
              <w:rPr>
                <w:rFonts w:ascii="Arial" w:cs="Arial" w:eastAsia="Arial" w:hAnsi="Arial"/>
                <w:sz w:val="20"/>
                <w:szCs w:val="20"/>
                <w:color w:val="auto"/>
              </w:rPr>
              <w:t xml:space="preserve"> Floor, New York, NY 10038</w:t>
            </w:r>
          </w:p>
        </w:tc>
      </w:tr>
      <w:tr>
        <w:trPr>
          <w:trHeight w:val="250"/>
        </w:trPr>
        <w:tc>
          <w:tcPr>
            <w:tcW w:w="120" w:type="dxa"/>
            <w:vAlign w:val="bottom"/>
            <w:tcBorders>
              <w:left w:val="single" w:sz="8" w:color="auto"/>
            </w:tcBorders>
            <w:shd w:val="clear" w:color="auto" w:fill="F2F2F2"/>
          </w:tcPr>
          <w:p>
            <w:pPr>
              <w:spacing w:after="0"/>
              <w:rPr>
                <w:sz w:val="21"/>
                <w:szCs w:val="21"/>
                <w:color w:val="auto"/>
              </w:rPr>
            </w:pPr>
          </w:p>
        </w:tc>
        <w:tc>
          <w:tcPr>
            <w:tcW w:w="1880" w:type="dxa"/>
            <w:vAlign w:val="bottom"/>
            <w:shd w:val="clear" w:color="auto" w:fill="F2F2F2"/>
          </w:tcPr>
          <w:p>
            <w:pPr>
              <w:spacing w:after="0"/>
              <w:rPr>
                <w:sz w:val="21"/>
                <w:szCs w:val="21"/>
                <w:color w:val="auto"/>
              </w:rPr>
            </w:pPr>
          </w:p>
        </w:tc>
        <w:tc>
          <w:tcPr>
            <w:tcW w:w="40" w:type="dxa"/>
            <w:vAlign w:val="bottom"/>
            <w:shd w:val="clear" w:color="auto" w:fill="F2F2F2"/>
          </w:tcPr>
          <w:p>
            <w:pPr>
              <w:spacing w:after="0"/>
              <w:rPr>
                <w:sz w:val="21"/>
                <w:szCs w:val="21"/>
                <w:color w:val="auto"/>
              </w:rPr>
            </w:pPr>
          </w:p>
        </w:tc>
        <w:tc>
          <w:tcPr>
            <w:tcW w:w="660" w:type="dxa"/>
            <w:vAlign w:val="bottom"/>
            <w:shd w:val="clear" w:color="auto" w:fill="F2F2F2"/>
          </w:tcPr>
          <w:p>
            <w:pPr>
              <w:spacing w:after="0"/>
              <w:rPr>
                <w:sz w:val="21"/>
                <w:szCs w:val="21"/>
                <w:color w:val="auto"/>
              </w:rPr>
            </w:pPr>
          </w:p>
        </w:tc>
        <w:tc>
          <w:tcPr>
            <w:tcW w:w="20" w:type="dxa"/>
            <w:vAlign w:val="bottom"/>
            <w:shd w:val="clear" w:color="auto" w:fill="F2F2F2"/>
          </w:tcPr>
          <w:p>
            <w:pPr>
              <w:spacing w:after="0"/>
              <w:rPr>
                <w:sz w:val="21"/>
                <w:szCs w:val="21"/>
                <w:color w:val="auto"/>
              </w:rPr>
            </w:pPr>
          </w:p>
        </w:tc>
        <w:tc>
          <w:tcPr>
            <w:tcW w:w="400" w:type="dxa"/>
            <w:vAlign w:val="bottom"/>
            <w:shd w:val="clear" w:color="auto" w:fill="F2F2F2"/>
          </w:tcPr>
          <w:p>
            <w:pPr>
              <w:spacing w:after="0"/>
              <w:rPr>
                <w:sz w:val="21"/>
                <w:szCs w:val="21"/>
                <w:color w:val="auto"/>
              </w:rPr>
            </w:pPr>
          </w:p>
        </w:tc>
        <w:tc>
          <w:tcPr>
            <w:tcW w:w="6820" w:type="dxa"/>
            <w:vAlign w:val="bottom"/>
            <w:tcBorders>
              <w:right w:val="single" w:sz="8" w:color="auto"/>
            </w:tcBorders>
            <w:gridSpan w:val="2"/>
            <w:shd w:val="clear" w:color="auto" w:fill="F2F2F2"/>
          </w:tcPr>
          <w:p>
            <w:pPr>
              <w:jc w:val="center"/>
              <w:ind w:right="3021"/>
              <w:spacing w:after="0"/>
              <w:rPr>
                <w:sz w:val="20"/>
                <w:szCs w:val="20"/>
                <w:color w:val="auto"/>
              </w:rPr>
            </w:pPr>
            <w:r>
              <w:rPr>
                <w:rFonts w:ascii="Arial" w:cs="Arial" w:eastAsia="Arial" w:hAnsi="Arial"/>
                <w:sz w:val="20"/>
                <w:szCs w:val="20"/>
                <w:b w:val="1"/>
                <w:bCs w:val="1"/>
                <w:color w:val="auto"/>
                <w:w w:val="99"/>
              </w:rPr>
              <w:t>WEWORK CONTACT DETAILS</w:t>
            </w:r>
          </w:p>
        </w:tc>
      </w:tr>
      <w:tr>
        <w:trPr>
          <w:trHeight w:val="176"/>
        </w:trPr>
        <w:tc>
          <w:tcPr>
            <w:tcW w:w="120" w:type="dxa"/>
            <w:vAlign w:val="bottom"/>
            <w:tcBorders>
              <w:left w:val="single" w:sz="8" w:color="auto"/>
              <w:bottom w:val="single" w:sz="8" w:color="auto"/>
            </w:tcBorders>
            <w:shd w:val="clear" w:color="auto" w:fill="F2F2F2"/>
          </w:tcPr>
          <w:p>
            <w:pPr>
              <w:spacing w:after="0"/>
              <w:rPr>
                <w:sz w:val="15"/>
                <w:szCs w:val="15"/>
                <w:color w:val="auto"/>
              </w:rPr>
            </w:pPr>
          </w:p>
        </w:tc>
        <w:tc>
          <w:tcPr>
            <w:tcW w:w="1880" w:type="dxa"/>
            <w:vAlign w:val="bottom"/>
            <w:tcBorders>
              <w:bottom w:val="single" w:sz="8" w:color="auto"/>
            </w:tcBorders>
            <w:shd w:val="clear" w:color="auto" w:fill="F2F2F2"/>
          </w:tcPr>
          <w:p>
            <w:pPr>
              <w:spacing w:after="0"/>
              <w:rPr>
                <w:sz w:val="15"/>
                <w:szCs w:val="15"/>
                <w:color w:val="auto"/>
              </w:rPr>
            </w:pPr>
          </w:p>
        </w:tc>
        <w:tc>
          <w:tcPr>
            <w:tcW w:w="40" w:type="dxa"/>
            <w:vAlign w:val="bottom"/>
            <w:tcBorders>
              <w:bottom w:val="single" w:sz="8" w:color="auto"/>
            </w:tcBorders>
            <w:shd w:val="clear" w:color="auto" w:fill="F2F2F2"/>
          </w:tcPr>
          <w:p>
            <w:pPr>
              <w:spacing w:after="0"/>
              <w:rPr>
                <w:sz w:val="15"/>
                <w:szCs w:val="15"/>
                <w:color w:val="auto"/>
              </w:rPr>
            </w:pPr>
          </w:p>
        </w:tc>
        <w:tc>
          <w:tcPr>
            <w:tcW w:w="660" w:type="dxa"/>
            <w:vAlign w:val="bottom"/>
            <w:tcBorders>
              <w:bottom w:val="single" w:sz="8" w:color="auto"/>
            </w:tcBorders>
            <w:shd w:val="clear" w:color="auto" w:fill="F2F2F2"/>
          </w:tcPr>
          <w:p>
            <w:pPr>
              <w:spacing w:after="0"/>
              <w:rPr>
                <w:sz w:val="15"/>
                <w:szCs w:val="15"/>
                <w:color w:val="auto"/>
              </w:rPr>
            </w:pPr>
          </w:p>
        </w:tc>
        <w:tc>
          <w:tcPr>
            <w:tcW w:w="20" w:type="dxa"/>
            <w:vAlign w:val="bottom"/>
            <w:tcBorders>
              <w:bottom w:val="single" w:sz="8" w:color="auto"/>
            </w:tcBorders>
            <w:shd w:val="clear" w:color="auto" w:fill="F2F2F2"/>
          </w:tcPr>
          <w:p>
            <w:pPr>
              <w:spacing w:after="0"/>
              <w:rPr>
                <w:sz w:val="15"/>
                <w:szCs w:val="15"/>
                <w:color w:val="auto"/>
              </w:rPr>
            </w:pPr>
          </w:p>
        </w:tc>
        <w:tc>
          <w:tcPr>
            <w:tcW w:w="400" w:type="dxa"/>
            <w:vAlign w:val="bottom"/>
            <w:tcBorders>
              <w:bottom w:val="single" w:sz="8" w:color="auto"/>
            </w:tcBorders>
            <w:shd w:val="clear" w:color="auto" w:fill="F2F2F2"/>
          </w:tcPr>
          <w:p>
            <w:pPr>
              <w:spacing w:after="0"/>
              <w:rPr>
                <w:sz w:val="15"/>
                <w:szCs w:val="15"/>
                <w:color w:val="auto"/>
              </w:rPr>
            </w:pPr>
          </w:p>
        </w:tc>
        <w:tc>
          <w:tcPr>
            <w:tcW w:w="1380" w:type="dxa"/>
            <w:vAlign w:val="bottom"/>
            <w:tcBorders>
              <w:bottom w:val="single" w:sz="8" w:color="auto"/>
              <w:right w:val="single" w:sz="8" w:color="F2F2F2"/>
            </w:tcBorders>
            <w:shd w:val="clear" w:color="auto" w:fill="F2F2F2"/>
          </w:tcPr>
          <w:p>
            <w:pPr>
              <w:spacing w:after="0"/>
              <w:rPr>
                <w:sz w:val="15"/>
                <w:szCs w:val="15"/>
                <w:color w:val="auto"/>
              </w:rPr>
            </w:pPr>
          </w:p>
        </w:tc>
        <w:tc>
          <w:tcPr>
            <w:tcW w:w="5440" w:type="dxa"/>
            <w:vAlign w:val="bottom"/>
            <w:tcBorders>
              <w:bottom w:val="single" w:sz="8" w:color="auto"/>
              <w:right w:val="single" w:sz="8" w:color="auto"/>
            </w:tcBorders>
            <w:shd w:val="clear" w:color="auto" w:fill="F2F2F2"/>
          </w:tcPr>
          <w:p>
            <w:pPr>
              <w:spacing w:after="0"/>
              <w:rPr>
                <w:sz w:val="15"/>
                <w:szCs w:val="15"/>
                <w:color w:val="auto"/>
              </w:rPr>
            </w:pPr>
          </w:p>
        </w:tc>
      </w:tr>
      <w:tr>
        <w:trPr>
          <w:trHeight w:val="183"/>
        </w:trPr>
        <w:tc>
          <w:tcPr>
            <w:tcW w:w="120" w:type="dxa"/>
            <w:vAlign w:val="bottom"/>
            <w:tcBorders>
              <w:left w:val="single" w:sz="8" w:color="auto"/>
            </w:tcBorders>
          </w:tcPr>
          <w:p>
            <w:pPr>
              <w:spacing w:after="0"/>
              <w:rPr>
                <w:sz w:val="15"/>
                <w:szCs w:val="15"/>
                <w:color w:val="auto"/>
              </w:rPr>
            </w:pPr>
          </w:p>
        </w:tc>
        <w:tc>
          <w:tcPr>
            <w:tcW w:w="3000" w:type="dxa"/>
            <w:vAlign w:val="bottom"/>
            <w:gridSpan w:val="5"/>
          </w:tcPr>
          <w:p>
            <w:pPr>
              <w:spacing w:after="0" w:line="183" w:lineRule="exact"/>
              <w:rPr>
                <w:sz w:val="20"/>
                <w:szCs w:val="20"/>
                <w:color w:val="auto"/>
              </w:rPr>
            </w:pPr>
            <w:r>
              <w:rPr>
                <w:rFonts w:ascii="Arial" w:cs="Arial" w:eastAsia="Arial" w:hAnsi="Arial"/>
                <w:sz w:val="20"/>
                <w:szCs w:val="20"/>
                <w:b w:val="1"/>
                <w:bCs w:val="1"/>
                <w:color w:val="auto"/>
              </w:rPr>
              <w:t>MAIN WEWORK CONTACT</w:t>
            </w:r>
          </w:p>
        </w:tc>
        <w:tc>
          <w:tcPr>
            <w:tcW w:w="1380" w:type="dxa"/>
            <w:vAlign w:val="bottom"/>
          </w:tcPr>
          <w:p>
            <w:pPr>
              <w:spacing w:after="0"/>
              <w:rPr>
                <w:sz w:val="15"/>
                <w:szCs w:val="15"/>
                <w:color w:val="auto"/>
              </w:rPr>
            </w:pPr>
          </w:p>
        </w:tc>
        <w:tc>
          <w:tcPr>
            <w:tcW w:w="5440" w:type="dxa"/>
            <w:vAlign w:val="bottom"/>
            <w:tcBorders>
              <w:right w:val="single" w:sz="8" w:color="auto"/>
            </w:tcBorders>
          </w:tcPr>
          <w:p>
            <w:pPr>
              <w:spacing w:after="0"/>
              <w:rPr>
                <w:sz w:val="15"/>
                <w:szCs w:val="15"/>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5440" w:type="dxa"/>
            <w:vAlign w:val="bottom"/>
            <w:tcBorders>
              <w:bottom w:val="single" w:sz="8" w:color="auto"/>
              <w:right w:val="single" w:sz="8" w:color="auto"/>
            </w:tcBorders>
          </w:tcPr>
          <w:p>
            <w:pPr>
              <w:spacing w:after="0"/>
              <w:rPr>
                <w:sz w:val="19"/>
                <w:szCs w:val="19"/>
                <w:color w:val="auto"/>
              </w:rPr>
            </w:pPr>
          </w:p>
        </w:tc>
      </w:tr>
      <w:tr>
        <w:trPr>
          <w:trHeight w:val="244"/>
        </w:trPr>
        <w:tc>
          <w:tcPr>
            <w:tcW w:w="120" w:type="dxa"/>
            <w:vAlign w:val="bottom"/>
            <w:tcBorders>
              <w:left w:val="single" w:sz="8" w:color="auto"/>
            </w:tcBorders>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20"/>
                <w:szCs w:val="20"/>
                <w:color w:val="auto"/>
              </w:rPr>
              <w:t>WeWork Employee Name:</w:t>
            </w:r>
          </w:p>
        </w:tc>
        <w:tc>
          <w:tcPr>
            <w:tcW w:w="1380" w:type="dxa"/>
            <w:vAlign w:val="bottom"/>
            <w:tcBorders>
              <w:right w:val="single" w:sz="8" w:color="auto"/>
            </w:tcBorders>
          </w:tcPr>
          <w:p>
            <w:pPr>
              <w:spacing w:after="0"/>
              <w:rPr>
                <w:sz w:val="21"/>
                <w:szCs w:val="21"/>
                <w:color w:val="auto"/>
              </w:rPr>
            </w:pPr>
          </w:p>
        </w:tc>
        <w:tc>
          <w:tcPr>
            <w:tcW w:w="5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Mark Jacobson (Chief Operating Officer)</w:t>
            </w:r>
          </w:p>
        </w:tc>
      </w:tr>
      <w:tr>
        <w:trPr>
          <w:trHeight w:val="33"/>
        </w:trPr>
        <w:tc>
          <w:tcPr>
            <w:tcW w:w="120" w:type="dxa"/>
            <w:vAlign w:val="bottom"/>
            <w:tcBorders>
              <w:left w:val="single" w:sz="8" w:color="auto"/>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r>
      <w:tr>
        <w:trPr>
          <w:trHeight w:val="244"/>
        </w:trPr>
        <w:tc>
          <w:tcPr>
            <w:tcW w:w="120" w:type="dxa"/>
            <w:vAlign w:val="bottom"/>
            <w:tcBorders>
              <w:left w:val="single" w:sz="8" w:color="auto"/>
            </w:tcBorders>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20"/>
                <w:szCs w:val="20"/>
                <w:color w:val="auto"/>
              </w:rPr>
              <w:t>Phone Number:</w:t>
            </w:r>
          </w:p>
        </w:tc>
        <w:tc>
          <w:tcPr>
            <w:tcW w:w="1380" w:type="dxa"/>
            <w:vAlign w:val="bottom"/>
            <w:tcBorders>
              <w:right w:val="single" w:sz="8" w:color="auto"/>
            </w:tcBorders>
          </w:tcPr>
          <w:p>
            <w:pPr>
              <w:spacing w:after="0"/>
              <w:rPr>
                <w:sz w:val="21"/>
                <w:szCs w:val="21"/>
                <w:color w:val="auto"/>
              </w:rPr>
            </w:pPr>
          </w:p>
        </w:tc>
        <w:tc>
          <w:tcPr>
            <w:tcW w:w="5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212-332-3243</w:t>
            </w:r>
          </w:p>
        </w:tc>
      </w:tr>
      <w:tr>
        <w:trPr>
          <w:trHeight w:val="33"/>
        </w:trPr>
        <w:tc>
          <w:tcPr>
            <w:tcW w:w="120" w:type="dxa"/>
            <w:vAlign w:val="bottom"/>
            <w:tcBorders>
              <w:left w:val="single" w:sz="8" w:color="auto"/>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r>
      <w:tr>
        <w:trPr>
          <w:trHeight w:val="244"/>
        </w:trPr>
        <w:tc>
          <w:tcPr>
            <w:tcW w:w="120" w:type="dxa"/>
            <w:vAlign w:val="bottom"/>
            <w:tcBorders>
              <w:left w:val="single" w:sz="8" w:color="auto"/>
            </w:tcBorders>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20"/>
                <w:szCs w:val="20"/>
                <w:color w:val="auto"/>
              </w:rPr>
              <w:t>Email:</w:t>
            </w:r>
          </w:p>
        </w:tc>
        <w:tc>
          <w:tcPr>
            <w:tcW w:w="1380" w:type="dxa"/>
            <w:vAlign w:val="bottom"/>
            <w:tcBorders>
              <w:right w:val="single" w:sz="8" w:color="auto"/>
            </w:tcBorders>
          </w:tcPr>
          <w:p>
            <w:pPr>
              <w:spacing w:after="0"/>
              <w:rPr>
                <w:sz w:val="21"/>
                <w:szCs w:val="21"/>
                <w:color w:val="auto"/>
              </w:rPr>
            </w:pPr>
          </w:p>
        </w:tc>
        <w:tc>
          <w:tcPr>
            <w:tcW w:w="5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mjacobson@axsome.com</w:t>
            </w:r>
          </w:p>
        </w:tc>
      </w:tr>
      <w:tr>
        <w:trPr>
          <w:trHeight w:val="33"/>
        </w:trPr>
        <w:tc>
          <w:tcPr>
            <w:tcW w:w="120" w:type="dxa"/>
            <w:vAlign w:val="bottom"/>
            <w:tcBorders>
              <w:left w:val="single" w:sz="8" w:color="auto"/>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r>
      <w:tr>
        <w:trPr>
          <w:trHeight w:val="1105"/>
        </w:trPr>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20" w:type="dxa"/>
            <w:vAlign w:val="bottom"/>
            <w:gridSpan w:val="2"/>
          </w:tcPr>
          <w:p>
            <w:pPr>
              <w:jc w:val="center"/>
              <w:ind w:right="3021"/>
              <w:spacing w:after="0"/>
              <w:rPr>
                <w:sz w:val="20"/>
                <w:szCs w:val="20"/>
                <w:color w:val="auto"/>
              </w:rPr>
            </w:pPr>
            <w:r>
              <w:rPr>
                <w:rFonts w:ascii="Arial" w:cs="Arial" w:eastAsia="Arial" w:hAnsi="Arial"/>
                <w:sz w:val="20"/>
                <w:szCs w:val="20"/>
                <w:color w:val="auto"/>
                <w:w w:val="89"/>
              </w:rPr>
              <w:t>6</w:t>
            </w:r>
          </w:p>
        </w:tc>
      </w:tr>
      <w:tr>
        <w:trPr>
          <w:trHeight w:val="556"/>
        </w:trPr>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118" w:right="979" w:bottom="1440" w:gutter="0" w:footer="0" w:header="0"/>
        </w:sectPr>
      </w:pPr>
    </w:p>
    <w:bookmarkStart w:id="108" w:name="page109"/>
    <w:bookmarkEnd w:id="108"/>
    <w:p>
      <w:pPr>
        <w:ind w:left="140"/>
        <w:spacing w:after="0"/>
        <w:rPr>
          <w:sz w:val="20"/>
          <w:szCs w:val="20"/>
          <w:color w:val="auto"/>
        </w:rPr>
      </w:pPr>
      <w:r>
        <w:rPr>
          <w:rFonts w:ascii="Arial" w:cs="Arial" w:eastAsia="Arial" w:hAnsi="Arial"/>
          <w:sz w:val="20"/>
          <w:szCs w:val="20"/>
          <w:b w:val="1"/>
          <w:bCs w:val="1"/>
          <w:color w:val="auto"/>
        </w:rPr>
        <w:t xml:space="preserve">SIGNATURE: </w:t>
      </w:r>
      <w:r>
        <w:rPr>
          <w:rFonts w:ascii="Arial" w:cs="Arial" w:eastAsia="Arial" w:hAnsi="Arial"/>
          <w:sz w:val="20"/>
          <w:szCs w:val="20"/>
          <w:color w:val="auto"/>
        </w:rPr>
        <w:t>(Signatory must match Authorized Signatory as noted in Contact Details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-139700</wp:posOffset>
            </wp:positionV>
            <wp:extent cx="6300470" cy="2837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00470" cy="2837180"/>
                    </a:xfrm>
                    <a:prstGeom prst="rect">
                      <a:avLst/>
                    </a:prstGeom>
                    <a:noFill/>
                  </pic:spPr>
                </pic:pic>
              </a:graphicData>
            </a:graphic>
          </wp:anchor>
        </w:drawing>
      </w:r>
    </w:p>
    <w:p>
      <w:pPr>
        <w:spacing w:after="0" w:line="215" w:lineRule="exact"/>
        <w:rPr>
          <w:sz w:val="20"/>
          <w:szCs w:val="20"/>
          <w:color w:val="auto"/>
        </w:rPr>
      </w:pPr>
    </w:p>
    <w:p>
      <w:pPr>
        <w:jc w:val="both"/>
        <w:ind w:left="140" w:right="60"/>
        <w:spacing w:after="0" w:line="250" w:lineRule="auto"/>
        <w:rPr>
          <w:sz w:val="20"/>
          <w:szCs w:val="20"/>
          <w:color w:val="auto"/>
        </w:rPr>
      </w:pPr>
      <w:r>
        <w:rPr>
          <w:rFonts w:ascii="Arial" w:cs="Arial" w:eastAsia="Arial" w:hAnsi="Arial"/>
          <w:sz w:val="20"/>
          <w:szCs w:val="20"/>
          <w:color w:val="auto"/>
        </w:rPr>
        <w:t>This Agreement, including the Terms and Conditions, Membership Details Form and Exhibits attached hereto, will be effective when signed by both parties. In the event of any conflict between the Terms and Conditions, the Membership Details Form and Exhibits, the Membership Details Form shall prevail.</w:t>
      </w:r>
    </w:p>
    <w:p>
      <w:pPr>
        <w:spacing w:after="0" w:line="199" w:lineRule="exact"/>
        <w:rPr>
          <w:sz w:val="20"/>
          <w:szCs w:val="20"/>
          <w:color w:val="auto"/>
        </w:rPr>
      </w:pPr>
    </w:p>
    <w:p>
      <w:pPr>
        <w:jc w:val="both"/>
        <w:ind w:left="140" w:right="60"/>
        <w:spacing w:after="0" w:line="316" w:lineRule="auto"/>
        <w:rPr>
          <w:sz w:val="20"/>
          <w:szCs w:val="20"/>
          <w:color w:val="auto"/>
        </w:rPr>
      </w:pPr>
      <w:r>
        <w:rPr>
          <w:rFonts w:ascii="Arial" w:cs="Arial" w:eastAsia="Arial" w:hAnsi="Arial"/>
          <w:sz w:val="18"/>
          <w:szCs w:val="18"/>
          <w:color w:val="auto"/>
        </w:rPr>
        <w:t>By signing this Agreement you represent to us that you have the proper authority to execute this Agreement on behalf of the company listed above and incur the obligations described in this Agreement on behalf of such company.</w:t>
      </w:r>
    </w:p>
    <w:p>
      <w:pPr>
        <w:sectPr>
          <w:pgSz w:w="11900" w:h="16838" w:orient="portrait"/>
          <w:cols w:equalWidth="0" w:num="1">
            <w:col w:w="9620"/>
          </w:cols>
          <w:pgMar w:left="980" w:top="1116" w:right="1299" w:bottom="1440" w:gutter="0" w:footer="0" w:header="0"/>
        </w:sectPr>
      </w:pPr>
    </w:p>
    <w:p>
      <w:pPr>
        <w:spacing w:after="0" w:line="137"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COMPANY SIGNATURE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90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Company Name:</w:t>
            </w:r>
          </w:p>
        </w:tc>
        <w:tc>
          <w:tcPr>
            <w:tcW w:w="2540" w:type="dxa"/>
            <w:vAlign w:val="bottom"/>
            <w:tcBorders>
              <w:bottom w:val="single" w:sz="8" w:color="auto"/>
            </w:tcBorders>
          </w:tcPr>
          <w:p>
            <w:pPr>
              <w:ind w:left="380"/>
              <w:spacing w:after="0"/>
              <w:rPr>
                <w:sz w:val="20"/>
                <w:szCs w:val="20"/>
                <w:color w:val="auto"/>
              </w:rPr>
            </w:pPr>
            <w:r>
              <w:rPr>
                <w:rFonts w:ascii="Arial" w:cs="Arial" w:eastAsia="Arial" w:hAnsi="Arial"/>
                <w:sz w:val="20"/>
                <w:szCs w:val="20"/>
                <w:color w:val="auto"/>
              </w:rPr>
              <w:t>Axsome Therapeutics</w:t>
            </w:r>
          </w:p>
        </w:tc>
      </w:tr>
      <w:tr>
        <w:trPr>
          <w:trHeight w:val="291"/>
        </w:trPr>
        <w:tc>
          <w:tcPr>
            <w:tcW w:w="190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Signature:</w:t>
            </w:r>
          </w:p>
        </w:tc>
        <w:tc>
          <w:tcPr>
            <w:tcW w:w="2540" w:type="dxa"/>
            <w:vAlign w:val="bottom"/>
            <w:tcBorders>
              <w:bottom w:val="single" w:sz="8" w:color="auto"/>
            </w:tcBorders>
          </w:tcPr>
          <w:p>
            <w:pPr>
              <w:ind w:left="380"/>
              <w:spacing w:after="0"/>
              <w:rPr>
                <w:sz w:val="20"/>
                <w:szCs w:val="20"/>
                <w:color w:val="auto"/>
              </w:rPr>
            </w:pPr>
            <w:r>
              <w:rPr>
                <w:rFonts w:ascii="Arial" w:cs="Arial" w:eastAsia="Arial" w:hAnsi="Arial"/>
                <w:sz w:val="20"/>
                <w:szCs w:val="20"/>
                <w:color w:val="auto"/>
              </w:rPr>
              <w:t>/s/ Nick Pizzie</w:t>
            </w:r>
          </w:p>
        </w:tc>
      </w:tr>
      <w:tr>
        <w:trPr>
          <w:trHeight w:val="291"/>
        </w:trPr>
        <w:tc>
          <w:tcPr>
            <w:tcW w:w="190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Name (Print):</w:t>
            </w:r>
          </w:p>
        </w:tc>
        <w:tc>
          <w:tcPr>
            <w:tcW w:w="2540" w:type="dxa"/>
            <w:vAlign w:val="bottom"/>
            <w:tcBorders>
              <w:bottom w:val="single" w:sz="8" w:color="auto"/>
            </w:tcBorders>
          </w:tcPr>
          <w:p>
            <w:pPr>
              <w:ind w:left="380"/>
              <w:spacing w:after="0"/>
              <w:rPr>
                <w:sz w:val="20"/>
                <w:szCs w:val="20"/>
                <w:color w:val="auto"/>
              </w:rPr>
            </w:pPr>
            <w:r>
              <w:rPr>
                <w:rFonts w:ascii="Arial" w:cs="Arial" w:eastAsia="Arial" w:hAnsi="Arial"/>
                <w:sz w:val="20"/>
                <w:szCs w:val="20"/>
                <w:color w:val="auto"/>
              </w:rPr>
              <w:t>Nick Pizzie</w:t>
            </w:r>
          </w:p>
        </w:tc>
      </w:tr>
      <w:tr>
        <w:trPr>
          <w:trHeight w:val="290"/>
        </w:trPr>
        <w:tc>
          <w:tcPr>
            <w:tcW w:w="190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Title:</w:t>
            </w:r>
          </w:p>
        </w:tc>
        <w:tc>
          <w:tcPr>
            <w:tcW w:w="2540" w:type="dxa"/>
            <w:vAlign w:val="bottom"/>
            <w:tcBorders>
              <w:bottom w:val="single" w:sz="8" w:color="auto"/>
            </w:tcBorders>
          </w:tcPr>
          <w:p>
            <w:pPr>
              <w:ind w:left="380"/>
              <w:spacing w:after="0"/>
              <w:rPr>
                <w:sz w:val="20"/>
                <w:szCs w:val="20"/>
                <w:color w:val="auto"/>
              </w:rPr>
            </w:pPr>
            <w:r>
              <w:rPr>
                <w:rFonts w:ascii="Arial" w:cs="Arial" w:eastAsia="Arial" w:hAnsi="Arial"/>
                <w:sz w:val="20"/>
                <w:szCs w:val="20"/>
                <w:color w:val="auto"/>
              </w:rPr>
              <w:t>Chief Financial Officer</w:t>
            </w:r>
          </w:p>
        </w:tc>
      </w:tr>
      <w:tr>
        <w:trPr>
          <w:trHeight w:val="295"/>
        </w:trPr>
        <w:tc>
          <w:tcPr>
            <w:tcW w:w="1900" w:type="dxa"/>
            <w:vAlign w:val="bottom"/>
          </w:tcPr>
          <w:p>
            <w:pPr>
              <w:ind w:left="140"/>
              <w:spacing w:after="0"/>
              <w:rPr>
                <w:sz w:val="20"/>
                <w:szCs w:val="20"/>
                <w:color w:val="auto"/>
              </w:rPr>
            </w:pPr>
            <w:r>
              <w:rPr>
                <w:rFonts w:ascii="Arial" w:cs="Arial" w:eastAsia="Arial" w:hAnsi="Arial"/>
                <w:sz w:val="20"/>
                <w:szCs w:val="20"/>
                <w:color w:val="auto"/>
              </w:rPr>
              <w:t>Date:</w:t>
            </w:r>
          </w:p>
        </w:tc>
        <w:tc>
          <w:tcPr>
            <w:tcW w:w="2540" w:type="dxa"/>
            <w:vAlign w:val="bottom"/>
          </w:tcPr>
          <w:p>
            <w:pPr>
              <w:ind w:left="380"/>
              <w:spacing w:after="0"/>
              <w:rPr>
                <w:sz w:val="20"/>
                <w:szCs w:val="20"/>
                <w:color w:val="auto"/>
              </w:rPr>
            </w:pPr>
            <w:r>
              <w:rPr>
                <w:rFonts w:ascii="Arial" w:cs="Arial" w:eastAsia="Arial" w:hAnsi="Arial"/>
                <w:sz w:val="20"/>
                <w:szCs w:val="20"/>
                <w:color w:val="auto"/>
              </w:rPr>
              <w:t>6/5/2020</w:t>
            </w:r>
          </w:p>
        </w:tc>
      </w:tr>
    </w:tbl>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WEWORK SIGNATURE</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20"/>
          <w:szCs w:val="20"/>
          <w:color w:val="auto"/>
        </w:rPr>
        <w:t>WeWork Building Entity: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88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Signature:</w:t>
            </w:r>
          </w:p>
        </w:tc>
        <w:tc>
          <w:tcPr>
            <w:tcW w:w="2700" w:type="dxa"/>
            <w:vAlign w:val="bottom"/>
            <w:tcBorders>
              <w:bottom w:val="single" w:sz="8" w:color="auto"/>
            </w:tcBorders>
          </w:tcPr>
          <w:p>
            <w:pPr>
              <w:ind w:left="720"/>
              <w:spacing w:after="0"/>
              <w:rPr>
                <w:sz w:val="20"/>
                <w:szCs w:val="20"/>
                <w:color w:val="auto"/>
              </w:rPr>
            </w:pPr>
            <w:r>
              <w:rPr>
                <w:rFonts w:ascii="Arial" w:cs="Arial" w:eastAsia="Arial" w:hAnsi="Arial"/>
                <w:sz w:val="20"/>
                <w:szCs w:val="20"/>
                <w:color w:val="auto"/>
              </w:rPr>
              <w:t>/s/ Caroline Walls</w:t>
            </w:r>
          </w:p>
        </w:tc>
      </w:tr>
      <w:tr>
        <w:trPr>
          <w:trHeight w:val="291"/>
        </w:trPr>
        <w:tc>
          <w:tcPr>
            <w:tcW w:w="188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Name (Print):</w:t>
            </w:r>
          </w:p>
        </w:tc>
        <w:tc>
          <w:tcPr>
            <w:tcW w:w="2700" w:type="dxa"/>
            <w:vAlign w:val="bottom"/>
            <w:tcBorders>
              <w:bottom w:val="single" w:sz="8" w:color="auto"/>
            </w:tcBorders>
          </w:tcPr>
          <w:p>
            <w:pPr>
              <w:ind w:left="720"/>
              <w:spacing w:after="0"/>
              <w:rPr>
                <w:sz w:val="20"/>
                <w:szCs w:val="20"/>
                <w:color w:val="auto"/>
              </w:rPr>
            </w:pPr>
            <w:r>
              <w:rPr>
                <w:rFonts w:ascii="Arial" w:cs="Arial" w:eastAsia="Arial" w:hAnsi="Arial"/>
                <w:sz w:val="20"/>
                <w:szCs w:val="20"/>
                <w:color w:val="auto"/>
              </w:rPr>
              <w:t>Caroline Walls</w:t>
            </w:r>
          </w:p>
        </w:tc>
      </w:tr>
      <w:tr>
        <w:trPr>
          <w:trHeight w:val="290"/>
        </w:trPr>
        <w:tc>
          <w:tcPr>
            <w:tcW w:w="188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Title:</w:t>
            </w:r>
          </w:p>
        </w:tc>
        <w:tc>
          <w:tcPr>
            <w:tcW w:w="2700" w:type="dxa"/>
            <w:vAlign w:val="bottom"/>
            <w:tcBorders>
              <w:bottom w:val="single" w:sz="8" w:color="auto"/>
            </w:tcBorders>
          </w:tcPr>
          <w:p>
            <w:pPr>
              <w:ind w:left="720"/>
              <w:spacing w:after="0"/>
              <w:rPr>
                <w:sz w:val="20"/>
                <w:szCs w:val="20"/>
                <w:color w:val="auto"/>
              </w:rPr>
            </w:pPr>
            <w:r>
              <w:rPr>
                <w:rFonts w:ascii="Arial" w:cs="Arial" w:eastAsia="Arial" w:hAnsi="Arial"/>
                <w:sz w:val="20"/>
                <w:szCs w:val="20"/>
                <w:color w:val="auto"/>
              </w:rPr>
              <w:t>Account Director</w:t>
            </w:r>
          </w:p>
        </w:tc>
      </w:tr>
      <w:tr>
        <w:trPr>
          <w:trHeight w:val="291"/>
        </w:trPr>
        <w:tc>
          <w:tcPr>
            <w:tcW w:w="188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Date:</w:t>
            </w:r>
          </w:p>
        </w:tc>
        <w:tc>
          <w:tcPr>
            <w:tcW w:w="2700" w:type="dxa"/>
            <w:vAlign w:val="bottom"/>
            <w:tcBorders>
              <w:bottom w:val="single" w:sz="8" w:color="auto"/>
            </w:tcBorders>
          </w:tcPr>
          <w:p>
            <w:pPr>
              <w:ind w:left="720"/>
              <w:spacing w:after="0"/>
              <w:rPr>
                <w:sz w:val="20"/>
                <w:szCs w:val="20"/>
                <w:color w:val="auto"/>
              </w:rPr>
            </w:pPr>
            <w:r>
              <w:rPr>
                <w:rFonts w:ascii="Arial" w:cs="Arial" w:eastAsia="Arial" w:hAnsi="Arial"/>
                <w:sz w:val="20"/>
                <w:szCs w:val="20"/>
                <w:color w:val="auto"/>
              </w:rPr>
              <w:t>6/6/2020</w:t>
            </w:r>
          </w:p>
        </w:tc>
      </w:tr>
    </w:tbl>
    <w:p>
      <w:pPr>
        <w:spacing w:after="0" w:line="200" w:lineRule="exact"/>
        <w:rPr>
          <w:sz w:val="20"/>
          <w:szCs w:val="20"/>
          <w:color w:val="auto"/>
        </w:rPr>
      </w:pPr>
    </w:p>
    <w:p>
      <w:pPr>
        <w:sectPr>
          <w:pgSz w:w="11900" w:h="16838" w:orient="portrait"/>
          <w:cols w:equalWidth="0" w:num="2">
            <w:col w:w="4440" w:space="600"/>
            <w:col w:w="4580"/>
          </w:cols>
          <w:pgMar w:left="980" w:top="1116"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382270</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20"/>
          </w:cols>
          <w:pgMar w:left="980" w:top="1116" w:right="1299" w:bottom="1440" w:gutter="0" w:footer="0" w:header="0"/>
          <w:type w:val="continuous"/>
        </w:sectPr>
      </w:pPr>
    </w:p>
    <w:bookmarkStart w:id="109" w:name="page110"/>
    <w:bookmarkEnd w:id="109"/>
    <w:p>
      <w:pPr>
        <w:jc w:val="center"/>
        <w:ind w:right="100"/>
        <w:spacing w:after="0"/>
        <w:rPr>
          <w:sz w:val="20"/>
          <w:szCs w:val="20"/>
          <w:color w:val="auto"/>
        </w:rPr>
      </w:pPr>
      <w:r>
        <w:rPr>
          <w:rFonts w:ascii="Arial" w:cs="Arial" w:eastAsia="Arial" w:hAnsi="Arial"/>
          <w:sz w:val="20"/>
          <w:szCs w:val="20"/>
          <w:b w:val="1"/>
          <w:bCs w:val="1"/>
          <w:color w:val="auto"/>
        </w:rPr>
        <w:t>TERMS &amp; CONDITIONS</w:t>
      </w:r>
    </w:p>
    <w:p>
      <w:pPr>
        <w:spacing w:after="0" w:line="216"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1.</w:t>
        <w:tab/>
        <w:t>DEFINED TERMS</w:t>
      </w:r>
    </w:p>
    <w:p>
      <w:pPr>
        <w:spacing w:after="0" w:line="216" w:lineRule="exact"/>
        <w:rPr>
          <w:sz w:val="20"/>
          <w:szCs w:val="20"/>
          <w:color w:val="auto"/>
        </w:rPr>
      </w:pPr>
    </w:p>
    <w:p>
      <w:pPr>
        <w:jc w:val="both"/>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collectively, these Terms &amp; Conditions (the “</w:t>
      </w:r>
      <w:r>
        <w:rPr>
          <w:rFonts w:ascii="Arial" w:cs="Arial" w:eastAsia="Arial" w:hAnsi="Arial"/>
          <w:sz w:val="18"/>
          <w:szCs w:val="18"/>
          <w:b w:val="1"/>
          <w:bCs w:val="1"/>
          <w:color w:val="auto"/>
        </w:rPr>
        <w:t>Terms and Conditions</w:t>
      </w:r>
      <w:r>
        <w:rPr>
          <w:rFonts w:ascii="Arial" w:cs="Arial" w:eastAsia="Arial" w:hAnsi="Arial"/>
          <w:sz w:val="18"/>
          <w:szCs w:val="18"/>
          <w:color w:val="auto"/>
        </w:rPr>
        <w:t>”), the attached Membership Details Form cover page(s) (the “</w:t>
      </w:r>
      <w:r>
        <w:rPr>
          <w:rFonts w:ascii="Arial" w:cs="Arial" w:eastAsia="Arial" w:hAnsi="Arial"/>
          <w:sz w:val="18"/>
          <w:szCs w:val="18"/>
          <w:b w:val="1"/>
          <w:bCs w:val="1"/>
          <w:color w:val="auto"/>
        </w:rPr>
        <w:t>Membership Details Form</w:t>
      </w:r>
      <w:r>
        <w:rPr>
          <w:rFonts w:ascii="Arial" w:cs="Arial" w:eastAsia="Arial" w:hAnsi="Arial"/>
          <w:sz w:val="18"/>
          <w:szCs w:val="18"/>
          <w:color w:val="auto"/>
        </w:rPr>
        <w:t>”), and any other attachments, exhibits, and/or supplements.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Authorized Signatory</w:t>
      </w:r>
      <w:r>
        <w:rPr>
          <w:rFonts w:ascii="Arial" w:cs="Arial" w:eastAsia="Arial" w:hAnsi="Arial"/>
          <w:sz w:val="20"/>
          <w:szCs w:val="20"/>
          <w:color w:val="auto"/>
        </w:rPr>
        <w:t>” means an individual authorized to legally bind the Member Company.</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Capacity</w:t>
      </w:r>
      <w:r>
        <w:rPr>
          <w:rFonts w:ascii="Arial" w:cs="Arial" w:eastAsia="Arial" w:hAnsi="Arial"/>
          <w:sz w:val="20"/>
          <w:szCs w:val="20"/>
          <w:color w:val="auto"/>
        </w:rPr>
        <w:t>” means the maximum number of Memberships allotted to your Office Space as set forth in the Membership Details Form</w:t>
      </w:r>
      <w:r>
        <w:rPr>
          <w:rFonts w:ascii="Arial" w:cs="Arial" w:eastAsia="Arial" w:hAnsi="Arial"/>
          <w:sz w:val="20"/>
          <w:szCs w:val="20"/>
          <w:b w:val="1"/>
          <w:bCs w:val="1"/>
          <w:color w:val="auto"/>
        </w:rPr>
        <w:t>.</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Commitment Term</w:t>
      </w:r>
      <w:r>
        <w:rPr>
          <w:rFonts w:ascii="Arial" w:cs="Arial" w:eastAsia="Arial" w:hAnsi="Arial"/>
          <w:sz w:val="20"/>
          <w:szCs w:val="20"/>
          <w:color w:val="auto"/>
        </w:rPr>
        <w:t>” means the period of time from the Start Date to the last day of the period set forth on the Membership Details Form under “Commitment Term” with respect to each Individual Office Number, and which may be extended upon mutual agreement of the 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w:t>
      </w:r>
      <w:r>
        <w:rPr>
          <w:rFonts w:ascii="Arial" w:cs="Arial" w:eastAsia="Arial" w:hAnsi="Arial"/>
          <w:sz w:val="18"/>
          <w:szCs w:val="18"/>
          <w:color w:val="auto"/>
        </w:rPr>
        <w:t>” means our landlord(s) at the Main Premises. “</w:t>
      </w:r>
      <w:r>
        <w:rPr>
          <w:rFonts w:ascii="Arial" w:cs="Arial" w:eastAsia="Arial" w:hAnsi="Arial"/>
          <w:sz w:val="18"/>
          <w:szCs w:val="18"/>
          <w:b w:val="1"/>
          <w:bCs w:val="1"/>
          <w:color w:val="auto"/>
        </w:rPr>
        <w:t>Lease</w:t>
      </w:r>
      <w:r>
        <w:rPr>
          <w:rFonts w:ascii="Arial" w:cs="Arial" w:eastAsia="Arial" w:hAnsi="Arial"/>
          <w:sz w:val="18"/>
          <w:szCs w:val="18"/>
          <w:color w:val="auto"/>
        </w:rPr>
        <w:t>” means our lease with our Landlord at the Main Premises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Main Premises</w:t>
      </w:r>
      <w:r>
        <w:rPr>
          <w:rFonts w:ascii="Arial" w:cs="Arial" w:eastAsia="Arial" w:hAnsi="Arial"/>
          <w:sz w:val="18"/>
          <w:szCs w:val="18"/>
          <w:color w:val="auto"/>
        </w:rPr>
        <w:t>” means the Premises in which the Office Space is located, as set forth in the Membership Details Form.</w:t>
      </w:r>
    </w:p>
    <w:p>
      <w:pPr>
        <w:spacing w:after="0" w:line="239"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Member</w:t>
      </w:r>
      <w:r>
        <w:rPr>
          <w:rFonts w:ascii="Arial" w:cs="Arial" w:eastAsia="Arial" w:hAnsi="Arial"/>
          <w:sz w:val="20"/>
          <w:szCs w:val="20"/>
          <w:color w:val="auto"/>
        </w:rPr>
        <w:t>” means each individual person you authorize to receive the Services (defined below) (each Member granted a “</w:t>
      </w:r>
      <w:r>
        <w:rPr>
          <w:rFonts w:ascii="Arial" w:cs="Arial" w:eastAsia="Arial" w:hAnsi="Arial"/>
          <w:sz w:val="20"/>
          <w:szCs w:val="20"/>
          <w:b w:val="1"/>
          <w:bCs w:val="1"/>
          <w:color w:val="auto"/>
        </w:rPr>
        <w:t>Membership</w:t>
      </w:r>
      <w:r>
        <w:rPr>
          <w:rFonts w:ascii="Arial" w:cs="Arial" w:eastAsia="Arial" w:hAnsi="Arial"/>
          <w:sz w:val="20"/>
          <w:szCs w:val="20"/>
          <w:color w:val="auto"/>
        </w:rPr>
        <w:t>”).</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Member Company</w:t>
      </w:r>
      <w:r>
        <w:rPr>
          <w:rFonts w:ascii="Arial" w:cs="Arial" w:eastAsia="Arial" w:hAnsi="Arial"/>
          <w:sz w:val="20"/>
          <w:szCs w:val="20"/>
          <w:color w:val="auto"/>
        </w:rPr>
        <w:t>” or “</w:t>
      </w:r>
      <w:r>
        <w:rPr>
          <w:rFonts w:ascii="Arial" w:cs="Arial" w:eastAsia="Arial" w:hAnsi="Arial"/>
          <w:sz w:val="20"/>
          <w:szCs w:val="20"/>
          <w:b w:val="1"/>
          <w:bCs w:val="1"/>
          <w:color w:val="auto"/>
        </w:rPr>
        <w:t>you</w:t>
      </w:r>
      <w:r>
        <w:rPr>
          <w:rFonts w:ascii="Arial" w:cs="Arial" w:eastAsia="Arial" w:hAnsi="Arial"/>
          <w:sz w:val="20"/>
          <w:szCs w:val="20"/>
          <w:color w:val="auto"/>
        </w:rPr>
        <w:t>” means the company or entity entering into this Agreement as listed in the Membership Details Form.</w:t>
      </w:r>
    </w:p>
    <w:p>
      <w:pPr>
        <w:spacing w:after="0" w:line="163" w:lineRule="exact"/>
        <w:rPr>
          <w:sz w:val="20"/>
          <w:szCs w:val="20"/>
          <w:color w:val="auto"/>
        </w:rPr>
      </w:pPr>
    </w:p>
    <w:p>
      <w:pPr>
        <w:jc w:val="both"/>
        <w:spacing w:after="0" w:line="238" w:lineRule="exact"/>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Office Space</w:t>
      </w:r>
      <w:r>
        <w:rPr>
          <w:rFonts w:ascii="Arial" w:cs="Arial" w:eastAsia="Arial" w:hAnsi="Arial"/>
          <w:sz w:val="20"/>
          <w:szCs w:val="20"/>
          <w:color w:val="auto"/>
        </w:rPr>
        <w:t>” means the office number(s) and/or workspace location(s) speci</w:t>
      </w:r>
      <w:r>
        <w:rPr>
          <w:rFonts w:ascii="Arial Unicode MS" w:cs="Arial Unicode MS" w:eastAsia="Arial Unicode MS" w:hAnsi="Arial Unicode MS"/>
          <w:sz w:val="20"/>
          <w:szCs w:val="20"/>
          <w:color w:val="auto"/>
        </w:rPr>
        <w:t></w:t>
      </w:r>
      <w:r>
        <w:rPr>
          <w:rFonts w:ascii="Arial" w:cs="Arial" w:eastAsia="Arial" w:hAnsi="Arial"/>
          <w:sz w:val="20"/>
          <w:szCs w:val="20"/>
          <w:color w:val="auto"/>
        </w:rPr>
        <w:t>ed in the Membership Details Form, provided that, if the symbol “Ø” is included on the Form, we will provide the office number(s) and/or workspace location(s) prior to the Start Date.</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Premises</w:t>
      </w:r>
      <w:r>
        <w:rPr>
          <w:rFonts w:ascii="Arial" w:cs="Arial" w:eastAsia="Arial" w:hAnsi="Arial"/>
          <w:sz w:val="20"/>
          <w:szCs w:val="20"/>
          <w:color w:val="auto"/>
        </w:rPr>
        <w:t>” means a building or portion of a building in which WeWork offers offices, workstations, other workspaces, and/or other services to WeWork members.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Primary Member</w:t>
      </w:r>
      <w:r>
        <w:rPr>
          <w:rFonts w:ascii="Arial" w:cs="Arial" w:eastAsia="Arial" w:hAnsi="Arial"/>
          <w:sz w:val="20"/>
          <w:szCs w:val="20"/>
          <w:color w:val="auto"/>
        </w:rPr>
        <w:t>” means the primary Member contact for WeWork located in the Main Premises and set out in the Member Contact Details of the Membership Details Form.</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Regular Business Days</w:t>
      </w:r>
      <w:r>
        <w:rPr>
          <w:rFonts w:ascii="Arial" w:cs="Arial" w:eastAsia="Arial" w:hAnsi="Arial"/>
          <w:sz w:val="20"/>
          <w:szCs w:val="20"/>
          <w:color w:val="auto"/>
        </w:rPr>
        <w:t>” are all weekdays, except local bank/government holidays.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Regular Business Hours</w:t>
      </w:r>
      <w:r>
        <w:rPr>
          <w:rFonts w:ascii="Arial" w:cs="Arial" w:eastAsia="Arial" w:hAnsi="Arial"/>
          <w:sz w:val="20"/>
          <w:szCs w:val="20"/>
          <w:color w:val="auto"/>
        </w:rPr>
        <w:t>” are generally from 9:00 a.m. to 6:00 p.m. on Regular Business Days.</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Set-Up Fee</w:t>
      </w:r>
      <w:r>
        <w:rPr>
          <w:rFonts w:ascii="Arial" w:cs="Arial" w:eastAsia="Arial" w:hAnsi="Arial"/>
          <w:sz w:val="20"/>
          <w:szCs w:val="20"/>
          <w:color w:val="auto"/>
        </w:rPr>
        <w:t>” means the fee you will be charged for each individual Membership included in the Capacity of your Office Space; you are obligated to pay the Set-Up Fee for each individual office that you occupy, including such Set-up Fees as may be due upon transfer, including upgrade or downgrade (i.e. transferring to an Office Space with a higher or lower Capacity), of Office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353060</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1100" w:top="873" w:right="999" w:bottom="1440" w:gutter="0" w:footer="0" w:header="0"/>
        </w:sectPr>
      </w:pPr>
    </w:p>
    <w:bookmarkStart w:id="110" w:name="page111"/>
    <w:bookmarkEnd w:id="110"/>
    <w:p>
      <w:pPr>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Start Date</w:t>
      </w:r>
      <w:r>
        <w:rPr>
          <w:rFonts w:ascii="Arial" w:cs="Arial" w:eastAsia="Arial" w:hAnsi="Arial"/>
          <w:sz w:val="20"/>
          <w:szCs w:val="20"/>
          <w:color w:val="auto"/>
        </w:rPr>
        <w:t>” means the date set forth in the Membership Details Form upon which the Services will begin being provided with respect to the Office Space.</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WeWork</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WeWork entity you are contracting with as set forth in the Membership Details Form.</w:t>
      </w:r>
    </w:p>
    <w:p>
      <w:pPr>
        <w:spacing w:after="0" w:line="212" w:lineRule="exact"/>
        <w:rPr>
          <w:sz w:val="20"/>
          <w:szCs w:val="20"/>
          <w:color w:val="auto"/>
        </w:rPr>
      </w:pPr>
    </w:p>
    <w:p>
      <w:pPr>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WeWork Member Network</w:t>
      </w:r>
      <w:r>
        <w:rPr>
          <w:rFonts w:ascii="Arial" w:cs="Arial" w:eastAsia="Arial" w:hAnsi="Arial"/>
          <w:sz w:val="20"/>
          <w:szCs w:val="20"/>
          <w:color w:val="auto"/>
        </w:rPr>
        <w:t>” means the WeWork members-only online community accessed through the internet or our mobile app.</w:t>
      </w:r>
    </w:p>
    <w:p>
      <w:pPr>
        <w:spacing w:after="0" w:line="123" w:lineRule="exact"/>
        <w:rPr>
          <w:sz w:val="20"/>
          <w:szCs w:val="20"/>
          <w:color w:val="auto"/>
        </w:rPr>
      </w:pPr>
    </w:p>
    <w:p>
      <w:pPr>
        <w:ind w:left="4"/>
        <w:spacing w:after="0"/>
        <w:tabs>
          <w:tab w:leader="none" w:pos="323" w:val="left"/>
        </w:tabs>
        <w:rPr>
          <w:sz w:val="20"/>
          <w:szCs w:val="20"/>
          <w:color w:val="auto"/>
        </w:rPr>
      </w:pPr>
      <w:r>
        <w:rPr>
          <w:rFonts w:ascii="Arial" w:cs="Arial" w:eastAsia="Arial" w:hAnsi="Arial"/>
          <w:sz w:val="20"/>
          <w:szCs w:val="20"/>
          <w:b w:val="1"/>
          <w:bCs w:val="1"/>
          <w:color w:val="auto"/>
        </w:rPr>
        <w:t>2.</w:t>
        <w:tab/>
        <w:t>THE BENEFITS OF MEMBERSHIP</w:t>
      </w:r>
    </w:p>
    <w:p>
      <w:pPr>
        <w:spacing w:after="0" w:line="175" w:lineRule="exact"/>
        <w:rPr>
          <w:sz w:val="20"/>
          <w:szCs w:val="20"/>
          <w:color w:val="auto"/>
        </w:rPr>
      </w:pPr>
    </w:p>
    <w:p>
      <w:pPr>
        <w:jc w:val="both"/>
        <w:ind w:left="324" w:hanging="324"/>
        <w:spacing w:after="0" w:line="248" w:lineRule="auto"/>
        <w:tabs>
          <w:tab w:leader="none" w:pos="312"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Services</w:t>
      </w:r>
      <w:r>
        <w:rPr>
          <w:rFonts w:ascii="Arial" w:cs="Arial" w:eastAsia="Arial" w:hAnsi="Arial"/>
          <w:sz w:val="20"/>
          <w:szCs w:val="20"/>
          <w:color w:val="auto"/>
        </w:rPr>
        <w:t>. Subject to the terms and conditions of this Agreement, and any other policies we make available to you with</w:t>
      </w:r>
      <w:r>
        <w:rPr>
          <w:rFonts w:ascii="Arial" w:cs="Arial" w:eastAsia="Arial" w:hAnsi="Arial"/>
          <w:sz w:val="20"/>
          <w:szCs w:val="20"/>
          <w:b w:val="1"/>
          <w:bCs w:val="1"/>
          <w:color w:val="auto"/>
        </w:rPr>
        <w:t xml:space="preserve"> </w:t>
      </w:r>
      <w:r>
        <w:rPr>
          <w:rFonts w:ascii="Arial" w:cs="Arial" w:eastAsia="Arial" w:hAnsi="Arial"/>
          <w:sz w:val="20"/>
          <w:szCs w:val="20"/>
          <w:color w:val="auto"/>
        </w:rPr>
        <w:t>prior notice from time to time, during the Term (defined below), WeWork will use commercially reasonable efforts to provide you (and your Members, as applicable) with the services described below. These services are referred to in this Agreement as the “</w:t>
      </w:r>
      <w:r>
        <w:rPr>
          <w:rFonts w:ascii="Arial" w:cs="Arial" w:eastAsia="Arial" w:hAnsi="Arial"/>
          <w:sz w:val="20"/>
          <w:szCs w:val="20"/>
          <w:b w:val="1"/>
          <w:bCs w:val="1"/>
          <w:color w:val="auto"/>
        </w:rPr>
        <w:t>Services</w:t>
      </w:r>
      <w:r>
        <w:rPr>
          <w:rFonts w:ascii="Arial" w:cs="Arial" w:eastAsia="Arial" w:hAnsi="Arial"/>
          <w:sz w:val="20"/>
          <w:szCs w:val="20"/>
          <w:color w:val="auto"/>
        </w:rPr>
        <w:t>.”</w:t>
      </w:r>
    </w:p>
    <w:p>
      <w:pPr>
        <w:spacing w:after="0" w:line="162" w:lineRule="exact"/>
        <w:rPr>
          <w:rFonts w:ascii="Arial" w:cs="Arial" w:eastAsia="Arial" w:hAnsi="Arial"/>
          <w:sz w:val="20"/>
          <w:szCs w:val="20"/>
          <w:color w:val="auto"/>
        </w:rPr>
      </w:pPr>
    </w:p>
    <w:p>
      <w:pPr>
        <w:ind w:left="984" w:hanging="441"/>
        <w:spacing w:after="0"/>
        <w:tabs>
          <w:tab w:leader="none" w:pos="984" w:val="left"/>
        </w:tabs>
        <w:numPr>
          <w:ilvl w:val="1"/>
          <w:numId w:val="42"/>
        </w:numPr>
        <w:rPr>
          <w:rFonts w:ascii="Arial" w:cs="Arial" w:eastAsia="Arial" w:hAnsi="Arial"/>
          <w:sz w:val="20"/>
          <w:szCs w:val="20"/>
          <w:color w:val="auto"/>
        </w:rPr>
      </w:pPr>
      <w:r>
        <w:rPr>
          <w:rFonts w:ascii="Arial" w:cs="Arial" w:eastAsia="Arial" w:hAnsi="Arial"/>
          <w:sz w:val="20"/>
          <w:szCs w:val="20"/>
          <w:color w:val="auto"/>
        </w:rPr>
        <w:t>Office Space at the Main Premises</w:t>
      </w:r>
    </w:p>
    <w:p>
      <w:pPr>
        <w:spacing w:after="0" w:line="175" w:lineRule="exact"/>
        <w:rPr>
          <w:rFonts w:ascii="Arial" w:cs="Arial" w:eastAsia="Arial" w:hAnsi="Arial"/>
          <w:sz w:val="20"/>
          <w:szCs w:val="20"/>
          <w:color w:val="auto"/>
        </w:rPr>
      </w:pPr>
    </w:p>
    <w:p>
      <w:pPr>
        <w:jc w:val="both"/>
        <w:ind w:left="1624" w:hanging="328"/>
        <w:spacing w:after="0" w:line="250" w:lineRule="auto"/>
        <w:tabs>
          <w:tab w:leader="none" w:pos="1720" w:val="left"/>
        </w:tabs>
        <w:numPr>
          <w:ilvl w:val="2"/>
          <w:numId w:val="42"/>
        </w:numPr>
        <w:rPr>
          <w:rFonts w:ascii="Arial" w:cs="Arial" w:eastAsia="Arial" w:hAnsi="Arial"/>
          <w:sz w:val="20"/>
          <w:szCs w:val="20"/>
          <w:color w:val="auto"/>
        </w:rPr>
      </w:pPr>
      <w:r>
        <w:rPr>
          <w:rFonts w:ascii="Arial" w:cs="Arial" w:eastAsia="Arial" w:hAnsi="Arial"/>
          <w:sz w:val="20"/>
          <w:szCs w:val="20"/>
          <w:color w:val="auto"/>
        </w:rPr>
        <w:t>Dedicated access to and use of the Office Space, subject to our access rights as set forth in this Agreement, and provided that no other WeWork members shall have access to your Office Space unless authorized by you or one of your Members.</w:t>
      </w:r>
    </w:p>
    <w:p>
      <w:pPr>
        <w:spacing w:after="0" w:line="145" w:lineRule="exact"/>
        <w:rPr>
          <w:rFonts w:ascii="Arial" w:cs="Arial" w:eastAsia="Arial" w:hAnsi="Arial"/>
          <w:sz w:val="20"/>
          <w:szCs w:val="20"/>
          <w:color w:val="auto"/>
        </w:rPr>
      </w:pPr>
    </w:p>
    <w:p>
      <w:pPr>
        <w:ind w:left="1644" w:hanging="348"/>
        <w:spacing w:after="0"/>
        <w:tabs>
          <w:tab w:leader="none" w:pos="1644" w:val="left"/>
        </w:tabs>
        <w:numPr>
          <w:ilvl w:val="2"/>
          <w:numId w:val="42"/>
        </w:numPr>
        <w:rPr>
          <w:rFonts w:ascii="Arial" w:cs="Arial" w:eastAsia="Arial" w:hAnsi="Arial"/>
          <w:sz w:val="20"/>
          <w:szCs w:val="20"/>
          <w:color w:val="auto"/>
        </w:rPr>
      </w:pPr>
      <w:r>
        <w:rPr>
          <w:rFonts w:ascii="Arial" w:cs="Arial" w:eastAsia="Arial" w:hAnsi="Arial"/>
          <w:sz w:val="20"/>
          <w:szCs w:val="20"/>
          <w:color w:val="auto"/>
        </w:rPr>
        <w:t>Regular maintenance of the Office Space, including cleaning.</w:t>
      </w:r>
    </w:p>
    <w:p>
      <w:pPr>
        <w:spacing w:after="0" w:line="188" w:lineRule="exact"/>
        <w:rPr>
          <w:rFonts w:ascii="Arial" w:cs="Arial" w:eastAsia="Arial" w:hAnsi="Arial"/>
          <w:sz w:val="20"/>
          <w:szCs w:val="20"/>
          <w:color w:val="auto"/>
        </w:rPr>
      </w:pPr>
    </w:p>
    <w:p>
      <w:pPr>
        <w:jc w:val="both"/>
        <w:ind w:left="1624" w:hanging="328"/>
        <w:spacing w:after="0" w:line="250" w:lineRule="auto"/>
        <w:tabs>
          <w:tab w:leader="none" w:pos="1657" w:val="left"/>
        </w:tabs>
        <w:numPr>
          <w:ilvl w:val="2"/>
          <w:numId w:val="42"/>
        </w:numPr>
        <w:rPr>
          <w:rFonts w:ascii="Arial" w:cs="Arial" w:eastAsia="Arial" w:hAnsi="Arial"/>
          <w:sz w:val="20"/>
          <w:szCs w:val="20"/>
          <w:color w:val="auto"/>
        </w:rPr>
      </w:pPr>
      <w:r>
        <w:rPr>
          <w:rFonts w:ascii="Arial" w:cs="Arial" w:eastAsia="Arial" w:hAnsi="Arial"/>
          <w:sz w:val="20"/>
          <w:szCs w:val="20"/>
          <w:color w:val="auto"/>
        </w:rPr>
        <w:t>Furnishings for the Office Space of the quality and in the quantity typically provided to other member companies with similar office space, workstations, and/or other workspace, as applicable, in the Premises.</w:t>
      </w:r>
    </w:p>
    <w:p>
      <w:pPr>
        <w:spacing w:after="0" w:line="145" w:lineRule="exact"/>
        <w:rPr>
          <w:rFonts w:ascii="Arial" w:cs="Arial" w:eastAsia="Arial" w:hAnsi="Arial"/>
          <w:sz w:val="20"/>
          <w:szCs w:val="20"/>
          <w:color w:val="auto"/>
        </w:rPr>
      </w:pPr>
    </w:p>
    <w:p>
      <w:pPr>
        <w:ind w:left="1644" w:hanging="348"/>
        <w:spacing w:after="0"/>
        <w:tabs>
          <w:tab w:leader="none" w:pos="1644" w:val="left"/>
        </w:tabs>
        <w:numPr>
          <w:ilvl w:val="2"/>
          <w:numId w:val="42"/>
        </w:numPr>
        <w:rPr>
          <w:rFonts w:ascii="Arial" w:cs="Arial" w:eastAsia="Arial" w:hAnsi="Arial"/>
          <w:sz w:val="19"/>
          <w:szCs w:val="19"/>
          <w:color w:val="auto"/>
        </w:rPr>
      </w:pPr>
      <w:r>
        <w:rPr>
          <w:rFonts w:ascii="Arial" w:cs="Arial" w:eastAsia="Arial" w:hAnsi="Arial"/>
          <w:sz w:val="19"/>
          <w:szCs w:val="19"/>
          <w:color w:val="auto"/>
        </w:rPr>
        <w:t>You shall be permitted to install your own printers, copiers and/or scanners in the Office Space.</w:t>
      </w:r>
    </w:p>
    <w:p>
      <w:pPr>
        <w:spacing w:after="0" w:line="186" w:lineRule="exact"/>
        <w:rPr>
          <w:rFonts w:ascii="Arial" w:cs="Arial" w:eastAsia="Arial" w:hAnsi="Arial"/>
          <w:sz w:val="19"/>
          <w:szCs w:val="19"/>
          <w:color w:val="auto"/>
        </w:rPr>
      </w:pPr>
    </w:p>
    <w:p>
      <w:pPr>
        <w:jc w:val="both"/>
        <w:ind w:left="1624" w:hanging="328"/>
        <w:spacing w:after="0" w:line="250" w:lineRule="auto"/>
        <w:tabs>
          <w:tab w:leader="none" w:pos="1788" w:val="left"/>
        </w:tabs>
        <w:numPr>
          <w:ilvl w:val="2"/>
          <w:numId w:val="42"/>
        </w:numPr>
        <w:rPr>
          <w:rFonts w:ascii="Arial" w:cs="Arial" w:eastAsia="Arial" w:hAnsi="Arial"/>
          <w:sz w:val="20"/>
          <w:szCs w:val="20"/>
          <w:color w:val="auto"/>
        </w:rPr>
      </w:pPr>
      <w:r>
        <w:rPr>
          <w:rFonts w:ascii="Arial" w:cs="Arial" w:eastAsia="Arial" w:hAnsi="Arial"/>
          <w:sz w:val="20"/>
          <w:szCs w:val="20"/>
          <w:color w:val="auto"/>
        </w:rPr>
        <w:t>In the event you have conference rooms located within your Office Space, you shall also have unlimited and dedicated complimentary use of the conference rooms within such Office Space to the exclusion of all other WeWork members.</w:t>
      </w:r>
    </w:p>
    <w:p>
      <w:pPr>
        <w:spacing w:after="0" w:line="158" w:lineRule="exact"/>
        <w:rPr>
          <w:rFonts w:ascii="Arial" w:cs="Arial" w:eastAsia="Arial" w:hAnsi="Arial"/>
          <w:sz w:val="20"/>
          <w:szCs w:val="20"/>
          <w:color w:val="auto"/>
        </w:rPr>
      </w:pPr>
    </w:p>
    <w:p>
      <w:pPr>
        <w:ind w:left="1624" w:hanging="328"/>
        <w:spacing w:after="0" w:line="287" w:lineRule="auto"/>
        <w:tabs>
          <w:tab w:leader="none" w:pos="1674" w:val="left"/>
        </w:tabs>
        <w:numPr>
          <w:ilvl w:val="2"/>
          <w:numId w:val="42"/>
        </w:numPr>
        <w:rPr>
          <w:rFonts w:ascii="Arial" w:cs="Arial" w:eastAsia="Arial" w:hAnsi="Arial"/>
          <w:sz w:val="19"/>
          <w:szCs w:val="19"/>
          <w:color w:val="auto"/>
        </w:rPr>
      </w:pPr>
      <w:r>
        <w:rPr>
          <w:rFonts w:ascii="Arial" w:cs="Arial" w:eastAsia="Arial" w:hAnsi="Arial"/>
          <w:sz w:val="19"/>
          <w:szCs w:val="19"/>
          <w:color w:val="auto"/>
        </w:rPr>
        <w:t>Access to and use of the shared Internet connection in accordance with the terms of services available on our website (the “</w:t>
      </w:r>
      <w:r>
        <w:rPr>
          <w:rFonts w:ascii="Arial" w:cs="Arial" w:eastAsia="Arial" w:hAnsi="Arial"/>
          <w:sz w:val="19"/>
          <w:szCs w:val="19"/>
          <w:b w:val="1"/>
          <w:bCs w:val="1"/>
          <w:color w:val="auto"/>
        </w:rPr>
        <w:t>WeWork Data Connection &amp; Internet Access ToS</w:t>
      </w:r>
      <w:r>
        <w:rPr>
          <w:rFonts w:ascii="Arial" w:cs="Arial" w:eastAsia="Arial" w:hAnsi="Arial"/>
          <w:sz w:val="19"/>
          <w:szCs w:val="19"/>
          <w:color w:val="auto"/>
        </w:rPr>
        <w:t>”).</w:t>
      </w:r>
    </w:p>
    <w:p>
      <w:pPr>
        <w:spacing w:after="0" w:line="111" w:lineRule="exact"/>
        <w:rPr>
          <w:rFonts w:ascii="Arial" w:cs="Arial" w:eastAsia="Arial" w:hAnsi="Arial"/>
          <w:sz w:val="19"/>
          <w:szCs w:val="19"/>
          <w:color w:val="auto"/>
        </w:rPr>
      </w:pPr>
    </w:p>
    <w:p>
      <w:pPr>
        <w:ind w:left="1644" w:hanging="348"/>
        <w:spacing w:after="0"/>
        <w:tabs>
          <w:tab w:leader="none" w:pos="1644" w:val="left"/>
        </w:tabs>
        <w:numPr>
          <w:ilvl w:val="2"/>
          <w:numId w:val="42"/>
        </w:numPr>
        <w:rPr>
          <w:rFonts w:ascii="Arial" w:cs="Arial" w:eastAsia="Arial" w:hAnsi="Arial"/>
          <w:sz w:val="20"/>
          <w:szCs w:val="20"/>
          <w:color w:val="auto"/>
        </w:rPr>
      </w:pPr>
      <w:r>
        <w:rPr>
          <w:rFonts w:ascii="Arial" w:cs="Arial" w:eastAsia="Arial" w:hAnsi="Arial"/>
          <w:sz w:val="20"/>
          <w:szCs w:val="20"/>
          <w:color w:val="auto"/>
        </w:rPr>
        <w:t>Electricity for reasonably acceptable office use in the Office Space.</w:t>
      </w:r>
    </w:p>
    <w:p>
      <w:pPr>
        <w:spacing w:after="0" w:line="169" w:lineRule="exact"/>
        <w:rPr>
          <w:rFonts w:ascii="Arial" w:cs="Arial" w:eastAsia="Arial" w:hAnsi="Arial"/>
          <w:sz w:val="20"/>
          <w:szCs w:val="20"/>
          <w:color w:val="auto"/>
        </w:rPr>
      </w:pPr>
    </w:p>
    <w:p>
      <w:pPr>
        <w:ind w:left="1644" w:hanging="348"/>
        <w:spacing w:after="0"/>
        <w:tabs>
          <w:tab w:leader="none" w:pos="1644" w:val="left"/>
        </w:tabs>
        <w:numPr>
          <w:ilvl w:val="2"/>
          <w:numId w:val="42"/>
        </w:numPr>
        <w:rPr>
          <w:rFonts w:ascii="Arial" w:cs="Arial" w:eastAsia="Arial" w:hAnsi="Arial"/>
          <w:sz w:val="20"/>
          <w:szCs w:val="20"/>
          <w:color w:val="auto"/>
        </w:rPr>
      </w:pPr>
      <w:r>
        <w:rPr>
          <w:rFonts w:ascii="Arial" w:cs="Arial" w:eastAsia="Arial" w:hAnsi="Arial"/>
          <w:sz w:val="20"/>
          <w:szCs w:val="20"/>
          <w:color w:val="auto"/>
        </w:rPr>
        <w:t>Heat and air-conditioning (“</w:t>
      </w:r>
      <w:r>
        <w:rPr>
          <w:rFonts w:ascii="Arial" w:cs="Arial" w:eastAsia="Arial" w:hAnsi="Arial"/>
          <w:sz w:val="20"/>
          <w:szCs w:val="20"/>
          <w:b w:val="1"/>
          <w:bCs w:val="1"/>
          <w:color w:val="auto"/>
        </w:rPr>
        <w:t>HVAC</w:t>
      </w:r>
      <w:r>
        <w:rPr>
          <w:rFonts w:ascii="Arial" w:cs="Arial" w:eastAsia="Arial" w:hAnsi="Arial"/>
          <w:sz w:val="20"/>
          <w:szCs w:val="20"/>
          <w:color w:val="auto"/>
        </w:rPr>
        <w:t>”) in the Office Space during Regular Business Hours.</w:t>
      </w:r>
    </w:p>
    <w:p>
      <w:pPr>
        <w:spacing w:after="0" w:line="195" w:lineRule="exact"/>
        <w:rPr>
          <w:sz w:val="20"/>
          <w:szCs w:val="20"/>
          <w:color w:val="auto"/>
        </w:rPr>
      </w:pPr>
    </w:p>
    <w:p>
      <w:pPr>
        <w:ind w:left="984" w:hanging="496"/>
        <w:spacing w:after="0"/>
        <w:tabs>
          <w:tab w:leader="none" w:pos="984" w:val="left"/>
        </w:tabs>
        <w:numPr>
          <w:ilvl w:val="0"/>
          <w:numId w:val="43"/>
        </w:numPr>
        <w:rPr>
          <w:rFonts w:ascii="Arial" w:cs="Arial" w:eastAsia="Arial" w:hAnsi="Arial"/>
          <w:sz w:val="20"/>
          <w:szCs w:val="20"/>
          <w:color w:val="auto"/>
        </w:rPr>
      </w:pPr>
      <w:r>
        <w:rPr>
          <w:rFonts w:ascii="Arial" w:cs="Arial" w:eastAsia="Arial" w:hAnsi="Arial"/>
          <w:sz w:val="20"/>
          <w:szCs w:val="20"/>
          <w:color w:val="auto"/>
        </w:rPr>
        <w:t>Upon booking space at Premises other than the Main Premises:</w:t>
      </w:r>
    </w:p>
    <w:p>
      <w:pPr>
        <w:spacing w:after="0" w:line="175" w:lineRule="exact"/>
        <w:rPr>
          <w:rFonts w:ascii="Arial" w:cs="Arial" w:eastAsia="Arial" w:hAnsi="Arial"/>
          <w:sz w:val="20"/>
          <w:szCs w:val="20"/>
          <w:color w:val="auto"/>
        </w:rPr>
      </w:pPr>
    </w:p>
    <w:p>
      <w:pPr>
        <w:ind w:left="1624" w:hanging="328"/>
        <w:spacing w:after="0" w:line="287" w:lineRule="auto"/>
        <w:tabs>
          <w:tab w:leader="none" w:pos="1673" w:val="left"/>
        </w:tabs>
        <w:numPr>
          <w:ilvl w:val="1"/>
          <w:numId w:val="43"/>
        </w:numPr>
        <w:rPr>
          <w:rFonts w:ascii="Arial" w:cs="Arial" w:eastAsia="Arial" w:hAnsi="Arial"/>
          <w:sz w:val="19"/>
          <w:szCs w:val="19"/>
          <w:color w:val="auto"/>
        </w:rPr>
      </w:pPr>
      <w:r>
        <w:rPr>
          <w:rFonts w:ascii="Arial" w:cs="Arial" w:eastAsia="Arial" w:hAnsi="Arial"/>
          <w:sz w:val="19"/>
          <w:szCs w:val="19"/>
          <w:color w:val="auto"/>
        </w:rPr>
        <w:t>Access to and use of the WeWork Member Network in accordance with the terms of services for the WeWork Member Network available on our website (the “</w:t>
      </w:r>
      <w:r>
        <w:rPr>
          <w:rFonts w:ascii="Arial" w:cs="Arial" w:eastAsia="Arial" w:hAnsi="Arial"/>
          <w:sz w:val="19"/>
          <w:szCs w:val="19"/>
          <w:b w:val="1"/>
          <w:bCs w:val="1"/>
          <w:color w:val="auto"/>
        </w:rPr>
        <w:t>WeWork Member Network ToS</w:t>
      </w:r>
      <w:r>
        <w:rPr>
          <w:rFonts w:ascii="Arial" w:cs="Arial" w:eastAsia="Arial" w:hAnsi="Arial"/>
          <w:sz w:val="19"/>
          <w:szCs w:val="19"/>
          <w:color w:val="auto"/>
        </w:rPr>
        <w:t>”).</w:t>
      </w:r>
    </w:p>
    <w:p>
      <w:pPr>
        <w:spacing w:after="0" w:line="111" w:lineRule="exact"/>
        <w:rPr>
          <w:rFonts w:ascii="Arial" w:cs="Arial" w:eastAsia="Arial" w:hAnsi="Arial"/>
          <w:sz w:val="19"/>
          <w:szCs w:val="19"/>
          <w:color w:val="auto"/>
        </w:rPr>
      </w:pPr>
    </w:p>
    <w:p>
      <w:pPr>
        <w:ind w:left="1624" w:right="20" w:hanging="328"/>
        <w:spacing w:after="0" w:line="260" w:lineRule="auto"/>
        <w:tabs>
          <w:tab w:leader="none" w:pos="1738" w:val="left"/>
        </w:tabs>
        <w:numPr>
          <w:ilvl w:val="1"/>
          <w:numId w:val="43"/>
        </w:numPr>
        <w:rPr>
          <w:rFonts w:ascii="Arial" w:cs="Arial" w:eastAsia="Arial" w:hAnsi="Arial"/>
          <w:sz w:val="20"/>
          <w:szCs w:val="20"/>
          <w:color w:val="auto"/>
        </w:rPr>
      </w:pPr>
      <w:r>
        <w:rPr>
          <w:rFonts w:ascii="Arial" w:cs="Arial" w:eastAsia="Arial" w:hAnsi="Arial"/>
          <w:sz w:val="20"/>
          <w:szCs w:val="20"/>
          <w:color w:val="auto"/>
        </w:rPr>
        <w:t>Access to and use of the shared Internet connection at any other Premises in accordance with the WeWork Data Connection &amp; Internet Access ToS.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353060</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4"/>
          </w:cols>
          <w:pgMar w:left="1096" w:top="1183" w:right="999" w:bottom="1440" w:gutter="0" w:footer="0" w:header="0"/>
        </w:sectPr>
      </w:pPr>
    </w:p>
    <w:bookmarkStart w:id="111" w:name="page112"/>
    <w:bookmarkEnd w:id="111"/>
    <w:p>
      <w:pPr>
        <w:ind w:left="1624" w:hanging="328"/>
        <w:spacing w:after="0" w:line="287" w:lineRule="auto"/>
        <w:tabs>
          <w:tab w:leader="none" w:pos="1749" w:val="left"/>
        </w:tabs>
        <w:numPr>
          <w:ilvl w:val="0"/>
          <w:numId w:val="44"/>
        </w:numPr>
        <w:rPr>
          <w:rFonts w:ascii="Arial" w:cs="Arial" w:eastAsia="Arial" w:hAnsi="Arial"/>
          <w:sz w:val="19"/>
          <w:szCs w:val="19"/>
          <w:color w:val="auto"/>
        </w:rPr>
      </w:pPr>
      <w:r>
        <w:rPr>
          <w:rFonts w:ascii="Arial" w:cs="Arial" w:eastAsia="Arial" w:hAnsi="Arial"/>
          <w:sz w:val="19"/>
          <w:szCs w:val="19"/>
          <w:color w:val="auto"/>
        </w:rPr>
        <w:t>Use of the printers, copiers and/or scanners available to our members and member companies, in accordance with the terms described herein at any Premises using printing credits.</w:t>
      </w:r>
    </w:p>
    <w:p>
      <w:pPr>
        <w:spacing w:after="0" w:line="152" w:lineRule="exact"/>
        <w:rPr>
          <w:rFonts w:ascii="Arial" w:cs="Arial" w:eastAsia="Arial" w:hAnsi="Arial"/>
          <w:sz w:val="19"/>
          <w:szCs w:val="19"/>
          <w:color w:val="auto"/>
        </w:rPr>
      </w:pPr>
    </w:p>
    <w:p>
      <w:pPr>
        <w:jc w:val="both"/>
        <w:ind w:left="1624" w:right="20" w:hanging="328"/>
        <w:spacing w:after="0" w:line="250" w:lineRule="auto"/>
        <w:tabs>
          <w:tab w:leader="none" w:pos="1610" w:val="left"/>
        </w:tabs>
        <w:numPr>
          <w:ilvl w:val="0"/>
          <w:numId w:val="44"/>
        </w:numPr>
        <w:rPr>
          <w:rFonts w:ascii="Arial" w:cs="Arial" w:eastAsia="Arial" w:hAnsi="Arial"/>
          <w:sz w:val="20"/>
          <w:szCs w:val="20"/>
          <w:color w:val="auto"/>
        </w:rPr>
      </w:pPr>
      <w:r>
        <w:rPr>
          <w:rFonts w:ascii="Arial" w:cs="Arial" w:eastAsia="Arial" w:hAnsi="Arial"/>
          <w:sz w:val="20"/>
          <w:szCs w:val="20"/>
          <w:color w:val="auto"/>
        </w:rPr>
        <w:t>Use of the conference rooms available to WeWork members at any other Premises, in each case subject to availability and your prior reservation of such conference rooms using conference room credits, in accordance with the terms described herein.</w:t>
      </w:r>
    </w:p>
    <w:p>
      <w:pPr>
        <w:spacing w:after="0" w:line="185" w:lineRule="exact"/>
        <w:rPr>
          <w:rFonts w:ascii="Arial" w:cs="Arial" w:eastAsia="Arial" w:hAnsi="Arial"/>
          <w:sz w:val="20"/>
          <w:szCs w:val="20"/>
          <w:color w:val="auto"/>
        </w:rPr>
      </w:pPr>
    </w:p>
    <w:p>
      <w:pPr>
        <w:ind w:left="1624" w:hanging="328"/>
        <w:spacing w:after="0"/>
        <w:tabs>
          <w:tab w:leader="none" w:pos="16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Use of common areas, kitchens and beverages made available to our members and member companies.</w:t>
      </w:r>
    </w:p>
    <w:p>
      <w:pPr>
        <w:spacing w:after="0" w:line="243" w:lineRule="exact"/>
        <w:rPr>
          <w:rFonts w:ascii="Arial" w:cs="Arial" w:eastAsia="Arial" w:hAnsi="Arial"/>
          <w:sz w:val="16"/>
          <w:szCs w:val="16"/>
          <w:color w:val="auto"/>
        </w:rPr>
      </w:pPr>
    </w:p>
    <w:p>
      <w:pPr>
        <w:ind w:left="1664" w:hanging="368"/>
        <w:spacing w:after="0" w:line="268" w:lineRule="exact"/>
        <w:tabs>
          <w:tab w:leader="none" w:pos="1664" w:val="left"/>
        </w:tabs>
        <w:numPr>
          <w:ilvl w:val="0"/>
          <w:numId w:val="44"/>
        </w:numPr>
        <w:rPr>
          <w:rFonts w:ascii="Arial" w:cs="Arial" w:eastAsia="Arial" w:hAnsi="Arial"/>
          <w:sz w:val="20"/>
          <w:szCs w:val="20"/>
          <w:color w:val="auto"/>
        </w:rPr>
      </w:pPr>
      <w:r>
        <w:rPr>
          <w:rFonts w:ascii="Arial" w:cs="Arial" w:eastAsia="Arial" w:hAnsi="Arial"/>
          <w:sz w:val="20"/>
          <w:szCs w:val="20"/>
          <w:color w:val="auto"/>
        </w:rPr>
        <w:t>Opportunity to participate in members-only events, bene</w:t>
      </w:r>
      <w:r>
        <w:rPr>
          <w:rFonts w:ascii="Arial Unicode MS" w:cs="Arial Unicode MS" w:eastAsia="Arial Unicode MS" w:hAnsi="Arial Unicode MS"/>
          <w:sz w:val="20"/>
          <w:szCs w:val="20"/>
          <w:color w:val="auto"/>
        </w:rPr>
        <w:t></w:t>
      </w:r>
      <w:r>
        <w:rPr>
          <w:rFonts w:ascii="Arial" w:cs="Arial" w:eastAsia="Arial" w:hAnsi="Arial"/>
          <w:sz w:val="20"/>
          <w:szCs w:val="20"/>
          <w:color w:val="auto"/>
        </w:rPr>
        <w:t>ts and promotions.</w:t>
      </w:r>
    </w:p>
    <w:p>
      <w:pPr>
        <w:spacing w:after="0" w:line="195" w:lineRule="exact"/>
        <w:rPr>
          <w:sz w:val="20"/>
          <w:szCs w:val="20"/>
          <w:color w:val="auto"/>
        </w:rPr>
      </w:pPr>
    </w:p>
    <w:p>
      <w:pPr>
        <w:jc w:val="both"/>
        <w:ind w:left="324"/>
        <w:spacing w:after="0" w:line="244" w:lineRule="auto"/>
        <w:rPr>
          <w:sz w:val="20"/>
          <w:szCs w:val="20"/>
          <w:color w:val="auto"/>
        </w:rPr>
      </w:pPr>
      <w:r>
        <w:rPr>
          <w:rFonts w:ascii="Arial" w:cs="Arial" w:eastAsia="Arial" w:hAnsi="Arial"/>
          <w:sz w:val="20"/>
          <w:szCs w:val="20"/>
          <w:color w:val="auto"/>
        </w:rPr>
        <w:t>The Services listed in this Section in paragraphs (i)(a), (c) and (h) will be deemed “material” for the purpose of this Agreement (the “</w:t>
      </w:r>
      <w:r>
        <w:rPr>
          <w:rFonts w:ascii="Arial" w:cs="Arial" w:eastAsia="Arial" w:hAnsi="Arial"/>
          <w:sz w:val="20"/>
          <w:szCs w:val="20"/>
          <w:b w:val="1"/>
          <w:bCs w:val="1"/>
          <w:color w:val="auto"/>
        </w:rPr>
        <w:t>Material Services</w:t>
      </w:r>
      <w:r>
        <w:rPr>
          <w:rFonts w:ascii="Arial" w:cs="Arial" w:eastAsia="Arial" w:hAnsi="Arial"/>
          <w:sz w:val="20"/>
          <w:szCs w:val="20"/>
          <w:color w:val="auto"/>
        </w:rPr>
        <w:t>”). All other Services listed in this Section are deemed “non-material” for the purpose of this Agreement (the “</w:t>
      </w:r>
      <w:r>
        <w:rPr>
          <w:rFonts w:ascii="Arial" w:cs="Arial" w:eastAsia="Arial" w:hAnsi="Arial"/>
          <w:sz w:val="20"/>
          <w:szCs w:val="20"/>
          <w:b w:val="1"/>
          <w:bCs w:val="1"/>
          <w:color w:val="auto"/>
        </w:rPr>
        <w:t>Non-Material Services</w:t>
      </w:r>
      <w:r>
        <w:rPr>
          <w:rFonts w:ascii="Arial" w:cs="Arial" w:eastAsia="Arial" w:hAnsi="Arial"/>
          <w:sz w:val="20"/>
          <w:szCs w:val="20"/>
          <w:color w:val="auto"/>
        </w:rPr>
        <w:t>”). Other services may be provided for an additional fee, such as car parking space, phone service, and IT services, subject to availability at the Main Premises and any additional terms and expenses applicable to those services.</w:t>
      </w:r>
    </w:p>
    <w:p>
      <w:pPr>
        <w:spacing w:after="0" w:line="188" w:lineRule="exact"/>
        <w:rPr>
          <w:sz w:val="20"/>
          <w:szCs w:val="20"/>
          <w:color w:val="auto"/>
        </w:rPr>
      </w:pPr>
    </w:p>
    <w:p>
      <w:pPr>
        <w:jc w:val="both"/>
        <w:ind w:left="324" w:hanging="324"/>
        <w:spacing w:after="0" w:line="271" w:lineRule="auto"/>
        <w:tabs>
          <w:tab w:leader="none" w:pos="378"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Our Reserved Rights. </w:t>
      </w:r>
      <w:r>
        <w:rPr>
          <w:rFonts w:ascii="Arial" w:cs="Arial" w:eastAsia="Arial" w:hAnsi="Arial"/>
          <w:sz w:val="18"/>
          <w:szCs w:val="18"/>
          <w:color w:val="auto"/>
        </w:rPr>
        <w:t>We are entitled to access your Office Space, with or without notice, in connection with our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the Services, for safety and/or emergency purposes or for any other purposes but will do so in a manner to minimize interference with your business operations and if our access to such space is not in connection with an emergency or regular provision of the Services, we will endeavor to provide you with prior notice before entering, but please note that we may still enter your Office Space after giving such notice, even if we have not received a response from you. We may temporarily move furniture contained in your Office Space; in any such event, we will return the furniture to its original location as soon as reasonably practicable. We reserve the right to alter your Office Space, provided that we will not do so in a manner that substantially decreases the square footage of your assigned Office Space or related amenities and we shall endeavor to provide you with advance notice of any such changes. We may also modify or reduce the list of Non-Material Services provided for your Office Space at any time. The Services may be provided by us, an affiliate or a third party.</w:t>
      </w:r>
    </w:p>
    <w:p>
      <w:pPr>
        <w:spacing w:after="0" w:line="169" w:lineRule="exact"/>
        <w:rPr>
          <w:rFonts w:ascii="Arial" w:cs="Arial" w:eastAsia="Arial" w:hAnsi="Arial"/>
          <w:sz w:val="18"/>
          <w:szCs w:val="18"/>
          <w:color w:val="auto"/>
        </w:rPr>
      </w:pPr>
    </w:p>
    <w:p>
      <w:pPr>
        <w:jc w:val="both"/>
        <w:ind w:left="324" w:hanging="324"/>
        <w:spacing w:after="0" w:line="272" w:lineRule="auto"/>
        <w:tabs>
          <w:tab w:leader="none" w:pos="366"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Office Space Not Timely Available. </w:t>
      </w:r>
      <w:r>
        <w:rPr>
          <w:rFonts w:ascii="Arial" w:cs="Arial" w:eastAsia="Arial" w:hAnsi="Arial"/>
          <w:sz w:val="18"/>
          <w:szCs w:val="18"/>
          <w:color w:val="auto"/>
        </w:rPr>
        <w:t>If we are unable to make the Office Space available by the Start Date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including due to changes in construction plans, delays in obtaining permits, or any other obstacles in procuring space in any Premises, we will notify you of any such circumstances and we will not be subject to any liability related to such inability, nor will such failure affect the validity of this Agreement which shall remain in full force and effect. In this event, except as set forth in this Agreement, you will not be obligated to make payments of the Monthly Fee until the Office Space is made available to you. Notwithstanding the foregoing, if we are unable to make the Office Space available by the Start Date due to delays caused by your actions or inactions or due to changes in work or other customizations to the Office Space requested by you, we will not be subject to any liability related to such delay nor will such delay affect the validity of this Agreement, you shall not be entitled to terminate this Agreement and you shall be responsible for the payment of the Monthly Fees from the Start Date.</w:t>
      </w:r>
    </w:p>
    <w:p>
      <w:pPr>
        <w:spacing w:after="0" w:line="165" w:lineRule="exact"/>
        <w:rPr>
          <w:rFonts w:ascii="Arial" w:cs="Arial" w:eastAsia="Arial" w:hAnsi="Arial"/>
          <w:sz w:val="18"/>
          <w:szCs w:val="18"/>
          <w:color w:val="auto"/>
        </w:rPr>
      </w:pPr>
    </w:p>
    <w:p>
      <w:pPr>
        <w:jc w:val="both"/>
        <w:ind w:left="324" w:hanging="324"/>
        <w:spacing w:after="0" w:line="248" w:lineRule="auto"/>
        <w:tabs>
          <w:tab w:leader="none" w:pos="324" w:val="left"/>
        </w:tabs>
        <w:numPr>
          <w:ilvl w:val="0"/>
          <w:numId w:val="45"/>
        </w:numPr>
        <w:rPr>
          <w:rFonts w:ascii="Arial" w:cs="Arial" w:eastAsia="Arial" w:hAnsi="Arial"/>
          <w:sz w:val="20"/>
          <w:szCs w:val="20"/>
          <w:color w:val="auto"/>
        </w:rPr>
      </w:pPr>
      <w:r>
        <w:rPr>
          <w:rFonts w:ascii="Arial" w:cs="Arial" w:eastAsia="Arial" w:hAnsi="Arial"/>
          <w:sz w:val="20"/>
          <w:szCs w:val="20"/>
          <w:b w:val="1"/>
          <w:bCs w:val="1"/>
          <w:color w:val="auto"/>
        </w:rPr>
        <w:t>Access Prior to Start Date</w:t>
      </w:r>
      <w:r>
        <w:rPr>
          <w:rFonts w:ascii="Arial" w:cs="Arial" w:eastAsia="Arial" w:hAnsi="Arial"/>
          <w:sz w:val="20"/>
          <w:szCs w:val="20"/>
          <w:color w:val="auto"/>
        </w:rPr>
        <w:t>. If we, in our sole discretion, provide you with access to your Office Space for any period</w:t>
      </w:r>
      <w:r>
        <w:rPr>
          <w:rFonts w:ascii="Arial" w:cs="Arial" w:eastAsia="Arial" w:hAnsi="Arial"/>
          <w:sz w:val="20"/>
          <w:szCs w:val="20"/>
          <w:b w:val="1"/>
          <w:bCs w:val="1"/>
          <w:color w:val="auto"/>
        </w:rPr>
        <w:t xml:space="preserve"> </w:t>
      </w:r>
      <w:r>
        <w:rPr>
          <w:rFonts w:ascii="Arial" w:cs="Arial" w:eastAsia="Arial" w:hAnsi="Arial"/>
          <w:sz w:val="20"/>
          <w:szCs w:val="20"/>
          <w:color w:val="auto"/>
        </w:rPr>
        <w:t>of time prior to your Start Date (a “</w:t>
      </w:r>
      <w:r>
        <w:rPr>
          <w:rFonts w:ascii="Arial" w:cs="Arial" w:eastAsia="Arial" w:hAnsi="Arial"/>
          <w:sz w:val="20"/>
          <w:szCs w:val="20"/>
          <w:b w:val="1"/>
          <w:bCs w:val="1"/>
          <w:color w:val="auto"/>
        </w:rPr>
        <w:t>Soft Open Period</w:t>
      </w:r>
      <w:r>
        <w:rPr>
          <w:rFonts w:ascii="Arial" w:cs="Arial" w:eastAsia="Arial" w:hAnsi="Arial"/>
          <w:sz w:val="20"/>
          <w:szCs w:val="20"/>
          <w:color w:val="auto"/>
        </w:rPr>
        <w:t>”), during any such Soft Open Period you and your Members shall be fully subject to the terms of this Agreement, regardless of whether we choose to charge you the Monthly Fee during any such Soft Open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353060</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4"/>
          </w:cols>
          <w:pgMar w:left="1096" w:top="1189" w:right="999" w:bottom="1440" w:gutter="0" w:footer="0" w:header="0"/>
        </w:sectPr>
      </w:pPr>
    </w:p>
    <w:bookmarkStart w:id="112" w:name="page113"/>
    <w:bookmarkEnd w:id="112"/>
    <w:p>
      <w:pPr>
        <w:ind w:left="4"/>
        <w:spacing w:after="0"/>
        <w:tabs>
          <w:tab w:leader="none" w:pos="323"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9"/>
          <w:szCs w:val="19"/>
          <w:b w:val="1"/>
          <w:bCs w:val="1"/>
          <w:color w:val="auto"/>
        </w:rPr>
        <w:t>YOUR MEMBERS</w:t>
      </w:r>
    </w:p>
    <w:p>
      <w:pPr>
        <w:spacing w:after="0" w:line="216" w:lineRule="exact"/>
        <w:rPr>
          <w:sz w:val="20"/>
          <w:szCs w:val="20"/>
          <w:color w:val="auto"/>
        </w:rPr>
      </w:pPr>
    </w:p>
    <w:p>
      <w:pPr>
        <w:jc w:val="both"/>
        <w:ind w:left="324" w:hanging="324"/>
        <w:spacing w:after="0" w:line="243" w:lineRule="auto"/>
        <w:tabs>
          <w:tab w:leader="none" w:pos="510"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 xml:space="preserve">Member List. </w:t>
      </w:r>
      <w:r>
        <w:rPr>
          <w:rFonts w:ascii="Arial" w:cs="Arial" w:eastAsia="Arial" w:hAnsi="Arial"/>
          <w:sz w:val="20"/>
          <w:szCs w:val="20"/>
          <w:color w:val="auto"/>
        </w:rPr>
        <w:t>After the execution of this Agreement, we shall coordinate with you to complete our member</w:t>
      </w:r>
      <w:r>
        <w:rPr>
          <w:rFonts w:ascii="Arial" w:cs="Arial" w:eastAsia="Arial" w:hAnsi="Arial"/>
          <w:sz w:val="20"/>
          <w:szCs w:val="20"/>
          <w:b w:val="1"/>
          <w:bCs w:val="1"/>
          <w:color w:val="auto"/>
        </w:rPr>
        <w:t xml:space="preserve"> </w:t>
      </w:r>
      <w:r>
        <w:rPr>
          <w:rFonts w:ascii="Arial" w:cs="Arial" w:eastAsia="Arial" w:hAnsi="Arial"/>
          <w:sz w:val="20"/>
          <w:szCs w:val="20"/>
          <w:color w:val="auto"/>
        </w:rPr>
        <w:t>registration procedures for your Members. You are responsible for maintaining the accuracy of your list of Members on the WeWork Member Network (your “</w:t>
      </w:r>
      <w:r>
        <w:rPr>
          <w:rFonts w:ascii="Arial" w:cs="Arial" w:eastAsia="Arial" w:hAnsi="Arial"/>
          <w:sz w:val="20"/>
          <w:szCs w:val="20"/>
          <w:b w:val="1"/>
          <w:bCs w:val="1"/>
          <w:color w:val="auto"/>
        </w:rPr>
        <w:t>Member List</w:t>
      </w:r>
      <w:r>
        <w:rPr>
          <w:rFonts w:ascii="Arial" w:cs="Arial" w:eastAsia="Arial" w:hAnsi="Arial"/>
          <w:sz w:val="20"/>
          <w:szCs w:val="20"/>
          <w:color w:val="auto"/>
        </w:rPr>
        <w:t>”). Only those individuals included on the Member List will be deemed to be “Members” and entitled to receive the Services described in this Agreement. To the extent permitted by law, all of your Members shall be required to provide valid government issued identification in order to be issued an activated key card to access the Premises. We reserve the right in our discretion to limit at any time the number of memberships permitted under this Agreement to a number equal to the Capacity set forth in the Membership Details Form.</w:t>
      </w:r>
    </w:p>
    <w:p>
      <w:pPr>
        <w:spacing w:after="0" w:line="189" w:lineRule="exact"/>
        <w:rPr>
          <w:rFonts w:ascii="Arial" w:cs="Arial" w:eastAsia="Arial" w:hAnsi="Arial"/>
          <w:sz w:val="20"/>
          <w:szCs w:val="20"/>
          <w:color w:val="auto"/>
        </w:rPr>
      </w:pPr>
    </w:p>
    <w:p>
      <w:pPr>
        <w:jc w:val="both"/>
        <w:ind w:left="324" w:hanging="324"/>
        <w:spacing w:after="0" w:line="262" w:lineRule="auto"/>
        <w:tabs>
          <w:tab w:leader="none" w:pos="324" w:val="left"/>
        </w:tabs>
        <w:numPr>
          <w:ilvl w:val="0"/>
          <w:numId w:val="46"/>
        </w:numPr>
        <w:rPr>
          <w:rFonts w:ascii="Arial" w:cs="Arial" w:eastAsia="Arial" w:hAnsi="Arial"/>
          <w:sz w:val="19"/>
          <w:szCs w:val="19"/>
          <w:color w:val="auto"/>
        </w:rPr>
      </w:pPr>
      <w:r>
        <w:rPr>
          <w:rFonts w:ascii="Arial" w:cs="Arial" w:eastAsia="Arial" w:hAnsi="Arial"/>
          <w:sz w:val="19"/>
          <w:szCs w:val="19"/>
          <w:b w:val="1"/>
          <w:bCs w:val="1"/>
          <w:color w:val="auto"/>
        </w:rPr>
        <w:t xml:space="preserve">WeWork Member Network. </w:t>
      </w:r>
      <w:r>
        <w:rPr>
          <w:rFonts w:ascii="Arial" w:cs="Arial" w:eastAsia="Arial" w:hAnsi="Arial"/>
          <w:sz w:val="19"/>
          <w:szCs w:val="19"/>
          <w:color w:val="auto"/>
        </w:rPr>
        <w:t>A profile on the WeWork Member Network must be created for each individual member</w:t>
      </w:r>
      <w:r>
        <w:rPr>
          <w:rFonts w:ascii="Arial" w:cs="Arial" w:eastAsia="Arial" w:hAnsi="Arial"/>
          <w:sz w:val="19"/>
          <w:szCs w:val="19"/>
          <w:b w:val="1"/>
          <w:bCs w:val="1"/>
          <w:color w:val="auto"/>
        </w:rPr>
        <w:t xml:space="preserve"> </w:t>
      </w:r>
      <w:r>
        <w:rPr>
          <w:rFonts w:ascii="Arial" w:cs="Arial" w:eastAsia="Arial" w:hAnsi="Arial"/>
          <w:sz w:val="19"/>
          <w:szCs w:val="19"/>
          <w:color w:val="auto"/>
        </w:rPr>
        <w:t>added to the Member List. If you elect to retain the “default” settings of your “Member Network Account,” such profiles will be viewable by us, our employees and agents, and other WeWork members. The created profile will include only the Member’s name and the Member Company; any additional information, including a photograph, shall be added solely as determined by you or your Members.</w:t>
      </w:r>
    </w:p>
    <w:p>
      <w:pPr>
        <w:spacing w:after="0" w:line="176" w:lineRule="exact"/>
        <w:rPr>
          <w:rFonts w:ascii="Arial" w:cs="Arial" w:eastAsia="Arial" w:hAnsi="Arial"/>
          <w:sz w:val="19"/>
          <w:szCs w:val="19"/>
          <w:color w:val="auto"/>
        </w:rPr>
      </w:pPr>
    </w:p>
    <w:p>
      <w:pPr>
        <w:jc w:val="both"/>
        <w:ind w:left="324"/>
        <w:spacing w:after="0" w:line="242" w:lineRule="auto"/>
        <w:rPr>
          <w:rFonts w:ascii="Arial" w:cs="Arial" w:eastAsia="Arial" w:hAnsi="Arial"/>
          <w:sz w:val="19"/>
          <w:szCs w:val="19"/>
          <w:color w:val="auto"/>
        </w:rPr>
      </w:pPr>
      <w:r>
        <w:rPr>
          <w:rFonts w:ascii="Arial" w:cs="Arial" w:eastAsia="Arial" w:hAnsi="Arial"/>
          <w:sz w:val="20"/>
          <w:szCs w:val="20"/>
          <w:color w:val="auto"/>
        </w:rPr>
        <w:t>At any time, you may choose, at your sole election, to set your company and Members’ accounts to ‘private.’ If you elect to utilize the ‘private’ setting, your company and Member accounts will be viewable only by us, our employees and agents, and will not be viewable by any other members who have access to the WeWork Member Network. In the ‘private’ setting, your Members have the ability to use utility features (such as booking conference rooms and registering guests) on the WeWork Member Network, and the use of such utility features by your Members on the WeWork Member Network will be viewable only by us, our employees and agents, and will be anonymous to any other members who have access to the WeWork Member Network. If you elect to utilize the ‘private’ setting, all individuals registered as your Members will be set as 'private' and prevented from conducting any social activity on the WeWork Member Network.</w:t>
      </w:r>
    </w:p>
    <w:p>
      <w:pPr>
        <w:spacing w:after="0" w:line="188" w:lineRule="exact"/>
        <w:rPr>
          <w:rFonts w:ascii="Arial" w:cs="Arial" w:eastAsia="Arial" w:hAnsi="Arial"/>
          <w:sz w:val="19"/>
          <w:szCs w:val="19"/>
          <w:color w:val="auto"/>
        </w:rPr>
      </w:pPr>
    </w:p>
    <w:p>
      <w:pPr>
        <w:jc w:val="both"/>
        <w:ind w:left="324" w:hanging="324"/>
        <w:spacing w:after="0" w:line="231" w:lineRule="exact"/>
        <w:tabs>
          <w:tab w:leader="none" w:pos="362"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Changes to or Removal of Primary Member or Authorized Signatory. </w:t>
      </w:r>
      <w:r>
        <w:rPr>
          <w:rFonts w:ascii="Arial" w:cs="Arial" w:eastAsia="Arial" w:hAnsi="Arial"/>
          <w:sz w:val="18"/>
          <w:szCs w:val="18"/>
          <w:color w:val="auto"/>
        </w:rPr>
        <w:t>An Authorized Signatory generally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sole authority to make changes to or terminate this Agreement. A Primary Member will generally serve as WeWork’s primary contact regarding matters that involve your Members, the physical Office Space or the Premises. If no Authorized Signatory other than the Primary Member is designated by you on the Membership Details Form, the Primary Member will serve as the Authorized Signatory. We will be entitled to rely on communications to or from the Authorized Signatory or Primary Member as notice to or from the applicable Member Company. However, an executive officer of the applicable Member Company (“</w:t>
      </w:r>
      <w:r>
        <w:rPr>
          <w:rFonts w:ascii="Arial" w:cs="Arial" w:eastAsia="Arial" w:hAnsi="Arial"/>
          <w:sz w:val="18"/>
          <w:szCs w:val="18"/>
          <w:b w:val="1"/>
          <w:bCs w:val="1"/>
          <w:color w:val="auto"/>
        </w:rPr>
        <w:t>Executive Officer</w:t>
      </w:r>
      <w:r>
        <w:rPr>
          <w:rFonts w:ascii="Arial" w:cs="Arial" w:eastAsia="Arial" w:hAnsi="Arial"/>
          <w:sz w:val="18"/>
          <w:szCs w:val="18"/>
          <w:color w:val="auto"/>
        </w:rPr>
        <w:t>”) will have the authority to override the request of an Authorized Signatory or Primary Member, as applicable, provided that we receive such a request within 24 hours following such Authorized Signatory’s or Primary Member’s request. We will be entitled to request reasonable documentation to con</w:t>
      </w:r>
      <w:r>
        <w:rPr>
          <w:rFonts w:ascii="Arial Unicode MS" w:cs="Arial Unicode MS" w:eastAsia="Arial Unicode MS" w:hAnsi="Arial Unicode MS"/>
          <w:sz w:val="18"/>
          <w:szCs w:val="18"/>
          <w:color w:val="auto"/>
        </w:rPr>
        <w:t></w:t>
      </w:r>
      <w:r>
        <w:rPr>
          <w:rFonts w:ascii="Arial" w:cs="Arial" w:eastAsia="Arial" w:hAnsi="Arial"/>
          <w:sz w:val="18"/>
          <w:szCs w:val="18"/>
          <w:color w:val="auto"/>
        </w:rPr>
        <w:t>rm that an individual claiming to be an Executive Officer truly is one and to exercise our discretion in determining whether a particular position constitutes an “Executive Officer.” An Executive Officer will also have the authority to remove or replace the individual serving as the Authorized Signatory and/or Primary Member. Unless we receive instructions from the Authorized Signatory or Executive Officer, if the individual designated as the Primary Member ceases to provide services to the Member Company or ceases using the Office Space regularly, you shall promptly designate a replacement Primary Member; however, if you fail to do so within three (3) Regular Business Days after we provide notice to you concerning the absentee Primary Member, WeWork shall designate an interim Primary Member until we received direction from you. We will use our reasonable judgment in designating an interim Primary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353060</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4"/>
          </w:cols>
          <w:pgMar w:left="1096" w:top="1156" w:right="999" w:bottom="1440" w:gutter="0" w:footer="0" w:header="0"/>
        </w:sectPr>
      </w:pPr>
    </w:p>
    <w:bookmarkStart w:id="113" w:name="page114"/>
    <w:bookmarkEnd w:id="113"/>
    <w:p>
      <w:pPr>
        <w:ind w:left="4"/>
        <w:spacing w:after="0"/>
        <w:tabs>
          <w:tab w:leader="none" w:pos="323"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9"/>
          <w:szCs w:val="19"/>
          <w:b w:val="1"/>
          <w:bCs w:val="1"/>
          <w:color w:val="auto"/>
        </w:rPr>
        <w:t>MONTHLY FEES; PAYMENTS</w:t>
      </w:r>
    </w:p>
    <w:p>
      <w:pPr>
        <w:spacing w:after="0" w:line="243" w:lineRule="exact"/>
        <w:rPr>
          <w:sz w:val="20"/>
          <w:szCs w:val="20"/>
          <w:color w:val="auto"/>
        </w:rPr>
      </w:pPr>
    </w:p>
    <w:p>
      <w:pPr>
        <w:jc w:val="both"/>
        <w:ind w:left="324" w:hanging="324"/>
        <w:spacing w:after="0" w:line="285" w:lineRule="auto"/>
        <w:tabs>
          <w:tab w:leader="none" w:pos="375"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Payments Due Upon Signing. </w:t>
      </w:r>
      <w:r>
        <w:rPr>
          <w:rFonts w:ascii="Arial" w:cs="Arial" w:eastAsia="Arial" w:hAnsi="Arial"/>
          <w:sz w:val="18"/>
          <w:szCs w:val="18"/>
          <w:color w:val="auto"/>
        </w:rPr>
        <w:t>Upon submitting a signed and completed Agreement, you will be obligated to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to us, in the amount(s) set forth on your Membership Details Form, (i) the Service Retainer and (ii) the Set-Up Fee. Where desks are added to your membership after the Start Date, the related Set-Up Fee shall be paid on the invoice subsequent to such addition. The current Set-Up Fee is set forth in the Membership Details Form.</w:t>
      </w:r>
    </w:p>
    <w:p>
      <w:pPr>
        <w:spacing w:after="0" w:line="177" w:lineRule="exact"/>
        <w:rPr>
          <w:rFonts w:ascii="Arial" w:cs="Arial" w:eastAsia="Arial" w:hAnsi="Arial"/>
          <w:sz w:val="18"/>
          <w:szCs w:val="18"/>
          <w:color w:val="auto"/>
        </w:rPr>
      </w:pPr>
    </w:p>
    <w:p>
      <w:pPr>
        <w:jc w:val="both"/>
        <w:ind w:left="324" w:hanging="324"/>
        <w:spacing w:after="0" w:line="260" w:lineRule="auto"/>
        <w:tabs>
          <w:tab w:leader="none" w:pos="409"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Monthly Fee. </w:t>
      </w:r>
      <w:r>
        <w:rPr>
          <w:rFonts w:ascii="Arial" w:cs="Arial" w:eastAsia="Arial" w:hAnsi="Arial"/>
          <w:sz w:val="18"/>
          <w:szCs w:val="18"/>
          <w:color w:val="auto"/>
        </w:rPr>
        <w:t>During the Term (defined below) of this Agreement, your Monthly Fee will be due monthly and in</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as of the first (1</w:t>
      </w:r>
      <w:r>
        <w:rPr>
          <w:rFonts w:ascii="Arial" w:cs="Arial" w:eastAsia="Arial" w:hAnsi="Arial"/>
          <w:sz w:val="26"/>
          <w:szCs w:val="26"/>
          <w:color w:val="auto"/>
          <w:vertAlign w:val="superscript"/>
        </w:rPr>
        <w:t>st</w:t>
      </w:r>
      <w:r>
        <w:rPr>
          <w:rFonts w:ascii="Arial" w:cs="Arial" w:eastAsia="Arial" w:hAnsi="Arial"/>
          <w:sz w:val="18"/>
          <w:szCs w:val="18"/>
          <w:color w:val="auto"/>
        </w:rPr>
        <w:t>) day of each month or in accordance with the Net Payment Term period set forth in the Membership Details Form, if applicable. You are obligated to make payment of all Monthly Fees owed throughout the Commitment Term and this obligation is absolute notwithstanding any early termination of the Agreement by you (“</w:t>
      </w:r>
      <w:r>
        <w:rPr>
          <w:rFonts w:ascii="Arial" w:cs="Arial" w:eastAsia="Arial" w:hAnsi="Arial"/>
          <w:sz w:val="18"/>
          <w:szCs w:val="18"/>
          <w:b w:val="1"/>
          <w:bCs w:val="1"/>
          <w:color w:val="auto"/>
        </w:rPr>
        <w:t>Monthly Fee Obligations</w:t>
      </w:r>
      <w:r>
        <w:rPr>
          <w:rFonts w:ascii="Arial" w:cs="Arial" w:eastAsia="Arial" w:hAnsi="Arial"/>
          <w:sz w:val="18"/>
          <w:szCs w:val="18"/>
          <w:color w:val="auto"/>
        </w:rPr>
        <w:t>”). You agree to pay promptly: (i) all sales, use, excise, value added, and any other taxes which you are required to pay to any other governmental authority (and, at our request, will provide to us evidence of such payment) and (ii) all sales, use, excise, value added and any other taxes attributable to your Membership as shown on your invoice. On each annual anniversary of the Start Date (including during any Term) the Monthly Fee will be subject to an automatic three and a half percent (3.5%) increase over the then current Monthly Fee. Following any Commitment Term (which shall include any extensions of the Commitment Term), we reserve the right to further increase or decrease the Monthly Fee at our sole discretion upon thirty (30) days’ prior notice to you in advance of and in accordance with the Termination Notice Period below in Section 5(c).</w:t>
      </w:r>
    </w:p>
    <w:p>
      <w:pPr>
        <w:spacing w:after="0" w:line="193" w:lineRule="exact"/>
        <w:rPr>
          <w:rFonts w:ascii="Arial" w:cs="Arial" w:eastAsia="Arial" w:hAnsi="Arial"/>
          <w:sz w:val="18"/>
          <w:szCs w:val="18"/>
          <w:color w:val="auto"/>
        </w:rPr>
      </w:pPr>
    </w:p>
    <w:p>
      <w:pPr>
        <w:jc w:val="both"/>
        <w:ind w:left="324" w:hanging="324"/>
        <w:spacing w:after="0" w:line="248" w:lineRule="auto"/>
        <w:tabs>
          <w:tab w:leader="none" w:pos="524"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 xml:space="preserve">Invoices; Financial Information. </w:t>
      </w:r>
      <w:r>
        <w:rPr>
          <w:rFonts w:ascii="Arial" w:cs="Arial" w:eastAsia="Arial" w:hAnsi="Arial"/>
          <w:sz w:val="20"/>
          <w:szCs w:val="20"/>
          <w:color w:val="auto"/>
        </w:rPr>
        <w:t>WeWork will send or otherwise provide invoices and other billing-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information and notices to the Primary Member or, if a Billing Contact is indicated on the Membership Details Form, the Billing Contact. Change of the Billing Contact will require notice from the Authorized Signatory in accordance with this Agreement.</w:t>
      </w:r>
    </w:p>
    <w:p>
      <w:pPr>
        <w:spacing w:after="0" w:line="210" w:lineRule="exact"/>
        <w:rPr>
          <w:rFonts w:ascii="Arial" w:cs="Arial" w:eastAsia="Arial" w:hAnsi="Arial"/>
          <w:sz w:val="20"/>
          <w:szCs w:val="20"/>
          <w:color w:val="auto"/>
        </w:rPr>
      </w:pPr>
    </w:p>
    <w:p>
      <w:pPr>
        <w:jc w:val="both"/>
        <w:ind w:left="324" w:hanging="324"/>
        <w:spacing w:after="0" w:line="234" w:lineRule="exact"/>
        <w:tabs>
          <w:tab w:leader="none" w:pos="373"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 xml:space="preserve">Credits; Service Credit Fees. </w:t>
      </w:r>
      <w:r>
        <w:rPr>
          <w:rFonts w:ascii="Arial" w:cs="Arial" w:eastAsia="Arial" w:hAnsi="Arial"/>
          <w:sz w:val="20"/>
          <w:szCs w:val="20"/>
          <w:color w:val="auto"/>
        </w:rPr>
        <w:t>You may receive a number of credits for conference room use and/or a certain number</w:t>
      </w:r>
      <w:r>
        <w:rPr>
          <w:rFonts w:ascii="Arial" w:cs="Arial" w:eastAsia="Arial" w:hAnsi="Arial"/>
          <w:sz w:val="20"/>
          <w:szCs w:val="20"/>
          <w:b w:val="1"/>
          <w:bCs w:val="1"/>
          <w:color w:val="auto"/>
        </w:rPr>
        <w:t xml:space="preserve"> </w:t>
      </w:r>
      <w:r>
        <w:rPr>
          <w:rFonts w:ascii="Arial" w:cs="Arial" w:eastAsia="Arial" w:hAnsi="Arial"/>
          <w:sz w:val="20"/>
          <w:szCs w:val="20"/>
          <w:color w:val="auto"/>
        </w:rPr>
        <w:t>of credits for color and black &amp; white copies and printouts, as speci</w:t>
      </w:r>
      <w:r>
        <w:rPr>
          <w:rFonts w:ascii="Arial Unicode MS" w:cs="Arial Unicode MS" w:eastAsia="Arial Unicode MS" w:hAnsi="Arial Unicode MS"/>
          <w:sz w:val="20"/>
          <w:szCs w:val="20"/>
          <w:color w:val="auto"/>
        </w:rPr>
        <w:t></w:t>
      </w:r>
      <w:r>
        <w:rPr>
          <w:rFonts w:ascii="Arial" w:cs="Arial" w:eastAsia="Arial" w:hAnsi="Arial"/>
          <w:sz w:val="20"/>
          <w:szCs w:val="20"/>
          <w:color w:val="auto"/>
        </w:rPr>
        <w:t>ed on the Membership Details Form. These allowances may not be rolled over from month to month. If these allocated amounts are exceeded or additional credits are required for purchase, you will be responsible for paying the applicable fees for such service credits. The current service credit fee schedule is listed on our website. All service credit fees are subject to increase from time to time at our sole discretion.</w:t>
      </w:r>
    </w:p>
    <w:p>
      <w:pPr>
        <w:spacing w:after="0" w:line="206" w:lineRule="exact"/>
        <w:rPr>
          <w:rFonts w:ascii="Arial" w:cs="Arial" w:eastAsia="Arial" w:hAnsi="Arial"/>
          <w:sz w:val="20"/>
          <w:szCs w:val="20"/>
          <w:color w:val="auto"/>
        </w:rPr>
      </w:pPr>
    </w:p>
    <w:p>
      <w:pPr>
        <w:jc w:val="both"/>
        <w:ind w:left="324" w:hanging="324"/>
        <w:spacing w:after="0" w:line="248" w:lineRule="auto"/>
        <w:tabs>
          <w:tab w:leader="none" w:pos="362"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Late Fees. </w:t>
      </w:r>
      <w:r>
        <w:rPr>
          <w:rFonts w:ascii="Arial" w:cs="Arial" w:eastAsia="Arial" w:hAnsi="Arial"/>
          <w:sz w:val="18"/>
          <w:szCs w:val="18"/>
          <w:color w:val="auto"/>
        </w:rPr>
        <w:t>If payment of the Monthly Fee or any other accrued and outstanding fee is not made by the tenth (10</w:t>
      </w:r>
      <w:r>
        <w:rPr>
          <w:rFonts w:ascii="Arial" w:cs="Arial" w:eastAsia="Arial" w:hAnsi="Arial"/>
          <w:sz w:val="26"/>
          <w:szCs w:val="26"/>
          <w:color w:val="auto"/>
          <w:vertAlign w:val="superscript"/>
        </w:rPr>
        <w:t>th</w:t>
      </w:r>
      <w:r>
        <w:rPr>
          <w:rFonts w:ascii="Arial" w:cs="Arial" w:eastAsia="Arial" w:hAnsi="Arial"/>
          <w:sz w:val="18"/>
          <w:szCs w:val="18"/>
          <w:color w:val="auto"/>
        </w:rPr>
        <w: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month in which such payment is due or within the amount of days set forth in the Net Payment Terms section of the Membership Details Form after issuance of the invoice relating to such payment, if applicable, you will be responsible for paying a late fee of ten percent (10%) of the outstanding invoice. Late fees are subject to change from time to time.</w:t>
      </w:r>
    </w:p>
    <w:p>
      <w:pPr>
        <w:spacing w:after="0" w:line="210" w:lineRule="exact"/>
        <w:rPr>
          <w:rFonts w:ascii="Arial" w:cs="Arial" w:eastAsia="Arial" w:hAnsi="Arial"/>
          <w:sz w:val="18"/>
          <w:szCs w:val="18"/>
          <w:color w:val="auto"/>
        </w:rPr>
      </w:pPr>
    </w:p>
    <w:p>
      <w:pPr>
        <w:jc w:val="both"/>
        <w:ind w:left="324" w:hanging="324"/>
        <w:spacing w:after="0" w:line="237" w:lineRule="exact"/>
        <w:tabs>
          <w:tab w:leader="none" w:pos="466"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Form of Payment. </w:t>
      </w:r>
      <w:r>
        <w:rPr>
          <w:rFonts w:ascii="Arial" w:cs="Arial" w:eastAsia="Arial" w:hAnsi="Arial"/>
          <w:sz w:val="19"/>
          <w:szCs w:val="19"/>
          <w:color w:val="auto"/>
        </w:rPr>
        <w:t>We accept payment of all amounts speci</w:t>
      </w:r>
      <w:r>
        <w:rPr>
          <w:rFonts w:ascii="Arial Unicode MS" w:cs="Arial Unicode MS" w:eastAsia="Arial Unicode MS" w:hAnsi="Arial Unicode MS"/>
          <w:sz w:val="19"/>
          <w:szCs w:val="19"/>
          <w:color w:val="auto"/>
        </w:rPr>
        <w:t></w:t>
      </w:r>
      <w:r>
        <w:rPr>
          <w:rFonts w:ascii="Arial" w:cs="Arial" w:eastAsia="Arial" w:hAnsi="Arial"/>
          <w:sz w:val="19"/>
          <w:szCs w:val="19"/>
          <w:color w:val="auto"/>
        </w:rPr>
        <w:t>ed in this Agreement solely by the methods we</w:t>
      </w:r>
      <w:r>
        <w:rPr>
          <w:rFonts w:ascii="Arial" w:cs="Arial" w:eastAsia="Arial" w:hAnsi="Arial"/>
          <w:sz w:val="19"/>
          <w:szCs w:val="19"/>
          <w:b w:val="1"/>
          <w:bCs w:val="1"/>
          <w:color w:val="auto"/>
        </w:rPr>
        <w:t xml:space="preserve"> </w:t>
      </w:r>
      <w:r>
        <w:rPr>
          <w:rFonts w:ascii="Arial" w:cs="Arial" w:eastAsia="Arial" w:hAnsi="Arial"/>
          <w:sz w:val="19"/>
          <w:szCs w:val="19"/>
          <w:color w:val="auto"/>
        </w:rPr>
        <w:t>communicate to you during the membership sign up process or from time to time during the Term. You are required to inform us promptly of any changes to your payment information. Changing your payment method may result in a change in the amount required under this Agreement to be held as the Service Retainer.</w:t>
      </w:r>
    </w:p>
    <w:p>
      <w:pPr>
        <w:spacing w:after="0" w:line="203" w:lineRule="exact"/>
        <w:rPr>
          <w:rFonts w:ascii="Arial" w:cs="Arial" w:eastAsia="Arial" w:hAnsi="Arial"/>
          <w:sz w:val="19"/>
          <w:szCs w:val="19"/>
          <w:color w:val="auto"/>
        </w:rPr>
      </w:pPr>
    </w:p>
    <w:p>
      <w:pPr>
        <w:jc w:val="both"/>
        <w:ind w:left="324" w:hanging="324"/>
        <w:spacing w:after="0" w:line="236" w:lineRule="exact"/>
        <w:tabs>
          <w:tab w:leader="none" w:pos="369"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 xml:space="preserve">Outstanding Fees. </w:t>
      </w:r>
      <w:r>
        <w:rPr>
          <w:rFonts w:ascii="Arial" w:cs="Arial" w:eastAsia="Arial" w:hAnsi="Arial"/>
          <w:sz w:val="20"/>
          <w:szCs w:val="20"/>
          <w:color w:val="auto"/>
        </w:rPr>
        <w:t>Any outstanding fees will be charged in arrears on a monthly basis. When we receive funds from</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you, we will </w:t>
      </w:r>
      <w:r>
        <w:rPr>
          <w:rFonts w:ascii="Arial Unicode MS" w:cs="Arial Unicode MS" w:eastAsia="Arial Unicode MS" w:hAnsi="Arial Unicode MS"/>
          <w:sz w:val="20"/>
          <w:szCs w:val="20"/>
          <w:color w:val="auto"/>
        </w:rPr>
        <w:t></w:t>
      </w:r>
      <w:r>
        <w:rPr>
          <w:rFonts w:ascii="Arial" w:cs="Arial" w:eastAsia="Arial" w:hAnsi="Arial"/>
          <w:sz w:val="20"/>
          <w:szCs w:val="20"/>
          <w:color w:val="auto"/>
        </w:rPr>
        <w:t xml:space="preserve">rst apply funds to any balances which are in arrears (including any outstanding late fees) and to the earliest month due </w:t>
      </w:r>
      <w:r>
        <w:rPr>
          <w:rFonts w:ascii="Arial Unicode MS" w:cs="Arial Unicode MS" w:eastAsia="Arial Unicode MS" w:hAnsi="Arial Unicode MS"/>
          <w:sz w:val="20"/>
          <w:szCs w:val="20"/>
          <w:color w:val="auto"/>
        </w:rPr>
        <w:t></w:t>
      </w:r>
      <w:r>
        <w:rPr>
          <w:rFonts w:ascii="Arial" w:cs="Arial" w:eastAsia="Arial" w:hAnsi="Arial"/>
          <w:sz w:val="20"/>
          <w:szCs w:val="20"/>
          <w:color w:val="auto"/>
        </w:rPr>
        <w:t>rst. Once past balances are satis</w:t>
      </w:r>
      <w:r>
        <w:rPr>
          <w:rFonts w:ascii="Arial Unicode MS" w:cs="Arial Unicode MS" w:eastAsia="Arial Unicode MS" w:hAnsi="Arial Unicode MS"/>
          <w:sz w:val="20"/>
          <w:szCs w:val="20"/>
          <w:color w:val="auto"/>
        </w:rPr>
        <w:t></w:t>
      </w:r>
      <w:r>
        <w:rPr>
          <w:rFonts w:ascii="Arial" w:cs="Arial" w:eastAsia="Arial" w:hAnsi="Arial"/>
          <w:sz w:val="20"/>
          <w:szCs w:val="20"/>
          <w:color w:val="auto"/>
        </w:rPr>
        <w:t>ed, any remaining portion of the funds will be applied to current fees due. If any payments remain outstanding after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353060</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4"/>
          </w:cols>
          <w:pgMar w:left="1096" w:top="1156" w:right="999" w:bottom="1440" w:gutter="0" w:footer="0" w:header="0"/>
        </w:sectPr>
      </w:pPr>
    </w:p>
    <w:bookmarkStart w:id="114" w:name="page115"/>
    <w:bookmarkEnd w:id="114"/>
    <w:p>
      <w:pPr>
        <w:ind w:left="324"/>
        <w:spacing w:after="0" w:line="260" w:lineRule="auto"/>
        <w:rPr>
          <w:sz w:val="20"/>
          <w:szCs w:val="20"/>
          <w:color w:val="auto"/>
        </w:rPr>
      </w:pPr>
      <w:r>
        <w:rPr>
          <w:rFonts w:ascii="Arial" w:cs="Arial" w:eastAsia="Arial" w:hAnsi="Arial"/>
          <w:sz w:val="20"/>
          <w:szCs w:val="20"/>
          <w:color w:val="auto"/>
        </w:rPr>
        <w:t>provide notice to you, we may, in our sole discretion, withhold Services or terminate this Agreement in accordance with Section 5(d).</w:t>
      </w:r>
    </w:p>
    <w:p>
      <w:pPr>
        <w:spacing w:after="0" w:line="198" w:lineRule="exact"/>
        <w:rPr>
          <w:sz w:val="20"/>
          <w:szCs w:val="20"/>
          <w:color w:val="auto"/>
        </w:rPr>
      </w:pPr>
    </w:p>
    <w:p>
      <w:pPr>
        <w:jc w:val="both"/>
        <w:ind w:left="324" w:hanging="324"/>
        <w:spacing w:after="0" w:line="271" w:lineRule="auto"/>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WeWork Work. </w:t>
      </w:r>
      <w:r>
        <w:rPr>
          <w:rFonts w:ascii="Arial" w:cs="Arial" w:eastAsia="Arial" w:hAnsi="Arial"/>
          <w:sz w:val="18"/>
          <w:szCs w:val="18"/>
          <w:color w:val="auto"/>
        </w:rPr>
        <w:t>In the event that we have agreed to customize office space for you (“</w:t>
      </w:r>
      <w:r>
        <w:rPr>
          <w:rFonts w:ascii="Arial" w:cs="Arial" w:eastAsia="Arial" w:hAnsi="Arial"/>
          <w:sz w:val="18"/>
          <w:szCs w:val="18"/>
          <w:b w:val="1"/>
          <w:bCs w:val="1"/>
          <w:color w:val="auto"/>
        </w:rPr>
        <w:t>Customized Office Space</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details, and if applicable, the amount and terms of payment for the customization, shall be set forth on the Membership Details Form. If set forth on the Membership Details Form, or otherwise mutually agreed to by the parties in writing, you agree to pay to us the “WeWork Work” fees and any other costs or expenses related to the Customized Office Space incurred by us (collectively, the “</w:t>
      </w:r>
      <w:r>
        <w:rPr>
          <w:rFonts w:ascii="Arial" w:cs="Arial" w:eastAsia="Arial" w:hAnsi="Arial"/>
          <w:sz w:val="18"/>
          <w:szCs w:val="18"/>
          <w:b w:val="1"/>
          <w:bCs w:val="1"/>
          <w:color w:val="auto"/>
        </w:rPr>
        <w:t>WeWork Work Expenses</w:t>
      </w:r>
      <w:r>
        <w:rPr>
          <w:rFonts w:ascii="Arial" w:cs="Arial" w:eastAsia="Arial" w:hAnsi="Arial"/>
          <w:sz w:val="18"/>
          <w:szCs w:val="18"/>
          <w:color w:val="auto"/>
        </w:rPr>
        <w:t>”), in accordance with the terms set forth on the Membership Details Form or other applicable written agreement. Unless we otherwise agree in writing, all WeWork Work Expenses are due notwithstanding any termination or expiration of this Agreement, and are immediately due and payable from you to us if you fail to move into the Office Space or terminate this Agreement prior to moving into the Office Space. Unless the parties agree otherwise in writing, you shall be fully responsible for all costs and expenses related to restoring the Office Space to its original condition prior to the WeWork Work (the “</w:t>
      </w:r>
      <w:r>
        <w:rPr>
          <w:rFonts w:ascii="Arial" w:cs="Arial" w:eastAsia="Arial" w:hAnsi="Arial"/>
          <w:sz w:val="18"/>
          <w:szCs w:val="18"/>
          <w:b w:val="1"/>
          <w:bCs w:val="1"/>
          <w:color w:val="auto"/>
        </w:rPr>
        <w:t>WeWork Work</w:t>
      </w:r>
      <w:r>
        <w:rPr>
          <w:rFonts w:ascii="Arial" w:cs="Arial" w:eastAsia="Arial" w:hAnsi="Arial"/>
          <w:sz w:val="18"/>
          <w:szCs w:val="18"/>
          <w:color w:val="auto"/>
        </w:rPr>
        <w:t xml:space="preserve"> </w:t>
      </w:r>
      <w:r>
        <w:rPr>
          <w:rFonts w:ascii="Arial" w:cs="Arial" w:eastAsia="Arial" w:hAnsi="Arial"/>
          <w:sz w:val="18"/>
          <w:szCs w:val="18"/>
          <w:b w:val="1"/>
          <w:bCs w:val="1"/>
          <w:color w:val="auto"/>
        </w:rPr>
        <w:t>Restoration Expenses</w:t>
      </w:r>
      <w:r>
        <w:rPr>
          <w:rFonts w:ascii="Arial" w:cs="Arial" w:eastAsia="Arial" w:hAnsi="Arial"/>
          <w:sz w:val="18"/>
          <w:szCs w:val="18"/>
          <w:color w:val="auto"/>
        </w:rPr>
        <w:t>”). All WeWork Work Restoration Expenses shall be paid on or before your final day of access</w:t>
      </w:r>
      <w:r>
        <w:rPr>
          <w:rFonts w:ascii="Arial" w:cs="Arial" w:eastAsia="Arial" w:hAnsi="Arial"/>
          <w:sz w:val="18"/>
          <w:szCs w:val="18"/>
          <w:b w:val="1"/>
          <w:bCs w:val="1"/>
          <w:color w:val="auto"/>
        </w:rPr>
        <w:t xml:space="preserve"> </w:t>
      </w:r>
      <w:r>
        <w:rPr>
          <w:rFonts w:ascii="Arial" w:cs="Arial" w:eastAsia="Arial" w:hAnsi="Arial"/>
          <w:sz w:val="18"/>
          <w:szCs w:val="18"/>
          <w:color w:val="auto"/>
        </w:rPr>
        <w:t>to and use of the Office Space.</w:t>
      </w:r>
    </w:p>
    <w:p>
      <w:pPr>
        <w:spacing w:after="0" w:line="178" w:lineRule="exact"/>
        <w:rPr>
          <w:rFonts w:ascii="Arial" w:cs="Arial" w:eastAsia="Arial" w:hAnsi="Arial"/>
          <w:sz w:val="18"/>
          <w:szCs w:val="18"/>
          <w:color w:val="auto"/>
        </w:rPr>
      </w:pPr>
    </w:p>
    <w:p>
      <w:pPr>
        <w:ind w:left="324" w:hanging="324"/>
        <w:spacing w:after="0" w:line="267" w:lineRule="auto"/>
        <w:tabs>
          <w:tab w:leader="none" w:pos="343"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 xml:space="preserve">No Refunds. </w:t>
      </w:r>
      <w:r>
        <w:rPr>
          <w:rFonts w:ascii="Arial" w:cs="Arial" w:eastAsia="Arial" w:hAnsi="Arial"/>
          <w:sz w:val="20"/>
          <w:szCs w:val="20"/>
          <w:color w:val="auto"/>
        </w:rPr>
        <w:t>Unless otherwise set forth in this Agreement, there are no refunds of any fees or other amounts paid by</w:t>
      </w:r>
      <w:r>
        <w:rPr>
          <w:rFonts w:ascii="Arial" w:cs="Arial" w:eastAsia="Arial" w:hAnsi="Arial"/>
          <w:sz w:val="20"/>
          <w:szCs w:val="20"/>
          <w:b w:val="1"/>
          <w:bCs w:val="1"/>
          <w:color w:val="auto"/>
        </w:rPr>
        <w:t xml:space="preserve"> </w:t>
      </w:r>
      <w:r>
        <w:rPr>
          <w:rFonts w:ascii="Arial" w:cs="Arial" w:eastAsia="Arial" w:hAnsi="Arial"/>
          <w:sz w:val="20"/>
          <w:szCs w:val="20"/>
          <w:color w:val="auto"/>
        </w:rPr>
        <w:t>you or your Members in connection with the Services.</w:t>
      </w:r>
    </w:p>
    <w:p>
      <w:pPr>
        <w:spacing w:after="0" w:line="190" w:lineRule="exact"/>
        <w:rPr>
          <w:sz w:val="20"/>
          <w:szCs w:val="20"/>
          <w:color w:val="auto"/>
        </w:rPr>
      </w:pPr>
    </w:p>
    <w:p>
      <w:pPr>
        <w:ind w:left="4"/>
        <w:spacing w:after="0"/>
        <w:tabs>
          <w:tab w:leader="none" w:pos="323" w:val="left"/>
        </w:tabs>
        <w:rPr>
          <w:sz w:val="20"/>
          <w:szCs w:val="20"/>
          <w:color w:val="auto"/>
        </w:rPr>
      </w:pPr>
      <w:r>
        <w:rPr>
          <w:rFonts w:ascii="Arial" w:cs="Arial" w:eastAsia="Arial" w:hAnsi="Arial"/>
          <w:sz w:val="20"/>
          <w:szCs w:val="20"/>
          <w:b w:val="1"/>
          <w:bCs w:val="1"/>
          <w:color w:val="auto"/>
        </w:rPr>
        <w:t>5.</w:t>
        <w:tab/>
        <w:t>TERM AND TERMINATION</w:t>
      </w:r>
    </w:p>
    <w:p>
      <w:pPr>
        <w:spacing w:after="0" w:line="229" w:lineRule="exact"/>
        <w:rPr>
          <w:sz w:val="20"/>
          <w:szCs w:val="20"/>
          <w:color w:val="auto"/>
        </w:rPr>
      </w:pPr>
    </w:p>
    <w:p>
      <w:pPr>
        <w:jc w:val="both"/>
        <w:ind w:left="324" w:hanging="324"/>
        <w:spacing w:after="0" w:line="253" w:lineRule="auto"/>
        <w:tabs>
          <w:tab w:leader="none" w:pos="339" w:val="left"/>
        </w:tabs>
        <w:numPr>
          <w:ilvl w:val="0"/>
          <w:numId w:val="49"/>
        </w:numPr>
        <w:rPr>
          <w:rFonts w:ascii="Arial" w:cs="Arial" w:eastAsia="Arial" w:hAnsi="Arial"/>
          <w:sz w:val="20"/>
          <w:szCs w:val="20"/>
          <w:color w:val="auto"/>
        </w:rPr>
      </w:pPr>
      <w:r>
        <w:rPr>
          <w:rFonts w:ascii="Arial" w:cs="Arial" w:eastAsia="Arial" w:hAnsi="Arial"/>
          <w:sz w:val="20"/>
          <w:szCs w:val="20"/>
          <w:b w:val="1"/>
          <w:bCs w:val="1"/>
          <w:color w:val="auto"/>
        </w:rPr>
        <w:t xml:space="preserve">Term. </w:t>
      </w:r>
      <w:r>
        <w:rPr>
          <w:rFonts w:ascii="Arial" w:cs="Arial" w:eastAsia="Arial" w:hAnsi="Arial"/>
          <w:sz w:val="20"/>
          <w:szCs w:val="20"/>
          <w:color w:val="auto"/>
        </w:rPr>
        <w:t>This Agreement will be effective when signed by both parties (“</w:t>
      </w:r>
      <w:r>
        <w:rPr>
          <w:rFonts w:ascii="Arial" w:cs="Arial" w:eastAsia="Arial" w:hAnsi="Arial"/>
          <w:sz w:val="20"/>
          <w:szCs w:val="20"/>
          <w:b w:val="1"/>
          <w:bCs w:val="1"/>
          <w:color w:val="auto"/>
        </w:rPr>
        <w:t>Effective Date</w:t>
      </w:r>
      <w:r>
        <w:rPr>
          <w:rFonts w:ascii="Arial" w:cs="Arial" w:eastAsia="Arial" w:hAnsi="Arial"/>
          <w:sz w:val="20"/>
          <w:szCs w:val="20"/>
          <w:color w:val="auto"/>
        </w:rPr>
        <w:t>”); provided that we have no</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to provide you with the Services until the later of (i) the date on which payment of your Service Retainer, Set-Up Fee and first month’s Monthly Fee has been received by us or (ii) the Start Date.</w:t>
      </w:r>
    </w:p>
    <w:p>
      <w:pPr>
        <w:spacing w:after="0" w:line="210" w:lineRule="exact"/>
        <w:rPr>
          <w:rFonts w:ascii="Arial" w:cs="Arial" w:eastAsia="Arial" w:hAnsi="Arial"/>
          <w:sz w:val="20"/>
          <w:szCs w:val="20"/>
          <w:color w:val="auto"/>
        </w:rPr>
      </w:pPr>
    </w:p>
    <w:p>
      <w:pPr>
        <w:jc w:val="both"/>
        <w:ind w:left="324"/>
        <w:spacing w:after="0" w:line="243" w:lineRule="auto"/>
        <w:rPr>
          <w:rFonts w:ascii="Arial" w:cs="Arial" w:eastAsia="Arial" w:hAnsi="Arial"/>
          <w:sz w:val="20"/>
          <w:szCs w:val="20"/>
          <w:color w:val="auto"/>
        </w:rPr>
      </w:pPr>
      <w:r>
        <w:rPr>
          <w:rFonts w:ascii="Arial" w:cs="Arial" w:eastAsia="Arial" w:hAnsi="Arial"/>
          <w:sz w:val="20"/>
          <w:szCs w:val="20"/>
          <w:color w:val="auto"/>
        </w:rPr>
        <w:t>Unless otherwise set forth on the Membership Details Form, following the Commitment Term, this Agreement shall automatically renew for the lesser of: (i) a six (6) month period or (ii) the period remaining on our underlying lease for the Main Premises (any term after the Commitment Term, a “</w:t>
      </w:r>
      <w:r>
        <w:rPr>
          <w:rFonts w:ascii="Arial" w:cs="Arial" w:eastAsia="Arial" w:hAnsi="Arial"/>
          <w:sz w:val="20"/>
          <w:szCs w:val="20"/>
          <w:b w:val="1"/>
          <w:bCs w:val="1"/>
          <w:color w:val="auto"/>
        </w:rPr>
        <w:t>Renewal Term</w:t>
      </w:r>
      <w:r>
        <w:rPr>
          <w:rFonts w:ascii="Arial" w:cs="Arial" w:eastAsia="Arial" w:hAnsi="Arial"/>
          <w:sz w:val="20"/>
          <w:szCs w:val="20"/>
          <w:color w:val="auto"/>
        </w:rPr>
        <w:t>”), subject to Section 5(c). The Commitment Term and all subsequent Renewal Terms shall constitute the “</w:t>
      </w:r>
      <w:r>
        <w:rPr>
          <w:rFonts w:ascii="Arial" w:cs="Arial" w:eastAsia="Arial" w:hAnsi="Arial"/>
          <w:sz w:val="20"/>
          <w:szCs w:val="20"/>
          <w:b w:val="1"/>
          <w:bCs w:val="1"/>
          <w:color w:val="auto"/>
        </w:rPr>
        <w:t>Term</w:t>
      </w:r>
      <w:r>
        <w:rPr>
          <w:rFonts w:ascii="Arial" w:cs="Arial" w:eastAsia="Arial" w:hAnsi="Arial"/>
          <w:sz w:val="20"/>
          <w:szCs w:val="20"/>
          <w:color w:val="auto"/>
        </w:rPr>
        <w:t>.” This Agreement will continue until terminated in accordance with this Agreement. If no Commitment Term is indicated on your Membership Details Form, the default Commitment Term shall commence on the Start Date and end six (6) full calendar months after the Start Date.</w:t>
      </w:r>
    </w:p>
    <w:p>
      <w:pPr>
        <w:spacing w:after="0" w:line="213" w:lineRule="exact"/>
        <w:rPr>
          <w:rFonts w:ascii="Arial" w:cs="Arial" w:eastAsia="Arial" w:hAnsi="Arial"/>
          <w:sz w:val="20"/>
          <w:szCs w:val="20"/>
          <w:color w:val="auto"/>
        </w:rPr>
      </w:pPr>
    </w:p>
    <w:p>
      <w:pPr>
        <w:jc w:val="both"/>
        <w:ind w:left="324" w:hanging="324"/>
        <w:spacing w:after="0" w:line="235" w:lineRule="exact"/>
        <w:tabs>
          <w:tab w:leader="none" w:pos="297"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Move In/ Move Out. </w:t>
      </w:r>
      <w:r>
        <w:rPr>
          <w:rFonts w:ascii="Arial" w:cs="Arial" w:eastAsia="Arial" w:hAnsi="Arial"/>
          <w:sz w:val="18"/>
          <w:szCs w:val="18"/>
          <w:color w:val="auto"/>
        </w:rPr>
        <w:t>If the Start Date is a Regular Business Day, you will be entitled to move into the Office Space no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earlier than 11:00 a.m. on the Start Date, provided you have complied with the payment obligations described in Section 5(a). If the Start Date is not a Regular Business Day, you will be entitled to move into the Office Space no earlier than 11:00 a.m. on the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rst Regular Business Day after the Start Date. On the last Regular Business Day of the Termination Effective Month (defined below), you must vacate the Office Space by no later than 4:00 p.m.</w:t>
      </w:r>
    </w:p>
    <w:p>
      <w:pPr>
        <w:spacing w:after="0" w:line="205" w:lineRule="exact"/>
        <w:rPr>
          <w:rFonts w:ascii="Arial" w:cs="Arial" w:eastAsia="Arial" w:hAnsi="Arial"/>
          <w:sz w:val="18"/>
          <w:szCs w:val="18"/>
          <w:color w:val="auto"/>
        </w:rPr>
      </w:pPr>
    </w:p>
    <w:p>
      <w:pPr>
        <w:jc w:val="both"/>
        <w:ind w:left="324" w:hanging="324"/>
        <w:spacing w:after="0" w:line="275" w:lineRule="auto"/>
        <w:tabs>
          <w:tab w:leader="none" w:pos="299"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Termination by You. </w:t>
      </w:r>
      <w:r>
        <w:rPr>
          <w:rFonts w:ascii="Arial" w:cs="Arial" w:eastAsia="Arial" w:hAnsi="Arial"/>
          <w:sz w:val="18"/>
          <w:szCs w:val="18"/>
          <w:color w:val="auto"/>
        </w:rPr>
        <w:t>You may terminate this Agreement by providing written notice to us prior to the month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you intend to terminate this Agreement (“</w:t>
      </w:r>
      <w:r>
        <w:rPr>
          <w:rFonts w:ascii="Arial" w:cs="Arial" w:eastAsia="Arial" w:hAnsi="Arial"/>
          <w:sz w:val="18"/>
          <w:szCs w:val="18"/>
          <w:b w:val="1"/>
          <w:bCs w:val="1"/>
          <w:color w:val="auto"/>
        </w:rPr>
        <w:t>Termination Effective Month</w:t>
      </w:r>
      <w:r>
        <w:rPr>
          <w:rFonts w:ascii="Arial" w:cs="Arial" w:eastAsia="Arial" w:hAnsi="Arial"/>
          <w:sz w:val="18"/>
          <w:szCs w:val="18"/>
          <w:color w:val="auto"/>
        </w:rPr>
        <w:t>”) in accordance with the notice periods set forth in the chart below (the “</w:t>
      </w:r>
      <w:r>
        <w:rPr>
          <w:rFonts w:ascii="Arial" w:cs="Arial" w:eastAsia="Arial" w:hAnsi="Arial"/>
          <w:sz w:val="18"/>
          <w:szCs w:val="18"/>
          <w:b w:val="1"/>
          <w:bCs w:val="1"/>
          <w:color w:val="auto"/>
        </w:rPr>
        <w:t>Termination Notice Period(s)</w:t>
      </w:r>
      <w:r>
        <w:rPr>
          <w:rFonts w:ascii="Arial" w:cs="Arial" w:eastAsia="Arial" w:hAnsi="Arial"/>
          <w:sz w:val="18"/>
          <w:szCs w:val="18"/>
          <w:color w:val="auto"/>
        </w:rPr>
        <w:t>”). The applicable Termination Notice Period shall be determined by the Capacity for the relevant office number(s), as depicted in the chart below, and as displayed on the Membership Details Form. The Termination Notice Periods shall apply to any termination by you during the Term. After receiving such notice we will deliver to you the WeWork Exit Form (“</w:t>
      </w:r>
      <w:r>
        <w:rPr>
          <w:rFonts w:ascii="Arial" w:cs="Arial" w:eastAsia="Arial" w:hAnsi="Arial"/>
          <w:sz w:val="18"/>
          <w:szCs w:val="18"/>
          <w:b w:val="1"/>
          <w:bCs w:val="1"/>
          <w:color w:val="auto"/>
        </w:rPr>
        <w:t>Exit Form</w:t>
      </w:r>
      <w:r>
        <w:rPr>
          <w:rFonts w:ascii="Arial" w:cs="Arial" w:eastAsia="Arial" w:hAnsi="Arial"/>
          <w:sz w:val="18"/>
          <w:szCs w:val="18"/>
          <w:color w:val="auto"/>
        </w:rPr>
        <w:t>”), which you must complete and submit to us. The termination will be effective on the later of the last Regular Business Day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353060</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4"/>
          </w:cols>
          <w:pgMar w:left="1096" w:top="1189" w:right="999" w:bottom="1440" w:gutter="0" w:footer="0" w:header="0"/>
        </w:sectPr>
      </w:pPr>
    </w:p>
    <w:bookmarkStart w:id="115" w:name="page116"/>
    <w:bookmarkEnd w:id="115"/>
    <w:p>
      <w:pPr>
        <w:jc w:val="both"/>
        <w:ind w:left="324"/>
        <w:spacing w:after="0" w:line="255" w:lineRule="auto"/>
        <w:rPr>
          <w:sz w:val="20"/>
          <w:szCs w:val="20"/>
          <w:color w:val="auto"/>
        </w:rPr>
      </w:pPr>
      <w:r>
        <w:rPr>
          <w:rFonts w:ascii="Arial" w:cs="Arial" w:eastAsia="Arial" w:hAnsi="Arial"/>
          <w:sz w:val="19"/>
          <w:szCs w:val="19"/>
          <w:color w:val="auto"/>
        </w:rPr>
        <w:t>Termination Effective Month and the expiration of the Commitment Term. No termination by you shall be effective during the Commitment Term, and termination by you during the Commitment Term is a breach of this Agreement. If you terminate this Agreement prior to the end of the Commitment Term (or during any relevant Termination Notice Period), your Monthly Fee Obligations and any unpaid WeWork Work Expenses (if applicable) shall become immediately due. In addition to any rights, claims and remedies we choose to pursue in our discretion, your Service Retainer shall be forfeited immediately as a result of your breach. Notice must be provided during Regular Business Hours. The Exit Form needs to be completely filled out and signed by the Authorized Signatory; however, please note that the termination of your Agreement on the last Regular Business Day of the Termination Effective Month will be triggered upon your provision of written notice of termination to us, regardless of when you complete and submit the Exit Form. You will not be entitled to pro ration with respect to the last month's Monthly Fee. For instance, if you vacate your Office Space before the last Regular Business Day of April, you will still owe us the full Monthly Fee for the full month of April.</w:t>
      </w:r>
    </w:p>
    <w:p>
      <w:pPr>
        <w:spacing w:after="0" w:line="205" w:lineRule="exact"/>
        <w:rPr>
          <w:sz w:val="20"/>
          <w:szCs w:val="20"/>
          <w:color w:val="auto"/>
        </w:rPr>
      </w:pPr>
    </w:p>
    <w:p>
      <w:pPr>
        <w:jc w:val="center"/>
        <w:ind w:right="96"/>
        <w:spacing w:after="0"/>
        <w:rPr>
          <w:sz w:val="20"/>
          <w:szCs w:val="20"/>
          <w:color w:val="auto"/>
        </w:rPr>
      </w:pPr>
      <w:r>
        <w:rPr>
          <w:rFonts w:ascii="Arial" w:cs="Arial" w:eastAsia="Arial" w:hAnsi="Arial"/>
          <w:sz w:val="20"/>
          <w:szCs w:val="20"/>
          <w:b w:val="1"/>
          <w:bCs w:val="1"/>
          <w:color w:val="auto"/>
        </w:rPr>
        <w:t>Member Company Termination Notice Periods Required:</w:t>
      </w:r>
    </w:p>
    <w:p>
      <w:pPr>
        <w:spacing w:after="0" w:line="245" w:lineRule="exact"/>
        <w:rPr>
          <w:sz w:val="20"/>
          <w:szCs w:val="20"/>
          <w:color w:val="auto"/>
        </w:rPr>
      </w:pPr>
    </w:p>
    <w:tbl>
      <w:tblPr>
        <w:tblLayout w:type="fixed"/>
        <w:tblInd w:w="894" w:type="dxa"/>
        <w:tblCellMar>
          <w:top w:w="0" w:type="dxa"/>
          <w:left w:w="0" w:type="dxa"/>
          <w:bottom w:w="0" w:type="dxa"/>
          <w:right w:w="0" w:type="dxa"/>
        </w:tblCellMar>
      </w:tblPr>
      <w:tr>
        <w:trPr>
          <w:trHeight w:val="243"/>
        </w:trPr>
        <w:tc>
          <w:tcPr>
            <w:tcW w:w="4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Capacity</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Notice Required</w:t>
            </w:r>
          </w:p>
        </w:tc>
      </w:tr>
      <w:tr>
        <w:trPr>
          <w:trHeight w:val="223"/>
        </w:trPr>
        <w:tc>
          <w:tcPr>
            <w:tcW w:w="4000" w:type="dxa"/>
            <w:vAlign w:val="bottom"/>
            <w:tcBorders>
              <w:left w:val="single" w:sz="8" w:color="auto"/>
              <w:bottom w:val="single" w:sz="8" w:color="auto"/>
              <w:right w:val="single" w:sz="8" w:color="auto"/>
            </w:tcBorders>
          </w:tcPr>
          <w:p>
            <w:pPr>
              <w:jc w:val="right"/>
              <w:ind w:right="1681"/>
              <w:spacing w:after="0" w:line="223" w:lineRule="exact"/>
              <w:rPr>
                <w:sz w:val="20"/>
                <w:szCs w:val="20"/>
                <w:color w:val="auto"/>
              </w:rPr>
            </w:pPr>
            <w:r>
              <w:rPr>
                <w:rFonts w:ascii="Arial" w:cs="Arial" w:eastAsia="Arial" w:hAnsi="Arial"/>
                <w:sz w:val="20"/>
                <w:szCs w:val="20"/>
                <w:color w:val="auto"/>
              </w:rPr>
              <w:t>0-49</w:t>
            </w:r>
          </w:p>
        </w:tc>
        <w:tc>
          <w:tcPr>
            <w:tcW w:w="39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Four (4) month</w:t>
            </w:r>
          </w:p>
        </w:tc>
      </w:tr>
      <w:tr>
        <w:trPr>
          <w:trHeight w:val="223"/>
        </w:trPr>
        <w:tc>
          <w:tcPr>
            <w:tcW w:w="4000" w:type="dxa"/>
            <w:vAlign w:val="bottom"/>
            <w:tcBorders>
              <w:left w:val="single" w:sz="8" w:color="auto"/>
              <w:bottom w:val="single" w:sz="8" w:color="auto"/>
              <w:right w:val="single" w:sz="8" w:color="auto"/>
            </w:tcBorders>
          </w:tcPr>
          <w:p>
            <w:pPr>
              <w:jc w:val="right"/>
              <w:ind w:right="1621"/>
              <w:spacing w:after="0" w:line="223" w:lineRule="exact"/>
              <w:rPr>
                <w:sz w:val="20"/>
                <w:szCs w:val="20"/>
                <w:color w:val="auto"/>
              </w:rPr>
            </w:pPr>
            <w:r>
              <w:rPr>
                <w:rFonts w:ascii="Arial" w:cs="Arial" w:eastAsia="Arial" w:hAnsi="Arial"/>
                <w:sz w:val="20"/>
                <w:szCs w:val="20"/>
                <w:color w:val="auto"/>
              </w:rPr>
              <w:t>50-99</w:t>
            </w:r>
          </w:p>
        </w:tc>
        <w:tc>
          <w:tcPr>
            <w:tcW w:w="39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Six (6) months</w:t>
            </w:r>
          </w:p>
        </w:tc>
      </w:tr>
      <w:tr>
        <w:trPr>
          <w:trHeight w:val="223"/>
        </w:trPr>
        <w:tc>
          <w:tcPr>
            <w:tcW w:w="40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100 or greater</w:t>
            </w:r>
          </w:p>
        </w:tc>
        <w:tc>
          <w:tcPr>
            <w:tcW w:w="39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Six (6) months</w:t>
            </w:r>
          </w:p>
        </w:tc>
      </w:tr>
    </w:tbl>
    <w:p>
      <w:pPr>
        <w:spacing w:after="0" w:line="193" w:lineRule="exact"/>
        <w:rPr>
          <w:sz w:val="20"/>
          <w:szCs w:val="20"/>
          <w:color w:val="auto"/>
        </w:rPr>
      </w:pPr>
    </w:p>
    <w:p>
      <w:pPr>
        <w:jc w:val="both"/>
        <w:ind w:left="964" w:hanging="320"/>
        <w:spacing w:after="0" w:line="246" w:lineRule="auto"/>
        <w:tabs>
          <w:tab w:leader="none" w:pos="1049" w:val="left"/>
        </w:tabs>
        <w:numPr>
          <w:ilvl w:val="1"/>
          <w:numId w:val="50"/>
        </w:numPr>
        <w:rPr>
          <w:rFonts w:ascii="Arial" w:cs="Arial" w:eastAsia="Arial" w:hAnsi="Arial"/>
          <w:sz w:val="20"/>
          <w:szCs w:val="20"/>
          <w:color w:val="auto"/>
        </w:rPr>
      </w:pPr>
      <w:r>
        <w:rPr>
          <w:rFonts w:ascii="Arial" w:cs="Arial" w:eastAsia="Arial" w:hAnsi="Arial"/>
          <w:sz w:val="20"/>
          <w:szCs w:val="20"/>
          <w:b w:val="1"/>
          <w:bCs w:val="1"/>
          <w:color w:val="auto"/>
        </w:rPr>
        <w:t>Example</w:t>
      </w:r>
      <w:r>
        <w:rPr>
          <w:rFonts w:ascii="Arial" w:cs="Arial" w:eastAsia="Arial" w:hAnsi="Arial"/>
          <w:sz w:val="20"/>
          <w:szCs w:val="20"/>
          <w:color w:val="auto"/>
        </w:rPr>
        <w:t>: If the Capacity for the Office Space is between fifty (50) and ninety-nine (99) Members, the</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Termination Notice Period would be six (6) months, and to terminate this Agreement effective the last Regular Business Day of August (provided that the Commitment Term shall have expired by such date), the last opportunity to provide notice to us would be during Regular Business Hours on the last Regular Business Day of February.</w:t>
      </w:r>
    </w:p>
    <w:p>
      <w:pPr>
        <w:spacing w:after="0" w:line="198" w:lineRule="exact"/>
        <w:rPr>
          <w:rFonts w:ascii="Arial" w:cs="Arial" w:eastAsia="Arial" w:hAnsi="Arial"/>
          <w:sz w:val="20"/>
          <w:szCs w:val="20"/>
          <w:color w:val="auto"/>
        </w:rPr>
      </w:pPr>
    </w:p>
    <w:p>
      <w:pPr>
        <w:jc w:val="both"/>
        <w:ind w:left="324" w:hanging="324"/>
        <w:spacing w:after="0" w:line="232" w:lineRule="exact"/>
        <w:tabs>
          <w:tab w:leader="none" w:pos="364" w:val="left"/>
        </w:tabs>
        <w:numPr>
          <w:ilvl w:val="0"/>
          <w:numId w:val="50"/>
        </w:numPr>
        <w:rPr>
          <w:rFonts w:ascii="Arial" w:cs="Arial" w:eastAsia="Arial" w:hAnsi="Arial"/>
          <w:sz w:val="19"/>
          <w:szCs w:val="19"/>
          <w:color w:val="auto"/>
        </w:rPr>
      </w:pPr>
      <w:r>
        <w:rPr>
          <w:rFonts w:ascii="Arial" w:cs="Arial" w:eastAsia="Arial" w:hAnsi="Arial"/>
          <w:sz w:val="19"/>
          <w:szCs w:val="19"/>
          <w:b w:val="1"/>
          <w:bCs w:val="1"/>
          <w:color w:val="auto"/>
        </w:rPr>
        <w:t xml:space="preserve">Termination or Suspension by Us. </w:t>
      </w:r>
      <w:r>
        <w:rPr>
          <w:rFonts w:ascii="Arial" w:cs="Arial" w:eastAsia="Arial" w:hAnsi="Arial"/>
          <w:sz w:val="19"/>
          <w:szCs w:val="19"/>
          <w:color w:val="auto"/>
        </w:rPr>
        <w:t>We may withhold Services or immediately terminate this Agreement: (i) upon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breach of this Agreement by you or any Member which has not been remedied within ten (10) days of your receipt of a notice from us of such breach; (ii) upon termination, expiration or material loss of our rights in the Premises; (iii) if any outstanding fees are still due after we provide notice to you which have not been paid within ten (10) days of your receipt of a notice from us; (iv) if you or any of your Members fail to comply with the terms and conditions of the WeWork Member Network ToS, the WeWork Data Connection &amp; Internet Access ToS, the WeWork Privacy Policy, or any other policies or instructions provided by us or applicable to you; or (v) at any other time, when we, in our sole discretion, see </w:t>
      </w:r>
      <w:r>
        <w:rPr>
          <w:rFonts w:ascii="Arial Unicode MS" w:cs="Arial Unicode MS" w:eastAsia="Arial Unicode MS" w:hAnsi="Arial Unicode MS"/>
          <w:sz w:val="19"/>
          <w:szCs w:val="19"/>
          <w:color w:val="auto"/>
        </w:rPr>
        <w:t></w:t>
      </w:r>
      <w:r>
        <w:rPr>
          <w:rFonts w:ascii="Arial" w:cs="Arial" w:eastAsia="Arial" w:hAnsi="Arial"/>
          <w:sz w:val="19"/>
          <w:szCs w:val="19"/>
          <w:color w:val="auto"/>
        </w:rPr>
        <w:t>t to do so. You will remain liable for past due amounts but not for future monthly fees which would have been due for the remainder for any Term but for such termination, and we may exercise our rights to collect due payment, despite termination or expiration of this Agreement.</w:t>
      </w:r>
    </w:p>
    <w:p>
      <w:pPr>
        <w:spacing w:after="0" w:line="217" w:lineRule="exact"/>
        <w:rPr>
          <w:sz w:val="20"/>
          <w:szCs w:val="20"/>
          <w:color w:val="auto"/>
        </w:rPr>
      </w:pPr>
    </w:p>
    <w:p>
      <w:pPr>
        <w:ind w:left="324"/>
        <w:spacing w:after="0" w:line="250" w:lineRule="auto"/>
        <w:rPr>
          <w:sz w:val="20"/>
          <w:szCs w:val="20"/>
          <w:color w:val="auto"/>
        </w:rPr>
      </w:pPr>
      <w:r>
        <w:rPr>
          <w:rFonts w:ascii="Arial" w:cs="Arial" w:eastAsia="Arial" w:hAnsi="Arial"/>
          <w:sz w:val="20"/>
          <w:szCs w:val="20"/>
          <w:color w:val="auto"/>
        </w:rPr>
        <w:t>An individual Member will no longer receive the Services and is no longer authorized to access the Main Premises or any Premises upon the earlier of (x) the termination or expiration of this Agreement;</w:t>
      </w:r>
    </w:p>
    <w:p>
      <w:pPr>
        <w:spacing w:after="0" w:line="1" w:lineRule="exact"/>
        <w:rPr>
          <w:sz w:val="20"/>
          <w:szCs w:val="20"/>
          <w:color w:val="auto"/>
        </w:rPr>
      </w:pPr>
    </w:p>
    <w:p>
      <w:pPr>
        <w:jc w:val="both"/>
        <w:ind w:left="324"/>
        <w:spacing w:after="0" w:line="244" w:lineRule="auto"/>
        <w:tabs>
          <w:tab w:leader="none" w:pos="634" w:val="left"/>
        </w:tabs>
        <w:numPr>
          <w:ilvl w:val="1"/>
          <w:numId w:val="51"/>
        </w:numPr>
        <w:rPr>
          <w:rFonts w:ascii="Arial" w:cs="Arial" w:eastAsia="Arial" w:hAnsi="Arial"/>
          <w:sz w:val="20"/>
          <w:szCs w:val="20"/>
          <w:color w:val="auto"/>
        </w:rPr>
      </w:pPr>
      <w:r>
        <w:rPr>
          <w:rFonts w:ascii="Arial" w:cs="Arial" w:eastAsia="Arial" w:hAnsi="Arial"/>
          <w:sz w:val="20"/>
          <w:szCs w:val="20"/>
          <w:color w:val="auto"/>
        </w:rPr>
        <w:t>your removal of such Member from the Member List or (z) our notice to you that such Member violated this Agreement and is no longer permitted to utilize the Services. We may withhold or terminate Services of individual Members for any of the foregoing reasons; in such circumstances this Agreement will continue in full force and effect to the exclusion of the relevant Member.</w:t>
      </w:r>
    </w:p>
    <w:p>
      <w:pPr>
        <w:spacing w:after="0" w:line="198" w:lineRule="exact"/>
        <w:rPr>
          <w:rFonts w:ascii="Arial" w:cs="Arial" w:eastAsia="Arial" w:hAnsi="Arial"/>
          <w:sz w:val="20"/>
          <w:szCs w:val="20"/>
          <w:color w:val="auto"/>
        </w:rPr>
      </w:pPr>
    </w:p>
    <w:p>
      <w:pPr>
        <w:jc w:val="both"/>
        <w:ind w:left="324" w:hanging="324"/>
        <w:spacing w:after="0" w:line="248" w:lineRule="auto"/>
        <w:tabs>
          <w:tab w:leader="none" w:pos="339"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 xml:space="preserve">Service Retainer. </w:t>
      </w:r>
      <w:r>
        <w:rPr>
          <w:rFonts w:ascii="Arial" w:cs="Arial" w:eastAsia="Arial" w:hAnsi="Arial"/>
          <w:sz w:val="20"/>
          <w:szCs w:val="20"/>
          <w:color w:val="auto"/>
        </w:rPr>
        <w:t>The Service Retainer will be held as a retainer for performance of all your obligations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including the Monthly Fee Obligations, and is not intended to be a reserve from which fees may be paid. In the event you owe us other fees, you may not rely on deducting them from the Service Retainer, but must pay them separately. We will return the Service Retainer, or any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353060</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4"/>
          </w:cols>
          <w:pgMar w:left="1096" w:top="1189" w:right="999" w:bottom="1440" w:gutter="0" w:footer="0" w:header="0"/>
        </w:sectPr>
      </w:pPr>
    </w:p>
    <w:bookmarkStart w:id="116" w:name="page117"/>
    <w:bookmarkEnd w:id="116"/>
    <w:p>
      <w:pPr>
        <w:jc w:val="both"/>
        <w:ind w:left="324"/>
        <w:spacing w:after="0" w:line="243" w:lineRule="auto"/>
        <w:rPr>
          <w:sz w:val="20"/>
          <w:szCs w:val="20"/>
          <w:color w:val="auto"/>
        </w:rPr>
      </w:pPr>
      <w:r>
        <w:rPr>
          <w:rFonts w:ascii="Arial" w:cs="Arial" w:eastAsia="Arial" w:hAnsi="Arial"/>
          <w:sz w:val="20"/>
          <w:szCs w:val="20"/>
          <w:color w:val="auto"/>
        </w:rPr>
        <w:t>after deducting outstanding fees and other costs due to us, including any unsatisfied Monthly Fee Obligations, to you by bank transfer or other method that we communicate to you within thirty (30) days (or earlier if required by applicable law) after the later of (i) the termination or expiration of this Agreement and (ii) the date on which you provide to us all account information necessary for us to make such payment. Return of the Service Retainer is also subject to your complete performance of all your obligations under this Agreement, including full satisfaction of your Monthly Fee Obligations and any additional obligations applicable following termination or expiration of this Agreement.</w:t>
      </w:r>
    </w:p>
    <w:p>
      <w:pPr>
        <w:spacing w:after="0" w:line="214" w:lineRule="exact"/>
        <w:rPr>
          <w:sz w:val="20"/>
          <w:szCs w:val="20"/>
          <w:color w:val="auto"/>
        </w:rPr>
      </w:pPr>
    </w:p>
    <w:p>
      <w:pPr>
        <w:jc w:val="both"/>
        <w:ind w:left="324" w:hanging="324"/>
        <w:spacing w:after="0" w:line="257" w:lineRule="auto"/>
        <w:tabs>
          <w:tab w:leader="none" w:pos="353"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 xml:space="preserve">Removal of Property Upon Termination. </w:t>
      </w:r>
      <w:r>
        <w:rPr>
          <w:rFonts w:ascii="Arial" w:cs="Arial" w:eastAsia="Arial" w:hAnsi="Arial"/>
          <w:sz w:val="19"/>
          <w:szCs w:val="19"/>
          <w:color w:val="auto"/>
        </w:rPr>
        <w:t>Prior to the termination or expiration of this Agreement, you will remove</w:t>
      </w:r>
      <w:r>
        <w:rPr>
          <w:rFonts w:ascii="Arial" w:cs="Arial" w:eastAsia="Arial" w:hAnsi="Arial"/>
          <w:sz w:val="19"/>
          <w:szCs w:val="19"/>
          <w:b w:val="1"/>
          <w:bCs w:val="1"/>
          <w:color w:val="auto"/>
        </w:rPr>
        <w:t xml:space="preserve"> </w:t>
      </w:r>
      <w:r>
        <w:rPr>
          <w:rFonts w:ascii="Arial" w:cs="Arial" w:eastAsia="Arial" w:hAnsi="Arial"/>
          <w:sz w:val="19"/>
          <w:szCs w:val="19"/>
          <w:color w:val="auto"/>
        </w:rPr>
        <w:t>all of your, your Members’, and your or their guests’ property from the Office Space and Premises. After providing you with reasonable notice, we will be entitled to dispose of any property remaining in or on the Office Space or Premises after the termination or expiration of this Agreement and will not have any obligation to store such property, and you waive any claims or demands regarding such property or our handling or disposal of such property. You will be responsible for paying any fees reasonably incurred by us regarding such removal. We shall have no implied obligations as a bailee or custodian, and you hereby indemnify us and agree to keep us indemnified in respect of any claims of any third parties in respect of such property. Following the termination or expiration of this Agreement, we will not forward or hold mail or other packages delivered to us.</w:t>
      </w:r>
    </w:p>
    <w:p>
      <w:pPr>
        <w:spacing w:after="0" w:line="189" w:lineRule="exact"/>
        <w:rPr>
          <w:sz w:val="20"/>
          <w:szCs w:val="20"/>
          <w:color w:val="auto"/>
        </w:rPr>
      </w:pPr>
    </w:p>
    <w:p>
      <w:pPr>
        <w:ind w:left="4"/>
        <w:spacing w:after="0"/>
        <w:tabs>
          <w:tab w:leader="none" w:pos="323"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9"/>
          <w:szCs w:val="19"/>
          <w:b w:val="1"/>
          <w:bCs w:val="1"/>
          <w:color w:val="auto"/>
        </w:rPr>
        <w:t>HOUSE RULES</w:t>
      </w:r>
    </w:p>
    <w:p>
      <w:pPr>
        <w:spacing w:after="0" w:line="235" w:lineRule="exact"/>
        <w:rPr>
          <w:sz w:val="20"/>
          <w:szCs w:val="20"/>
          <w:color w:val="auto"/>
        </w:rPr>
      </w:pPr>
    </w:p>
    <w:p>
      <w:pPr>
        <w:jc w:val="both"/>
        <w:ind w:left="324"/>
        <w:spacing w:after="0" w:line="250" w:lineRule="auto"/>
        <w:rPr>
          <w:sz w:val="20"/>
          <w:szCs w:val="20"/>
          <w:color w:val="auto"/>
        </w:rPr>
      </w:pPr>
      <w:r>
        <w:rPr>
          <w:rFonts w:ascii="Arial" w:cs="Arial" w:eastAsia="Arial" w:hAnsi="Arial"/>
          <w:sz w:val="20"/>
          <w:szCs w:val="20"/>
          <w:color w:val="auto"/>
        </w:rPr>
        <w:t>In addition to any rules, policies and/or procedures that are specific to a Main Premises used by you, you agree to be bound by the House Rules set forth in Exhibit A attached hereto. You are responsible for ensuring your Members comply with all House Rules.</w:t>
      </w:r>
    </w:p>
    <w:p>
      <w:pPr>
        <w:spacing w:after="0" w:line="207" w:lineRule="exact"/>
        <w:rPr>
          <w:sz w:val="20"/>
          <w:szCs w:val="20"/>
          <w:color w:val="auto"/>
        </w:rPr>
      </w:pPr>
    </w:p>
    <w:p>
      <w:pPr>
        <w:ind w:left="4"/>
        <w:spacing w:after="0"/>
        <w:tabs>
          <w:tab w:leader="none" w:pos="323" w:val="left"/>
        </w:tabs>
        <w:rPr>
          <w:sz w:val="20"/>
          <w:szCs w:val="20"/>
          <w:color w:val="auto"/>
        </w:rPr>
      </w:pPr>
      <w:r>
        <w:rPr>
          <w:rFonts w:ascii="Arial" w:cs="Arial" w:eastAsia="Arial" w:hAnsi="Arial"/>
          <w:sz w:val="20"/>
          <w:szCs w:val="20"/>
          <w:b w:val="1"/>
          <w:bCs w:val="1"/>
          <w:color w:val="auto"/>
        </w:rPr>
        <w:t>7.</w:t>
        <w:tab/>
        <w:t>ADDITIONAL AGREEMENTS</w:t>
      </w:r>
    </w:p>
    <w:p>
      <w:pPr>
        <w:spacing w:after="0" w:line="229" w:lineRule="exact"/>
        <w:rPr>
          <w:sz w:val="20"/>
          <w:szCs w:val="20"/>
          <w:color w:val="auto"/>
        </w:rPr>
      </w:pPr>
    </w:p>
    <w:p>
      <w:pPr>
        <w:jc w:val="both"/>
        <w:ind w:left="324" w:hanging="324"/>
        <w:spacing w:after="0" w:line="285" w:lineRule="auto"/>
        <w:tabs>
          <w:tab w:leader="none" w:pos="335"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Information Technology. </w:t>
      </w:r>
      <w:r>
        <w:rPr>
          <w:rFonts w:ascii="Arial" w:cs="Arial" w:eastAsia="Arial" w:hAnsi="Arial"/>
          <w:sz w:val="18"/>
          <w:szCs w:val="18"/>
          <w:color w:val="auto"/>
        </w:rPr>
        <w:t>In order to utilize all the functionalities offered by us, it may be necessary to install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onto a Member’s computer, tablet, mobile device or other electronic equipment. In addition, a Member may request that we troubleshoot problems a Member may have with respect to printing, accessing the network connection or other issues. If we provide such services, we will not be responsible for any damage to your equipment.</w:t>
      </w:r>
    </w:p>
    <w:p>
      <w:pPr>
        <w:spacing w:after="0" w:line="164" w:lineRule="exact"/>
        <w:rPr>
          <w:rFonts w:ascii="Arial" w:cs="Arial" w:eastAsia="Arial" w:hAnsi="Arial"/>
          <w:sz w:val="18"/>
          <w:szCs w:val="18"/>
          <w:color w:val="auto"/>
        </w:rPr>
      </w:pPr>
    </w:p>
    <w:p>
      <w:pPr>
        <w:jc w:val="both"/>
        <w:ind w:left="324" w:hanging="324"/>
        <w:spacing w:after="0" w:line="257" w:lineRule="auto"/>
        <w:tabs>
          <w:tab w:leader="none" w:pos="324"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Network Connection. </w:t>
      </w:r>
      <w:r>
        <w:rPr>
          <w:rFonts w:ascii="Arial" w:cs="Arial" w:eastAsia="Arial" w:hAnsi="Arial"/>
          <w:sz w:val="19"/>
          <w:szCs w:val="19"/>
          <w:color w:val="auto"/>
        </w:rPr>
        <w:t>WeWork provides Internet access to Members via a wireless or wired network connection. For</w:t>
      </w:r>
      <w:r>
        <w:rPr>
          <w:rFonts w:ascii="Arial" w:cs="Arial" w:eastAsia="Arial" w:hAnsi="Arial"/>
          <w:sz w:val="19"/>
          <w:szCs w:val="19"/>
          <w:b w:val="1"/>
          <w:bCs w:val="1"/>
          <w:color w:val="auto"/>
        </w:rPr>
        <w:t xml:space="preserve"> </w:t>
      </w:r>
      <w:r>
        <w:rPr>
          <w:rFonts w:ascii="Arial" w:cs="Arial" w:eastAsia="Arial" w:hAnsi="Arial"/>
          <w:sz w:val="19"/>
          <w:szCs w:val="19"/>
          <w:color w:val="auto"/>
        </w:rPr>
        <w:t>those Members wishing to implement a private wired network, WeWork may allow you to install a firewall device for your exclusive access and use, subject to WeWork IT approval, and you will be responsible for removal of the same. Prior to any such installation or removal, you shall coordinate with the WeWork IT team to discuss the actual setup, appropriate time, manner and means for such installation or removal and any additional fees that may result from the request, which fees shall be set out in the Membership Details Form. To the extent that we incur any costs in connection with such installation or removal, which are not otherwise paid by you, we shall deduct such costs from the Service Retainer. You shall also be responsible for any monthly fees incurred relating to your private, secured wired network and any additional IT services.</w:t>
      </w:r>
    </w:p>
    <w:p>
      <w:pPr>
        <w:spacing w:after="0" w:line="202" w:lineRule="exact"/>
        <w:rPr>
          <w:rFonts w:ascii="Arial" w:cs="Arial" w:eastAsia="Arial" w:hAnsi="Arial"/>
          <w:sz w:val="19"/>
          <w:szCs w:val="19"/>
          <w:color w:val="auto"/>
        </w:rPr>
      </w:pPr>
    </w:p>
    <w:p>
      <w:pPr>
        <w:jc w:val="both"/>
        <w:ind w:left="324" w:hanging="324"/>
        <w:spacing w:after="0" w:line="245" w:lineRule="auto"/>
        <w:tabs>
          <w:tab w:leader="none" w:pos="407"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 xml:space="preserve">Waiver of Claims. </w:t>
      </w:r>
      <w:r>
        <w:rPr>
          <w:rFonts w:ascii="Arial" w:cs="Arial" w:eastAsia="Arial" w:hAnsi="Arial"/>
          <w:sz w:val="20"/>
          <w:szCs w:val="20"/>
          <w:color w:val="auto"/>
        </w:rPr>
        <w:t>To the extent permitted by law, you, on your own behalf and on behalf of your Members,</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agents, guests and invitees, waive any and all claims and rights against us and our affiliates, parents, and successors and each of our and their employees, assignees, officers, agents and directors (collectively, the “</w:t>
      </w:r>
      <w:r>
        <w:rPr>
          <w:rFonts w:ascii="Arial" w:cs="Arial" w:eastAsia="Arial" w:hAnsi="Arial"/>
          <w:sz w:val="20"/>
          <w:szCs w:val="20"/>
          <w:b w:val="1"/>
          <w:bCs w:val="1"/>
          <w:color w:val="auto"/>
        </w:rPr>
        <w:t>WeWork</w:t>
      </w:r>
      <w:r>
        <w:rPr>
          <w:rFonts w:ascii="Arial" w:cs="Arial" w:eastAsia="Arial" w:hAnsi="Arial"/>
          <w:sz w:val="20"/>
          <w:szCs w:val="20"/>
          <w:color w:val="auto"/>
        </w:rPr>
        <w:t xml:space="preserve"> </w:t>
      </w:r>
      <w:r>
        <w:rPr>
          <w:rFonts w:ascii="Arial" w:cs="Arial" w:eastAsia="Arial" w:hAnsi="Arial"/>
          <w:sz w:val="20"/>
          <w:szCs w:val="20"/>
          <w:b w:val="1"/>
          <w:bCs w:val="1"/>
          <w:color w:val="auto"/>
        </w:rPr>
        <w:t>Parties</w:t>
      </w:r>
      <w:r>
        <w:rPr>
          <w:rFonts w:ascii="Arial" w:cs="Arial" w:eastAsia="Arial" w:hAnsi="Arial"/>
          <w:sz w:val="20"/>
          <w:szCs w:val="20"/>
          <w:color w:val="auto"/>
        </w:rPr>
        <w:t>”) and our landlords at the Premises resulting from injury or damage to, or destruction, theft, or loss of, any</w:t>
      </w:r>
      <w:r>
        <w:rPr>
          <w:rFonts w:ascii="Arial" w:cs="Arial" w:eastAsia="Arial" w:hAnsi="Arial"/>
          <w:sz w:val="20"/>
          <w:szCs w:val="20"/>
          <w:b w:val="1"/>
          <w:bCs w:val="1"/>
          <w:color w:val="auto"/>
        </w:rPr>
        <w:t xml:space="preserve"> </w:t>
      </w:r>
      <w:r>
        <w:rPr>
          <w:rFonts w:ascii="Arial" w:cs="Arial" w:eastAsia="Arial" w:hAnsi="Arial"/>
          <w:sz w:val="20"/>
          <w:szCs w:val="20"/>
          <w:color w:val="auto"/>
        </w:rPr>
        <w:t>property, person or pet, except to the extent caused by the gross negligence, willful misconduct or fraud of the WeWork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353060</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4"/>
          </w:cols>
          <w:pgMar w:left="1096" w:top="1189" w:right="999" w:bottom="1440" w:gutter="0" w:footer="0" w:header="0"/>
        </w:sectPr>
      </w:pPr>
    </w:p>
    <w:bookmarkStart w:id="117" w:name="page118"/>
    <w:bookmarkEnd w:id="117"/>
    <w:p>
      <w:pPr>
        <w:jc w:val="both"/>
        <w:ind w:left="324" w:hanging="324"/>
        <w:spacing w:after="0" w:line="256" w:lineRule="auto"/>
        <w:tabs>
          <w:tab w:leader="none" w:pos="310"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Limitation of Liability. </w:t>
      </w:r>
      <w:r>
        <w:rPr>
          <w:rFonts w:ascii="Arial" w:cs="Arial" w:eastAsia="Arial" w:hAnsi="Arial"/>
          <w:sz w:val="19"/>
          <w:szCs w:val="19"/>
          <w:color w:val="auto"/>
        </w:rPr>
        <w:t>To the extent permitted by law, the aggregate monetary liability of any of the WeWork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to you or your Members, employees, agents, guests or invitees for any reason and for all causes of action, will not exceed the total Monthly Fees paid by you to us under this Agreement in the twelve (12) months prior to the claim arising. None of the WeWork Parties will be liable under any cause of action, for any indirect, special, incidental, consequential, reliance or punitive damages, or any loss of profits or business interruption. You acknowledge and agree that you may not commence any action or proceeding against any of the WeWork Parties, whether in contract, tort, or otherwise, unless the action, suit, or proceeding is commenced within one (1) year of the cause of action’s accrual. Notwithstanding anything contained in this Agreement to the contrary, you acknowledge and agree that you shall not commence any action or proceeding against any of the WeWork Parties other than the WeWork Party you are directly contracting with hereunder and the assets of such person for any amounts due or for the performance of any obligations in connection with this Agreement.</w:t>
      </w:r>
    </w:p>
    <w:p>
      <w:pPr>
        <w:spacing w:after="0" w:line="203" w:lineRule="exact"/>
        <w:rPr>
          <w:rFonts w:ascii="Arial" w:cs="Arial" w:eastAsia="Arial" w:hAnsi="Arial"/>
          <w:sz w:val="19"/>
          <w:szCs w:val="19"/>
          <w:color w:val="auto"/>
        </w:rPr>
      </w:pPr>
    </w:p>
    <w:p>
      <w:pPr>
        <w:jc w:val="both"/>
        <w:ind w:left="324" w:hanging="324"/>
        <w:spacing w:after="0" w:line="269" w:lineRule="auto"/>
        <w:tabs>
          <w:tab w:leader="none" w:pos="326"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Indemnification. </w:t>
      </w:r>
      <w:r>
        <w:rPr>
          <w:rFonts w:ascii="Arial" w:cs="Arial" w:eastAsia="Arial" w:hAnsi="Arial"/>
          <w:sz w:val="18"/>
          <w:szCs w:val="18"/>
          <w:color w:val="auto"/>
        </w:rPr>
        <w:t>You will indemnify the WeWork Parties from and against any and all third party claims,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expenses including reasonable attorneys’ fees, resulting from any breach or alleged breach of this Agreement by you or your Members or your or their guests, invitees or pets or any of your or their actions or omissions, except to the extent a claim results from the gross negligence, willful misconduct or fraud of the WeWork Parties. You are responsible for the actions of and all damages caused by all persons and pets that you, your Members or your or their guests invite to enter any of the Premises, including but not limited to any vendors hired by you that enter the Premises. We will indemnify you and your affiliates from and against any and all third party claims, liabilities, and expenses including reasonable attorneys’ fees, resulting from any material breach of this Agreement by us, except to the extent a claim results from the negligence or willful misconduct of you or your affiliates, parents, and successors and each of your and their employees, assignees, officers, agents and directors. For any claim of indemnification under this Agreement, the indemnified party shall provide prompt written notice of the claim for indemnification and reasonable cooperation, information, and assistance in connection with the claim, and the indemnifying party shall have sole control and authority to defend, settle or compromise such claim. The indemnifying party shall not make any settlement that requires a materially adverse act or admission by the indemnified party or imposes any obligation upon the indemnified party unless they have first obtained the indemnified party’s written consent (such consent not to be unreasonably delayed, conditioned or withheld). Additionally, for any claim for indemnification pursuant to this Agreement, the indemnifying party shall not be liable for any obligations arising out of a settlement entered into by the indemnified party without the indemnifying party’s prior written consent.</w:t>
      </w:r>
    </w:p>
    <w:p>
      <w:pPr>
        <w:spacing w:after="0" w:line="184" w:lineRule="exact"/>
        <w:rPr>
          <w:rFonts w:ascii="Arial" w:cs="Arial" w:eastAsia="Arial" w:hAnsi="Arial"/>
          <w:sz w:val="18"/>
          <w:szCs w:val="18"/>
          <w:color w:val="auto"/>
        </w:rPr>
      </w:pPr>
    </w:p>
    <w:p>
      <w:pPr>
        <w:jc w:val="both"/>
        <w:ind w:left="324" w:hanging="324"/>
        <w:spacing w:after="0" w:line="256" w:lineRule="auto"/>
        <w:tabs>
          <w:tab w:leader="none" w:pos="434"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Insurance. </w:t>
      </w:r>
      <w:r>
        <w:rPr>
          <w:rFonts w:ascii="Arial" w:cs="Arial" w:eastAsia="Arial" w:hAnsi="Arial"/>
          <w:sz w:val="19"/>
          <w:szCs w:val="19"/>
          <w:color w:val="auto"/>
        </w:rPr>
        <w:t>You are responsible for maintaining, at your own expense and at all times during the Term personal</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insurance and commercial general liability insurance covering you and your Members for property loss and damage, injury to your Members and your Members’ guests or pets and prevention of or denial of use of or access to, all or part of the Premises, in form and amount appropriate to your business. In addition you are responsible for maintaining, at your own expense and at all times during the Term, workers’ compensation insurance providing statutory benefits in accordance with the law and employer’s liability in an amount appropriate to your business. You will ensure that WeWork and the Landlord shall each be named as additional insureds on your commercial general liability policy and that all insurance policies shall include a clause stating that the insurer waives all rights of recovery, under subrogation or otherwise you may have against WeWork and the Landlord. You shall provide proof of insurance upon our request.</w:t>
      </w:r>
    </w:p>
    <w:p>
      <w:pPr>
        <w:spacing w:after="0" w:line="193" w:lineRule="exact"/>
        <w:rPr>
          <w:rFonts w:ascii="Arial" w:cs="Arial" w:eastAsia="Arial" w:hAnsi="Arial"/>
          <w:sz w:val="19"/>
          <w:szCs w:val="19"/>
          <w:color w:val="auto"/>
        </w:rPr>
      </w:pPr>
    </w:p>
    <w:p>
      <w:pPr>
        <w:jc w:val="both"/>
        <w:ind w:left="324" w:hanging="324"/>
        <w:spacing w:after="0" w:line="248" w:lineRule="auto"/>
        <w:tabs>
          <w:tab w:leader="none" w:pos="351" w:val="left"/>
        </w:tabs>
        <w:numPr>
          <w:ilvl w:val="0"/>
          <w:numId w:val="55"/>
        </w:numPr>
        <w:rPr>
          <w:rFonts w:ascii="Arial" w:cs="Arial" w:eastAsia="Arial" w:hAnsi="Arial"/>
          <w:sz w:val="20"/>
          <w:szCs w:val="20"/>
          <w:color w:val="auto"/>
        </w:rPr>
      </w:pPr>
      <w:r>
        <w:rPr>
          <w:rFonts w:ascii="Arial" w:cs="Arial" w:eastAsia="Arial" w:hAnsi="Arial"/>
          <w:sz w:val="20"/>
          <w:szCs w:val="20"/>
          <w:b w:val="1"/>
          <w:bCs w:val="1"/>
          <w:color w:val="auto"/>
        </w:rPr>
        <w:t xml:space="preserve">Pets. </w:t>
      </w:r>
      <w:r>
        <w:rPr>
          <w:rFonts w:ascii="Arial" w:cs="Arial" w:eastAsia="Arial" w:hAnsi="Arial"/>
          <w:sz w:val="20"/>
          <w:szCs w:val="20"/>
          <w:color w:val="auto"/>
        </w:rPr>
        <w:t>If the Office Space is in Premises designated by us to be one in which pets are permitted, and if any Member</w:t>
      </w:r>
      <w:r>
        <w:rPr>
          <w:rFonts w:ascii="Arial" w:cs="Arial" w:eastAsia="Arial" w:hAnsi="Arial"/>
          <w:sz w:val="20"/>
          <w:szCs w:val="20"/>
          <w:b w:val="1"/>
          <w:bCs w:val="1"/>
          <w:color w:val="auto"/>
        </w:rPr>
        <w:t xml:space="preserve"> </w:t>
      </w:r>
      <w:r>
        <w:rPr>
          <w:rFonts w:ascii="Arial" w:cs="Arial" w:eastAsia="Arial" w:hAnsi="Arial"/>
          <w:sz w:val="20"/>
          <w:szCs w:val="20"/>
          <w:color w:val="auto"/>
        </w:rPr>
        <w:t>plans on regularly bringing a pet into the Office Space or otherwise into the Premises, we may require this Member to produce proof of vaccination for such pet and evidence of compliance with applicable local regulations. If any of your Members brings a pet into the Premises, you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353060</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4"/>
          </w:cols>
          <w:pgMar w:left="1096" w:top="1183" w:right="999" w:bottom="1440" w:gutter="0" w:footer="0" w:header="0"/>
        </w:sectPr>
      </w:pPr>
    </w:p>
    <w:bookmarkStart w:id="118" w:name="page119"/>
    <w:bookmarkEnd w:id="118"/>
    <w:p>
      <w:pPr>
        <w:jc w:val="both"/>
        <w:ind w:left="324"/>
        <w:spacing w:after="0" w:line="263" w:lineRule="auto"/>
        <w:rPr>
          <w:sz w:val="20"/>
          <w:szCs w:val="20"/>
          <w:color w:val="auto"/>
        </w:rPr>
      </w:pPr>
      <w:r>
        <w:rPr>
          <w:rFonts w:ascii="Arial" w:cs="Arial" w:eastAsia="Arial" w:hAnsi="Arial"/>
          <w:sz w:val="19"/>
          <w:szCs w:val="19"/>
          <w:color w:val="auto"/>
        </w:rPr>
        <w:t>responsible for any injury or damage caused by this pet to other members or guests or other occupants of the Premises or to the property of (i) WeWork or any employees, members or guests or (ii) the owner(s) or other occupants of the Premises. None of the WeWork Parties will be responsible for any injury to such pets. We reserve the right to restrict any Member’s right to bring a pet into the Premises in our sole discretion.</w:t>
      </w:r>
    </w:p>
    <w:p>
      <w:pPr>
        <w:spacing w:after="0" w:line="197" w:lineRule="exact"/>
        <w:rPr>
          <w:sz w:val="20"/>
          <w:szCs w:val="20"/>
          <w:color w:val="auto"/>
        </w:rPr>
      </w:pPr>
    </w:p>
    <w:p>
      <w:pPr>
        <w:jc w:val="both"/>
        <w:ind w:left="324" w:right="20" w:hanging="324"/>
        <w:spacing w:after="0" w:line="272" w:lineRule="auto"/>
        <w:tabs>
          <w:tab w:leader="none" w:pos="310"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 xml:space="preserve">Other Members. </w:t>
      </w:r>
      <w:r>
        <w:rPr>
          <w:rFonts w:ascii="Arial" w:cs="Arial" w:eastAsia="Arial" w:hAnsi="Arial"/>
          <w:sz w:val="19"/>
          <w:szCs w:val="19"/>
          <w:color w:val="auto"/>
        </w:rPr>
        <w:t>We do not control and are not responsible for the actions of other Member Companies, Members, or</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third parties. If a dispute arises between Member Companies, members or their invitees or guests, we shall have no responsibility or obligation to participate, mediate or indemnify any party.</w:t>
      </w:r>
    </w:p>
    <w:p>
      <w:pPr>
        <w:spacing w:after="0" w:line="175" w:lineRule="exact"/>
        <w:rPr>
          <w:rFonts w:ascii="Arial" w:cs="Arial" w:eastAsia="Arial" w:hAnsi="Arial"/>
          <w:sz w:val="19"/>
          <w:szCs w:val="19"/>
          <w:color w:val="auto"/>
        </w:rPr>
      </w:pPr>
    </w:p>
    <w:p>
      <w:pPr>
        <w:jc w:val="both"/>
        <w:ind w:left="324" w:hanging="324"/>
        <w:spacing w:after="0" w:line="258" w:lineRule="auto"/>
        <w:tabs>
          <w:tab w:leader="none" w:pos="343"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Third Party Services</w:t>
      </w:r>
      <w:r>
        <w:rPr>
          <w:rFonts w:ascii="Arial" w:cs="Arial" w:eastAsia="Arial" w:hAnsi="Arial"/>
          <w:sz w:val="19"/>
          <w:szCs w:val="19"/>
          <w:color w:val="auto"/>
        </w:rPr>
        <w:t>. Services do not include, and we are not involved in or liable for, the provision of products or</w:t>
      </w:r>
      <w:r>
        <w:rPr>
          <w:rFonts w:ascii="Arial" w:cs="Arial" w:eastAsia="Arial" w:hAnsi="Arial"/>
          <w:sz w:val="19"/>
          <w:szCs w:val="19"/>
          <w:b w:val="1"/>
          <w:bCs w:val="1"/>
          <w:color w:val="auto"/>
        </w:rPr>
        <w:t xml:space="preserve"> </w:t>
      </w:r>
      <w:r>
        <w:rPr>
          <w:rFonts w:ascii="Arial" w:cs="Arial" w:eastAsia="Arial" w:hAnsi="Arial"/>
          <w:sz w:val="19"/>
          <w:szCs w:val="19"/>
          <w:color w:val="auto"/>
        </w:rPr>
        <w:t>services by third parties (“</w:t>
      </w:r>
      <w:r>
        <w:rPr>
          <w:rFonts w:ascii="Arial" w:cs="Arial" w:eastAsia="Arial" w:hAnsi="Arial"/>
          <w:sz w:val="19"/>
          <w:szCs w:val="19"/>
          <w:b w:val="1"/>
          <w:bCs w:val="1"/>
          <w:color w:val="auto"/>
        </w:rPr>
        <w:t>Third Party Services</w:t>
      </w:r>
      <w:r>
        <w:rPr>
          <w:rFonts w:ascii="Arial" w:cs="Arial" w:eastAsia="Arial" w:hAnsi="Arial"/>
          <w:sz w:val="19"/>
          <w:szCs w:val="19"/>
          <w:color w:val="auto"/>
        </w:rPr>
        <w:t>”) that you may elect to purchase in connection with your Membership, including via the WeWork Services Store, even if they appear on your WeWork invoice. Third Party Services are provided solely by the applicable third party (“</w:t>
      </w:r>
      <w:r>
        <w:rPr>
          <w:rFonts w:ascii="Arial" w:cs="Arial" w:eastAsia="Arial" w:hAnsi="Arial"/>
          <w:sz w:val="19"/>
          <w:szCs w:val="19"/>
          <w:b w:val="1"/>
          <w:bCs w:val="1"/>
          <w:color w:val="auto"/>
        </w:rPr>
        <w:t>Third Party Service Providers</w:t>
      </w:r>
      <w:r>
        <w:rPr>
          <w:rFonts w:ascii="Arial" w:cs="Arial" w:eastAsia="Arial" w:hAnsi="Arial"/>
          <w:sz w:val="19"/>
          <w:szCs w:val="19"/>
          <w:color w:val="auto"/>
        </w:rPr>
        <w:t>”) and pursuant to separate arrangements between you and the applicable Third Party Service Providers. These Third Party Service Providers’ terms and conditions will control with respect to the relevant Third Party Services. By adding a Member to the Member List, you are thereby authorizing that Member to access and use the WeWork Services Store in accordance with the terms of service available on our website.</w:t>
      </w:r>
    </w:p>
    <w:p>
      <w:pPr>
        <w:spacing w:after="0" w:line="200" w:lineRule="exact"/>
        <w:rPr>
          <w:rFonts w:ascii="Arial" w:cs="Arial" w:eastAsia="Arial" w:hAnsi="Arial"/>
          <w:sz w:val="19"/>
          <w:szCs w:val="19"/>
          <w:color w:val="auto"/>
        </w:rPr>
      </w:pPr>
    </w:p>
    <w:p>
      <w:pPr>
        <w:jc w:val="both"/>
        <w:ind w:left="324" w:hanging="324"/>
        <w:spacing w:after="0" w:line="253" w:lineRule="auto"/>
        <w:tabs>
          <w:tab w:leader="none" w:pos="464" w:val="left"/>
        </w:tabs>
        <w:numPr>
          <w:ilvl w:val="0"/>
          <w:numId w:val="56"/>
        </w:numPr>
        <w:rPr>
          <w:rFonts w:ascii="Arial" w:cs="Arial" w:eastAsia="Arial" w:hAnsi="Arial"/>
          <w:sz w:val="20"/>
          <w:szCs w:val="20"/>
          <w:color w:val="auto"/>
        </w:rPr>
      </w:pPr>
      <w:r>
        <w:rPr>
          <w:rFonts w:ascii="Arial" w:cs="Arial" w:eastAsia="Arial" w:hAnsi="Arial"/>
          <w:sz w:val="20"/>
          <w:szCs w:val="20"/>
          <w:b w:val="1"/>
          <w:bCs w:val="1"/>
          <w:color w:val="auto"/>
        </w:rPr>
        <w:t xml:space="preserve">Joint Marketing. </w:t>
      </w:r>
      <w:r>
        <w:rPr>
          <w:rFonts w:ascii="Arial" w:cs="Arial" w:eastAsia="Arial" w:hAnsi="Arial"/>
          <w:sz w:val="20"/>
          <w:szCs w:val="20"/>
          <w:color w:val="auto"/>
        </w:rPr>
        <w:t>The parties agree to use commercially reasonable efforts to coordinate a meeting with their</w:t>
      </w:r>
      <w:r>
        <w:rPr>
          <w:rFonts w:ascii="Arial" w:cs="Arial" w:eastAsia="Arial" w:hAnsi="Arial"/>
          <w:sz w:val="20"/>
          <w:szCs w:val="20"/>
          <w:b w:val="1"/>
          <w:bCs w:val="1"/>
          <w:color w:val="auto"/>
        </w:rPr>
        <w:t xml:space="preserve"> </w:t>
      </w:r>
      <w:r>
        <w:rPr>
          <w:rFonts w:ascii="Arial" w:cs="Arial" w:eastAsia="Arial" w:hAnsi="Arial"/>
          <w:sz w:val="20"/>
          <w:szCs w:val="20"/>
          <w:color w:val="auto"/>
        </w:rPr>
        <w:t>respective Brand, Public Relations and/or Marketing teams to explore mutual marketing, publicity and promotional content related to your membership.</w:t>
      </w:r>
    </w:p>
    <w:p>
      <w:pPr>
        <w:spacing w:after="0" w:line="190" w:lineRule="exact"/>
        <w:rPr>
          <w:rFonts w:ascii="Arial" w:cs="Arial" w:eastAsia="Arial" w:hAnsi="Arial"/>
          <w:sz w:val="20"/>
          <w:szCs w:val="20"/>
          <w:color w:val="auto"/>
        </w:rPr>
      </w:pPr>
    </w:p>
    <w:p>
      <w:pPr>
        <w:jc w:val="both"/>
        <w:ind w:left="324" w:hanging="324"/>
        <w:spacing w:after="0" w:line="259" w:lineRule="auto"/>
        <w:tabs>
          <w:tab w:leader="none" w:pos="324"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 xml:space="preserve">Privacy. </w:t>
      </w:r>
      <w:r>
        <w:rPr>
          <w:rFonts w:ascii="Arial" w:cs="Arial" w:eastAsia="Arial" w:hAnsi="Arial"/>
          <w:sz w:val="19"/>
          <w:szCs w:val="19"/>
          <w:color w:val="auto"/>
        </w:rPr>
        <w:t>We collect, process, transfer and secure personal data about you and your Members pursuant to the terms of</w:t>
      </w:r>
      <w:r>
        <w:rPr>
          <w:rFonts w:ascii="Arial" w:cs="Arial" w:eastAsia="Arial" w:hAnsi="Arial"/>
          <w:sz w:val="19"/>
          <w:szCs w:val="19"/>
          <w:b w:val="1"/>
          <w:bCs w:val="1"/>
          <w:color w:val="auto"/>
        </w:rPr>
        <w:t xml:space="preserve"> </w:t>
      </w:r>
      <w:r>
        <w:rPr>
          <w:rFonts w:ascii="Arial" w:cs="Arial" w:eastAsia="Arial" w:hAnsi="Arial"/>
          <w:sz w:val="19"/>
          <w:szCs w:val="19"/>
          <w:color w:val="auto"/>
        </w:rPr>
        <w:t>our Privacy Policy, which can be found on our website (wework.com/legal/privacy), and in accordance with all applicable data protection laws. Note that you are not obligated to provide us with personal information and any information collected by us will be provided by you at your own will and with your explicit consent granted herein by execution of this Agreement. You hereby (i) undertake, where necessary, to obtain consent from such Member to the collection, processing, transferring and securing of data described herein and (ii) confirm that you in fact collect and process such Member’s personal data in accordance with applicable law.</w:t>
      </w:r>
    </w:p>
    <w:p>
      <w:pPr>
        <w:spacing w:after="0" w:line="199" w:lineRule="exact"/>
        <w:rPr>
          <w:sz w:val="20"/>
          <w:szCs w:val="20"/>
          <w:color w:val="auto"/>
        </w:rPr>
      </w:pPr>
    </w:p>
    <w:p>
      <w:pPr>
        <w:ind w:left="4"/>
        <w:spacing w:after="0"/>
        <w:tabs>
          <w:tab w:leader="none" w:pos="323"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9"/>
          <w:szCs w:val="19"/>
          <w:b w:val="1"/>
          <w:bCs w:val="1"/>
          <w:color w:val="auto"/>
        </w:rPr>
        <w:t>ARBITRATION AND CLASS ACTION WAIVER</w:t>
      </w:r>
    </w:p>
    <w:p>
      <w:pPr>
        <w:spacing w:after="0" w:line="243" w:lineRule="exact"/>
        <w:rPr>
          <w:sz w:val="20"/>
          <w:szCs w:val="20"/>
          <w:color w:val="auto"/>
        </w:rPr>
      </w:pPr>
    </w:p>
    <w:p>
      <w:pPr>
        <w:jc w:val="both"/>
        <w:ind w:left="324" w:hanging="324"/>
        <w:spacing w:after="0" w:line="294" w:lineRule="auto"/>
        <w:tabs>
          <w:tab w:leader="none" w:pos="299"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and the transactions contemplated hereby shall be governed by and construed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 of the State of New York, U.S.A. and the United States without regard to conflicts of laws provisions thereof and without regard to the United Nations Convention on Contracts for the International Sale of Goods.</w:t>
      </w:r>
    </w:p>
    <w:p>
      <w:pPr>
        <w:spacing w:after="0" w:line="157" w:lineRule="exact"/>
        <w:rPr>
          <w:rFonts w:ascii="Arial" w:cs="Arial" w:eastAsia="Arial" w:hAnsi="Arial"/>
          <w:sz w:val="18"/>
          <w:szCs w:val="18"/>
          <w:color w:val="auto"/>
        </w:rPr>
      </w:pPr>
    </w:p>
    <w:p>
      <w:pPr>
        <w:jc w:val="both"/>
        <w:ind w:left="324" w:hanging="324"/>
        <w:spacing w:after="0" w:line="262" w:lineRule="auto"/>
        <w:tabs>
          <w:tab w:leader="none" w:pos="378" w:val="left"/>
        </w:tabs>
        <w:numPr>
          <w:ilvl w:val="0"/>
          <w:numId w:val="57"/>
        </w:numPr>
        <w:rPr>
          <w:rFonts w:ascii="Arial" w:cs="Arial" w:eastAsia="Arial" w:hAnsi="Arial"/>
          <w:sz w:val="19"/>
          <w:szCs w:val="19"/>
          <w:color w:val="auto"/>
        </w:rPr>
      </w:pPr>
      <w:r>
        <w:rPr>
          <w:rFonts w:ascii="Arial" w:cs="Arial" w:eastAsia="Arial" w:hAnsi="Arial"/>
          <w:sz w:val="19"/>
          <w:szCs w:val="19"/>
          <w:b w:val="1"/>
          <w:bCs w:val="1"/>
          <w:color w:val="auto"/>
        </w:rPr>
        <w:t>Venue</w:t>
      </w:r>
      <w:r>
        <w:rPr>
          <w:rFonts w:ascii="Arial" w:cs="Arial" w:eastAsia="Arial" w:hAnsi="Arial"/>
          <w:sz w:val="19"/>
          <w:szCs w:val="19"/>
          <w:color w:val="auto"/>
        </w:rPr>
        <w:t>. Except that either party may seek equitable or similar relief from any court of competent jurisdiction, any</w:t>
      </w:r>
      <w:r>
        <w:rPr>
          <w:rFonts w:ascii="Arial" w:cs="Arial" w:eastAsia="Arial" w:hAnsi="Arial"/>
          <w:sz w:val="19"/>
          <w:szCs w:val="19"/>
          <w:b w:val="1"/>
          <w:bCs w:val="1"/>
          <w:color w:val="auto"/>
        </w:rPr>
        <w:t xml:space="preserve"> </w:t>
      </w:r>
      <w:r>
        <w:rPr>
          <w:rFonts w:ascii="Arial" w:cs="Arial" w:eastAsia="Arial" w:hAnsi="Arial"/>
          <w:sz w:val="19"/>
          <w:szCs w:val="19"/>
          <w:color w:val="auto"/>
        </w:rPr>
        <w:t>dispute, controversy or claim arising out of or in relation to this Agreement, or at law, or the breach, termination or invalidity of this Agreement, that cannot be settled amicably by agreement of the parties to this Agreement shall be finally settled in accordance with the arbitration rules of JAMS then in force, by one or more arbitrators appointed in accordance with said rules. The place of arbitration shall be New York, New York, U.S.A.</w:t>
      </w:r>
    </w:p>
    <w:p>
      <w:pPr>
        <w:spacing w:after="0" w:line="184" w:lineRule="exact"/>
        <w:rPr>
          <w:rFonts w:ascii="Arial" w:cs="Arial" w:eastAsia="Arial" w:hAnsi="Arial"/>
          <w:sz w:val="19"/>
          <w:szCs w:val="19"/>
          <w:color w:val="auto"/>
        </w:rPr>
      </w:pPr>
    </w:p>
    <w:p>
      <w:pPr>
        <w:jc w:val="both"/>
        <w:ind w:left="324" w:hanging="324"/>
        <w:spacing w:after="0" w:line="253" w:lineRule="auto"/>
        <w:tabs>
          <w:tab w:leader="none" w:pos="312"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 xml:space="preserve">Proceedings; Judgment. </w:t>
      </w:r>
      <w:r>
        <w:rPr>
          <w:rFonts w:ascii="Arial" w:cs="Arial" w:eastAsia="Arial" w:hAnsi="Arial"/>
          <w:sz w:val="20"/>
          <w:szCs w:val="20"/>
          <w:color w:val="auto"/>
        </w:rPr>
        <w:t>The proceedings shall be confidential and in English. The award rendered shall be final and</w:t>
      </w:r>
      <w:r>
        <w:rPr>
          <w:rFonts w:ascii="Arial" w:cs="Arial" w:eastAsia="Arial" w:hAnsi="Arial"/>
          <w:sz w:val="20"/>
          <w:szCs w:val="20"/>
          <w:b w:val="1"/>
          <w:bCs w:val="1"/>
          <w:color w:val="auto"/>
        </w:rPr>
        <w:t xml:space="preserve"> </w:t>
      </w:r>
      <w:r>
        <w:rPr>
          <w:rFonts w:ascii="Arial" w:cs="Arial" w:eastAsia="Arial" w:hAnsi="Arial"/>
          <w:sz w:val="20"/>
          <w:szCs w:val="20"/>
          <w:color w:val="auto"/>
        </w:rPr>
        <w:t>binding on both parties. Judgment on the award may be entered in any court of competent jurisdiction. In any action, suit or proceeding to enforce rights under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353060</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4"/>
          </w:cols>
          <w:pgMar w:left="1096" w:top="1189" w:right="999" w:bottom="1440" w:gutter="0" w:footer="0" w:header="0"/>
        </w:sectPr>
      </w:pPr>
    </w:p>
    <w:bookmarkStart w:id="119" w:name="page120"/>
    <w:bookmarkEnd w:id="119"/>
    <w:p>
      <w:pPr>
        <w:jc w:val="both"/>
        <w:ind w:left="324"/>
        <w:spacing w:after="0" w:line="244" w:lineRule="auto"/>
        <w:rPr>
          <w:sz w:val="20"/>
          <w:szCs w:val="20"/>
          <w:color w:val="auto"/>
        </w:rPr>
      </w:pPr>
      <w:r>
        <w:rPr>
          <w:rFonts w:ascii="Arial" w:cs="Arial" w:eastAsia="Arial" w:hAnsi="Arial"/>
          <w:sz w:val="20"/>
          <w:szCs w:val="20"/>
          <w:color w:val="auto"/>
        </w:rPr>
        <w:t>prevailing party shall be entitled to recover, in addition to any other relief awarded, the prevailing party’s reasonable attorneys’ fees and other fees, costs and expenses of every kind in connection with the action, suit or proceeding, any appeal or petition for review, the collection of any award or the enforcement of any order, as determined by the arbitrator(s) or court, as applicable. This Agreement shall be interpreted and construed in the English language, which is the language of the official text of this Agreement.</w:t>
      </w:r>
    </w:p>
    <w:p>
      <w:pPr>
        <w:spacing w:after="0" w:line="215" w:lineRule="exact"/>
        <w:rPr>
          <w:sz w:val="20"/>
          <w:szCs w:val="20"/>
          <w:color w:val="auto"/>
        </w:rPr>
      </w:pPr>
    </w:p>
    <w:p>
      <w:pPr>
        <w:jc w:val="both"/>
        <w:ind w:left="324" w:hanging="324"/>
        <w:spacing w:after="0" w:line="257" w:lineRule="auto"/>
        <w:tabs>
          <w:tab w:leader="none" w:pos="337" w:val="left"/>
        </w:tabs>
        <w:numPr>
          <w:ilvl w:val="0"/>
          <w:numId w:val="58"/>
        </w:numPr>
        <w:rPr>
          <w:rFonts w:ascii="Arial" w:cs="Arial" w:eastAsia="Arial" w:hAnsi="Arial"/>
          <w:sz w:val="19"/>
          <w:szCs w:val="19"/>
          <w:color w:val="auto"/>
        </w:rPr>
      </w:pPr>
      <w:r>
        <w:rPr>
          <w:rFonts w:ascii="Arial" w:cs="Arial" w:eastAsia="Arial" w:hAnsi="Arial"/>
          <w:sz w:val="19"/>
          <w:szCs w:val="19"/>
          <w:b w:val="1"/>
          <w:bCs w:val="1"/>
          <w:color w:val="auto"/>
        </w:rPr>
        <w:t xml:space="preserve">Class Action Waiver. </w:t>
      </w:r>
      <w:r>
        <w:rPr>
          <w:rFonts w:ascii="Arial" w:cs="Arial" w:eastAsia="Arial" w:hAnsi="Arial"/>
          <w:sz w:val="19"/>
          <w:szCs w:val="19"/>
          <w:color w:val="auto"/>
        </w:rPr>
        <w:t>Any proceeding to resolve or litigate any dispute in any forum will be conducted solely on an</w:t>
      </w:r>
      <w:r>
        <w:rPr>
          <w:rFonts w:ascii="Arial" w:cs="Arial" w:eastAsia="Arial" w:hAnsi="Arial"/>
          <w:sz w:val="19"/>
          <w:szCs w:val="19"/>
          <w:b w:val="1"/>
          <w:bCs w:val="1"/>
          <w:color w:val="auto"/>
        </w:rPr>
        <w:t xml:space="preserve"> </w:t>
      </w:r>
      <w:r>
        <w:rPr>
          <w:rFonts w:ascii="Arial" w:cs="Arial" w:eastAsia="Arial" w:hAnsi="Arial"/>
          <w:sz w:val="19"/>
          <w:szCs w:val="19"/>
          <w:color w:val="auto"/>
        </w:rPr>
        <w:t>individual basis. Neither you nor we will seek to have any dispute heard as a class action or in any other proceeding in which either party acts or proposes to act in a representative capacity. No proceeding will be combined with another without the prior written consent of all parties to all affected proceedings. You and we also agree not to participate in claims brought in a private attorney general or representative capacity, or any consolidated claims involving another person's account, if we are a party to the proceeding. YOU ARE GIVING UP YOUR RIGHT TO PARTICIPATE AS A CLASS REPRESENTATIVE OR CLASS MEMBER ON ANY CLASS CLAIM YOU MAY HAVE AGAINST US INCLUDING ANY RIGHT TO CLASS ARBITRATION OR ANY CONSOLIDATION OF INDIVIDUAL ARBITRATIONS.</w:t>
      </w:r>
    </w:p>
    <w:p>
      <w:pPr>
        <w:spacing w:after="0" w:line="189" w:lineRule="exact"/>
        <w:rPr>
          <w:sz w:val="20"/>
          <w:szCs w:val="20"/>
          <w:color w:val="auto"/>
        </w:rPr>
      </w:pPr>
    </w:p>
    <w:p>
      <w:pPr>
        <w:ind w:left="4"/>
        <w:spacing w:after="0"/>
        <w:tabs>
          <w:tab w:leader="none" w:pos="323" w:val="left"/>
        </w:tabs>
        <w:rPr>
          <w:sz w:val="20"/>
          <w:szCs w:val="20"/>
          <w:color w:val="auto"/>
        </w:rPr>
      </w:pPr>
      <w:r>
        <w:rPr>
          <w:rFonts w:ascii="Arial" w:cs="Arial" w:eastAsia="Arial" w:hAnsi="Arial"/>
          <w:sz w:val="20"/>
          <w:szCs w:val="20"/>
          <w:b w:val="1"/>
          <w:bCs w:val="1"/>
          <w:color w:val="auto"/>
        </w:rPr>
        <w:t>9.</w:t>
        <w:tab/>
        <w:t>MISCELLANEOUS</w:t>
      </w:r>
    </w:p>
    <w:p>
      <w:pPr>
        <w:spacing w:after="0" w:line="243" w:lineRule="exact"/>
        <w:rPr>
          <w:sz w:val="20"/>
          <w:szCs w:val="20"/>
          <w:color w:val="auto"/>
        </w:rPr>
      </w:pPr>
    </w:p>
    <w:p>
      <w:pPr>
        <w:jc w:val="both"/>
        <w:ind w:left="324" w:hanging="324"/>
        <w:spacing w:after="0" w:line="237" w:lineRule="exact"/>
        <w:tabs>
          <w:tab w:leader="none" w:pos="312"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Nature of the Agreement; Relationship of the Parties</w:t>
      </w:r>
      <w:r>
        <w:rPr>
          <w:rFonts w:ascii="Arial" w:cs="Arial" w:eastAsia="Arial" w:hAnsi="Arial"/>
          <w:sz w:val="16"/>
          <w:szCs w:val="16"/>
          <w:color w:val="auto"/>
        </w:rPr>
        <w:t>. The whole of the Premises and Office Space remains in our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possession and control. Your Agreement with us is a contract for the provision of services and we are giving you the right to share with us the use of the Office Space so that we can provide the Services to you. Notwithstanding anything in this Agreement to the contrary, you and we agree that our relationship is not that of landlord-tenant or lessor-lessee and this Agreement in no way shall be construed as to grant you or any Member any title, easement, lien, possession or related rights in our business, the Premises, the Office Space or anything contained in or on the Premises or Office Space. This Agreement creates no tenancy interest, leasehold estate, or other real property interest. The parties hereto shall each be independent contractors in the performance of their obligations under this Agreement, and this Agreement shall not be deemed to create a </w:t>
      </w:r>
      <w:r>
        <w:rPr>
          <w:rFonts w:ascii="Arial Unicode MS" w:cs="Arial Unicode MS" w:eastAsia="Arial Unicode MS" w:hAnsi="Arial Unicode MS"/>
          <w:sz w:val="16"/>
          <w:szCs w:val="16"/>
          <w:color w:val="auto"/>
        </w:rPr>
        <w:t></w:t>
      </w:r>
      <w:r>
        <w:rPr>
          <w:rFonts w:ascii="Arial" w:cs="Arial" w:eastAsia="Arial" w:hAnsi="Arial"/>
          <w:sz w:val="16"/>
          <w:szCs w:val="16"/>
          <w:color w:val="auto"/>
        </w:rPr>
        <w:t>duciary or agency relationship, or partnership or joint venture, for any purpose. You acknowledge and agree that you are entering into this Agreement for the purposes of and in the course of your trade, business and/or profession, and not as a consumer. Neither party will in any way misrepresent our relationship.</w:t>
      </w:r>
    </w:p>
    <w:p>
      <w:pPr>
        <w:spacing w:after="0" w:line="392" w:lineRule="exact"/>
        <w:rPr>
          <w:rFonts w:ascii="Arial" w:cs="Arial" w:eastAsia="Arial" w:hAnsi="Arial"/>
          <w:sz w:val="16"/>
          <w:szCs w:val="16"/>
          <w:color w:val="auto"/>
        </w:rPr>
      </w:pPr>
    </w:p>
    <w:p>
      <w:pPr>
        <w:jc w:val="both"/>
        <w:ind w:left="324" w:hanging="324"/>
        <w:spacing w:after="0" w:line="274" w:lineRule="auto"/>
        <w:tabs>
          <w:tab w:leader="none" w:pos="297"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Updates to the Agreement. </w:t>
      </w:r>
      <w:r>
        <w:rPr>
          <w:rFonts w:ascii="Arial" w:cs="Arial" w:eastAsia="Arial" w:hAnsi="Arial"/>
          <w:sz w:val="18"/>
          <w:szCs w:val="18"/>
          <w:color w:val="auto"/>
        </w:rPr>
        <w:t>Changes to membership and service credit fees, will be governed by Section 4(b) and 4(d)</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respectively. We may from time to time update this Agreement and will provide notice to you of these updates. You will be deemed to have accepted the new terms of the Agreement following the completion of two</w:t>
      </w:r>
    </w:p>
    <w:p>
      <w:pPr>
        <w:spacing w:after="0" w:line="1" w:lineRule="exact"/>
        <w:rPr>
          <w:rFonts w:ascii="Arial" w:cs="Arial" w:eastAsia="Arial" w:hAnsi="Arial"/>
          <w:sz w:val="18"/>
          <w:szCs w:val="18"/>
          <w:color w:val="auto"/>
        </w:rPr>
      </w:pPr>
    </w:p>
    <w:p>
      <w:pPr>
        <w:ind w:left="324"/>
        <w:spacing w:after="0" w:line="244" w:lineRule="auto"/>
        <w:tabs>
          <w:tab w:leader="none" w:pos="607" w:val="left"/>
        </w:tabs>
        <w:numPr>
          <w:ilvl w:val="1"/>
          <w:numId w:val="59"/>
        </w:numPr>
        <w:rPr>
          <w:rFonts w:ascii="Arial" w:cs="Arial" w:eastAsia="Arial" w:hAnsi="Arial"/>
          <w:sz w:val="20"/>
          <w:szCs w:val="20"/>
          <w:color w:val="auto"/>
        </w:rPr>
      </w:pPr>
      <w:r>
        <w:rPr>
          <w:rFonts w:ascii="Arial" w:cs="Arial" w:eastAsia="Arial" w:hAnsi="Arial"/>
          <w:sz w:val="20"/>
          <w:szCs w:val="20"/>
          <w:color w:val="auto"/>
        </w:rPr>
        <w:t>full calendar months after the date of notice of the update(s). Continued use of the Office Space or Services beyond this time will constitute acceptance of the new terms.</w:t>
      </w:r>
    </w:p>
    <w:p>
      <w:pPr>
        <w:spacing w:after="0" w:line="198" w:lineRule="exact"/>
        <w:rPr>
          <w:rFonts w:ascii="Arial" w:cs="Arial" w:eastAsia="Arial" w:hAnsi="Arial"/>
          <w:sz w:val="20"/>
          <w:szCs w:val="20"/>
          <w:color w:val="auto"/>
        </w:rPr>
      </w:pPr>
    </w:p>
    <w:p>
      <w:pPr>
        <w:ind w:left="324" w:hanging="324"/>
        <w:spacing w:after="0" w:line="267" w:lineRule="auto"/>
        <w:tabs>
          <w:tab w:leader="none" w:pos="312" w:val="left"/>
        </w:tabs>
        <w:numPr>
          <w:ilvl w:val="0"/>
          <w:numId w:val="59"/>
        </w:numPr>
        <w:rPr>
          <w:rFonts w:ascii="Arial" w:cs="Arial" w:eastAsia="Arial" w:hAnsi="Arial"/>
          <w:sz w:val="20"/>
          <w:szCs w:val="20"/>
          <w:color w:val="auto"/>
        </w:rPr>
      </w:pPr>
      <w:r>
        <w:rPr>
          <w:rFonts w:ascii="Arial" w:cs="Arial" w:eastAsia="Arial" w:hAnsi="Arial"/>
          <w:sz w:val="20"/>
          <w:szCs w:val="20"/>
          <w:b w:val="1"/>
          <w:bCs w:val="1"/>
          <w:color w:val="auto"/>
        </w:rPr>
        <w:t>Waiver</w:t>
      </w:r>
      <w:r>
        <w:rPr>
          <w:rFonts w:ascii="Arial" w:cs="Arial" w:eastAsia="Arial" w:hAnsi="Arial"/>
          <w:sz w:val="20"/>
          <w:szCs w:val="20"/>
          <w:color w:val="auto"/>
        </w:rPr>
        <w:t>. Neither party shall be deemed by any act or omission to have waived any of its rights or remedies hereunder</w:t>
      </w:r>
      <w:r>
        <w:rPr>
          <w:rFonts w:ascii="Arial" w:cs="Arial" w:eastAsia="Arial" w:hAnsi="Arial"/>
          <w:sz w:val="20"/>
          <w:szCs w:val="20"/>
          <w:b w:val="1"/>
          <w:bCs w:val="1"/>
          <w:color w:val="auto"/>
        </w:rPr>
        <w:t xml:space="preserve"> </w:t>
      </w:r>
      <w:r>
        <w:rPr>
          <w:rFonts w:ascii="Arial" w:cs="Arial" w:eastAsia="Arial" w:hAnsi="Arial"/>
          <w:sz w:val="20"/>
          <w:szCs w:val="20"/>
          <w:color w:val="auto"/>
        </w:rPr>
        <w:t>unless such waiver is in writing and signed by the waiving party.</w:t>
      </w:r>
    </w:p>
    <w:p>
      <w:pPr>
        <w:spacing w:after="0" w:line="190" w:lineRule="exact"/>
        <w:rPr>
          <w:rFonts w:ascii="Arial" w:cs="Arial" w:eastAsia="Arial" w:hAnsi="Arial"/>
          <w:sz w:val="20"/>
          <w:szCs w:val="20"/>
          <w:color w:val="auto"/>
        </w:rPr>
      </w:pPr>
    </w:p>
    <w:p>
      <w:pPr>
        <w:jc w:val="both"/>
        <w:ind w:left="324" w:hanging="324"/>
        <w:spacing w:after="0" w:line="253" w:lineRule="auto"/>
        <w:tabs>
          <w:tab w:leader="none" w:pos="297" w:val="left"/>
        </w:tabs>
        <w:numPr>
          <w:ilvl w:val="0"/>
          <w:numId w:val="59"/>
        </w:numPr>
        <w:rPr>
          <w:rFonts w:ascii="Arial" w:cs="Arial" w:eastAsia="Arial" w:hAnsi="Arial"/>
          <w:sz w:val="20"/>
          <w:szCs w:val="20"/>
          <w:color w:val="auto"/>
        </w:rPr>
      </w:pPr>
      <w:r>
        <w:rPr>
          <w:rFonts w:ascii="Arial" w:cs="Arial" w:eastAsia="Arial" w:hAnsi="Arial"/>
          <w:sz w:val="20"/>
          <w:szCs w:val="20"/>
          <w:b w:val="1"/>
          <w:bCs w:val="1"/>
          <w:color w:val="auto"/>
        </w:rPr>
        <w:t>Subordination</w:t>
      </w:r>
      <w:r>
        <w:rPr>
          <w:rFonts w:ascii="Arial" w:cs="Arial" w:eastAsia="Arial" w:hAnsi="Arial"/>
          <w:sz w:val="20"/>
          <w:szCs w:val="20"/>
          <w:color w:val="auto"/>
        </w:rPr>
        <w:t>. This Agreement is subject and subordinate to our Lease and to any supplemental documentation and to</w:t>
      </w:r>
      <w:r>
        <w:rPr>
          <w:rFonts w:ascii="Arial" w:cs="Arial" w:eastAsia="Arial" w:hAnsi="Arial"/>
          <w:sz w:val="20"/>
          <w:szCs w:val="20"/>
          <w:b w:val="1"/>
          <w:bCs w:val="1"/>
          <w:color w:val="auto"/>
        </w:rPr>
        <w:t xml:space="preserve"> </w:t>
      </w:r>
      <w:r>
        <w:rPr>
          <w:rFonts w:ascii="Arial" w:cs="Arial" w:eastAsia="Arial" w:hAnsi="Arial"/>
          <w:sz w:val="20"/>
          <w:szCs w:val="20"/>
          <w:color w:val="auto"/>
        </w:rPr>
        <w:t>any other agreements to which our Lease is subject to or subordinate. However, the foregoing does not imply any sublease or other similar relationship involving an interest in real property.</w:t>
      </w:r>
    </w:p>
    <w:p>
      <w:pPr>
        <w:spacing w:after="0" w:line="204" w:lineRule="exact"/>
        <w:rPr>
          <w:rFonts w:ascii="Arial" w:cs="Arial" w:eastAsia="Arial" w:hAnsi="Arial"/>
          <w:sz w:val="20"/>
          <w:szCs w:val="20"/>
          <w:color w:val="auto"/>
        </w:rPr>
      </w:pPr>
    </w:p>
    <w:p>
      <w:pPr>
        <w:ind w:left="324" w:hanging="324"/>
        <w:spacing w:after="0" w:line="267" w:lineRule="auto"/>
        <w:tabs>
          <w:tab w:leader="none" w:pos="483" w:val="left"/>
        </w:tabs>
        <w:numPr>
          <w:ilvl w:val="0"/>
          <w:numId w:val="59"/>
        </w:numPr>
        <w:rPr>
          <w:rFonts w:ascii="Arial" w:cs="Arial" w:eastAsia="Arial" w:hAnsi="Arial"/>
          <w:sz w:val="20"/>
          <w:szCs w:val="20"/>
          <w:color w:val="auto"/>
        </w:rPr>
      </w:pPr>
      <w:r>
        <w:rPr>
          <w:rFonts w:ascii="Arial" w:cs="Arial" w:eastAsia="Arial" w:hAnsi="Arial"/>
          <w:sz w:val="20"/>
          <w:szCs w:val="20"/>
          <w:b w:val="1"/>
          <w:bCs w:val="1"/>
          <w:color w:val="auto"/>
        </w:rPr>
        <w:t xml:space="preserve">Extraordinary Events. </w:t>
      </w:r>
      <w:r>
        <w:rPr>
          <w:rFonts w:ascii="Arial" w:cs="Arial" w:eastAsia="Arial" w:hAnsi="Arial"/>
          <w:sz w:val="20"/>
          <w:szCs w:val="20"/>
          <w:color w:val="auto"/>
        </w:rPr>
        <w:t>WeWork will not be liable for, and will not be considered in default or breach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on account of, any delay or failure to perform as required by this Agreement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353060</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4"/>
          </w:cols>
          <w:pgMar w:left="1096" w:top="1189" w:right="999" w:bottom="1440" w:gutter="0" w:footer="0" w:header="0"/>
        </w:sectPr>
      </w:pPr>
    </w:p>
    <w:bookmarkStart w:id="120" w:name="page121"/>
    <w:bookmarkEnd w:id="120"/>
    <w:p>
      <w:pPr>
        <w:jc w:val="both"/>
        <w:ind w:left="324" w:right="20"/>
        <w:spacing w:after="0" w:line="269" w:lineRule="auto"/>
        <w:rPr>
          <w:sz w:val="20"/>
          <w:szCs w:val="20"/>
          <w:color w:val="auto"/>
        </w:rPr>
      </w:pPr>
      <w:r>
        <w:rPr>
          <w:rFonts w:ascii="Arial" w:cs="Arial" w:eastAsia="Arial" w:hAnsi="Arial"/>
          <w:sz w:val="19"/>
          <w:szCs w:val="19"/>
          <w:color w:val="auto"/>
        </w:rPr>
        <w:t>result of any causes or conditions that are beyond WeWork’s reasonable control, including without limitation (i) any delays or changes in construction of, or WeWork’s ability to procure any space in, any Premises, and (ii) any delays or failure to perform caused by conditions under the control of our landlord at the applicable Premises.</w:t>
      </w:r>
    </w:p>
    <w:p>
      <w:pPr>
        <w:spacing w:after="0" w:line="191" w:lineRule="exact"/>
        <w:rPr>
          <w:sz w:val="20"/>
          <w:szCs w:val="20"/>
          <w:color w:val="auto"/>
        </w:rPr>
      </w:pPr>
    </w:p>
    <w:p>
      <w:pPr>
        <w:jc w:val="both"/>
        <w:ind w:left="324" w:hanging="324"/>
        <w:spacing w:after="0" w:line="253" w:lineRule="auto"/>
        <w:tabs>
          <w:tab w:leader="none" w:pos="538"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 xml:space="preserve">Severable Provisions. </w:t>
      </w:r>
      <w:r>
        <w:rPr>
          <w:rFonts w:ascii="Arial" w:cs="Arial" w:eastAsia="Arial" w:hAnsi="Arial"/>
          <w:sz w:val="20"/>
          <w:szCs w:val="20"/>
          <w:color w:val="auto"/>
        </w:rPr>
        <w:t>Each provision of this Agreement shall be considered severable. To the extent that any</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 of this Agreement is prohibited or otherwise limited, this Agreement shall be considered amended to the smallest degree possible in order to make the Agreement effective under applicable law.</w:t>
      </w:r>
    </w:p>
    <w:p>
      <w:pPr>
        <w:spacing w:after="0" w:line="190" w:lineRule="exact"/>
        <w:rPr>
          <w:rFonts w:ascii="Arial" w:cs="Arial" w:eastAsia="Arial" w:hAnsi="Arial"/>
          <w:sz w:val="20"/>
          <w:szCs w:val="20"/>
          <w:color w:val="auto"/>
        </w:rPr>
      </w:pPr>
    </w:p>
    <w:p>
      <w:pPr>
        <w:jc w:val="both"/>
        <w:ind w:left="324" w:hanging="324"/>
        <w:spacing w:after="0" w:line="253" w:lineRule="auto"/>
        <w:tabs>
          <w:tab w:leader="none" w:pos="324"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Survival</w:t>
      </w:r>
      <w:r>
        <w:rPr>
          <w:rFonts w:ascii="Arial" w:cs="Arial" w:eastAsia="Arial" w:hAnsi="Arial"/>
          <w:sz w:val="20"/>
          <w:szCs w:val="20"/>
          <w:color w:val="auto"/>
        </w:rPr>
        <w:t>. Sections 1, 2(b), 4 (to the extent any payments remain outstanding), 5(d), 5(e), 5(f), 6(b), 7(a) through 7(f),</w:t>
      </w:r>
      <w:r>
        <w:rPr>
          <w:rFonts w:ascii="Arial" w:cs="Arial" w:eastAsia="Arial" w:hAnsi="Arial"/>
          <w:sz w:val="20"/>
          <w:szCs w:val="20"/>
          <w:b w:val="1"/>
          <w:bCs w:val="1"/>
          <w:color w:val="auto"/>
        </w:rPr>
        <w:t xml:space="preserve"> </w:t>
      </w:r>
      <w:r>
        <w:rPr>
          <w:rFonts w:ascii="Arial" w:cs="Arial" w:eastAsia="Arial" w:hAnsi="Arial"/>
          <w:sz w:val="20"/>
          <w:szCs w:val="20"/>
          <w:color w:val="auto"/>
        </w:rPr>
        <w:t>7(h), 8, and 9 and all other provisions of this Agreement reasonably expected to survive the termination or expiration of this Agreement will do so.</w:t>
      </w:r>
    </w:p>
    <w:p>
      <w:pPr>
        <w:spacing w:after="0" w:line="204" w:lineRule="exact"/>
        <w:rPr>
          <w:rFonts w:ascii="Arial" w:cs="Arial" w:eastAsia="Arial" w:hAnsi="Arial"/>
          <w:sz w:val="20"/>
          <w:szCs w:val="20"/>
          <w:color w:val="auto"/>
        </w:rPr>
      </w:pPr>
    </w:p>
    <w:p>
      <w:pPr>
        <w:jc w:val="both"/>
        <w:ind w:left="324" w:hanging="324"/>
        <w:spacing w:after="0" w:line="257" w:lineRule="auto"/>
        <w:tabs>
          <w:tab w:leader="none" w:pos="324"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and all notices under this Agreement will be given via email, and will be effective on the first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day after being sent. All notices will be sent via email to the email addresses specified on the Membership Details Form, except as otherwise provided in this Agreement. WeWork may send notices to either (or both) the Primary Member or the Authorized Signatory, as WeWork determines in its reasonable discretion. Notices related to the physical Office Space, Premises, Members, other Member Companies or other issues in the Premises should be sent by the Primary Member. Notices related to this Agreement or the business relationship between you and WeWork should be sent by your Authorized Signatory. In the event that we receive multiple notices from different individuals within your company containing inconsistent instructions, the Authorized Signatory’s notice will control unless we decide otherwise in our reasonable discretion.</w:t>
      </w:r>
    </w:p>
    <w:p>
      <w:pPr>
        <w:spacing w:after="0" w:line="189" w:lineRule="exact"/>
        <w:rPr>
          <w:rFonts w:ascii="Arial" w:cs="Arial" w:eastAsia="Arial" w:hAnsi="Arial"/>
          <w:sz w:val="19"/>
          <w:szCs w:val="19"/>
          <w:color w:val="auto"/>
        </w:rPr>
      </w:pPr>
    </w:p>
    <w:p>
      <w:pPr>
        <w:jc w:val="both"/>
        <w:ind w:left="324" w:hanging="324"/>
        <w:spacing w:after="0" w:line="248" w:lineRule="auto"/>
        <w:tabs>
          <w:tab w:leader="none" w:pos="302"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 xml:space="preserve">Headings; Interpretation. </w:t>
      </w:r>
      <w:r>
        <w:rPr>
          <w:rFonts w:ascii="Arial" w:cs="Arial" w:eastAsia="Arial" w:hAnsi="Arial"/>
          <w:sz w:val="20"/>
          <w:szCs w:val="20"/>
          <w:color w:val="auto"/>
        </w:rPr>
        <w:t>The headings in this Agreement are for convenience only and are not to be used to interpret</w:t>
      </w:r>
      <w:r>
        <w:rPr>
          <w:rFonts w:ascii="Arial" w:cs="Arial" w:eastAsia="Arial" w:hAnsi="Arial"/>
          <w:sz w:val="20"/>
          <w:szCs w:val="20"/>
          <w:b w:val="1"/>
          <w:bCs w:val="1"/>
          <w:color w:val="auto"/>
        </w:rPr>
        <w:t xml:space="preserve"> </w:t>
      </w:r>
      <w:r>
        <w:rPr>
          <w:rFonts w:ascii="Arial" w:cs="Arial" w:eastAsia="Arial" w:hAnsi="Arial"/>
          <w:sz w:val="20"/>
          <w:szCs w:val="20"/>
          <w:color w:val="auto"/>
        </w:rPr>
        <w:t>or construe any provision of this Agreement. Any use of “including,” “for example” or “such as” in this Agreement shall be read as being followed by “without limitation” where appropriate. References to any times of day in this Agreement refer to the time of day in the Office Space’s time zone.</w:t>
      </w:r>
    </w:p>
    <w:p>
      <w:pPr>
        <w:spacing w:after="0" w:line="196" w:lineRule="exact"/>
        <w:rPr>
          <w:rFonts w:ascii="Arial" w:cs="Arial" w:eastAsia="Arial" w:hAnsi="Arial"/>
          <w:sz w:val="20"/>
          <w:szCs w:val="20"/>
          <w:color w:val="auto"/>
        </w:rPr>
      </w:pPr>
    </w:p>
    <w:p>
      <w:pPr>
        <w:jc w:val="both"/>
        <w:ind w:left="324" w:hanging="324"/>
        <w:spacing w:after="0" w:line="248" w:lineRule="auto"/>
        <w:tabs>
          <w:tab w:leader="none" w:pos="505"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 xml:space="preserve">No Assignment. </w:t>
      </w:r>
      <w:r>
        <w:rPr>
          <w:rFonts w:ascii="Arial" w:cs="Arial" w:eastAsia="Arial" w:hAnsi="Arial"/>
          <w:sz w:val="20"/>
          <w:szCs w:val="20"/>
          <w:color w:val="auto"/>
        </w:rPr>
        <w:t>Except in connection with a merger, acquisition, corporate reorganization, or sale of all or</w:t>
      </w:r>
      <w:r>
        <w:rPr>
          <w:rFonts w:ascii="Arial" w:cs="Arial" w:eastAsia="Arial" w:hAnsi="Arial"/>
          <w:sz w:val="20"/>
          <w:szCs w:val="20"/>
          <w:b w:val="1"/>
          <w:bCs w:val="1"/>
          <w:color w:val="auto"/>
        </w:rPr>
        <w:t xml:space="preserve"> </w:t>
      </w:r>
      <w:r>
        <w:rPr>
          <w:rFonts w:ascii="Arial" w:cs="Arial" w:eastAsia="Arial" w:hAnsi="Arial"/>
          <w:sz w:val="20"/>
          <w:szCs w:val="20"/>
          <w:color w:val="auto"/>
        </w:rPr>
        <w:t>substantially all of the shares or assets of you or your parent corporation, you may not transfer or otherwise assign any of your rights or obligations under this Agreement (including by operation of law) without our prior consent. We may assign this Agreement without your consent.</w:t>
      </w:r>
    </w:p>
    <w:p>
      <w:pPr>
        <w:spacing w:after="0" w:line="196" w:lineRule="exact"/>
        <w:rPr>
          <w:rFonts w:ascii="Arial" w:cs="Arial" w:eastAsia="Arial" w:hAnsi="Arial"/>
          <w:sz w:val="20"/>
          <w:szCs w:val="20"/>
          <w:color w:val="auto"/>
        </w:rPr>
      </w:pPr>
    </w:p>
    <w:p>
      <w:pPr>
        <w:ind w:left="304" w:hanging="304"/>
        <w:spacing w:after="0"/>
        <w:tabs>
          <w:tab w:leader="none" w:pos="304"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 xml:space="preserve">Sanctions. </w:t>
      </w:r>
      <w:r>
        <w:rPr>
          <w:rFonts w:ascii="Arial" w:cs="Arial" w:eastAsia="Arial" w:hAnsi="Arial"/>
          <w:sz w:val="20"/>
          <w:szCs w:val="20"/>
          <w:color w:val="auto"/>
        </w:rPr>
        <w:t>The parties, each as to themselves, hereby represent and warrant that:</w:t>
      </w:r>
    </w:p>
    <w:p>
      <w:pPr>
        <w:spacing w:after="0" w:line="235" w:lineRule="exact"/>
        <w:rPr>
          <w:rFonts w:ascii="Arial" w:cs="Arial" w:eastAsia="Arial" w:hAnsi="Arial"/>
          <w:sz w:val="20"/>
          <w:szCs w:val="20"/>
          <w:color w:val="auto"/>
        </w:rPr>
      </w:pPr>
    </w:p>
    <w:p>
      <w:pPr>
        <w:jc w:val="both"/>
        <w:ind w:left="964" w:hanging="640"/>
        <w:spacing w:after="0" w:line="257" w:lineRule="auto"/>
        <w:tabs>
          <w:tab w:leader="none" w:pos="1186" w:val="left"/>
        </w:tabs>
        <w:numPr>
          <w:ilvl w:val="1"/>
          <w:numId w:val="60"/>
        </w:numPr>
        <w:rPr>
          <w:rFonts w:ascii="Arial" w:cs="Arial" w:eastAsia="Arial" w:hAnsi="Arial"/>
          <w:sz w:val="19"/>
          <w:szCs w:val="19"/>
          <w:color w:val="auto"/>
        </w:rPr>
      </w:pPr>
      <w:r>
        <w:rPr>
          <w:rFonts w:ascii="Arial" w:cs="Arial" w:eastAsia="Arial" w:hAnsi="Arial"/>
          <w:sz w:val="19"/>
          <w:szCs w:val="19"/>
          <w:color w:val="auto"/>
        </w:rPr>
        <w:t>In the performance of this Agreement they will comply with all applicable U.S. and non-U.S. economic sanctions and export control laws and regulations, including but not limited to the economic sanctions regulations implemented under statutory authority and/or Executive Orders and administered by the U.S. Treasury Department's Office of Foreign Assets Control (“</w:t>
      </w:r>
      <w:r>
        <w:rPr>
          <w:rFonts w:ascii="Arial" w:cs="Arial" w:eastAsia="Arial" w:hAnsi="Arial"/>
          <w:sz w:val="19"/>
          <w:szCs w:val="19"/>
          <w:b w:val="1"/>
          <w:bCs w:val="1"/>
          <w:color w:val="auto"/>
        </w:rPr>
        <w:t>OFAC</w:t>
      </w:r>
      <w:r>
        <w:rPr>
          <w:rFonts w:ascii="Arial" w:cs="Arial" w:eastAsia="Arial" w:hAnsi="Arial"/>
          <w:sz w:val="19"/>
          <w:szCs w:val="19"/>
          <w:color w:val="auto"/>
        </w:rPr>
        <w:t>”) (31 C.F.R. Part 500 et seq.), the U.S. Commerce Department’s Export Administration Regulations (15 C.F.R. Part 730 et seq.), the economic sanctions rules and regulations of the European Council, United Kingdom, and EU Member States, and EU's Dual- use Regulation 428/2009 (collectively, “</w:t>
      </w:r>
      <w:r>
        <w:rPr>
          <w:rFonts w:ascii="Arial" w:cs="Arial" w:eastAsia="Arial" w:hAnsi="Arial"/>
          <w:sz w:val="19"/>
          <w:szCs w:val="19"/>
          <w:b w:val="1"/>
          <w:bCs w:val="1"/>
          <w:color w:val="auto"/>
        </w:rPr>
        <w:t>Trade Control Laws</w:t>
      </w:r>
      <w:r>
        <w:rPr>
          <w:rFonts w:ascii="Arial" w:cs="Arial" w:eastAsia="Arial" w:hAnsi="Arial"/>
          <w:sz w:val="19"/>
          <w:szCs w:val="19"/>
          <w:color w:val="auto"/>
        </w:rPr>
        <w:t>”).</w:t>
      </w:r>
    </w:p>
    <w:p>
      <w:pPr>
        <w:spacing w:after="0" w:line="211" w:lineRule="exact"/>
        <w:rPr>
          <w:rFonts w:ascii="Arial" w:cs="Arial" w:eastAsia="Arial" w:hAnsi="Arial"/>
          <w:sz w:val="19"/>
          <w:szCs w:val="19"/>
          <w:color w:val="auto"/>
        </w:rPr>
      </w:pPr>
    </w:p>
    <w:p>
      <w:pPr>
        <w:jc w:val="both"/>
        <w:ind w:left="964" w:hanging="640"/>
        <w:spacing w:after="0" w:line="246" w:lineRule="auto"/>
        <w:tabs>
          <w:tab w:leader="none" w:pos="1019" w:val="left"/>
        </w:tabs>
        <w:numPr>
          <w:ilvl w:val="1"/>
          <w:numId w:val="60"/>
        </w:numPr>
        <w:rPr>
          <w:rFonts w:ascii="Arial" w:cs="Arial" w:eastAsia="Arial" w:hAnsi="Arial"/>
          <w:sz w:val="20"/>
          <w:szCs w:val="20"/>
          <w:color w:val="auto"/>
        </w:rPr>
      </w:pPr>
      <w:r>
        <w:rPr>
          <w:rFonts w:ascii="Arial" w:cs="Arial" w:eastAsia="Arial" w:hAnsi="Arial"/>
          <w:sz w:val="20"/>
          <w:szCs w:val="20"/>
          <w:color w:val="auto"/>
        </w:rPr>
        <w:t>Neither party nor any of its subsidiaries or affiliates, nor directors or officers is (a) a citizen or resident of, an entity organized under the laws of, or otherwise located in, a country subject to comprehensive territorial sanctions maintained by OFAC (hereinafter referred to as “</w:t>
      </w:r>
      <w:r>
        <w:rPr>
          <w:rFonts w:ascii="Arial" w:cs="Arial" w:eastAsia="Arial" w:hAnsi="Arial"/>
          <w:sz w:val="20"/>
          <w:szCs w:val="20"/>
          <w:b w:val="1"/>
          <w:bCs w:val="1"/>
          <w:color w:val="auto"/>
        </w:rPr>
        <w:t>Sanctioned Countries</w:t>
      </w:r>
      <w:r>
        <w:rPr>
          <w:rFonts w:ascii="Arial" w:cs="Arial" w:eastAsia="Arial" w:hAnsi="Arial"/>
          <w:sz w:val="20"/>
          <w:szCs w:val="20"/>
          <w:color w:val="auto"/>
        </w:rPr>
        <w:t>”), (b) identified on U.S. Government restricted party lists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353060</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4"/>
          </w:cols>
          <w:pgMar w:left="1096" w:top="1189" w:right="999" w:bottom="1440" w:gutter="0" w:footer="0" w:header="0"/>
        </w:sectPr>
      </w:pPr>
    </w:p>
    <w:bookmarkStart w:id="121" w:name="page122"/>
    <w:bookmarkEnd w:id="121"/>
    <w:p>
      <w:pPr>
        <w:jc w:val="both"/>
        <w:ind w:left="964"/>
        <w:spacing w:after="0" w:line="242" w:lineRule="auto"/>
        <w:rPr>
          <w:sz w:val="20"/>
          <w:szCs w:val="20"/>
          <w:color w:val="auto"/>
        </w:rPr>
      </w:pPr>
      <w:r>
        <w:rPr>
          <w:rFonts w:ascii="Arial" w:cs="Arial" w:eastAsia="Arial" w:hAnsi="Arial"/>
          <w:sz w:val="20"/>
          <w:szCs w:val="20"/>
          <w:color w:val="auto"/>
        </w:rPr>
        <w:t>the Specially Designated Nationals List and Foreign Sanctions Evaders List administered by OFAC; the Denied Parties List, Unverified List or Entity List maintained by the U.S. Commerce Department Bureau of Industry and Security; or the List of Statutorily Debarred Parties maintained by the U.S. State Department Directorate of Defense Trade Controls, (c) a listed person or entity on the Consolidated List of persons and entities subject to asset-freezing measures or other sanctions maintained by the European Union, and by the Member States of the European Union, (d) or a person or entity subject to asset-freezing measures or other sanctions maintained by the United Kingdom's HM Treasury (collectively referred to herein as "</w:t>
      </w:r>
      <w:r>
        <w:rPr>
          <w:rFonts w:ascii="Arial" w:cs="Arial" w:eastAsia="Arial" w:hAnsi="Arial"/>
          <w:sz w:val="20"/>
          <w:szCs w:val="20"/>
          <w:b w:val="1"/>
          <w:bCs w:val="1"/>
          <w:color w:val="auto"/>
        </w:rPr>
        <w:t>Restricted</w:t>
      </w:r>
      <w:r>
        <w:rPr>
          <w:rFonts w:ascii="Arial" w:cs="Arial" w:eastAsia="Arial" w:hAnsi="Arial"/>
          <w:sz w:val="20"/>
          <w:szCs w:val="20"/>
          <w:color w:val="auto"/>
        </w:rPr>
        <w:t xml:space="preserv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224" w:lineRule="exact"/>
        <w:rPr>
          <w:sz w:val="20"/>
          <w:szCs w:val="20"/>
          <w:color w:val="auto"/>
        </w:rPr>
      </w:pPr>
    </w:p>
    <w:p>
      <w:pPr>
        <w:jc w:val="both"/>
        <w:ind w:left="964" w:hanging="640"/>
        <w:spacing w:after="0" w:line="316" w:lineRule="auto"/>
        <w:tabs>
          <w:tab w:leader="none" w:pos="11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Neither party nor any of its subsidiaries and/or affiliates are 50% or more owned, individually or in the aggregate, directly or indirectly by one or more Restricted Parties or otherwise controlled by Restricted Parties.</w:t>
      </w:r>
    </w:p>
    <w:p>
      <w:pPr>
        <w:spacing w:after="0" w:line="143" w:lineRule="exact"/>
        <w:rPr>
          <w:rFonts w:ascii="Arial" w:cs="Arial" w:eastAsia="Arial" w:hAnsi="Arial"/>
          <w:sz w:val="18"/>
          <w:szCs w:val="18"/>
          <w:color w:val="auto"/>
        </w:rPr>
      </w:pPr>
    </w:p>
    <w:p>
      <w:pPr>
        <w:jc w:val="both"/>
        <w:ind w:left="964" w:hanging="640"/>
        <w:spacing w:after="0" w:line="316" w:lineRule="auto"/>
        <w:tabs>
          <w:tab w:leader="none" w:pos="1133" w:val="left"/>
        </w:tabs>
        <w:numPr>
          <w:ilvl w:val="1"/>
          <w:numId w:val="61"/>
        </w:numPr>
        <w:rPr>
          <w:rFonts w:ascii="Arial" w:cs="Arial" w:eastAsia="Arial" w:hAnsi="Arial"/>
          <w:sz w:val="18"/>
          <w:szCs w:val="18"/>
          <w:color w:val="auto"/>
        </w:rPr>
      </w:pPr>
      <w:r>
        <w:rPr>
          <w:rFonts w:ascii="Arial" w:cs="Arial" w:eastAsia="Arial" w:hAnsi="Arial"/>
          <w:sz w:val="18"/>
          <w:szCs w:val="18"/>
          <w:color w:val="auto"/>
        </w:rPr>
        <w:t>Less than 10% of each parties’ total annual revenues are, and will continue to be for the duration of the Agreement, generated from activities involving, directly or indirectly, one or more of the Sanctioned Countries.</w:t>
      </w:r>
    </w:p>
    <w:p>
      <w:pPr>
        <w:spacing w:after="0" w:line="156" w:lineRule="exact"/>
        <w:rPr>
          <w:rFonts w:ascii="Arial" w:cs="Arial" w:eastAsia="Arial" w:hAnsi="Arial"/>
          <w:sz w:val="18"/>
          <w:szCs w:val="18"/>
          <w:color w:val="auto"/>
        </w:rPr>
      </w:pPr>
    </w:p>
    <w:p>
      <w:pPr>
        <w:jc w:val="both"/>
        <w:ind w:left="964" w:hanging="640"/>
        <w:spacing w:after="0" w:line="246" w:lineRule="auto"/>
        <w:tabs>
          <w:tab w:leader="none" w:pos="996" w:val="left"/>
        </w:tabs>
        <w:numPr>
          <w:ilvl w:val="1"/>
          <w:numId w:val="61"/>
        </w:numPr>
        <w:rPr>
          <w:rFonts w:ascii="Arial" w:cs="Arial" w:eastAsia="Arial" w:hAnsi="Arial"/>
          <w:sz w:val="20"/>
          <w:szCs w:val="20"/>
          <w:color w:val="auto"/>
        </w:rPr>
      </w:pPr>
      <w:r>
        <w:rPr>
          <w:rFonts w:ascii="Arial" w:cs="Arial" w:eastAsia="Arial" w:hAnsi="Arial"/>
          <w:sz w:val="20"/>
          <w:szCs w:val="20"/>
          <w:color w:val="auto"/>
        </w:rPr>
        <w:t>Neither party nor, in the case of the Member Company, any of its Members will, at any time during the Term, engage in any activity under this Agreement, including the use of Services provided by WeWork in connection with this Agreement, that violates applicable Trade Control Laws or causes WeWork to be in violation of Trade Control Laws.</w:t>
      </w:r>
    </w:p>
    <w:p>
      <w:pPr>
        <w:spacing w:after="0" w:line="198" w:lineRule="exact"/>
        <w:rPr>
          <w:rFonts w:ascii="Arial" w:cs="Arial" w:eastAsia="Arial" w:hAnsi="Arial"/>
          <w:sz w:val="20"/>
          <w:szCs w:val="20"/>
          <w:color w:val="auto"/>
        </w:rPr>
      </w:pPr>
    </w:p>
    <w:p>
      <w:pPr>
        <w:jc w:val="both"/>
        <w:ind w:left="324" w:hanging="324"/>
        <w:spacing w:after="0" w:line="244" w:lineRule="auto"/>
        <w:tabs>
          <w:tab w:leader="none" w:pos="383"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 xml:space="preserve">Anti-Money Laundering. </w:t>
      </w:r>
      <w:r>
        <w:rPr>
          <w:rFonts w:ascii="Arial" w:cs="Arial" w:eastAsia="Arial" w:hAnsi="Arial"/>
          <w:sz w:val="20"/>
          <w:szCs w:val="20"/>
          <w:color w:val="auto"/>
        </w:rPr>
        <w:t>You and WeWork, each as to itself, hereby represent and warrant that at all times it has</w:t>
      </w:r>
      <w:r>
        <w:rPr>
          <w:rFonts w:ascii="Arial" w:cs="Arial" w:eastAsia="Arial" w:hAnsi="Arial"/>
          <w:sz w:val="20"/>
          <w:szCs w:val="20"/>
          <w:b w:val="1"/>
          <w:bCs w:val="1"/>
          <w:color w:val="auto"/>
        </w:rPr>
        <w:t xml:space="preserve"> </w:t>
      </w:r>
      <w:r>
        <w:rPr>
          <w:rFonts w:ascii="Arial" w:cs="Arial" w:eastAsia="Arial" w:hAnsi="Arial"/>
          <w:sz w:val="20"/>
          <w:szCs w:val="20"/>
          <w:color w:val="auto"/>
        </w:rPr>
        <w:t>conducted and will conduct its operations ethically and in accordance with all laws, including but not limited to laws that prohibit commercial bribery and money laundering (the “</w:t>
      </w:r>
      <w:r>
        <w:rPr>
          <w:rFonts w:ascii="Arial" w:cs="Arial" w:eastAsia="Arial" w:hAnsi="Arial"/>
          <w:sz w:val="20"/>
          <w:szCs w:val="20"/>
          <w:b w:val="1"/>
          <w:bCs w:val="1"/>
          <w:color w:val="auto"/>
        </w:rPr>
        <w:t>Anti- Money Laundering Laws</w:t>
      </w:r>
      <w:r>
        <w:rPr>
          <w:rFonts w:ascii="Arial" w:cs="Arial" w:eastAsia="Arial" w:hAnsi="Arial"/>
          <w:sz w:val="20"/>
          <w:szCs w:val="20"/>
          <w:color w:val="auto"/>
        </w:rPr>
        <w:t>”), and that all funds which you will use to comply with your payment obligations under this Agreement will derived from legal sources, pursuant to the provisions of Anti- Money Laundering Laws. You will provide us with all reasonably requested information and documents that we from time to time may request in order to comply with all Anti-Money Laundering Laws.</w:t>
      </w:r>
    </w:p>
    <w:p>
      <w:pPr>
        <w:spacing w:after="0" w:line="199" w:lineRule="exact"/>
        <w:rPr>
          <w:rFonts w:ascii="Arial" w:cs="Arial" w:eastAsia="Arial" w:hAnsi="Arial"/>
          <w:sz w:val="20"/>
          <w:szCs w:val="20"/>
          <w:color w:val="auto"/>
        </w:rPr>
      </w:pPr>
    </w:p>
    <w:p>
      <w:pPr>
        <w:jc w:val="both"/>
        <w:ind w:left="324" w:hanging="324"/>
        <w:spacing w:after="0" w:line="255" w:lineRule="auto"/>
        <w:tabs>
          <w:tab w:leader="none" w:pos="316" w:val="left"/>
        </w:tabs>
        <w:numPr>
          <w:ilvl w:val="0"/>
          <w:numId w:val="62"/>
        </w:numPr>
        <w:rPr>
          <w:rFonts w:ascii="Arial" w:cs="Arial" w:eastAsia="Arial" w:hAnsi="Arial"/>
          <w:sz w:val="19"/>
          <w:szCs w:val="19"/>
          <w:color w:val="222222"/>
        </w:rPr>
      </w:pPr>
      <w:r>
        <w:rPr>
          <w:rFonts w:ascii="Arial" w:cs="Arial" w:eastAsia="Arial" w:hAnsi="Arial"/>
          <w:sz w:val="19"/>
          <w:szCs w:val="19"/>
          <w:b w:val="1"/>
          <w:bCs w:val="1"/>
          <w:color w:val="auto"/>
        </w:rPr>
        <w:t xml:space="preserve">Anti-Corruption Laws. </w:t>
      </w:r>
      <w:r>
        <w:rPr>
          <w:rFonts w:ascii="Arial" w:cs="Arial" w:eastAsia="Arial" w:hAnsi="Arial"/>
          <w:sz w:val="19"/>
          <w:szCs w:val="19"/>
          <w:color w:val="auto"/>
        </w:rPr>
        <w:t>Neither party nor any of its directors, officers, employees, agents, third parties with whom it</w:t>
      </w:r>
      <w:r>
        <w:rPr>
          <w:rFonts w:ascii="Arial" w:cs="Arial" w:eastAsia="Arial" w:hAnsi="Arial"/>
          <w:sz w:val="19"/>
          <w:szCs w:val="19"/>
          <w:b w:val="1"/>
          <w:bCs w:val="1"/>
          <w:color w:val="auto"/>
        </w:rPr>
        <w:t xml:space="preserve"> </w:t>
      </w:r>
      <w:r>
        <w:rPr>
          <w:rFonts w:ascii="Arial" w:cs="Arial" w:eastAsia="Arial" w:hAnsi="Arial"/>
          <w:sz w:val="19"/>
          <w:szCs w:val="19"/>
          <w:color w:val="auto"/>
        </w:rPr>
        <w:t>has contractually engaged, representatives or anyone acting on its behalf, nor any of your Members (i) has, directly or indirectly, offered, paid, given, promised, or authorized the payment of any money, gift or anything of value to: (A) any Government Official or any commercial party, (B) any person while knowing or having reason to know that all or a portion of such money, gift or thing of value will be offered, paid or given, directly or indirectly, to any Government Official or any commercial party, or (C) any employee or representative of WeWork for the purpose of (1) influencing an act or decision of the Government Official or commercial party in his or her official capacity, (2) inducing the Government Official or commercial party to do or omit to do any act in violation of the lawful duty of such official, (3) securing an improper advantage or (4) securing the execution of this Agreement, or (ii) will authorize or make any payments or gifts or any offers or promises of payments or gifts of any kind, directly or indirectly, in connection with this Agreement, the Services or the Office Space. For purposes of this section, “</w:t>
      </w:r>
      <w:r>
        <w:rPr>
          <w:rFonts w:ascii="Arial" w:cs="Arial" w:eastAsia="Arial" w:hAnsi="Arial"/>
          <w:sz w:val="19"/>
          <w:szCs w:val="19"/>
          <w:b w:val="1"/>
          <w:bCs w:val="1"/>
          <w:color w:val="auto"/>
        </w:rPr>
        <w:t>Government Official</w:t>
      </w:r>
      <w:r>
        <w:rPr>
          <w:rFonts w:ascii="Arial" w:cs="Arial" w:eastAsia="Arial" w:hAnsi="Arial"/>
          <w:sz w:val="19"/>
          <w:szCs w:val="19"/>
          <w:color w:val="auto"/>
        </w:rPr>
        <w:t>” means any officer, employee or person acting in an official capacity for any government agency or instrumentality, including state-owned or controlled companies, and public international organizations, as well as a political party or official thereof or candidate for political office.</w:t>
      </w:r>
    </w:p>
    <w:p>
      <w:pPr>
        <w:spacing w:after="0" w:line="206" w:lineRule="exact"/>
        <w:rPr>
          <w:rFonts w:ascii="Arial" w:cs="Arial" w:eastAsia="Arial" w:hAnsi="Arial"/>
          <w:sz w:val="19"/>
          <w:szCs w:val="19"/>
          <w:color w:val="222222"/>
        </w:rPr>
      </w:pPr>
    </w:p>
    <w:p>
      <w:pPr>
        <w:ind w:left="324" w:hanging="324"/>
        <w:spacing w:after="0" w:line="267" w:lineRule="auto"/>
        <w:tabs>
          <w:tab w:leader="none" w:pos="454" w:val="left"/>
        </w:tabs>
        <w:numPr>
          <w:ilvl w:val="0"/>
          <w:numId w:val="62"/>
        </w:numPr>
        <w:rPr>
          <w:rFonts w:ascii="Arial" w:cs="Arial" w:eastAsia="Arial" w:hAnsi="Arial"/>
          <w:sz w:val="20"/>
          <w:szCs w:val="20"/>
          <w:color w:val="222222"/>
        </w:rPr>
      </w:pPr>
      <w:r>
        <w:rPr>
          <w:rFonts w:ascii="Arial" w:cs="Arial" w:eastAsia="Arial" w:hAnsi="Arial"/>
          <w:sz w:val="20"/>
          <w:szCs w:val="20"/>
          <w:b w:val="1"/>
          <w:bCs w:val="1"/>
          <w:color w:val="auto"/>
        </w:rPr>
        <w:t>Brokers</w:t>
      </w:r>
      <w:r>
        <w:rPr>
          <w:rFonts w:ascii="Arial" w:cs="Arial" w:eastAsia="Arial" w:hAnsi="Arial"/>
          <w:sz w:val="20"/>
          <w:szCs w:val="20"/>
          <w:color w:val="auto"/>
        </w:rPr>
        <w:t>. Except as may be provided for through the WeWork broker referral program, you hereby represent and</w:t>
      </w:r>
      <w:r>
        <w:rPr>
          <w:rFonts w:ascii="Arial" w:cs="Arial" w:eastAsia="Arial" w:hAnsi="Arial"/>
          <w:sz w:val="20"/>
          <w:szCs w:val="20"/>
          <w:b w:val="1"/>
          <w:bCs w:val="1"/>
          <w:color w:val="auto"/>
        </w:rPr>
        <w:t xml:space="preserve"> </w:t>
      </w:r>
      <w:r>
        <w:rPr>
          <w:rFonts w:ascii="Arial" w:cs="Arial" w:eastAsia="Arial" w:hAnsi="Arial"/>
          <w:sz w:val="20"/>
          <w:szCs w:val="20"/>
          <w:color w:val="auto"/>
        </w:rPr>
        <w:t>warrant that you have not used a broker or realtor in connection with the membership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353060</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4"/>
          </w:cols>
          <w:pgMar w:left="1096" w:top="1189" w:right="999" w:bottom="1440" w:gutter="0" w:footer="0" w:header="0"/>
        </w:sectPr>
      </w:pPr>
    </w:p>
    <w:bookmarkStart w:id="122" w:name="page123"/>
    <w:bookmarkEnd w:id="122"/>
    <w:p>
      <w:pPr>
        <w:ind w:left="328"/>
        <w:spacing w:after="0" w:line="247" w:lineRule="auto"/>
        <w:rPr>
          <w:sz w:val="20"/>
          <w:szCs w:val="20"/>
          <w:color w:val="auto"/>
        </w:rPr>
      </w:pPr>
      <w:r>
        <w:rPr>
          <w:rFonts w:ascii="Arial" w:cs="Arial" w:eastAsia="Arial" w:hAnsi="Arial"/>
          <w:sz w:val="20"/>
          <w:szCs w:val="20"/>
          <w:color w:val="auto"/>
        </w:rPr>
        <w:t>transaction covered by this Agreement. If you seek to terminate this Agreement or cease to pay your Monthly Fee except as otherwise explicitly permitted herein (each, an “</w:t>
      </w:r>
      <w:r>
        <w:rPr>
          <w:rFonts w:ascii="Arial" w:cs="Arial" w:eastAsia="Arial" w:hAnsi="Arial"/>
          <w:sz w:val="20"/>
          <w:szCs w:val="20"/>
          <w:b w:val="1"/>
          <w:bCs w:val="1"/>
          <w:color w:val="auto"/>
        </w:rPr>
        <w:t>Early Exit</w:t>
      </w:r>
      <w:r>
        <w:rPr>
          <w:rFonts w:ascii="Arial" w:cs="Arial" w:eastAsia="Arial" w:hAnsi="Arial"/>
          <w:sz w:val="20"/>
          <w:szCs w:val="20"/>
          <w:color w:val="auto"/>
        </w:rPr>
        <w:t>”), within fifteen</w:t>
      </w:r>
    </w:p>
    <w:p>
      <w:pPr>
        <w:spacing w:after="0" w:line="2" w:lineRule="exact"/>
        <w:rPr>
          <w:sz w:val="20"/>
          <w:szCs w:val="20"/>
          <w:color w:val="auto"/>
        </w:rPr>
      </w:pPr>
    </w:p>
    <w:p>
      <w:pPr>
        <w:jc w:val="both"/>
        <w:ind w:left="328"/>
        <w:spacing w:after="0" w:line="241" w:lineRule="auto"/>
        <w:tabs>
          <w:tab w:leader="none" w:pos="730" w:val="left"/>
        </w:tabs>
        <w:numPr>
          <w:ilvl w:val="1"/>
          <w:numId w:val="63"/>
        </w:numPr>
        <w:rPr>
          <w:rFonts w:ascii="Arial" w:cs="Arial" w:eastAsia="Arial" w:hAnsi="Arial"/>
          <w:sz w:val="20"/>
          <w:szCs w:val="20"/>
          <w:color w:val="auto"/>
        </w:rPr>
      </w:pPr>
      <w:r>
        <w:rPr>
          <w:rFonts w:ascii="Arial" w:cs="Arial" w:eastAsia="Arial" w:hAnsi="Arial"/>
          <w:sz w:val="20"/>
          <w:szCs w:val="20"/>
          <w:color w:val="auto"/>
        </w:rPr>
        <w:t>days of doing so, you shall reimburse WeWork for any fees previously paid by WeWork to a broker or realtor corresponding to the period following such Early Exit. You hereby indemnify and hold us harmless against any claims arising from the breach of any warranty or representation of this paragraph.</w:t>
      </w:r>
    </w:p>
    <w:p>
      <w:pPr>
        <w:spacing w:after="0" w:line="203" w:lineRule="exact"/>
        <w:rPr>
          <w:rFonts w:ascii="Arial" w:cs="Arial" w:eastAsia="Arial" w:hAnsi="Arial"/>
          <w:sz w:val="20"/>
          <w:szCs w:val="20"/>
          <w:color w:val="auto"/>
        </w:rPr>
      </w:pPr>
    </w:p>
    <w:p>
      <w:pPr>
        <w:jc w:val="both"/>
        <w:ind w:left="328" w:hanging="324"/>
        <w:spacing w:after="0" w:line="318" w:lineRule="auto"/>
        <w:tabs>
          <w:tab w:leader="none" w:pos="342"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Counterparts and Electronic Signature</w:t>
      </w:r>
      <w:r>
        <w:rPr>
          <w:rFonts w:ascii="Arial" w:cs="Arial" w:eastAsia="Arial" w:hAnsi="Arial"/>
          <w:sz w:val="16"/>
          <w:szCs w:val="16"/>
          <w:color w:val="auto"/>
        </w:rPr>
        <w:t>. This Agreement may be executed in any number of counterparts by either</w:t>
      </w:r>
      <w:r>
        <w:rPr>
          <w:rFonts w:ascii="Arial" w:cs="Arial" w:eastAsia="Arial" w:hAnsi="Arial"/>
          <w:sz w:val="16"/>
          <w:szCs w:val="16"/>
          <w:b w:val="1"/>
          <w:bCs w:val="1"/>
          <w:color w:val="auto"/>
        </w:rPr>
        <w:t xml:space="preserve"> </w:t>
      </w:r>
      <w:r>
        <w:rPr>
          <w:rFonts w:ascii="Arial" w:cs="Arial" w:eastAsia="Arial" w:hAnsi="Arial"/>
          <w:sz w:val="16"/>
          <w:szCs w:val="16"/>
          <w:color w:val="auto"/>
        </w:rPr>
        <w:t>handwritten or electronic signature, each of which when executed shall constitute a duplicate original, but all the counterparts shall together constitute the one agreement, and each of which counterparts may be delivered by emailing the other party to this Agreement signed scanned document or electronically signed portable document format (pdf) version of the contract (as applicable). Each party agrees to the execution of this Agreement in this manner, and the parties acknowledge that execution in this manner creates a binding contract between the parties on the Effective Date.</w:t>
      </w:r>
    </w:p>
    <w:p>
      <w:pPr>
        <w:spacing w:after="0" w:line="143" w:lineRule="exact"/>
        <w:rPr>
          <w:rFonts w:ascii="Arial" w:cs="Arial" w:eastAsia="Arial" w:hAnsi="Arial"/>
          <w:sz w:val="16"/>
          <w:szCs w:val="16"/>
          <w:color w:val="auto"/>
        </w:rPr>
      </w:pPr>
    </w:p>
    <w:p>
      <w:pPr>
        <w:ind w:left="328" w:right="20" w:hanging="328"/>
        <w:spacing w:after="0" w:line="267" w:lineRule="auto"/>
        <w:tabs>
          <w:tab w:leader="none" w:pos="315"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 xml:space="preserve">Compliance with Laws. </w:t>
      </w:r>
      <w:r>
        <w:rPr>
          <w:rFonts w:ascii="Arial" w:cs="Arial" w:eastAsia="Arial" w:hAnsi="Arial"/>
          <w:sz w:val="20"/>
          <w:szCs w:val="20"/>
          <w:color w:val="auto"/>
        </w:rPr>
        <w:t>You herby represent and warrant that at all times you and your Members have conducted and</w:t>
      </w:r>
      <w:r>
        <w:rPr>
          <w:rFonts w:ascii="Arial" w:cs="Arial" w:eastAsia="Arial" w:hAnsi="Arial"/>
          <w:sz w:val="20"/>
          <w:szCs w:val="20"/>
          <w:b w:val="1"/>
          <w:bCs w:val="1"/>
          <w:color w:val="auto"/>
        </w:rPr>
        <w:t xml:space="preserve"> </w:t>
      </w:r>
      <w:r>
        <w:rPr>
          <w:rFonts w:ascii="Arial" w:cs="Arial" w:eastAsia="Arial" w:hAnsi="Arial"/>
          <w:sz w:val="20"/>
          <w:szCs w:val="20"/>
          <w:color w:val="auto"/>
        </w:rPr>
        <w:t>will conduct your operations ethically and in accordance with all applicable laws.</w:t>
      </w:r>
    </w:p>
    <w:p>
      <w:pPr>
        <w:spacing w:after="0" w:line="136" w:lineRule="exact"/>
        <w:rPr>
          <w:rFonts w:ascii="Arial" w:cs="Arial" w:eastAsia="Arial" w:hAnsi="Arial"/>
          <w:sz w:val="20"/>
          <w:szCs w:val="20"/>
          <w:color w:val="auto"/>
        </w:rPr>
      </w:pPr>
    </w:p>
    <w:p>
      <w:pPr>
        <w:jc w:val="both"/>
        <w:ind w:left="328" w:hanging="324"/>
        <w:spacing w:after="0" w:line="265" w:lineRule="auto"/>
        <w:tabs>
          <w:tab w:leader="none" w:pos="301" w:val="left"/>
        </w:tabs>
        <w:numPr>
          <w:ilvl w:val="0"/>
          <w:numId w:val="64"/>
        </w:numPr>
        <w:rPr>
          <w:rFonts w:ascii="Arial" w:cs="Arial" w:eastAsia="Arial" w:hAnsi="Arial"/>
          <w:sz w:val="19"/>
          <w:szCs w:val="19"/>
          <w:color w:val="auto"/>
        </w:rPr>
      </w:pPr>
      <w:r>
        <w:rPr>
          <w:rFonts w:ascii="Arial" w:cs="Arial" w:eastAsia="Arial" w:hAnsi="Arial"/>
          <w:sz w:val="19"/>
          <w:szCs w:val="19"/>
          <w:b w:val="1"/>
          <w:bCs w:val="1"/>
          <w:color w:val="auto"/>
        </w:rPr>
        <w:t xml:space="preserve">Entire Agreement. </w:t>
      </w:r>
      <w:r>
        <w:rPr>
          <w:rFonts w:ascii="Arial" w:cs="Arial" w:eastAsia="Arial" w:hAnsi="Arial"/>
          <w:sz w:val="19"/>
          <w:szCs w:val="19"/>
          <w:color w:val="auto"/>
        </w:rPr>
        <w:t>This Agreement, including the Membership Details Form, constitutes the entire agreement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relating to the subject matter hereof and shall not be changed in any manner except by a writing executed by both parties or as otherwise permitted herein. All prior agreements and understandings between the parties regarding the matters described herein have merged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2"/>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353060</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8"/>
          </w:cols>
          <w:pgMar w:left="1092" w:top="1189" w:right="999" w:bottom="1440" w:gutter="0" w:footer="0" w:header="0"/>
        </w:sectPr>
      </w:pPr>
    </w:p>
    <w:bookmarkStart w:id="123" w:name="page124"/>
    <w:bookmarkEnd w:id="123"/>
    <w:p>
      <w:pPr>
        <w:jc w:val="center"/>
        <w:ind w:right="96"/>
        <w:spacing w:after="0"/>
        <w:rPr>
          <w:sz w:val="20"/>
          <w:szCs w:val="20"/>
          <w:color w:val="auto"/>
        </w:rPr>
      </w:pPr>
      <w:r>
        <w:rPr>
          <w:rFonts w:ascii="Arial" w:cs="Arial" w:eastAsia="Arial" w:hAnsi="Arial"/>
          <w:sz w:val="20"/>
          <w:szCs w:val="20"/>
          <w:b w:val="1"/>
          <w:bCs w:val="1"/>
          <w:u w:val="single" w:color="auto"/>
          <w:color w:val="auto"/>
        </w:rPr>
        <w:t>EXHIBIT A</w:t>
      </w:r>
    </w:p>
    <w:p>
      <w:pPr>
        <w:spacing w:after="0" w:line="324" w:lineRule="exact"/>
        <w:rPr>
          <w:sz w:val="20"/>
          <w:szCs w:val="20"/>
          <w:color w:val="auto"/>
        </w:rPr>
      </w:pPr>
    </w:p>
    <w:p>
      <w:pPr>
        <w:jc w:val="center"/>
        <w:ind w:right="96"/>
        <w:spacing w:after="0"/>
        <w:rPr>
          <w:sz w:val="20"/>
          <w:szCs w:val="20"/>
          <w:color w:val="auto"/>
        </w:rPr>
      </w:pPr>
      <w:r>
        <w:rPr>
          <w:rFonts w:ascii="Arial" w:cs="Arial" w:eastAsia="Arial" w:hAnsi="Arial"/>
          <w:sz w:val="20"/>
          <w:szCs w:val="20"/>
          <w:b w:val="1"/>
          <w:bCs w:val="1"/>
          <w:u w:val="single" w:color="auto"/>
          <w:color w:val="auto"/>
        </w:rPr>
        <w:t>HOUSE RULES</w:t>
      </w:r>
    </w:p>
    <w:p>
      <w:pPr>
        <w:spacing w:after="0" w:line="229" w:lineRule="exact"/>
        <w:rPr>
          <w:sz w:val="20"/>
          <w:szCs w:val="20"/>
          <w:color w:val="auto"/>
        </w:rPr>
      </w:pPr>
    </w:p>
    <w:p>
      <w:pPr>
        <w:ind w:left="344" w:hanging="344"/>
        <w:spacing w:after="0"/>
        <w:tabs>
          <w:tab w:leader="none" w:pos="344"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You acknowledge and agree that:</w:t>
      </w:r>
    </w:p>
    <w:p>
      <w:pPr>
        <w:spacing w:after="0" w:line="235" w:lineRule="exact"/>
        <w:rPr>
          <w:rFonts w:ascii="Arial" w:cs="Arial" w:eastAsia="Arial" w:hAnsi="Arial"/>
          <w:sz w:val="20"/>
          <w:szCs w:val="20"/>
          <w:b w:val="1"/>
          <w:bCs w:val="1"/>
          <w:color w:val="auto"/>
        </w:rPr>
      </w:pPr>
    </w:p>
    <w:p>
      <w:pPr>
        <w:jc w:val="both"/>
        <w:ind w:left="964" w:hanging="426"/>
        <w:spacing w:after="0" w:line="269" w:lineRule="auto"/>
        <w:tabs>
          <w:tab w:leader="none" w:pos="984" w:val="left"/>
        </w:tabs>
        <w:numPr>
          <w:ilvl w:val="2"/>
          <w:numId w:val="65"/>
        </w:numPr>
        <w:rPr>
          <w:rFonts w:ascii="Arial" w:cs="Arial" w:eastAsia="Arial" w:hAnsi="Arial"/>
          <w:sz w:val="19"/>
          <w:szCs w:val="19"/>
          <w:color w:val="auto"/>
        </w:rPr>
      </w:pPr>
      <w:r>
        <w:rPr>
          <w:rFonts w:ascii="Arial" w:cs="Arial" w:eastAsia="Arial" w:hAnsi="Arial"/>
          <w:sz w:val="19"/>
          <w:szCs w:val="19"/>
          <w:color w:val="auto"/>
        </w:rPr>
        <w:t>keys, key cards and other such items used to gain physical access to the Premises, or the Office Space remain our property. You will cause your Members to safeguard our property and you shall promptly notify us and be liable for replacement fees should any such property be lost, stolen or destroyed;</w:t>
      </w:r>
    </w:p>
    <w:p>
      <w:pPr>
        <w:spacing w:after="0" w:line="129" w:lineRule="exact"/>
        <w:rPr>
          <w:rFonts w:ascii="Arial" w:cs="Arial" w:eastAsia="Arial" w:hAnsi="Arial"/>
          <w:sz w:val="19"/>
          <w:szCs w:val="19"/>
          <w:color w:val="auto"/>
        </w:rPr>
      </w:pPr>
    </w:p>
    <w:p>
      <w:pPr>
        <w:ind w:left="984" w:hanging="501"/>
        <w:spacing w:after="0"/>
        <w:tabs>
          <w:tab w:leader="none" w:pos="984" w:val="left"/>
        </w:tabs>
        <w:numPr>
          <w:ilvl w:val="2"/>
          <w:numId w:val="65"/>
        </w:numPr>
        <w:rPr>
          <w:rFonts w:ascii="Arial" w:cs="Arial" w:eastAsia="Arial" w:hAnsi="Arial"/>
          <w:sz w:val="20"/>
          <w:szCs w:val="20"/>
          <w:color w:val="auto"/>
        </w:rPr>
      </w:pPr>
      <w:r>
        <w:rPr>
          <w:rFonts w:ascii="Arial" w:cs="Arial" w:eastAsia="Arial" w:hAnsi="Arial"/>
          <w:sz w:val="20"/>
          <w:szCs w:val="20"/>
          <w:color w:val="auto"/>
        </w:rPr>
        <w:t>you shall promptly notify us of any change to your contact and/or payment information;</w:t>
      </w:r>
    </w:p>
    <w:p>
      <w:pPr>
        <w:spacing w:after="0" w:line="175" w:lineRule="exact"/>
        <w:rPr>
          <w:rFonts w:ascii="Arial" w:cs="Arial" w:eastAsia="Arial" w:hAnsi="Arial"/>
          <w:sz w:val="20"/>
          <w:szCs w:val="20"/>
          <w:color w:val="auto"/>
        </w:rPr>
      </w:pPr>
    </w:p>
    <w:p>
      <w:pPr>
        <w:jc w:val="both"/>
        <w:ind w:left="964" w:right="20" w:hanging="536"/>
        <w:spacing w:after="0" w:line="250" w:lineRule="auto"/>
        <w:tabs>
          <w:tab w:leader="none" w:pos="1173" w:val="left"/>
        </w:tabs>
        <w:numPr>
          <w:ilvl w:val="2"/>
          <w:numId w:val="65"/>
        </w:numPr>
        <w:rPr>
          <w:rFonts w:ascii="Arial" w:cs="Arial" w:eastAsia="Arial" w:hAnsi="Arial"/>
          <w:sz w:val="20"/>
          <w:szCs w:val="20"/>
          <w:color w:val="auto"/>
        </w:rPr>
      </w:pPr>
      <w:r>
        <w:rPr>
          <w:rFonts w:ascii="Arial" w:cs="Arial" w:eastAsia="Arial" w:hAnsi="Arial"/>
          <w:sz w:val="20"/>
          <w:szCs w:val="20"/>
          <w:color w:val="auto"/>
        </w:rPr>
        <w:t>we will provide notice to you of any changes to Services, fees, or other updates via email. It is your responsibility to read such emails and to ensure your Members are aware of any changes, regardless of whether we notify such Members directly;</w:t>
      </w:r>
    </w:p>
    <w:p>
      <w:pPr>
        <w:spacing w:after="0" w:line="158" w:lineRule="exact"/>
        <w:rPr>
          <w:rFonts w:ascii="Arial" w:cs="Arial" w:eastAsia="Arial" w:hAnsi="Arial"/>
          <w:sz w:val="20"/>
          <w:szCs w:val="20"/>
          <w:color w:val="auto"/>
        </w:rPr>
      </w:pPr>
    </w:p>
    <w:p>
      <w:pPr>
        <w:ind w:left="964" w:right="20" w:hanging="525"/>
        <w:spacing w:after="0" w:line="260" w:lineRule="auto"/>
        <w:tabs>
          <w:tab w:leader="none" w:pos="1033" w:val="left"/>
        </w:tabs>
        <w:numPr>
          <w:ilvl w:val="1"/>
          <w:numId w:val="65"/>
        </w:numPr>
        <w:rPr>
          <w:rFonts w:ascii="Arial" w:cs="Arial" w:eastAsia="Arial" w:hAnsi="Arial"/>
          <w:sz w:val="20"/>
          <w:szCs w:val="20"/>
          <w:color w:val="auto"/>
        </w:rPr>
      </w:pPr>
      <w:r>
        <w:rPr>
          <w:rFonts w:ascii="Arial" w:cs="Arial" w:eastAsia="Arial" w:hAnsi="Arial"/>
          <w:sz w:val="20"/>
          <w:szCs w:val="20"/>
          <w:color w:val="auto"/>
        </w:rPr>
        <w:t>carts, dollies and other freight items which may be made available may not be used in the passenger elevator except at our discretion;</w:t>
      </w:r>
    </w:p>
    <w:p>
      <w:pPr>
        <w:spacing w:after="0" w:line="136" w:lineRule="exact"/>
        <w:rPr>
          <w:rFonts w:ascii="Arial" w:cs="Arial" w:eastAsia="Arial" w:hAnsi="Arial"/>
          <w:sz w:val="20"/>
          <w:szCs w:val="20"/>
          <w:color w:val="auto"/>
        </w:rPr>
      </w:pPr>
    </w:p>
    <w:p>
      <w:pPr>
        <w:ind w:left="964" w:hanging="469"/>
        <w:spacing w:after="0" w:line="260" w:lineRule="auto"/>
        <w:tabs>
          <w:tab w:leader="none" w:pos="1127" w:val="left"/>
        </w:tabs>
        <w:numPr>
          <w:ilvl w:val="1"/>
          <w:numId w:val="65"/>
        </w:numPr>
        <w:rPr>
          <w:rFonts w:ascii="Arial" w:cs="Arial" w:eastAsia="Arial" w:hAnsi="Arial"/>
          <w:sz w:val="20"/>
          <w:szCs w:val="20"/>
          <w:color w:val="auto"/>
        </w:rPr>
      </w:pPr>
      <w:r>
        <w:rPr>
          <w:rFonts w:ascii="Arial" w:cs="Arial" w:eastAsia="Arial" w:hAnsi="Arial"/>
          <w:sz w:val="20"/>
          <w:szCs w:val="20"/>
          <w:color w:val="auto"/>
        </w:rPr>
        <w:t>for security reasons, we may, but have no obligation to, regularly record certain areas in the Premises via video;</w:t>
      </w:r>
    </w:p>
    <w:p>
      <w:pPr>
        <w:spacing w:after="0" w:line="136" w:lineRule="exact"/>
        <w:rPr>
          <w:rFonts w:ascii="Arial" w:cs="Arial" w:eastAsia="Arial" w:hAnsi="Arial"/>
          <w:sz w:val="20"/>
          <w:szCs w:val="20"/>
          <w:color w:val="auto"/>
        </w:rPr>
      </w:pPr>
    </w:p>
    <w:p>
      <w:pPr>
        <w:ind w:left="984" w:hanging="545"/>
        <w:spacing w:after="0"/>
        <w:tabs>
          <w:tab w:leader="none" w:pos="984" w:val="left"/>
        </w:tabs>
        <w:numPr>
          <w:ilvl w:val="2"/>
          <w:numId w:val="66"/>
        </w:numPr>
        <w:rPr>
          <w:rFonts w:ascii="Arial" w:cs="Arial" w:eastAsia="Arial" w:hAnsi="Arial"/>
          <w:sz w:val="20"/>
          <w:szCs w:val="20"/>
          <w:color w:val="auto"/>
        </w:rPr>
      </w:pPr>
      <w:r>
        <w:rPr>
          <w:rFonts w:ascii="Arial" w:cs="Arial" w:eastAsia="Arial" w:hAnsi="Arial"/>
          <w:sz w:val="20"/>
          <w:szCs w:val="20"/>
          <w:color w:val="auto"/>
        </w:rPr>
        <w:t>all of your Members are at least 18 years of age;</w:t>
      </w:r>
    </w:p>
    <w:p>
      <w:pPr>
        <w:spacing w:after="0" w:line="188" w:lineRule="exact"/>
        <w:rPr>
          <w:rFonts w:ascii="Arial" w:cs="Arial" w:eastAsia="Arial" w:hAnsi="Arial"/>
          <w:sz w:val="20"/>
          <w:szCs w:val="20"/>
          <w:color w:val="auto"/>
        </w:rPr>
      </w:pPr>
    </w:p>
    <w:p>
      <w:pPr>
        <w:jc w:val="both"/>
        <w:ind w:left="964" w:hanging="580"/>
        <w:spacing w:after="0" w:line="250" w:lineRule="auto"/>
        <w:tabs>
          <w:tab w:leader="none" w:pos="1065" w:val="left"/>
        </w:tabs>
        <w:numPr>
          <w:ilvl w:val="2"/>
          <w:numId w:val="66"/>
        </w:numPr>
        <w:rPr>
          <w:rFonts w:ascii="Arial" w:cs="Arial" w:eastAsia="Arial" w:hAnsi="Arial"/>
          <w:sz w:val="20"/>
          <w:szCs w:val="20"/>
          <w:color w:val="auto"/>
        </w:rPr>
      </w:pPr>
      <w:r>
        <w:rPr>
          <w:rFonts w:ascii="Arial" w:cs="Arial" w:eastAsia="Arial" w:hAnsi="Arial"/>
          <w:sz w:val="20"/>
          <w:szCs w:val="20"/>
          <w:color w:val="auto"/>
        </w:rPr>
        <w:t>you shall be responsible for ensuring that no alcohol is consumed by any of your Members or guests who is younger than the legal age for consuming alcohol in the applicable jurisdiction and that alcohol is consumed responsibly by your Members and guests;</w:t>
      </w:r>
    </w:p>
    <w:p>
      <w:pPr>
        <w:spacing w:after="0" w:line="145" w:lineRule="exact"/>
        <w:rPr>
          <w:rFonts w:ascii="Arial" w:cs="Arial" w:eastAsia="Arial" w:hAnsi="Arial"/>
          <w:sz w:val="20"/>
          <w:szCs w:val="20"/>
          <w:color w:val="auto"/>
        </w:rPr>
      </w:pPr>
    </w:p>
    <w:p>
      <w:pPr>
        <w:ind w:left="964" w:hanging="634"/>
        <w:spacing w:after="0" w:line="287" w:lineRule="auto"/>
        <w:tabs>
          <w:tab w:leader="none" w:pos="1179" w:val="left"/>
        </w:tabs>
        <w:numPr>
          <w:ilvl w:val="2"/>
          <w:numId w:val="66"/>
        </w:numPr>
        <w:rPr>
          <w:rFonts w:ascii="Arial" w:cs="Arial" w:eastAsia="Arial" w:hAnsi="Arial"/>
          <w:sz w:val="19"/>
          <w:szCs w:val="19"/>
          <w:color w:val="auto"/>
        </w:rPr>
      </w:pPr>
      <w:r>
        <w:rPr>
          <w:rFonts w:ascii="Arial" w:cs="Arial" w:eastAsia="Arial" w:hAnsi="Arial"/>
          <w:sz w:val="19"/>
          <w:szCs w:val="19"/>
          <w:color w:val="auto"/>
        </w:rPr>
        <w:t>common spaces are to be enjoyed by all our Member Companies, members and guests unless otherwise instructed by us, and are for temporary use and not as a place for continuous, everyday work;</w:t>
      </w:r>
    </w:p>
    <w:p>
      <w:pPr>
        <w:spacing w:after="0" w:line="111" w:lineRule="exact"/>
        <w:rPr>
          <w:rFonts w:ascii="Arial" w:cs="Arial" w:eastAsia="Arial" w:hAnsi="Arial"/>
          <w:sz w:val="19"/>
          <w:szCs w:val="19"/>
          <w:color w:val="auto"/>
        </w:rPr>
      </w:pPr>
    </w:p>
    <w:p>
      <w:pPr>
        <w:ind w:left="964" w:hanging="525"/>
        <w:spacing w:after="0" w:line="260" w:lineRule="auto"/>
        <w:tabs>
          <w:tab w:leader="none" w:pos="985" w:val="left"/>
        </w:tabs>
        <w:numPr>
          <w:ilvl w:val="2"/>
          <w:numId w:val="66"/>
        </w:numPr>
        <w:rPr>
          <w:rFonts w:ascii="Arial" w:cs="Arial" w:eastAsia="Arial" w:hAnsi="Arial"/>
          <w:sz w:val="20"/>
          <w:szCs w:val="20"/>
          <w:color w:val="auto"/>
        </w:rPr>
      </w:pPr>
      <w:r>
        <w:rPr>
          <w:rFonts w:ascii="Arial" w:cs="Arial" w:eastAsia="Arial" w:hAnsi="Arial"/>
          <w:sz w:val="20"/>
          <w:szCs w:val="20"/>
          <w:color w:val="auto"/>
        </w:rPr>
        <w:t>you will provide us with reasonable notice of and complete all required paperwork prior to hosting any event at the Premises;</w:t>
      </w:r>
    </w:p>
    <w:p>
      <w:pPr>
        <w:spacing w:after="0" w:line="149" w:lineRule="exact"/>
        <w:rPr>
          <w:rFonts w:ascii="Arial" w:cs="Arial" w:eastAsia="Arial" w:hAnsi="Arial"/>
          <w:sz w:val="20"/>
          <w:szCs w:val="20"/>
          <w:color w:val="auto"/>
        </w:rPr>
      </w:pPr>
    </w:p>
    <w:p>
      <w:pPr>
        <w:ind w:left="984" w:hanging="489"/>
        <w:spacing w:after="0"/>
        <w:tabs>
          <w:tab w:leader="none" w:pos="984" w:val="left"/>
        </w:tabs>
        <w:numPr>
          <w:ilvl w:val="2"/>
          <w:numId w:val="66"/>
        </w:numPr>
        <w:rPr>
          <w:rFonts w:ascii="Arial" w:cs="Arial" w:eastAsia="Arial" w:hAnsi="Arial"/>
          <w:sz w:val="20"/>
          <w:szCs w:val="20"/>
          <w:color w:val="auto"/>
        </w:rPr>
      </w:pPr>
      <w:r>
        <w:rPr>
          <w:rFonts w:ascii="Arial" w:cs="Arial" w:eastAsia="Arial" w:hAnsi="Arial"/>
          <w:sz w:val="20"/>
          <w:szCs w:val="20"/>
          <w:color w:val="auto"/>
        </w:rPr>
        <w:t>you will be responsible for any damage to your Office Space other than normal wear and tear;</w:t>
      </w:r>
    </w:p>
    <w:p>
      <w:pPr>
        <w:spacing w:after="0" w:line="175" w:lineRule="exact"/>
        <w:rPr>
          <w:rFonts w:ascii="Arial" w:cs="Arial" w:eastAsia="Arial" w:hAnsi="Arial"/>
          <w:sz w:val="20"/>
          <w:szCs w:val="20"/>
          <w:color w:val="auto"/>
        </w:rPr>
      </w:pPr>
    </w:p>
    <w:p>
      <w:pPr>
        <w:ind w:left="964" w:hanging="525"/>
        <w:spacing w:after="0" w:line="260" w:lineRule="auto"/>
        <w:tabs>
          <w:tab w:leader="none" w:pos="1017" w:val="left"/>
        </w:tabs>
        <w:numPr>
          <w:ilvl w:val="2"/>
          <w:numId w:val="66"/>
        </w:numPr>
        <w:rPr>
          <w:rFonts w:ascii="Arial" w:cs="Arial" w:eastAsia="Arial" w:hAnsi="Arial"/>
          <w:sz w:val="20"/>
          <w:szCs w:val="20"/>
          <w:color w:val="auto"/>
        </w:rPr>
      </w:pPr>
      <w:r>
        <w:rPr>
          <w:rFonts w:ascii="Arial" w:cs="Arial" w:eastAsia="Arial" w:hAnsi="Arial"/>
          <w:sz w:val="20"/>
          <w:szCs w:val="20"/>
          <w:color w:val="auto"/>
        </w:rPr>
        <w:t>you will be responsible for replacement fees for any item(s) provided to you by the WeWork community team for temporary use should any such property be lost, stolen or destroyed;</w:t>
      </w:r>
    </w:p>
    <w:p>
      <w:pPr>
        <w:spacing w:after="0" w:line="136" w:lineRule="exact"/>
        <w:rPr>
          <w:rFonts w:ascii="Arial" w:cs="Arial" w:eastAsia="Arial" w:hAnsi="Arial"/>
          <w:sz w:val="20"/>
          <w:szCs w:val="20"/>
          <w:color w:val="auto"/>
        </w:rPr>
      </w:pPr>
    </w:p>
    <w:p>
      <w:pPr>
        <w:jc w:val="both"/>
        <w:ind w:left="964" w:hanging="580"/>
        <w:spacing w:after="0" w:line="273" w:lineRule="auto"/>
        <w:tabs>
          <w:tab w:leader="none" w:pos="962" w:val="left"/>
        </w:tabs>
        <w:numPr>
          <w:ilvl w:val="2"/>
          <w:numId w:val="66"/>
        </w:numPr>
        <w:rPr>
          <w:rFonts w:ascii="Arial" w:cs="Arial" w:eastAsia="Arial" w:hAnsi="Arial"/>
          <w:sz w:val="18"/>
          <w:szCs w:val="18"/>
          <w:color w:val="auto"/>
        </w:rPr>
      </w:pPr>
      <w:r>
        <w:rPr>
          <w:rFonts w:ascii="Arial" w:cs="Arial" w:eastAsia="Arial" w:hAnsi="Arial"/>
          <w:sz w:val="18"/>
          <w:szCs w:val="18"/>
          <w:color w:val="auto"/>
        </w:rPr>
        <w:t>you may not make any structural or nonstructural alterations or installations (including, but not limited to, wall attachments, furniture, IT equipment, and/or glass paneling) in the Office Space or elsewhere in the Premises without prior approval by us. In the event that any alterations or installations are made, you shall be responsible for the full cost and expense of the alteration or installation and, prior to the termination of this Agreement, the removal of such items and the restoration necessitated by any such alterations, and we may deduct any such costs not otherwise paid by you from the Service Retainer. In no event are you permitted to perform any of these actions. Only a member of our facilities staff is entitled to perform an alteration, installation, removal or restoration. Reach out to a member of your community team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353060</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4"/>
          </w:cols>
          <w:pgMar w:left="1096" w:top="1183" w:right="999" w:bottom="1440" w:gutter="0" w:footer="0" w:header="0"/>
        </w:sectPr>
      </w:pPr>
    </w:p>
    <w:bookmarkStart w:id="124" w:name="page125"/>
    <w:bookmarkEnd w:id="124"/>
    <w:p>
      <w:pPr>
        <w:ind w:left="984" w:hanging="650"/>
        <w:spacing w:after="0"/>
        <w:tabs>
          <w:tab w:leader="none" w:pos="984" w:val="left"/>
        </w:tabs>
        <w:numPr>
          <w:ilvl w:val="0"/>
          <w:numId w:val="67"/>
        </w:numPr>
        <w:rPr>
          <w:rFonts w:ascii="Arial" w:cs="Arial" w:eastAsia="Arial" w:hAnsi="Arial"/>
          <w:sz w:val="20"/>
          <w:szCs w:val="20"/>
          <w:color w:val="auto"/>
        </w:rPr>
      </w:pPr>
      <w:r>
        <w:rPr>
          <w:rFonts w:ascii="Arial" w:cs="Arial" w:eastAsia="Arial" w:hAnsi="Arial"/>
          <w:sz w:val="20"/>
          <w:szCs w:val="20"/>
          <w:color w:val="auto"/>
        </w:rPr>
        <w:t>you shall not communicate, or attempt to communicate, directly with our Landlord for any reason;</w:t>
      </w:r>
    </w:p>
    <w:p>
      <w:pPr>
        <w:spacing w:after="0" w:line="175" w:lineRule="exact"/>
        <w:rPr>
          <w:sz w:val="20"/>
          <w:szCs w:val="20"/>
          <w:color w:val="auto"/>
        </w:rPr>
      </w:pPr>
    </w:p>
    <w:p>
      <w:pPr>
        <w:jc w:val="both"/>
        <w:ind w:left="964" w:hanging="619"/>
        <w:spacing w:after="0" w:line="244" w:lineRule="auto"/>
        <w:tabs>
          <w:tab w:leader="none" w:pos="930" w:val="left"/>
        </w:tabs>
        <w:numPr>
          <w:ilvl w:val="1"/>
          <w:numId w:val="68"/>
        </w:numPr>
        <w:rPr>
          <w:rFonts w:ascii="Arial" w:cs="Arial" w:eastAsia="Arial" w:hAnsi="Arial"/>
          <w:sz w:val="20"/>
          <w:szCs w:val="20"/>
          <w:color w:val="auto"/>
        </w:rPr>
      </w:pPr>
      <w:r>
        <w:rPr>
          <w:rFonts w:ascii="Arial" w:cs="Arial" w:eastAsia="Arial" w:hAnsi="Arial"/>
          <w:sz w:val="20"/>
          <w:szCs w:val="20"/>
          <w:color w:val="auto"/>
        </w:rPr>
        <w:t>you and your Members’ computers, tablets, mobile devices and other electronic equipment must be (a) kept up-to-date with the latest software updates provided by the software vendor and (b) kept clean of any malware, viruses, spyware, worms, Trojans, or anything that is designed to perform malicious, hostile and/or intrusive operations. We reserve the right to remove any device from our networks that poses a threat to our networks or users until the threat is remediated; and</w:t>
      </w:r>
    </w:p>
    <w:p>
      <w:pPr>
        <w:spacing w:after="0" w:line="167" w:lineRule="exact"/>
        <w:rPr>
          <w:rFonts w:ascii="Arial" w:cs="Arial" w:eastAsia="Arial" w:hAnsi="Arial"/>
          <w:sz w:val="20"/>
          <w:szCs w:val="20"/>
          <w:color w:val="auto"/>
        </w:rPr>
      </w:pPr>
    </w:p>
    <w:p>
      <w:pPr>
        <w:jc w:val="both"/>
        <w:ind w:left="964" w:hanging="563"/>
        <w:spacing w:after="0" w:line="243" w:lineRule="auto"/>
        <w:tabs>
          <w:tab w:leader="none" w:pos="1080" w:val="left"/>
        </w:tabs>
        <w:numPr>
          <w:ilvl w:val="1"/>
          <w:numId w:val="68"/>
        </w:numPr>
        <w:rPr>
          <w:rFonts w:ascii="Arial" w:cs="Arial" w:eastAsia="Arial" w:hAnsi="Arial"/>
          <w:sz w:val="20"/>
          <w:szCs w:val="20"/>
          <w:color w:val="auto"/>
        </w:rPr>
      </w:pPr>
      <w:r>
        <w:rPr>
          <w:rFonts w:ascii="Arial" w:cs="Arial" w:eastAsia="Arial" w:hAnsi="Arial"/>
          <w:sz w:val="20"/>
          <w:szCs w:val="20"/>
          <w:color w:val="auto"/>
        </w:rPr>
        <w:t>you consent to our non-exclusive, non-transferable use of your Member Company name and/or logo in connection with identifying you as a Member Company of WeWork, alongside those of other Member Companies, on a public-facing “Membership” display on wework.com, as well as in video and other marketing materials. You warrant that your logo does not infringe upon the rights of any third party and that you have full authority to provide this consent. You may terminate this consent at any time upon thirty (30) days’ prior notice.</w:t>
      </w:r>
    </w:p>
    <w:p>
      <w:pPr>
        <w:spacing w:after="0" w:line="149" w:lineRule="exact"/>
        <w:rPr>
          <w:rFonts w:ascii="Arial" w:cs="Arial" w:eastAsia="Arial" w:hAnsi="Arial"/>
          <w:sz w:val="20"/>
          <w:szCs w:val="20"/>
          <w:color w:val="auto"/>
        </w:rPr>
      </w:pPr>
    </w:p>
    <w:p>
      <w:pPr>
        <w:ind w:left="364" w:hanging="364"/>
        <w:spacing w:after="0"/>
        <w:tabs>
          <w:tab w:leader="none" w:pos="364"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No Member will:</w:t>
      </w:r>
    </w:p>
    <w:p>
      <w:pPr>
        <w:spacing w:after="0" w:line="181" w:lineRule="exact"/>
        <w:rPr>
          <w:rFonts w:ascii="Arial" w:cs="Arial" w:eastAsia="Arial" w:hAnsi="Arial"/>
          <w:sz w:val="20"/>
          <w:szCs w:val="20"/>
          <w:b w:val="1"/>
          <w:bCs w:val="1"/>
          <w:color w:val="auto"/>
        </w:rPr>
      </w:pPr>
    </w:p>
    <w:p>
      <w:pPr>
        <w:jc w:val="both"/>
        <w:ind w:left="964" w:hanging="421"/>
        <w:spacing w:after="0" w:line="250" w:lineRule="auto"/>
        <w:tabs>
          <w:tab w:leader="none" w:pos="993" w:val="left"/>
        </w:tabs>
        <w:numPr>
          <w:ilvl w:val="2"/>
          <w:numId w:val="69"/>
        </w:numPr>
        <w:rPr>
          <w:rFonts w:ascii="Arial" w:cs="Arial" w:eastAsia="Arial" w:hAnsi="Arial"/>
          <w:sz w:val="20"/>
          <w:szCs w:val="20"/>
          <w:color w:val="auto"/>
        </w:rPr>
      </w:pPr>
      <w:r>
        <w:rPr>
          <w:rFonts w:ascii="Arial" w:cs="Arial" w:eastAsia="Arial" w:hAnsi="Arial"/>
          <w:sz w:val="20"/>
          <w:szCs w:val="20"/>
          <w:color w:val="auto"/>
        </w:rPr>
        <w:t>perform any activity or cause or permit anything that is reasonably likely to be disruptive or dangerous to us or any other Member Companies, or our or their employees, guests or property, including without limitation in the Office Space or the Premises;</w:t>
      </w:r>
    </w:p>
    <w:p>
      <w:pPr>
        <w:spacing w:after="0" w:line="158" w:lineRule="exact"/>
        <w:rPr>
          <w:rFonts w:ascii="Arial" w:cs="Arial" w:eastAsia="Arial" w:hAnsi="Arial"/>
          <w:sz w:val="20"/>
          <w:szCs w:val="20"/>
          <w:color w:val="auto"/>
        </w:rPr>
      </w:pPr>
    </w:p>
    <w:p>
      <w:pPr>
        <w:jc w:val="both"/>
        <w:ind w:left="964" w:hanging="476"/>
        <w:spacing w:after="0" w:line="250" w:lineRule="auto"/>
        <w:tabs>
          <w:tab w:leader="none" w:pos="1030" w:val="left"/>
        </w:tabs>
        <w:numPr>
          <w:ilvl w:val="2"/>
          <w:numId w:val="69"/>
        </w:numPr>
        <w:rPr>
          <w:rFonts w:ascii="Arial" w:cs="Arial" w:eastAsia="Arial" w:hAnsi="Arial"/>
          <w:sz w:val="20"/>
          <w:szCs w:val="20"/>
          <w:color w:val="auto"/>
        </w:rPr>
      </w:pPr>
      <w:r>
        <w:rPr>
          <w:rFonts w:ascii="Arial" w:cs="Arial" w:eastAsia="Arial" w:hAnsi="Arial"/>
          <w:sz w:val="20"/>
          <w:szCs w:val="20"/>
          <w:color w:val="auto"/>
        </w:rPr>
        <w:t>use the Services, the Premises or the Office Space to conduct or pursue any illegal or offensive activities or comport themselves to the community in a similar manner; all Members shall act in a respectful manner towards other Member Companies and our and their employees and guests;</w:t>
      </w:r>
    </w:p>
    <w:p>
      <w:pPr>
        <w:spacing w:after="0" w:line="145" w:lineRule="exact"/>
        <w:rPr>
          <w:rFonts w:ascii="Arial" w:cs="Arial" w:eastAsia="Arial" w:hAnsi="Arial"/>
          <w:sz w:val="20"/>
          <w:szCs w:val="20"/>
          <w:color w:val="auto"/>
        </w:rPr>
      </w:pPr>
    </w:p>
    <w:p>
      <w:pPr>
        <w:ind w:left="964" w:right="20" w:hanging="531"/>
        <w:spacing w:after="0" w:line="260" w:lineRule="auto"/>
        <w:tabs>
          <w:tab w:leader="none" w:pos="1183" w:val="left"/>
        </w:tabs>
        <w:numPr>
          <w:ilvl w:val="2"/>
          <w:numId w:val="69"/>
        </w:numPr>
        <w:rPr>
          <w:rFonts w:ascii="Arial" w:cs="Arial" w:eastAsia="Arial" w:hAnsi="Arial"/>
          <w:sz w:val="20"/>
          <w:szCs w:val="20"/>
          <w:color w:val="auto"/>
        </w:rPr>
      </w:pPr>
      <w:r>
        <w:rPr>
          <w:rFonts w:ascii="Arial" w:cs="Arial" w:eastAsia="Arial" w:hAnsi="Arial"/>
          <w:sz w:val="20"/>
          <w:szCs w:val="20"/>
          <w:color w:val="auto"/>
        </w:rPr>
        <w:t>misrepresent himself or herself to the WeWork community, either in person or on the WeWork Member Network;</w:t>
      </w:r>
    </w:p>
    <w:p>
      <w:pPr>
        <w:spacing w:after="0" w:line="136" w:lineRule="exact"/>
        <w:rPr>
          <w:rFonts w:ascii="Arial" w:cs="Arial" w:eastAsia="Arial" w:hAnsi="Arial"/>
          <w:sz w:val="20"/>
          <w:szCs w:val="20"/>
          <w:color w:val="auto"/>
        </w:rPr>
      </w:pPr>
    </w:p>
    <w:p>
      <w:pPr>
        <w:jc w:val="both"/>
        <w:ind w:left="964" w:hanging="520"/>
        <w:spacing w:after="0" w:line="244" w:lineRule="auto"/>
        <w:tabs>
          <w:tab w:leader="none" w:pos="1081" w:val="left"/>
        </w:tabs>
        <w:numPr>
          <w:ilvl w:val="1"/>
          <w:numId w:val="69"/>
        </w:numPr>
        <w:rPr>
          <w:rFonts w:ascii="Arial" w:cs="Arial" w:eastAsia="Arial" w:hAnsi="Arial"/>
          <w:sz w:val="20"/>
          <w:szCs w:val="20"/>
          <w:color w:val="auto"/>
        </w:rPr>
      </w:pPr>
      <w:r>
        <w:rPr>
          <w:rFonts w:ascii="Arial" w:cs="Arial" w:eastAsia="Arial" w:hAnsi="Arial"/>
          <w:sz w:val="20"/>
          <w:szCs w:val="20"/>
          <w:color w:val="auto"/>
        </w:rPr>
        <w:t>take, copy or use any information or intellectual property belonging to other Member Companies or their Members or guests, including without limitation any confidential or proprietary information, personal names, likenesses, voices, business names, trademarks, service marks, logos, trade dress, other identifiers or other intellectual property, or modified or altered versions of the same, and this provision will survive termination of this Agreement;</w:t>
      </w:r>
    </w:p>
    <w:p>
      <w:pPr>
        <w:spacing w:after="0" w:line="167" w:lineRule="exact"/>
        <w:rPr>
          <w:rFonts w:ascii="Arial" w:cs="Arial" w:eastAsia="Arial" w:hAnsi="Arial"/>
          <w:sz w:val="20"/>
          <w:szCs w:val="20"/>
          <w:color w:val="auto"/>
        </w:rPr>
      </w:pPr>
    </w:p>
    <w:p>
      <w:pPr>
        <w:jc w:val="both"/>
        <w:ind w:left="964" w:hanging="464"/>
        <w:spacing w:after="0" w:line="270" w:lineRule="auto"/>
        <w:tabs>
          <w:tab w:leader="none" w:pos="1146" w:val="left"/>
        </w:tabs>
        <w:numPr>
          <w:ilvl w:val="1"/>
          <w:numId w:val="69"/>
        </w:numPr>
        <w:rPr>
          <w:rFonts w:ascii="Arial" w:cs="Arial" w:eastAsia="Arial" w:hAnsi="Arial"/>
          <w:sz w:val="18"/>
          <w:szCs w:val="18"/>
          <w:color w:val="auto"/>
        </w:rPr>
      </w:pPr>
      <w:r>
        <w:rPr>
          <w:rFonts w:ascii="Arial" w:cs="Arial" w:eastAsia="Arial" w:hAnsi="Arial"/>
          <w:sz w:val="18"/>
          <w:szCs w:val="18"/>
          <w:color w:val="auto"/>
        </w:rPr>
        <w:t>take, copy or use for any purpose (a) the name “We”, “WeWork” or any of our other business names, trademarks, service marks, logos, designs, copyrights, patents, trade secrets, trade dress, marketing material, other identifiers or other intellectual property (“Intellectual Property”); (b) any derivations, modifications or similar versions of the same; or (c) any photographs or illustrations of any portion of a Premises, for any purpose, including competitive purposes, without our prior consent, provided that during the term of this Agreement you will be able to use “WeWork” to accurately identify an address or office location. You acknowledge that WeWork owns all right, title and interest in and to its Intellectual Property. You may not file for ownership rights of any of our Intellectual Property with any governmental authority or use our Intellectual Property in any advertising, including domain names, social media handles, or any form of media invented in the future. You may not, directly or indirectly, interfere with or object to, in any manner, our ownership rights or the use of our Intellectual Property or engage in any conduct that is likely to cause confusion between WeWork and yourself, without our prior consent, and this provision will survive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353060</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4"/>
          </w:cols>
          <w:pgMar w:left="1096" w:top="1189" w:right="999" w:bottom="1440" w:gutter="0" w:footer="0" w:header="0"/>
        </w:sectPr>
      </w:pPr>
    </w:p>
    <w:bookmarkStart w:id="125" w:name="page126"/>
    <w:bookmarkEnd w:id="125"/>
    <w:p>
      <w:pPr>
        <w:ind w:left="630" w:hanging="520"/>
        <w:spacing w:after="0" w:line="260" w:lineRule="auto"/>
        <w:tabs>
          <w:tab w:leader="none" w:pos="728" w:val="left"/>
        </w:tabs>
        <w:numPr>
          <w:ilvl w:val="1"/>
          <w:numId w:val="70"/>
        </w:numPr>
        <w:rPr>
          <w:rFonts w:ascii="Arial" w:cs="Arial" w:eastAsia="Arial" w:hAnsi="Arial"/>
          <w:sz w:val="20"/>
          <w:szCs w:val="20"/>
          <w:color w:val="auto"/>
        </w:rPr>
      </w:pPr>
      <w:r>
        <w:rPr>
          <w:rFonts w:ascii="Arial" w:cs="Arial" w:eastAsia="Arial" w:hAnsi="Arial"/>
          <w:sz w:val="20"/>
          <w:szCs w:val="20"/>
          <w:color w:val="auto"/>
        </w:rPr>
        <w:t>film within any Premises, including within the Office Space, without completing all required paperwork and receiving express written consent from WeWork;</w:t>
      </w:r>
    </w:p>
    <w:p>
      <w:pPr>
        <w:spacing w:after="0" w:line="136" w:lineRule="exact"/>
        <w:rPr>
          <w:rFonts w:ascii="Arial" w:cs="Arial" w:eastAsia="Arial" w:hAnsi="Arial"/>
          <w:sz w:val="20"/>
          <w:szCs w:val="20"/>
          <w:color w:val="auto"/>
        </w:rPr>
      </w:pPr>
    </w:p>
    <w:p>
      <w:pPr>
        <w:ind w:left="630" w:hanging="575"/>
        <w:spacing w:after="0" w:line="260" w:lineRule="auto"/>
        <w:tabs>
          <w:tab w:leader="none" w:pos="646" w:val="left"/>
        </w:tabs>
        <w:numPr>
          <w:ilvl w:val="1"/>
          <w:numId w:val="70"/>
        </w:numPr>
        <w:rPr>
          <w:rFonts w:ascii="Arial" w:cs="Arial" w:eastAsia="Arial" w:hAnsi="Arial"/>
          <w:sz w:val="20"/>
          <w:szCs w:val="20"/>
          <w:color w:val="auto"/>
        </w:rPr>
      </w:pPr>
      <w:r>
        <w:rPr>
          <w:rFonts w:ascii="Arial" w:cs="Arial" w:eastAsia="Arial" w:hAnsi="Arial"/>
          <w:sz w:val="20"/>
          <w:szCs w:val="20"/>
          <w:color w:val="auto"/>
        </w:rPr>
        <w:t>use the Office Space in a retail, medical, or other capacity involving frequent visits by members of the public, as a residential or living space, or for any exclusively non-business purpose;</w:t>
      </w:r>
    </w:p>
    <w:p>
      <w:pPr>
        <w:spacing w:after="0" w:line="149" w:lineRule="exact"/>
        <w:rPr>
          <w:rFonts w:ascii="Arial" w:cs="Arial" w:eastAsia="Arial" w:hAnsi="Arial"/>
          <w:sz w:val="20"/>
          <w:szCs w:val="20"/>
          <w:color w:val="auto"/>
        </w:rPr>
      </w:pPr>
    </w:p>
    <w:p>
      <w:pPr>
        <w:jc w:val="both"/>
        <w:ind w:left="630" w:hanging="630"/>
        <w:spacing w:after="0" w:line="250" w:lineRule="auto"/>
        <w:tabs>
          <w:tab w:leader="none" w:pos="673" w:val="left"/>
        </w:tabs>
        <w:numPr>
          <w:ilvl w:val="1"/>
          <w:numId w:val="70"/>
        </w:numPr>
        <w:rPr>
          <w:rFonts w:ascii="Arial" w:cs="Arial" w:eastAsia="Arial" w:hAnsi="Arial"/>
          <w:sz w:val="20"/>
          <w:szCs w:val="20"/>
          <w:color w:val="auto"/>
        </w:rPr>
      </w:pPr>
      <w:r>
        <w:rPr>
          <w:rFonts w:ascii="Arial" w:cs="Arial" w:eastAsia="Arial" w:hAnsi="Arial"/>
          <w:sz w:val="20"/>
          <w:szCs w:val="20"/>
          <w:color w:val="auto"/>
        </w:rPr>
        <w:t xml:space="preserve">sell, manufacture </w:t>
      </w:r>
      <w:r>
        <w:rPr>
          <w:rFonts w:ascii="Arial" w:cs="Arial" w:eastAsia="Arial" w:hAnsi="Arial"/>
          <w:sz w:val="20"/>
          <w:szCs w:val="20"/>
          <w:color w:val="222222"/>
        </w:rPr>
        <w:t>or distribute any controlled substance, including alcoholic beverages, from the Office Space,</w:t>
      </w:r>
      <w:r>
        <w:rPr>
          <w:rFonts w:ascii="Arial" w:cs="Arial" w:eastAsia="Arial" w:hAnsi="Arial"/>
          <w:sz w:val="20"/>
          <w:szCs w:val="20"/>
          <w:color w:val="auto"/>
        </w:rPr>
        <w:t xml:space="preserve"> </w:t>
      </w:r>
      <w:r>
        <w:rPr>
          <w:rFonts w:ascii="Arial" w:cs="Arial" w:eastAsia="Arial" w:hAnsi="Arial"/>
          <w:sz w:val="20"/>
          <w:szCs w:val="20"/>
          <w:color w:val="222222"/>
        </w:rPr>
        <w:t>or obtain a license for such sale, manufacture, importation, or distribution using the Office Space or the address of the Main Premises;</w:t>
      </w:r>
    </w:p>
    <w:p>
      <w:pPr>
        <w:spacing w:after="0" w:line="145" w:lineRule="exact"/>
        <w:rPr>
          <w:rFonts w:ascii="Arial" w:cs="Arial" w:eastAsia="Arial" w:hAnsi="Arial"/>
          <w:sz w:val="20"/>
          <w:szCs w:val="20"/>
          <w:color w:val="auto"/>
        </w:rPr>
      </w:pPr>
    </w:p>
    <w:p>
      <w:pPr>
        <w:ind w:left="630" w:hanging="520"/>
        <w:spacing w:after="0" w:line="260" w:lineRule="auto"/>
        <w:tabs>
          <w:tab w:leader="none" w:pos="761" w:val="left"/>
        </w:tabs>
        <w:numPr>
          <w:ilvl w:val="1"/>
          <w:numId w:val="70"/>
        </w:numPr>
        <w:rPr>
          <w:rFonts w:ascii="Arial" w:cs="Arial" w:eastAsia="Arial" w:hAnsi="Arial"/>
          <w:sz w:val="20"/>
          <w:szCs w:val="20"/>
          <w:color w:val="auto"/>
        </w:rPr>
      </w:pPr>
      <w:r>
        <w:rPr>
          <w:rFonts w:ascii="Arial" w:cs="Arial" w:eastAsia="Arial" w:hAnsi="Arial"/>
          <w:sz w:val="20"/>
          <w:szCs w:val="20"/>
          <w:color w:val="auto"/>
        </w:rPr>
        <w:t>use our mail and deliveries services for fraudulent or unlawful purposes, and we shall not be liable for any such use;</w:t>
      </w:r>
    </w:p>
    <w:p>
      <w:pPr>
        <w:spacing w:after="0" w:line="136" w:lineRule="exact"/>
        <w:rPr>
          <w:rFonts w:ascii="Arial" w:cs="Arial" w:eastAsia="Arial" w:hAnsi="Arial"/>
          <w:sz w:val="20"/>
          <w:szCs w:val="20"/>
          <w:color w:val="auto"/>
        </w:rPr>
      </w:pPr>
    </w:p>
    <w:p>
      <w:pPr>
        <w:ind w:left="630" w:right="20" w:hanging="464"/>
        <w:spacing w:after="0" w:line="316" w:lineRule="auto"/>
        <w:tabs>
          <w:tab w:leader="none" w:pos="695" w:val="left"/>
        </w:tabs>
        <w:numPr>
          <w:ilvl w:val="1"/>
          <w:numId w:val="70"/>
        </w:numPr>
        <w:rPr>
          <w:rFonts w:ascii="Arial" w:cs="Arial" w:eastAsia="Arial" w:hAnsi="Arial"/>
          <w:sz w:val="18"/>
          <w:szCs w:val="18"/>
          <w:color w:val="auto"/>
        </w:rPr>
      </w:pPr>
      <w:r>
        <w:rPr>
          <w:rFonts w:ascii="Arial" w:cs="Arial" w:eastAsia="Arial" w:hAnsi="Arial"/>
          <w:sz w:val="18"/>
          <w:szCs w:val="18"/>
          <w:color w:val="auto"/>
        </w:rPr>
        <w:t>store significant amounts of currency or other valuable goods or commodities in the Office Space that are not commonly kept in commercial offices; in the event that you do so, we will not be liable for any such loss;</w:t>
      </w:r>
    </w:p>
    <w:p>
      <w:pPr>
        <w:spacing w:after="0" w:line="102" w:lineRule="exact"/>
        <w:rPr>
          <w:rFonts w:ascii="Arial" w:cs="Arial" w:eastAsia="Arial" w:hAnsi="Arial"/>
          <w:sz w:val="18"/>
          <w:szCs w:val="18"/>
          <w:color w:val="auto"/>
        </w:rPr>
      </w:pPr>
    </w:p>
    <w:p>
      <w:pPr>
        <w:ind w:left="630" w:hanging="520"/>
        <w:spacing w:after="0" w:line="287" w:lineRule="auto"/>
        <w:tabs>
          <w:tab w:leader="none" w:pos="739" w:val="left"/>
        </w:tabs>
        <w:numPr>
          <w:ilvl w:val="1"/>
          <w:numId w:val="70"/>
        </w:numPr>
        <w:rPr>
          <w:rFonts w:ascii="Arial" w:cs="Arial" w:eastAsia="Arial" w:hAnsi="Arial"/>
          <w:sz w:val="19"/>
          <w:szCs w:val="19"/>
          <w:color w:val="auto"/>
        </w:rPr>
      </w:pPr>
      <w:r>
        <w:rPr>
          <w:rFonts w:ascii="Arial" w:cs="Arial" w:eastAsia="Arial" w:hAnsi="Arial"/>
          <w:sz w:val="19"/>
          <w:szCs w:val="19"/>
          <w:color w:val="auto"/>
        </w:rPr>
        <w:t>make any copies of any keys, keycards or other means of entry to the Office Space or the Premises or lend, share or transfer any keys or keycards to any third party, unless authorized by us in advance;</w:t>
      </w:r>
    </w:p>
    <w:p>
      <w:pPr>
        <w:spacing w:after="0" w:line="111" w:lineRule="exact"/>
        <w:rPr>
          <w:rFonts w:ascii="Arial" w:cs="Arial" w:eastAsia="Arial" w:hAnsi="Arial"/>
          <w:sz w:val="19"/>
          <w:szCs w:val="19"/>
          <w:color w:val="auto"/>
        </w:rPr>
      </w:pPr>
    </w:p>
    <w:p>
      <w:pPr>
        <w:jc w:val="both"/>
        <w:ind w:left="630" w:hanging="575"/>
        <w:spacing w:after="0" w:line="250" w:lineRule="auto"/>
        <w:tabs>
          <w:tab w:leader="none" w:pos="655" w:val="left"/>
        </w:tabs>
        <w:numPr>
          <w:ilvl w:val="1"/>
          <w:numId w:val="70"/>
        </w:numPr>
        <w:rPr>
          <w:rFonts w:ascii="Arial" w:cs="Arial" w:eastAsia="Arial" w:hAnsi="Arial"/>
          <w:sz w:val="20"/>
          <w:szCs w:val="20"/>
          <w:color w:val="auto"/>
        </w:rPr>
      </w:pPr>
      <w:r>
        <w:rPr>
          <w:rFonts w:ascii="Arial" w:cs="Arial" w:eastAsia="Arial" w:hAnsi="Arial"/>
          <w:sz w:val="20"/>
          <w:szCs w:val="20"/>
          <w:color w:val="auto"/>
        </w:rPr>
        <w:t>install any locks or other security devices to access the Office Space or anywhere within the Premises or install surveillance devices within the Office Space or anywhere within the Premises, unless authorized by us in advance;</w:t>
      </w:r>
    </w:p>
    <w:p>
      <w:pPr>
        <w:spacing w:after="0" w:line="145" w:lineRule="exact"/>
        <w:rPr>
          <w:rFonts w:ascii="Arial" w:cs="Arial" w:eastAsia="Arial" w:hAnsi="Arial"/>
          <w:sz w:val="20"/>
          <w:szCs w:val="20"/>
          <w:color w:val="auto"/>
        </w:rPr>
      </w:pPr>
    </w:p>
    <w:p>
      <w:pPr>
        <w:ind w:left="630" w:hanging="630"/>
        <w:spacing w:after="0" w:line="260" w:lineRule="auto"/>
        <w:tabs>
          <w:tab w:leader="none" w:pos="859" w:val="left"/>
        </w:tabs>
        <w:numPr>
          <w:ilvl w:val="1"/>
          <w:numId w:val="70"/>
        </w:numPr>
        <w:rPr>
          <w:rFonts w:ascii="Arial" w:cs="Arial" w:eastAsia="Arial" w:hAnsi="Arial"/>
          <w:sz w:val="20"/>
          <w:szCs w:val="20"/>
          <w:color w:val="auto"/>
        </w:rPr>
      </w:pPr>
      <w:r>
        <w:rPr>
          <w:rFonts w:ascii="Arial" w:cs="Arial" w:eastAsia="Arial" w:hAnsi="Arial"/>
          <w:sz w:val="20"/>
          <w:szCs w:val="20"/>
          <w:color w:val="auto"/>
        </w:rPr>
        <w:t>allow any guest(s) to enter the building without registering such guest(s) and performing any additional required steps according to our policies;</w:t>
      </w:r>
    </w:p>
    <w:p>
      <w:pPr>
        <w:spacing w:after="0" w:line="149" w:lineRule="exact"/>
        <w:rPr>
          <w:rFonts w:ascii="Arial" w:cs="Arial" w:eastAsia="Arial" w:hAnsi="Arial"/>
          <w:sz w:val="20"/>
          <w:szCs w:val="20"/>
          <w:color w:val="auto"/>
        </w:rPr>
      </w:pPr>
    </w:p>
    <w:p>
      <w:pPr>
        <w:jc w:val="both"/>
        <w:ind w:left="630" w:right="20" w:hanging="619"/>
        <w:spacing w:after="0" w:line="269" w:lineRule="auto"/>
        <w:tabs>
          <w:tab w:leader="none" w:pos="733" w:val="left"/>
        </w:tabs>
        <w:numPr>
          <w:ilvl w:val="0"/>
          <w:numId w:val="71"/>
        </w:numPr>
        <w:rPr>
          <w:rFonts w:ascii="Arial" w:cs="Arial" w:eastAsia="Arial" w:hAnsi="Arial"/>
          <w:sz w:val="19"/>
          <w:szCs w:val="19"/>
          <w:color w:val="auto"/>
        </w:rPr>
      </w:pPr>
      <w:r>
        <w:rPr>
          <w:rFonts w:ascii="Arial" w:cs="Arial" w:eastAsia="Arial" w:hAnsi="Arial"/>
          <w:sz w:val="19"/>
          <w:szCs w:val="19"/>
          <w:color w:val="auto"/>
        </w:rPr>
        <w:t>operate any equipment within the Premises that has a higher heat output or electrical consumption than in a typical office environment, or places excessive strain on our electrical, IT, HVAC or structural systems, with such determination to be made in our sole discretion, without our prior approval; or</w:t>
      </w:r>
    </w:p>
    <w:p>
      <w:pPr>
        <w:spacing w:after="0" w:line="129" w:lineRule="exact"/>
        <w:rPr>
          <w:rFonts w:ascii="Arial" w:cs="Arial" w:eastAsia="Arial" w:hAnsi="Arial"/>
          <w:sz w:val="19"/>
          <w:szCs w:val="19"/>
          <w:color w:val="auto"/>
        </w:rPr>
      </w:pPr>
    </w:p>
    <w:p>
      <w:pPr>
        <w:ind w:left="630" w:right="20" w:hanging="563"/>
        <w:spacing w:after="0" w:line="260" w:lineRule="auto"/>
        <w:tabs>
          <w:tab w:leader="none" w:pos="837" w:val="left"/>
        </w:tabs>
        <w:numPr>
          <w:ilvl w:val="0"/>
          <w:numId w:val="71"/>
        </w:numPr>
        <w:rPr>
          <w:rFonts w:ascii="Arial" w:cs="Arial" w:eastAsia="Arial" w:hAnsi="Arial"/>
          <w:sz w:val="20"/>
          <w:szCs w:val="20"/>
          <w:color w:val="auto"/>
        </w:rPr>
      </w:pPr>
      <w:r>
        <w:rPr>
          <w:rFonts w:ascii="Arial" w:cs="Arial" w:eastAsia="Arial" w:hAnsi="Arial"/>
          <w:sz w:val="20"/>
          <w:szCs w:val="20"/>
          <w:color w:val="auto"/>
        </w:rPr>
        <w:t>bring any weapons of any kind, or any other offensive, dangerous, hazardous, inflammable or explosive materials into the Office Space or the Premises.</w:t>
      </w:r>
    </w:p>
    <w:p>
      <w:pPr>
        <w:spacing w:after="0" w:line="136" w:lineRule="exact"/>
        <w:rPr>
          <w:sz w:val="20"/>
          <w:szCs w:val="20"/>
          <w:color w:val="auto"/>
        </w:rPr>
      </w:pPr>
    </w:p>
    <w:p>
      <w:pPr>
        <w:jc w:val="both"/>
        <w:ind w:left="310"/>
        <w:spacing w:after="0" w:line="246" w:lineRule="auto"/>
        <w:rPr>
          <w:sz w:val="20"/>
          <w:szCs w:val="20"/>
          <w:color w:val="auto"/>
        </w:rPr>
      </w:pPr>
      <w:r>
        <w:rPr>
          <w:rFonts w:ascii="Arial" w:cs="Arial" w:eastAsia="Arial" w:hAnsi="Arial"/>
          <w:sz w:val="20"/>
          <w:szCs w:val="20"/>
          <w:color w:val="auto"/>
        </w:rPr>
        <w:t>You are responsible for ensuring your Members comply with all House Rules and with all rules, policies and/or procedures that are specific to a Premises used by you, and agree that in the event of any penalty or fine resulting from the breach of any such rules, policies and/or procedures, you will be responsible for paying such penalty or fine.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3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353060</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0"/>
          </w:cols>
          <w:pgMar w:left="1430" w:top="1189" w:right="99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20"/>
          <w:szCs w:val="20"/>
          <w:b w:val="1"/>
          <w:bCs w:val="1"/>
          <w:u w:val="single" w:color="auto"/>
          <w:color w:val="auto"/>
        </w:rPr>
        <w:t>EXHIBIT B</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BUY UP (CUSTOM WORK)</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1183" w:right="1440"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20"/>
          <w:szCs w:val="20"/>
          <w:b w:val="1"/>
          <w:bCs w:val="1"/>
          <w:u w:val="single" w:color="auto"/>
          <w:color w:val="auto"/>
        </w:rPr>
        <w:t>EXHIBIT 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ADDITIONAL SERVICES</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N/A</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83"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AXSOME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2015 OMNIBUS INCENTIVE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COMPENSATION PLAN</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Effective as of the Effective Date (as defined below), the Axsome Therapeutics, Inc. 2015 Omnibus Incentive Compensation Plan (the “</w:t>
      </w:r>
      <w:r>
        <w:rPr>
          <w:rFonts w:ascii="Arial" w:cs="Arial" w:eastAsia="Arial" w:hAnsi="Arial"/>
          <w:sz w:val="16"/>
          <w:szCs w:val="16"/>
          <w:u w:val="single" w:color="auto"/>
          <w:color w:val="auto"/>
        </w:rPr>
        <w:t>Plan</w:t>
      </w:r>
      <w:r>
        <w:rPr>
          <w:rFonts w:ascii="Arial" w:cs="Arial" w:eastAsia="Arial" w:hAnsi="Arial"/>
          <w:sz w:val="16"/>
          <w:szCs w:val="16"/>
          <w:color w:val="auto"/>
        </w:rPr>
        <w:t>”) is hereby established as a successor to the 2013 Equity Compensation Plan (the “</w:t>
      </w:r>
      <w:r>
        <w:rPr>
          <w:rFonts w:ascii="Arial" w:cs="Arial" w:eastAsia="Arial" w:hAnsi="Arial"/>
          <w:sz w:val="16"/>
          <w:szCs w:val="16"/>
          <w:u w:val="single" w:color="auto"/>
          <w:color w:val="auto"/>
        </w:rPr>
        <w:t>2013 Plan</w:t>
      </w:r>
      <w:r>
        <w:rPr>
          <w:rFonts w:ascii="Arial" w:cs="Arial" w:eastAsia="Arial" w:hAnsi="Arial"/>
          <w:sz w:val="16"/>
          <w:szCs w:val="16"/>
          <w:color w:val="auto"/>
        </w:rPr>
        <w:t>”). The 2013 Plan is hereby merged with and into this Plan effective as of the Effective Date, and no additional grants shall be made thereafter under the 2013 Plan. Outstanding grants under the 2013 Plan shall continue in effect according to their terms as in effect before the Effective Date, consistent with the 2013 Plan, and the shares with respect to outstanding grants under the 2013 Plan shall be issued or transferred under this Plan.</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purpose of the Plan is (i) to provide employees of Axsome Therapeutics,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its subsidiaries, certain consultants and advisors who perform services for the Company or its subsidiaries, and non-employee members of the Board of Directors of the Company with the opportunity to receive grants of incentive stock options, nonqualified stock options, stock appreciation rights, stock awards, stock units, and other stock-based awards, and (ii) to provide selected executive employees with the opportunity to receive cash awards that are considered “qualified performance-based compensation” under section 162(m) of the Code (as defined below).</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believes that the Plan will encourage the participants to contribute materially to the growth of the Company, thereby benefitting the Company’s stockholders, and will align the economic interests of the participants with those of the stockholders.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1. 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shall have the meanings set forth below for purposes of the Plan:</w:t>
      </w:r>
    </w:p>
    <w:p>
      <w:pPr>
        <w:spacing w:after="0" w:line="225" w:lineRule="exact"/>
        <w:rPr>
          <w:sz w:val="20"/>
          <w:szCs w:val="20"/>
          <w:color w:val="auto"/>
        </w:rPr>
      </w:pPr>
    </w:p>
    <w:p>
      <w:pPr>
        <w:ind w:left="1540" w:hanging="236"/>
        <w:spacing w:after="0"/>
        <w:tabs>
          <w:tab w:leader="none" w:pos="1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Award</w:t>
      </w:r>
      <w:r>
        <w:rPr>
          <w:rFonts w:ascii="Arial" w:cs="Arial" w:eastAsia="Arial" w:hAnsi="Arial"/>
          <w:sz w:val="17"/>
          <w:szCs w:val="17"/>
          <w:color w:val="auto"/>
        </w:rPr>
        <w:t>” shall mean a cash incentive payment awarded under the Plan as described under Section 11.</w:t>
      </w:r>
    </w:p>
    <w:p>
      <w:pPr>
        <w:spacing w:after="0" w:line="236" w:lineRule="exact"/>
        <w:rPr>
          <w:rFonts w:ascii="Arial" w:cs="Arial" w:eastAsia="Arial" w:hAnsi="Arial"/>
          <w:sz w:val="17"/>
          <w:szCs w:val="17"/>
          <w:color w:val="auto"/>
        </w:rPr>
      </w:pPr>
    </w:p>
    <w:p>
      <w:pPr>
        <w:jc w:val="both"/>
        <w:ind w:firstLine="1304"/>
        <w:spacing w:after="0" w:line="271" w:lineRule="auto"/>
        <w:tabs>
          <w:tab w:leader="none" w:pos="1541"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shall have the meaning given to that term in any written employment agreement, offer letter or severance agreement between the Employer and the Participant, or if no such agreement exists or if such term is not defined therein, and unless otherwise defined in the Grant Instrument, Cause shall mean a finding by the Committee that the Participant (i) has breached his or her employment or service contract with the Employer, (ii) has engaged in disloyalty to the Employer, including, without limitation, fraud, embezzlement, theft, commission of a felony or proven dishonesty, (iii) has disclosed trade secrets or confidential information of the Employer to persons not entitled to receive such information, (iv) has breached any written non-competition, non-solicitation, invention assignment or confidentiality agreement between the Participant and the Employer or (v) has engaged in such other behavior detrimental to the interests of the Employer as the Committee determines.</w:t>
      </w:r>
    </w:p>
    <w:p>
      <w:pPr>
        <w:spacing w:after="0" w:line="178" w:lineRule="exact"/>
        <w:rPr>
          <w:rFonts w:ascii="Arial" w:cs="Arial" w:eastAsia="Arial" w:hAnsi="Arial"/>
          <w:sz w:val="17"/>
          <w:szCs w:val="17"/>
          <w:color w:val="auto"/>
        </w:rPr>
      </w:pPr>
    </w:p>
    <w:p>
      <w:pPr>
        <w:ind w:left="1560" w:hanging="256"/>
        <w:spacing w:after="0"/>
        <w:tabs>
          <w:tab w:leader="none" w:pos="15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Unless otherwise set forth in a Grant Instrument, a “</w:t>
      </w:r>
      <w:r>
        <w:rPr>
          <w:rFonts w:ascii="Arial" w:cs="Arial" w:eastAsia="Arial" w:hAnsi="Arial"/>
          <w:sz w:val="17"/>
          <w:szCs w:val="17"/>
          <w:u w:val="single" w:color="auto"/>
          <w:color w:val="auto"/>
        </w:rPr>
        <w:t>Change of Control</w:t>
      </w:r>
      <w:r>
        <w:rPr>
          <w:rFonts w:ascii="Arial" w:cs="Arial" w:eastAsia="Arial" w:hAnsi="Arial"/>
          <w:sz w:val="17"/>
          <w:szCs w:val="17"/>
          <w:color w:val="auto"/>
        </w:rPr>
        <w:t>” shall be deemed to have occurred if:</w:t>
      </w:r>
    </w:p>
    <w:p>
      <w:pPr>
        <w:spacing w:after="0" w:line="236" w:lineRule="exact"/>
        <w:rPr>
          <w:rFonts w:ascii="Arial" w:cs="Arial" w:eastAsia="Arial" w:hAnsi="Arial"/>
          <w:sz w:val="17"/>
          <w:szCs w:val="17"/>
          <w:color w:val="auto"/>
        </w:rPr>
      </w:pPr>
    </w:p>
    <w:p>
      <w:pPr>
        <w:jc w:val="both"/>
        <w:ind w:firstLine="1952"/>
        <w:spacing w:after="0" w:line="254" w:lineRule="auto"/>
        <w:tabs>
          <w:tab w:leader="none" w:pos="21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a “beneficial owner” (as defined in Rule 13d-3 under the Exchange Act), directly or indirectly, of securities of the Company representing more than 50% of the voting power of the then outstanding securities of the Company; provided that a Change of Control shall not be deemed to occur as a result of a transaction in which the Company becomes a subsidiary of another corporation and in which the stockholders of the Company, immediately prior to the transaction, will beneficially own, immediately after the transaction, shares entitling such stockholders to more than 50% of all votes to which all stockholders of the parent corporation would be entitled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9" w:name="page130"/>
    <w:bookmarkEnd w:id="129"/>
    <w:p>
      <w:pPr>
        <w:jc w:val="both"/>
        <w:ind w:firstLine="1952"/>
        <w:spacing w:after="0" w:line="254" w:lineRule="auto"/>
        <w:tabs>
          <w:tab w:leader="none" w:pos="223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consummation of (A) a merger or consolidation of the Company with another corporation where, immediately after the merger or consolidation, the stockholders of the Company immediately prior to the merger or consolidation will not beneficially own, in substantially the same proportion as ownership immediately prior to the merger or consolidation, shares entitling such stockholders to more than 50% of all votes to which all stockholders of the surviving corporation would be entitled in the election of directors, or where the members of the Board, immediately prior to the merger or consolidation, will not, immediately after the merger or consolidation, constitute a majority of the board of directors of the surviving corporation, or (B) a sale or other disposition of all or substantially all of the assets of the Company.</w:t>
      </w:r>
    </w:p>
    <w:p>
      <w:pPr>
        <w:spacing w:after="0" w:line="194" w:lineRule="exact"/>
        <w:rPr>
          <w:rFonts w:ascii="Arial" w:cs="Arial" w:eastAsia="Arial" w:hAnsi="Arial"/>
          <w:sz w:val="18"/>
          <w:szCs w:val="18"/>
          <w:color w:val="auto"/>
        </w:rPr>
      </w:pPr>
    </w:p>
    <w:p>
      <w:pPr>
        <w:jc w:val="both"/>
        <w:ind w:firstLine="1952"/>
        <w:spacing w:after="0" w:line="257" w:lineRule="auto"/>
        <w:tabs>
          <w:tab w:leader="none" w:pos="22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change in the composition of the Board over a period of 12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87" w:lineRule="exact"/>
        <w:rPr>
          <w:rFonts w:ascii="Arial" w:cs="Arial" w:eastAsia="Arial" w:hAnsi="Arial"/>
          <w:sz w:val="18"/>
          <w:szCs w:val="18"/>
          <w:color w:val="auto"/>
        </w:rPr>
      </w:pPr>
    </w:p>
    <w:p>
      <w:pPr>
        <w:ind w:left="2260" w:hanging="308"/>
        <w:spacing w:after="0"/>
        <w:tabs>
          <w:tab w:leader="none" w:pos="2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approval by the stockholders of the Company of a plan of complete liquidation or dissolution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Committee may modify the definition of Change of Control for a particular Grant as the Committee deems appropriate to comply with section 409A of the Code or otherwise. Notwithstanding the foregoing, if a Grant constitutes deferred compensation subject to section 409A of the Code and the Grant provides for payment upon a Change of Control, then no Change of Control shall be deemed to have occurred upon an event described in items (i) — (iv) above unless the event would also constitute a change in ownership or effective control of, or a change in the ownership of a substantial portion of the assets of, the Company under section 409A of the Code.</w:t>
      </w:r>
    </w:p>
    <w:p>
      <w:pPr>
        <w:spacing w:after="0" w:line="161" w:lineRule="exact"/>
        <w:rPr>
          <w:sz w:val="20"/>
          <w:szCs w:val="20"/>
          <w:color w:val="auto"/>
        </w:rPr>
      </w:pPr>
    </w:p>
    <w:p>
      <w:pPr>
        <w:ind w:left="1540" w:hanging="236"/>
        <w:spacing w:after="0"/>
        <w:tabs>
          <w:tab w:leader="none" w:pos="1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CEO</w:t>
      </w:r>
      <w:r>
        <w:rPr>
          <w:rFonts w:ascii="Arial" w:cs="Arial" w:eastAsia="Arial" w:hAnsi="Arial"/>
          <w:sz w:val="18"/>
          <w:szCs w:val="18"/>
          <w:color w:val="auto"/>
        </w:rPr>
        <w:t>” shall mean the Chief Executive Officer of the Company.</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rFonts w:ascii="Arial" w:cs="Arial" w:eastAsia="Arial" w:hAnsi="Arial"/>
          <w:sz w:val="18"/>
          <w:szCs w:val="18"/>
          <w:color w:val="auto"/>
        </w:rPr>
      </w:pPr>
    </w:p>
    <w:p>
      <w:pPr>
        <w:jc w:val="both"/>
        <w:ind w:firstLine="1304"/>
        <w:spacing w:after="0" w:line="293" w:lineRule="auto"/>
        <w:tabs>
          <w:tab w:leader="none" w:pos="1551" w:val="left"/>
        </w:tabs>
        <w:numPr>
          <w:ilvl w:val="0"/>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shall mean the Compensation Committee of the Board or another committee appointed by the Board to administer the Plan. With respect to Grants that are intended to be “qualified performance-based compensation” under section 162(m) of the Code, the Committee shall consist of two or more persons appointed by the Board, all of whom shall be “outside directors” as defined under section 162(m) of the Code. The Committee shall consist of directors who are “non-employee directors” as defined under Rule 16b-3 promulgated under the Exchange Act and “independent directors,” as determined in accordance with the independence standards established by the stock exchange on which the Company Stock is at the time primarily traded.</w:t>
      </w:r>
    </w:p>
    <w:p>
      <w:pPr>
        <w:spacing w:after="0" w:line="164" w:lineRule="exact"/>
        <w:rPr>
          <w:rFonts w:ascii="Arial" w:cs="Arial" w:eastAsia="Arial" w:hAnsi="Arial"/>
          <w:sz w:val="16"/>
          <w:szCs w:val="16"/>
          <w:color w:val="auto"/>
        </w:rPr>
      </w:pPr>
    </w:p>
    <w:p>
      <w:pPr>
        <w:ind w:left="1560" w:hanging="256"/>
        <w:spacing w:after="0"/>
        <w:tabs>
          <w:tab w:leader="none" w:pos="15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Axsome Therapeutics, Inc. and shall include its successors.</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w:t>
      </w:r>
      <w:r>
        <w:rPr>
          <w:rFonts w:ascii="Arial" w:cs="Arial" w:eastAsia="Arial" w:hAnsi="Arial"/>
          <w:sz w:val="18"/>
          <w:szCs w:val="18"/>
          <w:color w:val="auto"/>
        </w:rPr>
        <w:t>” shall mean common stock of the Company.</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shall mean a Participant’s becoming disabled within the meaning of section 22(e)(3) of the Code, within the meaning of the Employer’s long-term disability plan applicable to the Participant or as otherwise determined by the Committee and set forth in the Grant Instrument.</w:t>
      </w:r>
    </w:p>
    <w:p>
      <w:pPr>
        <w:spacing w:after="0" w:line="183" w:lineRule="exact"/>
        <w:rPr>
          <w:rFonts w:ascii="Arial" w:cs="Arial" w:eastAsia="Arial" w:hAnsi="Arial"/>
          <w:sz w:val="18"/>
          <w:szCs w:val="18"/>
          <w:color w:val="auto"/>
        </w:rPr>
      </w:pPr>
    </w:p>
    <w:p>
      <w:pPr>
        <w:jc w:val="both"/>
        <w:ind w:firstLine="1304"/>
        <w:spacing w:after="0" w:line="301" w:lineRule="auto"/>
        <w:tabs>
          <w:tab w:leader="none" w:pos="1551" w:val="left"/>
        </w:tabs>
        <w:numPr>
          <w:ilvl w:val="0"/>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Dividend Equivalent</w:t>
      </w:r>
      <w:r>
        <w:rPr>
          <w:rFonts w:ascii="Arial" w:cs="Arial" w:eastAsia="Arial" w:hAnsi="Arial"/>
          <w:sz w:val="16"/>
          <w:szCs w:val="16"/>
          <w:color w:val="auto"/>
        </w:rPr>
        <w:t>” shall mean an amount determined by multiplying the number of shares of Company Stock subject to a Stock Unit or Other Stock-Based Award by the per-share cash dividend paid by the Company on its outstanding Company Stock, or the per-share Fair Market Value of any dividend paid on its outstanding Company Stock in consideration other than cash. If interest is credited on accumulated divided equivalents, the term “Dividend Equivalent” shall include the accrued interest.</w:t>
      </w:r>
    </w:p>
    <w:p>
      <w:pPr>
        <w:spacing w:after="0" w:line="157" w:lineRule="exact"/>
        <w:rPr>
          <w:rFonts w:ascii="Arial" w:cs="Arial" w:eastAsia="Arial" w:hAnsi="Arial"/>
          <w:sz w:val="16"/>
          <w:szCs w:val="16"/>
          <w:color w:val="auto"/>
        </w:rPr>
      </w:pPr>
    </w:p>
    <w:p>
      <w:pPr>
        <w:ind w:firstLine="1304"/>
        <w:spacing w:after="0" w:line="277" w:lineRule="auto"/>
        <w:tabs>
          <w:tab w:leader="none" w:pos="15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business day immediately preceding the date at which the registration statement for the initial public offering of the Company Stock is declared effective by the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597535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30" w:name="page131"/>
    <w:bookmarkEnd w:id="130"/>
    <w:p>
      <w:pPr>
        <w:spacing w:after="0" w:line="277" w:lineRule="auto"/>
        <w:rPr>
          <w:sz w:val="20"/>
          <w:szCs w:val="20"/>
          <w:color w:val="auto"/>
        </w:rPr>
      </w:pPr>
      <w:r>
        <w:rPr>
          <w:rFonts w:ascii="Arial" w:cs="Arial" w:eastAsia="Arial" w:hAnsi="Arial"/>
          <w:sz w:val="18"/>
          <w:szCs w:val="18"/>
          <w:color w:val="auto"/>
        </w:rPr>
        <w:t>Exchange Commission and the Company Stock is priced for the initial public offering of such Company Stock, subject to approval of the Plan by the stockholders of the Company.</w:t>
      </w:r>
    </w:p>
    <w:p>
      <w:pPr>
        <w:spacing w:after="0" w:line="170" w:lineRule="exact"/>
        <w:rPr>
          <w:sz w:val="20"/>
          <w:szCs w:val="20"/>
          <w:color w:val="auto"/>
        </w:rPr>
      </w:pPr>
    </w:p>
    <w:p>
      <w:pPr>
        <w:jc w:val="both"/>
        <w:ind w:firstLine="1304"/>
        <w:spacing w:after="0" w:line="257" w:lineRule="auto"/>
        <w:tabs>
          <w:tab w:leader="none" w:pos="1601"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 employee of the Employer (including an officer or director who is also an employee), but excluding any person who is classified by the Employer as a “contractor” or “consultant,” no matter how characterized by the Internal Revenue Service, other governmental agency or a court. Any change of characterization of an individual by the Internal Revenue Service or any court or government agency shall have no effect upon the classification of an individual as an Employee for purposes of this Plan, unless the Committee determines otherwise.</w:t>
      </w:r>
    </w:p>
    <w:p>
      <w:pPr>
        <w:spacing w:after="0" w:line="187" w:lineRule="exact"/>
        <w:rPr>
          <w:rFonts w:ascii="Arial" w:cs="Arial" w:eastAsia="Arial" w:hAnsi="Arial"/>
          <w:sz w:val="18"/>
          <w:szCs w:val="18"/>
          <w:color w:val="auto"/>
        </w:rPr>
      </w:pPr>
    </w:p>
    <w:p>
      <w:pPr>
        <w:jc w:val="both"/>
        <w:ind w:firstLine="1304"/>
        <w:spacing w:after="0" w:line="257" w:lineRule="auto"/>
        <w:tabs>
          <w:tab w:leader="none" w:pos="15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Employed by, or providing service to, the Employer</w:t>
      </w:r>
      <w:r>
        <w:rPr>
          <w:rFonts w:ascii="Arial" w:cs="Arial" w:eastAsia="Arial" w:hAnsi="Arial"/>
          <w:sz w:val="18"/>
          <w:szCs w:val="18"/>
          <w:color w:val="auto"/>
        </w:rPr>
        <w:t>” shall mean employment or service as an Employee, Key Advisor or member of the Board (so that, for purposes of exercising Options and SARs and satisfying conditions with respect to Stock Awards, Stock Units, Other Stock-Based Awards and Cash Awards, a Participant shall not be considered to have terminated employment or service until the Participant ceases to be an Employee, Key Advisor and member of the Board), unless the Committee determines otherwise.</w:t>
      </w:r>
    </w:p>
    <w:p>
      <w:pPr>
        <w:spacing w:after="0" w:line="187" w:lineRule="exact"/>
        <w:rPr>
          <w:rFonts w:ascii="Arial" w:cs="Arial" w:eastAsia="Arial" w:hAnsi="Arial"/>
          <w:sz w:val="18"/>
          <w:szCs w:val="18"/>
          <w:color w:val="auto"/>
        </w:rPr>
      </w:pPr>
    </w:p>
    <w:p>
      <w:pPr>
        <w:ind w:left="1560" w:hanging="256"/>
        <w:spacing w:after="0"/>
        <w:tabs>
          <w:tab w:leader="none" w:pos="15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Employer</w:t>
      </w:r>
      <w:r>
        <w:rPr>
          <w:rFonts w:ascii="Arial" w:cs="Arial" w:eastAsia="Arial" w:hAnsi="Arial"/>
          <w:sz w:val="18"/>
          <w:szCs w:val="18"/>
          <w:color w:val="auto"/>
        </w:rPr>
        <w:t>” shall mean the Company and its subsidiaries.</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ind w:right="20" w:firstLine="1304"/>
        <w:spacing w:after="0" w:line="277" w:lineRule="auto"/>
        <w:tabs>
          <w:tab w:leader="none" w:pos="15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shall mean the per share price at which shares of Company Stock may be purchased under an Option, as designated by the Committee.</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ind w:left="2180" w:hanging="228"/>
        <w:spacing w:after="0"/>
        <w:tabs>
          <w:tab w:leader="none" w:pos="2180" w:val="left"/>
        </w:tabs>
        <w:numPr>
          <w:ilvl w:val="2"/>
          <w:numId w:val="75"/>
        </w:numPr>
        <w:rPr>
          <w:rFonts w:ascii="Arial" w:cs="Arial" w:eastAsia="Arial" w:hAnsi="Arial"/>
          <w:sz w:val="16"/>
          <w:szCs w:val="16"/>
          <w:color w:val="auto"/>
        </w:rPr>
      </w:pPr>
      <w:r>
        <w:rPr>
          <w:rFonts w:ascii="Arial" w:cs="Arial" w:eastAsia="Arial" w:hAnsi="Arial"/>
          <w:sz w:val="16"/>
          <w:szCs w:val="16"/>
          <w:color w:val="auto"/>
        </w:rPr>
        <w:t>If the Company Stock is publicly traded, the Fair Market Value per share shall be determined as follows:</w:t>
      </w:r>
    </w:p>
    <w:p>
      <w:pPr>
        <w:spacing w:after="0" w:line="46" w:lineRule="exact"/>
        <w:rPr>
          <w:rFonts w:ascii="Arial" w:cs="Arial" w:eastAsia="Arial" w:hAnsi="Arial"/>
          <w:sz w:val="16"/>
          <w:szCs w:val="16"/>
          <w:color w:val="auto"/>
        </w:rPr>
      </w:pPr>
    </w:p>
    <w:p>
      <w:pPr>
        <w:jc w:val="both"/>
        <w:ind w:firstLine="8"/>
        <w:spacing w:after="0" w:line="253" w:lineRule="auto"/>
        <w:tabs>
          <w:tab w:leader="none" w:pos="298"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 principal trading market for the Company Stock is a national securities exchange, the closing sales price during regular trading hours on the relevant date or, if there were no trades on that date, the latest preceding date upon which a sale was reported, or (B) if the Company Stock is not principally traded on any such exchange, the last reported sale price of a share of Company Stock during regular trading hours on the relevant date, as reported by the OTC Bulletin Board.</w:t>
      </w:r>
    </w:p>
    <w:p>
      <w:pPr>
        <w:spacing w:after="0" w:line="192" w:lineRule="exact"/>
        <w:rPr>
          <w:rFonts w:ascii="Arial" w:cs="Arial" w:eastAsia="Arial" w:hAnsi="Arial"/>
          <w:sz w:val="18"/>
          <w:szCs w:val="18"/>
          <w:color w:val="auto"/>
        </w:rPr>
      </w:pPr>
    </w:p>
    <w:p>
      <w:pPr>
        <w:jc w:val="both"/>
        <w:ind w:firstLine="1952"/>
        <w:spacing w:after="0" w:line="263" w:lineRule="auto"/>
        <w:tabs>
          <w:tab w:leader="none" w:pos="2212" w:val="left"/>
        </w:tabs>
        <w:numPr>
          <w:ilvl w:val="2"/>
          <w:numId w:val="76"/>
        </w:numPr>
        <w:rPr>
          <w:rFonts w:ascii="Arial" w:cs="Arial" w:eastAsia="Arial" w:hAnsi="Arial"/>
          <w:sz w:val="18"/>
          <w:szCs w:val="18"/>
          <w:color w:val="auto"/>
        </w:rPr>
      </w:pPr>
      <w:r>
        <w:rPr>
          <w:rFonts w:ascii="Arial" w:cs="Arial" w:eastAsia="Arial" w:hAnsi="Arial"/>
          <w:sz w:val="18"/>
          <w:szCs w:val="18"/>
          <w:color w:val="auto"/>
        </w:rPr>
        <w:t>If the Company Stock is not publicly traded or, if publicly traded, is not subject to reported transactions as set forth above, the Fair Market Value per share shall be determined by the Committee through any reasonable valuation method authorized under the Code.</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264" w:val="left"/>
        </w:tabs>
        <w:numPr>
          <w:ilvl w:val="2"/>
          <w:numId w:val="76"/>
        </w:numPr>
        <w:rPr>
          <w:rFonts w:ascii="Arial" w:cs="Arial" w:eastAsia="Arial" w:hAnsi="Arial"/>
          <w:sz w:val="18"/>
          <w:szCs w:val="18"/>
          <w:color w:val="auto"/>
        </w:rPr>
      </w:pPr>
      <w:r>
        <w:rPr>
          <w:rFonts w:ascii="Arial" w:cs="Arial" w:eastAsia="Arial" w:hAnsi="Arial"/>
          <w:sz w:val="18"/>
          <w:szCs w:val="18"/>
          <w:color w:val="auto"/>
        </w:rPr>
        <w:t>If a Grant is made effective on the date that the registration statement for the initial public offering of the Company Stock is declared effective by the Securities and Exchange Commission and the Company Stock is priced for the initial public offering of such Company Stock, then the Fair Market Value per share shall be equal to the per share price of Company Stock offered to the public in such initial public offering.</w:t>
      </w:r>
    </w:p>
    <w:p>
      <w:pPr>
        <w:spacing w:after="0" w:line="186" w:lineRule="exact"/>
        <w:rPr>
          <w:rFonts w:ascii="Arial" w:cs="Arial" w:eastAsia="Arial" w:hAnsi="Arial"/>
          <w:sz w:val="18"/>
          <w:szCs w:val="18"/>
          <w:color w:val="auto"/>
        </w:rPr>
      </w:pPr>
    </w:p>
    <w:p>
      <w:pPr>
        <w:ind w:left="1540" w:hanging="236"/>
        <w:spacing w:after="0"/>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United States Generally Accepted Accounting Principles.</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w:t>
      </w:r>
      <w:r>
        <w:rPr>
          <w:rFonts w:ascii="Arial" w:cs="Arial" w:eastAsia="Arial" w:hAnsi="Arial"/>
          <w:sz w:val="16"/>
          <w:szCs w:val="16"/>
          <w:color w:val="auto"/>
        </w:rPr>
        <w:t>” shall mean an Option, SAR, Stock Award, Stock Unit, Other Stock-Based Award or Cash Award granted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the Plan.</w:t>
      </w:r>
    </w:p>
    <w:p>
      <w:pPr>
        <w:spacing w:after="0" w:line="210" w:lineRule="exact"/>
        <w:rPr>
          <w:rFonts w:ascii="Arial" w:cs="Arial" w:eastAsia="Arial" w:hAnsi="Arial"/>
          <w:sz w:val="16"/>
          <w:szCs w:val="16"/>
          <w:color w:val="auto"/>
        </w:rPr>
      </w:pPr>
    </w:p>
    <w:p>
      <w:pPr>
        <w:ind w:firstLine="1304"/>
        <w:spacing w:after="0" w:line="277" w:lineRule="auto"/>
        <w:tabs>
          <w:tab w:leader="none" w:pos="1551" w:val="left"/>
        </w:tabs>
        <w:numPr>
          <w:ilvl w:val="1"/>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Instrument</w:t>
      </w:r>
      <w:r>
        <w:rPr>
          <w:rFonts w:ascii="Arial" w:cs="Arial" w:eastAsia="Arial" w:hAnsi="Arial"/>
          <w:sz w:val="18"/>
          <w:szCs w:val="18"/>
          <w:color w:val="auto"/>
        </w:rPr>
        <w:t>” shall mean the written agreement that sets forth the terms and conditions of a Grant, including all amendments thereto.</w:t>
      </w:r>
    </w:p>
    <w:p>
      <w:pPr>
        <w:spacing w:after="0" w:line="170" w:lineRule="exact"/>
        <w:rPr>
          <w:rFonts w:ascii="Arial" w:cs="Arial" w:eastAsia="Arial" w:hAnsi="Arial"/>
          <w:sz w:val="18"/>
          <w:szCs w:val="18"/>
          <w:color w:val="auto"/>
        </w:rPr>
      </w:pPr>
    </w:p>
    <w:p>
      <w:pPr>
        <w:ind w:firstLine="1304"/>
        <w:spacing w:after="0" w:line="277" w:lineRule="auto"/>
        <w:tabs>
          <w:tab w:leader="none" w:pos="1564" w:val="left"/>
        </w:tabs>
        <w:numPr>
          <w:ilvl w:val="1"/>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intended to meet the requirements of an incentive stock option under section 422 of the Code.</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Advisor</w:t>
      </w:r>
      <w:r>
        <w:rPr>
          <w:rFonts w:ascii="Arial" w:cs="Arial" w:eastAsia="Arial" w:hAnsi="Arial"/>
          <w:sz w:val="18"/>
          <w:szCs w:val="18"/>
          <w:color w:val="auto"/>
        </w:rPr>
        <w:t>” shall mean a consultant or advisor of the Employer.</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member of the Board who is not 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31" w:name="page132"/>
    <w:bookmarkEnd w:id="131"/>
    <w:p>
      <w:pPr>
        <w:ind w:right="20" w:firstLine="1304"/>
        <w:spacing w:after="0" w:line="277" w:lineRule="auto"/>
        <w:tabs>
          <w:tab w:leader="none" w:pos="15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intended to be taxed as an incentive stock option under section 422 of the Code.</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shall mean an option to purchase shares of Company Stock, as described in Section 6.</w:t>
      </w:r>
    </w:p>
    <w:p>
      <w:pPr>
        <w:spacing w:after="0" w:line="225" w:lineRule="exact"/>
        <w:rPr>
          <w:sz w:val="20"/>
          <w:szCs w:val="20"/>
          <w:color w:val="auto"/>
        </w:rPr>
      </w:pPr>
    </w:p>
    <w:p>
      <w:pPr>
        <w:ind w:firstLine="1304"/>
        <w:spacing w:after="0" w:line="277" w:lineRule="auto"/>
        <w:tabs>
          <w:tab w:leader="none" w:pos="1634"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shall mean any Grant based on, measured by or payable in Company Stock (other than an Option, Stock Unit, Stock Award, or SAR), as described in Section 10.</w:t>
      </w:r>
    </w:p>
    <w:p>
      <w:pPr>
        <w:spacing w:after="0" w:line="170" w:lineRule="exact"/>
        <w:rPr>
          <w:rFonts w:ascii="Arial" w:cs="Arial" w:eastAsia="Arial" w:hAnsi="Arial"/>
          <w:sz w:val="18"/>
          <w:szCs w:val="18"/>
          <w:color w:val="auto"/>
        </w:rPr>
      </w:pPr>
    </w:p>
    <w:p>
      <w:pPr>
        <w:ind w:left="1640" w:hanging="336"/>
        <w:spacing w:after="0"/>
        <w:tabs>
          <w:tab w:leader="none" w:pos="1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shall mean an Employee, Key Advisor or Non-Employee Director designated by the Committee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participate in the Plan.</w:t>
      </w:r>
    </w:p>
    <w:p>
      <w:pPr>
        <w:spacing w:after="0" w:line="210" w:lineRule="exact"/>
        <w:rPr>
          <w:rFonts w:ascii="Arial" w:cs="Arial" w:eastAsia="Arial" w:hAnsi="Arial"/>
          <w:sz w:val="16"/>
          <w:szCs w:val="16"/>
          <w:color w:val="auto"/>
        </w:rPr>
      </w:pPr>
    </w:p>
    <w:p>
      <w:pPr>
        <w:ind w:left="1620" w:hanging="316"/>
        <w:spacing w:after="0"/>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Grant</w:t>
      </w:r>
      <w:r>
        <w:rPr>
          <w:rFonts w:ascii="Arial" w:cs="Arial" w:eastAsia="Arial" w:hAnsi="Arial"/>
          <w:sz w:val="18"/>
          <w:szCs w:val="18"/>
          <w:color w:val="auto"/>
        </w:rPr>
        <w:t>” shall have the meaning given that term in Section 13.</w:t>
      </w:r>
    </w:p>
    <w:p>
      <w:pPr>
        <w:spacing w:after="0" w:line="225" w:lineRule="exact"/>
        <w:rPr>
          <w:rFonts w:ascii="Arial" w:cs="Arial" w:eastAsia="Arial" w:hAnsi="Arial"/>
          <w:sz w:val="18"/>
          <w:szCs w:val="18"/>
          <w:color w:val="auto"/>
        </w:rPr>
      </w:pPr>
    </w:p>
    <w:p>
      <w:pPr>
        <w:ind w:left="1640" w:hanging="336"/>
        <w:spacing w:after="0"/>
        <w:tabs>
          <w:tab w:leader="none" w:pos="1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shall mean this Axsome Therapeutics, Inc. 2015 Omnibus Incentive Compensation Plan, as in effect from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to time.</w:t>
      </w:r>
    </w:p>
    <w:p>
      <w:pPr>
        <w:spacing w:after="0" w:line="210" w:lineRule="exact"/>
        <w:rPr>
          <w:rFonts w:ascii="Arial" w:cs="Arial" w:eastAsia="Arial" w:hAnsi="Arial"/>
          <w:sz w:val="16"/>
          <w:szCs w:val="16"/>
          <w:color w:val="auto"/>
        </w:rPr>
      </w:pPr>
    </w:p>
    <w:p>
      <w:pPr>
        <w:ind w:left="1620" w:hanging="316"/>
        <w:spacing w:after="0"/>
        <w:tabs>
          <w:tab w:leader="none" w:pos="16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Reliance Period</w:t>
      </w:r>
      <w:r>
        <w:rPr>
          <w:rFonts w:ascii="Arial" w:cs="Arial" w:eastAsia="Arial" w:hAnsi="Arial"/>
          <w:sz w:val="17"/>
          <w:szCs w:val="17"/>
          <w:color w:val="auto"/>
        </w:rPr>
        <w:t>” shall have the meaning given that term in Section 19(c)(i).</w:t>
      </w:r>
    </w:p>
    <w:p>
      <w:pPr>
        <w:spacing w:after="0" w:line="236" w:lineRule="exact"/>
        <w:rPr>
          <w:rFonts w:ascii="Arial" w:cs="Arial" w:eastAsia="Arial" w:hAnsi="Arial"/>
          <w:sz w:val="17"/>
          <w:szCs w:val="17"/>
          <w:color w:val="auto"/>
        </w:rPr>
      </w:pPr>
    </w:p>
    <w:p>
      <w:pPr>
        <w:ind w:left="1580" w:hanging="276"/>
        <w:spacing w:after="0"/>
        <w:tabs>
          <w:tab w:leader="none" w:pos="1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Restriction Period</w:t>
      </w:r>
      <w:r>
        <w:rPr>
          <w:rFonts w:ascii="Arial" w:cs="Arial" w:eastAsia="Arial" w:hAnsi="Arial"/>
          <w:sz w:val="18"/>
          <w:szCs w:val="18"/>
          <w:color w:val="auto"/>
        </w:rPr>
        <w:t>” shall have the meaning given that term in Section 7(a).</w:t>
      </w:r>
    </w:p>
    <w:p>
      <w:pPr>
        <w:spacing w:after="0" w:line="225" w:lineRule="exact"/>
        <w:rPr>
          <w:rFonts w:ascii="Arial" w:cs="Arial" w:eastAsia="Arial" w:hAnsi="Arial"/>
          <w:sz w:val="18"/>
          <w:szCs w:val="18"/>
          <w:color w:val="auto"/>
        </w:rPr>
      </w:pPr>
    </w:p>
    <w:p>
      <w:pPr>
        <w:ind w:left="1640" w:hanging="336"/>
        <w:spacing w:after="0"/>
        <w:tabs>
          <w:tab w:leader="none" w:pos="1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w:t>
      </w:r>
      <w:r>
        <w:rPr>
          <w:rFonts w:ascii="Arial" w:cs="Arial" w:eastAsia="Arial" w:hAnsi="Arial"/>
          <w:sz w:val="18"/>
          <w:szCs w:val="18"/>
          <w:color w:val="auto"/>
        </w:rPr>
        <w:t>” shall mean a stock appreciation right, as described in Section 9.</w:t>
      </w:r>
    </w:p>
    <w:p>
      <w:pPr>
        <w:spacing w:after="0" w:line="225" w:lineRule="exact"/>
        <w:rPr>
          <w:rFonts w:ascii="Arial" w:cs="Arial" w:eastAsia="Arial" w:hAnsi="Arial"/>
          <w:sz w:val="18"/>
          <w:szCs w:val="18"/>
          <w:color w:val="auto"/>
        </w:rPr>
      </w:pPr>
    </w:p>
    <w:p>
      <w:pPr>
        <w:ind w:left="1640" w:hanging="336"/>
        <w:spacing w:after="0"/>
        <w:tabs>
          <w:tab w:leader="none" w:pos="1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Award</w:t>
      </w:r>
      <w:r>
        <w:rPr>
          <w:rFonts w:ascii="Arial" w:cs="Arial" w:eastAsia="Arial" w:hAnsi="Arial"/>
          <w:sz w:val="18"/>
          <w:szCs w:val="18"/>
          <w:color w:val="auto"/>
        </w:rPr>
        <w:t>” shall mean an award of Company Stock, as described in Section 7.</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Unit</w:t>
      </w:r>
      <w:r>
        <w:rPr>
          <w:rFonts w:ascii="Arial" w:cs="Arial" w:eastAsia="Arial" w:hAnsi="Arial"/>
          <w:sz w:val="17"/>
          <w:szCs w:val="17"/>
          <w:color w:val="auto"/>
        </w:rPr>
        <w:t>” shall mean an award of a phantom unit representing a share of Company Stock, as described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8.</w:t>
      </w:r>
    </w:p>
    <w:p>
      <w:pPr>
        <w:spacing w:after="0" w:line="210" w:lineRule="exact"/>
        <w:rPr>
          <w:rFonts w:ascii="Arial" w:cs="Arial" w:eastAsia="Arial" w:hAnsi="Arial"/>
          <w:sz w:val="17"/>
          <w:szCs w:val="17"/>
          <w:color w:val="auto"/>
        </w:rPr>
      </w:pPr>
    </w:p>
    <w:p>
      <w:pPr>
        <w:ind w:left="1560" w:hanging="256"/>
        <w:spacing w:after="0"/>
        <w:tabs>
          <w:tab w:leader="none" w:pos="15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 Awards</w:t>
      </w:r>
      <w:r>
        <w:rPr>
          <w:rFonts w:ascii="Arial" w:cs="Arial" w:eastAsia="Arial" w:hAnsi="Arial"/>
          <w:sz w:val="18"/>
          <w:szCs w:val="18"/>
          <w:color w:val="auto"/>
        </w:rPr>
        <w:t>” shall have the meaning given that term in Section 4(b).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2. Administration</w:t>
      </w:r>
    </w:p>
    <w:p>
      <w:pPr>
        <w:spacing w:after="0" w:line="225" w:lineRule="exact"/>
        <w:rPr>
          <w:sz w:val="20"/>
          <w:szCs w:val="20"/>
          <w:color w:val="auto"/>
        </w:rPr>
      </w:pPr>
    </w:p>
    <w:p>
      <w:pPr>
        <w:jc w:val="both"/>
        <w:ind w:firstLine="1304"/>
        <w:spacing w:after="0" w:line="301" w:lineRule="auto"/>
        <w:tabs>
          <w:tab w:leader="none" w:pos="1541"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Committee</w:t>
      </w:r>
      <w:r>
        <w:rPr>
          <w:rFonts w:ascii="Arial" w:cs="Arial" w:eastAsia="Arial" w:hAnsi="Arial"/>
          <w:sz w:val="16"/>
          <w:szCs w:val="16"/>
          <w:color w:val="auto"/>
        </w:rPr>
        <w:t>. The Plan shall be administered and interpreted by the Committee; provided, however, that any Grants to members of the Board must be authorized by the Board. The Committee may delegate authority to one or more subcommittees, as it deems appropriate. To the extent that the Board, a subcommittee or the CEO, as described below, administers the Plan, references in the Plan to the “</w:t>
      </w:r>
      <w:r>
        <w:rPr>
          <w:rFonts w:ascii="Arial" w:cs="Arial" w:eastAsia="Arial" w:hAnsi="Arial"/>
          <w:sz w:val="16"/>
          <w:szCs w:val="16"/>
          <w:u w:val="single" w:color="auto"/>
          <w:color w:val="auto"/>
        </w:rPr>
        <w:t>Committee</w:t>
      </w:r>
      <w:r>
        <w:rPr>
          <w:rFonts w:ascii="Arial" w:cs="Arial" w:eastAsia="Arial" w:hAnsi="Arial"/>
          <w:sz w:val="16"/>
          <w:szCs w:val="16"/>
          <w:color w:val="auto"/>
        </w:rPr>
        <w:t>” shall be deemed to refer to the Board or such subcommittee or the CEO.</w:t>
      </w:r>
    </w:p>
    <w:p>
      <w:pPr>
        <w:spacing w:after="0" w:line="153" w:lineRule="exact"/>
        <w:rPr>
          <w:rFonts w:ascii="Arial" w:cs="Arial" w:eastAsia="Arial" w:hAnsi="Arial"/>
          <w:sz w:val="16"/>
          <w:szCs w:val="16"/>
          <w:color w:val="auto"/>
        </w:rPr>
      </w:pPr>
    </w:p>
    <w:p>
      <w:pPr>
        <w:jc w:val="both"/>
        <w:ind w:firstLine="1304"/>
        <w:spacing w:after="0" w:line="261" w:lineRule="auto"/>
        <w:tabs>
          <w:tab w:leader="none" w:pos="156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Delegation to CEO</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compliance with applicable law and applicable stock exchange requirements, the Committee may delegate all or part of its authority and power to the CEO, as it deems appropriate, with respect to Grants to Employees or Key Advisors who are not executive officers under section 16 of the Exchange Act and provided the Grants are not intended to be Performance-Based Grants as described in Section 13.</w:t>
      </w:r>
    </w:p>
    <w:p>
      <w:pPr>
        <w:spacing w:after="0" w:line="183" w:lineRule="exact"/>
        <w:rPr>
          <w:rFonts w:ascii="Arial" w:cs="Arial" w:eastAsia="Arial" w:hAnsi="Arial"/>
          <w:sz w:val="18"/>
          <w:szCs w:val="18"/>
          <w:color w:val="auto"/>
        </w:rPr>
      </w:pPr>
    </w:p>
    <w:p>
      <w:pPr>
        <w:jc w:val="both"/>
        <w:ind w:firstLine="1304"/>
        <w:spacing w:after="0" w:line="275" w:lineRule="auto"/>
        <w:tabs>
          <w:tab w:leader="none" w:pos="1541"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Committee Authority</w:t>
      </w:r>
      <w:r>
        <w:rPr>
          <w:rFonts w:ascii="Arial" w:cs="Arial" w:eastAsia="Arial" w:hAnsi="Arial"/>
          <w:sz w:val="17"/>
          <w:szCs w:val="17"/>
          <w:color w:val="auto"/>
        </w:rPr>
        <w:t>. The Committee shall have the sole authority to (i) determine the individuals to whom Grants shall be made under the Plan, (ii) determine the type, size, terms and conditions of the Grants to be made to each such individual, (iii) determine the time when the Grants will be made and the duration of any applicable exercise or restriction period, including the criteria for exercisability and the acceleration of exercisability, (v) amend the terms of any previously issued Grant, subject to the provisions of Section 19 below, and (vi) deal with any other matters arising under the Plan.</w:t>
      </w:r>
    </w:p>
    <w:p>
      <w:pPr>
        <w:spacing w:after="0" w:line="176" w:lineRule="exact"/>
        <w:rPr>
          <w:rFonts w:ascii="Arial" w:cs="Arial" w:eastAsia="Arial" w:hAnsi="Arial"/>
          <w:sz w:val="17"/>
          <w:szCs w:val="17"/>
          <w:color w:val="auto"/>
        </w:rPr>
      </w:pPr>
    </w:p>
    <w:p>
      <w:pPr>
        <w:jc w:val="both"/>
        <w:ind w:firstLine="1304"/>
        <w:spacing w:after="0" w:line="255" w:lineRule="auto"/>
        <w:tabs>
          <w:tab w:leader="none" w:pos="155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Committee Determinations</w:t>
      </w:r>
      <w:r>
        <w:rPr>
          <w:rFonts w:ascii="Arial" w:cs="Arial" w:eastAsia="Arial" w:hAnsi="Arial"/>
          <w:sz w:val="18"/>
          <w:szCs w:val="18"/>
          <w:color w:val="auto"/>
        </w:rPr>
        <w:t>. The Committee shall have full power and express discretionary authority to administer and interpret the Plan, to make factual determinations and to adopt or amend such rules, regulations, agreements and instruments for implementing the Plan and for the conduct of its business as it deems necessary or advisable, in its sole discretion. The Committee’s interpretations of the Plan and all determinations made by the Committee pursuant to the powers vested in it hereunder shall be conclusive and binding on all persons having any interest in the Plan or in any awards granted hereunder. All powers of the Committee shall be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32" w:name="page133"/>
    <w:bookmarkEnd w:id="132"/>
    <w:p>
      <w:pPr>
        <w:spacing w:after="0" w:line="277" w:lineRule="auto"/>
        <w:rPr>
          <w:sz w:val="20"/>
          <w:szCs w:val="20"/>
          <w:color w:val="auto"/>
        </w:rPr>
      </w:pPr>
      <w:r>
        <w:rPr>
          <w:rFonts w:ascii="Arial" w:cs="Arial" w:eastAsia="Arial" w:hAnsi="Arial"/>
          <w:sz w:val="18"/>
          <w:szCs w:val="18"/>
          <w:color w:val="auto"/>
        </w:rPr>
        <w:t>in its sole discretion, in the best interest of the Company, not as a fiduciary, and in keeping with the objectives of the Plan and need not be uniform as to similarly situated individuals.</w:t>
      </w:r>
    </w:p>
    <w:p>
      <w:pPr>
        <w:spacing w:after="0" w:line="170" w:lineRule="exact"/>
        <w:rPr>
          <w:sz w:val="20"/>
          <w:szCs w:val="20"/>
          <w:color w:val="auto"/>
        </w:rPr>
      </w:pPr>
    </w:p>
    <w:p>
      <w:pPr>
        <w:jc w:val="both"/>
        <w:ind w:firstLine="1304"/>
        <w:spacing w:after="0" w:line="254" w:lineRule="auto"/>
        <w:tabs>
          <w:tab w:leader="none" w:pos="155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No member of the Committee and no employee of the Company shall be liable for any act or failure to act with respect to the Plan, except in circumstances involving his or her bad faith or willful misconduct, or for any act or failure to act hereunder by any other member of the Committee or employee or by any agent to whom duties in connection with the administration of this Plan have been delegated. The Company shall indemnify members of the Committee and any agent of the Committee who is an employee of the Company or a subsidiary against any and all liabilities or expenses to which they may be subjected by reason of any act or failure to act with respect to their duties on behalf of the Plan, except in circumstances involving such person’s bad faith or willful misconduct.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3. Grants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Grants under the Plan may consist of Options as described in Section 6, Stock Awards as described in Section 7, Stock Units as described in Section 8, SARs as described in Section 9, Other Stock-Based Awards as described in Section 10, and Cash Awards as described in Section 11. All Grants shall be subject to the terms and conditions set forth herein and to such other terms and conditions consistent with this Plan as the Committee deems appropriate and as are specified in writing by the Committee to the individual in the Grant Instrument. All Grants shall be made conditional upon the Participant’s acknowledgement, in writing or by acceptance of the Grant, that all decisions and determinations of the Committee shall be final and binding on the Participant, his or her beneficiaries and any other person having or claiming an interest under such Grant. Grants under a particular Section of the Plan need not be uniform as among the Participants.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4. Shares Subject to the Plan</w:t>
      </w:r>
    </w:p>
    <w:p>
      <w:pPr>
        <w:spacing w:after="0" w:line="225" w:lineRule="exact"/>
        <w:rPr>
          <w:sz w:val="20"/>
          <w:szCs w:val="20"/>
          <w:color w:val="auto"/>
        </w:rPr>
      </w:pPr>
    </w:p>
    <w:p>
      <w:pPr>
        <w:jc w:val="both"/>
        <w:ind w:firstLine="1304"/>
        <w:spacing w:after="0" w:line="288" w:lineRule="auto"/>
        <w:tabs>
          <w:tab w:leader="none" w:pos="1554"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Shares Authorized</w:t>
      </w:r>
      <w:r>
        <w:rPr>
          <w:rFonts w:ascii="Arial" w:cs="Arial" w:eastAsia="Arial" w:hAnsi="Arial"/>
          <w:sz w:val="16"/>
          <w:szCs w:val="16"/>
          <w:color w:val="auto"/>
        </w:rPr>
        <w:t>. Subject to adjustment as described below in Section 4(d), the aggregate number of shares of Company Stock that may be issued or transferred under the Plan shall be equal to the sum of the following: (i) 3,500,000, plus (ii) the number of shares of Company Stock subject to outstanding grants under the 2013 Plan as of the Effective Date, plus (iii) the number of shares of Company Stock remaining available for issuance under the 2013 Plan but not subject to previously exercised, vested or paid grants as of the Effective Date; provided, however, that the aggregate number of shares of Company Stock that may be issued or transferred under the Plan pursuant to Incentive Stock Options shall not exceed 3,500,000 shares of Company Stock. In addition, as of the first trading day of January during the term of the Plan, beginning with calendar year 2017, an additional positive number of shares of Company Stock shall be added to the number of shares of Company Stock authorized to be issued or transferred under the Plan and the number of shares authorized to be issued or transferred pursuant to Incentive Stock Options, equal to 4% of the total number of shares of Company Stock outstanding on the last trading day in December of the immediately preceding calendar year.</w:t>
      </w:r>
    </w:p>
    <w:p>
      <w:pPr>
        <w:spacing w:after="0" w:line="168" w:lineRule="exact"/>
        <w:rPr>
          <w:rFonts w:ascii="Arial" w:cs="Arial" w:eastAsia="Arial" w:hAnsi="Arial"/>
          <w:sz w:val="16"/>
          <w:szCs w:val="16"/>
          <w:color w:val="auto"/>
        </w:rPr>
      </w:pPr>
    </w:p>
    <w:p>
      <w:pPr>
        <w:jc w:val="both"/>
        <w:ind w:firstLine="1304"/>
        <w:spacing w:after="0" w:line="286" w:lineRule="auto"/>
        <w:tabs>
          <w:tab w:leader="none" w:pos="1564"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Source of Shares; Share Counting</w:t>
      </w:r>
      <w:r>
        <w:rPr>
          <w:rFonts w:ascii="Arial" w:cs="Arial" w:eastAsia="Arial" w:hAnsi="Arial"/>
          <w:sz w:val="16"/>
          <w:szCs w:val="16"/>
          <w:color w:val="auto"/>
        </w:rPr>
        <w:t>. Shares issued or transferred under the Plan may be authorized but unissued shares of Company Stock or reacquired shares of Company Stock, including shares purchased by the Company on the open market for purposes of the Plan. If and to the extent Options or SARs granted under the Plan (including options granted under the 2013 Plan) terminate, expire or are canceled, forfeited, exchanged or surrendered without having been exercised, or if any Stock Awards, Stock Units or Other Stock-Based Awards are forfeited, terminated or otherwise not paid in full, the shares subject to such Grants shall again be available for purposes of the Plan. If shares of Company Stock otherwise issuable under the Plan are surrendered in payment of the Exercise Price of an Option, then the number of shares of Company Stock available for issuance under the Plan shall be reduced only by the net number of shares actually issued by the Company upon such exercise and not by the gross number of shares as to which such Option is exercised. Upon the exercise of any SAR under the Plan, the number of shares of Company Stock available for issuance under the Plan shall be reduced by only by the net number of shares actually issued by the Company upon such exercise. If shares of Company Stock otherwise issuable under the Plan are withheld by the Company in satisfaction of the withholding taxes incurred in connection with the issuance, vesting or exercise of any Grant or the issuance of Company Stock thereunder, then the number of shares of Company Stock available for issuance under the Plan shall be reduced by the net number of shares issued, vested or exercised under such Grant, calculated in each instance after payment of such share withholding. To the extent any Grants are paid in cash, and not in shares of Company Stock, any shares previously subject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595630</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33" w:name="page134"/>
    <w:bookmarkEnd w:id="133"/>
    <w:p>
      <w:pPr>
        <w:jc w:val="both"/>
        <w:spacing w:after="0" w:line="296" w:lineRule="auto"/>
        <w:rPr>
          <w:sz w:val="20"/>
          <w:szCs w:val="20"/>
          <w:color w:val="auto"/>
        </w:rPr>
      </w:pPr>
      <w:r>
        <w:rPr>
          <w:rFonts w:ascii="Arial" w:cs="Arial" w:eastAsia="Arial" w:hAnsi="Arial"/>
          <w:sz w:val="16"/>
          <w:szCs w:val="16"/>
          <w:color w:val="auto"/>
        </w:rPr>
        <w:t>Grants shall again be available for issuance or transfer under the Plan. In addition, (i) shares issued or transferred under Grants made pursuant to an assumption, substitution or exchange for previously granted awards of a company acquired by the Company in a transaction (“</w:t>
      </w:r>
      <w:r>
        <w:rPr>
          <w:rFonts w:ascii="Arial" w:cs="Arial" w:eastAsia="Arial" w:hAnsi="Arial"/>
          <w:sz w:val="16"/>
          <w:szCs w:val="16"/>
          <w:u w:val="single" w:color="auto"/>
          <w:color w:val="auto"/>
        </w:rPr>
        <w:t>Substitute Awards</w:t>
      </w:r>
      <w:r>
        <w:rPr>
          <w:rFonts w:ascii="Arial" w:cs="Arial" w:eastAsia="Arial" w:hAnsi="Arial"/>
          <w:sz w:val="16"/>
          <w:szCs w:val="16"/>
          <w:color w:val="auto"/>
        </w:rPr>
        <w:t>”) shall not reduce the number of shares of Company Stock available under the Plan and (ii) available shares under a stockholder approved plan of an acquired company (as appropriately adjusted to reflect the transaction) may be used for Grants under the Plan and shall not reduce the Plan’s share reserve (subject to applicable stock exchange listing and Code requirements).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Individual Limits</w:t>
      </w:r>
      <w:r>
        <w:rPr>
          <w:rFonts w:ascii="Arial" w:cs="Arial" w:eastAsia="Arial" w:hAnsi="Arial"/>
          <w:sz w:val="17"/>
          <w:szCs w:val="17"/>
          <w:color w:val="auto"/>
        </w:rPr>
        <w:t>. Subject to adjustment as described below in Section 4(d), the following Grant limitations shall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apply:</w:t>
      </w:r>
    </w:p>
    <w:p>
      <w:pPr>
        <w:spacing w:after="0" w:line="211" w:lineRule="exact"/>
        <w:rPr>
          <w:sz w:val="20"/>
          <w:szCs w:val="20"/>
          <w:color w:val="auto"/>
        </w:rPr>
      </w:pPr>
    </w:p>
    <w:p>
      <w:pPr>
        <w:jc w:val="both"/>
        <w:ind w:firstLine="1952"/>
        <w:spacing w:after="0" w:line="286" w:lineRule="auto"/>
        <w:tabs>
          <w:tab w:leader="none" w:pos="2186" w:val="left"/>
        </w:tabs>
        <w:numPr>
          <w:ilvl w:val="1"/>
          <w:numId w:val="82"/>
        </w:numPr>
        <w:rPr>
          <w:rFonts w:ascii="Arial" w:cs="Arial" w:eastAsia="Arial" w:hAnsi="Arial"/>
          <w:sz w:val="17"/>
          <w:szCs w:val="17"/>
          <w:color w:val="auto"/>
        </w:rPr>
      </w:pPr>
      <w:r>
        <w:rPr>
          <w:rFonts w:ascii="Arial" w:cs="Arial" w:eastAsia="Arial" w:hAnsi="Arial"/>
          <w:sz w:val="17"/>
          <w:szCs w:val="17"/>
          <w:color w:val="auto"/>
        </w:rPr>
        <w:t>With respect to Performance-Based Grants measured in shares of Company Stock (whether payable in Company Stock, cash or a combination of both), the maximum number of shares of Company Stock for which such Grants may be made to any Employee in any calendar year shall not exceed 1,750,000 shares of Company Stock in the aggregate.</w:t>
      </w:r>
    </w:p>
    <w:p>
      <w:pPr>
        <w:spacing w:after="0" w:line="165" w:lineRule="exact"/>
        <w:rPr>
          <w:rFonts w:ascii="Arial" w:cs="Arial" w:eastAsia="Arial" w:hAnsi="Arial"/>
          <w:sz w:val="17"/>
          <w:szCs w:val="17"/>
          <w:color w:val="auto"/>
        </w:rPr>
      </w:pPr>
    </w:p>
    <w:p>
      <w:pPr>
        <w:jc w:val="both"/>
        <w:ind w:firstLine="1952"/>
        <w:spacing w:after="0" w:line="275" w:lineRule="auto"/>
        <w:tabs>
          <w:tab w:leader="none" w:pos="2225" w:val="left"/>
        </w:tabs>
        <w:numPr>
          <w:ilvl w:val="1"/>
          <w:numId w:val="82"/>
        </w:numPr>
        <w:rPr>
          <w:rFonts w:ascii="Arial" w:cs="Arial" w:eastAsia="Arial" w:hAnsi="Arial"/>
          <w:sz w:val="17"/>
          <w:szCs w:val="17"/>
          <w:color w:val="auto"/>
        </w:rPr>
      </w:pPr>
      <w:r>
        <w:rPr>
          <w:rFonts w:ascii="Arial" w:cs="Arial" w:eastAsia="Arial" w:hAnsi="Arial"/>
          <w:sz w:val="17"/>
          <w:szCs w:val="17"/>
          <w:color w:val="auto"/>
        </w:rPr>
        <w:t>For Performance-Based Grants measured in cash dollars (whether payable in cash, Company Stock or a combination of both), including Cash Awards, the maximum dollar amount for which such Grants may be paid to any Employee with respect to each 12 month period within a performance period shall not exceed $9,000,000. If a performance period includes more than one year, the amount payable with respect to each 12 month period shall be determined by dividing the total amount payable for the performance period by the number of years in the performance period.</w:t>
      </w:r>
    </w:p>
    <w:p>
      <w:pPr>
        <w:spacing w:after="0" w:line="176" w:lineRule="exact"/>
        <w:rPr>
          <w:rFonts w:ascii="Arial" w:cs="Arial" w:eastAsia="Arial" w:hAnsi="Arial"/>
          <w:sz w:val="17"/>
          <w:szCs w:val="17"/>
          <w:color w:val="auto"/>
        </w:rPr>
      </w:pPr>
    </w:p>
    <w:p>
      <w:pPr>
        <w:jc w:val="both"/>
        <w:ind w:firstLine="1952"/>
        <w:spacing w:after="0" w:line="263" w:lineRule="auto"/>
        <w:tabs>
          <w:tab w:leader="none" w:pos="2261" w:val="left"/>
        </w:tabs>
        <w:numPr>
          <w:ilvl w:val="1"/>
          <w:numId w:val="82"/>
        </w:numPr>
        <w:rPr>
          <w:rFonts w:ascii="Arial" w:cs="Arial" w:eastAsia="Arial" w:hAnsi="Arial"/>
          <w:sz w:val="18"/>
          <w:szCs w:val="18"/>
          <w:color w:val="auto"/>
        </w:rPr>
      </w:pPr>
      <w:r>
        <w:rPr>
          <w:rFonts w:ascii="Arial" w:cs="Arial" w:eastAsia="Arial" w:hAnsi="Arial"/>
          <w:sz w:val="18"/>
          <w:szCs w:val="18"/>
          <w:color w:val="auto"/>
        </w:rPr>
        <w:t>For dividends with respect to Stock Awards that are Performance-Based Grants and Dividend Equivalents that are Performance-Based Grants, an Employee may not accrue an aggregate amount of dividends and Dividend Equivalents in excess of $2,000,000 in any calendar year.</w:t>
      </w:r>
    </w:p>
    <w:p>
      <w:pPr>
        <w:spacing w:after="0" w:line="183" w:lineRule="exact"/>
        <w:rPr>
          <w:rFonts w:ascii="Arial" w:cs="Arial" w:eastAsia="Arial" w:hAnsi="Arial"/>
          <w:sz w:val="18"/>
          <w:szCs w:val="18"/>
          <w:color w:val="auto"/>
        </w:rPr>
      </w:pPr>
    </w:p>
    <w:p>
      <w:pPr>
        <w:jc w:val="both"/>
        <w:ind w:firstLine="1952"/>
        <w:spacing w:after="0" w:line="272" w:lineRule="auto"/>
        <w:tabs>
          <w:tab w:leader="none" w:pos="2291"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maximum grant date value of shares of Company Stock subject to Grants made to any Non-Employee Director during any calendar year, taken together with any cash fees earned by such Non-Employee Director for services rendered during the calendar year, shall not exceed $100,000 of cash compensation (or at such Non-Employee Director’s election, Other Stock Based Awards with a Fair Market Value equal to such cash compensation), and Stock Awards shall not exceed (A) 13,000 per annum for incumbent Non-Employee Directors and (B) 26,000 per annum for newly elected Non-Employee Directors (such Stock Award limit shall not apply to Stock Awards issued in lieu of cash compensation) with the value of such Grants calculated based on the grant date fair value of such Grants for financial reporting purposes.</w:t>
      </w:r>
    </w:p>
    <w:p>
      <w:pPr>
        <w:spacing w:after="0" w:line="177" w:lineRule="exact"/>
        <w:rPr>
          <w:rFonts w:ascii="Arial" w:cs="Arial" w:eastAsia="Arial" w:hAnsi="Arial"/>
          <w:sz w:val="17"/>
          <w:szCs w:val="17"/>
          <w:color w:val="auto"/>
        </w:rPr>
      </w:pPr>
    </w:p>
    <w:p>
      <w:pPr>
        <w:jc w:val="both"/>
        <w:ind w:firstLine="1952"/>
        <w:spacing w:after="0" w:line="263" w:lineRule="auto"/>
        <w:tabs>
          <w:tab w:leader="none" w:pos="2227" w:val="left"/>
        </w:tabs>
        <w:numPr>
          <w:ilvl w:val="1"/>
          <w:numId w:val="82"/>
        </w:numPr>
        <w:rPr>
          <w:rFonts w:ascii="Arial" w:cs="Arial" w:eastAsia="Arial" w:hAnsi="Arial"/>
          <w:sz w:val="18"/>
          <w:szCs w:val="18"/>
          <w:color w:val="auto"/>
        </w:rPr>
      </w:pPr>
      <w:r>
        <w:rPr>
          <w:rFonts w:ascii="Arial" w:cs="Arial" w:eastAsia="Arial" w:hAnsi="Arial"/>
          <w:sz w:val="18"/>
          <w:szCs w:val="18"/>
          <w:color w:val="auto"/>
        </w:rPr>
        <w:t>Notwithstanding the foregoing, the individual limits described in subsections (i), (ii) and (iii) shall be increased to two times the otherwise applicable limits with respect to Performance-Based Grants that are made on or around the date of hire to a newly hired Employee.</w:t>
      </w:r>
    </w:p>
    <w:p>
      <w:pPr>
        <w:spacing w:after="0" w:line="183" w:lineRule="exact"/>
        <w:rPr>
          <w:rFonts w:ascii="Arial" w:cs="Arial" w:eastAsia="Arial" w:hAnsi="Arial"/>
          <w:sz w:val="18"/>
          <w:szCs w:val="18"/>
          <w:color w:val="auto"/>
        </w:rPr>
      </w:pPr>
    </w:p>
    <w:p>
      <w:pPr>
        <w:jc w:val="both"/>
        <w:ind w:firstLine="1304"/>
        <w:spacing w:after="0" w:line="268" w:lineRule="auto"/>
        <w:tabs>
          <w:tab w:leader="none" w:pos="1551"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If there is any change in the number or kind of shares of Company Stock outstanding by reason of (i) a stock dividend, spinoff, recapitalization, stock split, or combination or exchange of shares, (ii) a merger, reorganization or consolidation, (iii) a reclassification or change in par value, or (iv) any other extraordinary or unusual event affecting the outstanding Company Stock as a class without the Company’s receipt of consideration, or if the value of outstanding shares of Company Stock is substantially reduced as a result of a spinoff or the Company’s payment of an extraordinary dividend or distribution, the maximum number and kind of shares of Company Stock available for issuance under the Plan, the maximum number and kind of shares of Company Stock for which any individual may receive Grants in any year, the kind and number of shares covered by outstanding Grants, the kind and number of shares issued and to be issued under the Plan, and the price per share or the applicable market value of such Grants shall be equitably adjusted by the Committee to reflect any increase or decrease in the number of, or change in the kind or value of, the issued shares of Company Stock to preclude, to the extent practicable, the enlargement or dilution of rights and benefits under the Plan and such outstanding Grants; provided, however, that any fractional shares resulting from such adjustment shall be eliminated. In addition, in the event of a Change of Control, the provisions of Section 14 of the Plan shall apply. Any adjustments to outstanding Grants shall be consistent with section 409A or 424 of the Code, to the extent applicable. The adjustments of Grants under this Section 4(d) shall include adjustment of shares, Exercise Price of Stock Options, base amount of SARs, performance goals or other terms and conditions, as the Committee deems appropriate. The Committee shall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34" w:name="page135"/>
    <w:bookmarkEnd w:id="134"/>
    <w:p>
      <w:pPr>
        <w:spacing w:after="0" w:line="277" w:lineRule="auto"/>
        <w:rPr>
          <w:sz w:val="20"/>
          <w:szCs w:val="20"/>
          <w:color w:val="auto"/>
        </w:rPr>
      </w:pPr>
      <w:r>
        <w:rPr>
          <w:rFonts w:ascii="Arial" w:cs="Arial" w:eastAsia="Arial" w:hAnsi="Arial"/>
          <w:sz w:val="18"/>
          <w:szCs w:val="18"/>
          <w:color w:val="auto"/>
        </w:rPr>
        <w:t>the sole discretion and authority to determine what appropriate adjustments shall be made and any adjustments determined by the Committee shall be final, binding and conclusive.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5. Eligibility for Participation</w:t>
      </w:r>
    </w:p>
    <w:p>
      <w:pPr>
        <w:spacing w:after="0" w:line="225" w:lineRule="exact"/>
        <w:rPr>
          <w:sz w:val="20"/>
          <w:szCs w:val="20"/>
          <w:color w:val="auto"/>
        </w:rPr>
      </w:pPr>
    </w:p>
    <w:p>
      <w:pPr>
        <w:jc w:val="both"/>
        <w:ind w:firstLine="1304"/>
        <w:spacing w:after="0" w:line="259" w:lineRule="auto"/>
        <w:tabs>
          <w:tab w:leader="none" w:pos="1568"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Eligible Persons</w:t>
      </w:r>
      <w:r>
        <w:rPr>
          <w:rFonts w:ascii="Arial" w:cs="Arial" w:eastAsia="Arial" w:hAnsi="Arial"/>
          <w:sz w:val="18"/>
          <w:szCs w:val="18"/>
          <w:color w:val="auto"/>
        </w:rPr>
        <w:t>. All Employees and Non-Employee Directors shall be eligible to participate in the Plan. Key Advisors shall be eligible to participate in the Plan if the Key Advisors render bona fide services to the Employer, the services are not in connection with the offer and sale of securities in a capital-raising transaction, and the Key Advisors do not directly or indirectly promote or maintain a market for the Company’s securities.</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5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Selection of Participants</w:t>
      </w:r>
      <w:r>
        <w:rPr>
          <w:rFonts w:ascii="Arial" w:cs="Arial" w:eastAsia="Arial" w:hAnsi="Arial"/>
          <w:sz w:val="18"/>
          <w:szCs w:val="18"/>
          <w:color w:val="auto"/>
        </w:rPr>
        <w:t>. The Committee shall select the Employees, Non-Employee Directors and Key Advisors to receive Grants and shall determine the number of shares of Company Stock subject to a particular Grant in such manner as the Committee determines.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6. Options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Committee may grant Options to an Employee, Non-Employee Director or Key Advisor upon such terms as the Committee deems appropriate. The following provisions are applicable to Options:</w:t>
      </w:r>
    </w:p>
    <w:p>
      <w:pPr>
        <w:spacing w:after="0" w:line="170" w:lineRule="exact"/>
        <w:rPr>
          <w:sz w:val="20"/>
          <w:szCs w:val="20"/>
          <w:color w:val="auto"/>
        </w:rPr>
      </w:pPr>
    </w:p>
    <w:p>
      <w:pPr>
        <w:ind w:right="20" w:firstLine="1304"/>
        <w:spacing w:after="0" w:line="277" w:lineRule="auto"/>
        <w:tabs>
          <w:tab w:leader="none" w:pos="1541"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Committee shall determine the number of shares of Company Stock that will be subject to each Grant of Options to Employees, Non-Employee Directors and Key Advisors.</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Type of Option and Exercise Price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9" w:lineRule="auto"/>
        <w:tabs>
          <w:tab w:leader="none" w:pos="2171"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Committee may grant Incentive Stock Options or Nonqualified Stock Options or any combination of the two, all in accordance with the terms and conditions set forth herein. Incentive Stock Options may be granted only to employees of the Company or its parent or subsidiary corporations, as defined in section 424 of the Code. Nonqualified Stock Options may be granted to Employees, Non-Employee Directors and Key Advisors.</w:t>
      </w:r>
    </w:p>
    <w:p>
      <w:pPr>
        <w:spacing w:after="0" w:line="186" w:lineRule="exact"/>
        <w:rPr>
          <w:rFonts w:ascii="Arial" w:cs="Arial" w:eastAsia="Arial" w:hAnsi="Arial"/>
          <w:sz w:val="18"/>
          <w:szCs w:val="18"/>
          <w:color w:val="auto"/>
        </w:rPr>
      </w:pPr>
    </w:p>
    <w:p>
      <w:pPr>
        <w:jc w:val="both"/>
        <w:ind w:firstLine="1952"/>
        <w:spacing w:after="0" w:line="255" w:lineRule="auto"/>
        <w:tabs>
          <w:tab w:leader="none" w:pos="2229"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Exercise Price of Company Stock subject to an Option shall be determined by the Committee and shall be equal to or greater than the Fair Market Value of a share of Company Stock on the date the Option is granted. However, an Incentive Stock Option may not be granted to an Employee who, at the time of grant, owns stock possessing more than 10% of the total combined voting power of all classes of stock of the Company, or any parent or subsidiary corporation of the Company, as defined in section 424 of the Code, unless the Exercise Price per share is not less than 110% of the Fair Market Value of a share of Company Stock on the date of grant.</w:t>
      </w:r>
    </w:p>
    <w:p>
      <w:pPr>
        <w:spacing w:after="0" w:line="192" w:lineRule="exact"/>
        <w:rPr>
          <w:rFonts w:ascii="Arial" w:cs="Arial" w:eastAsia="Arial" w:hAnsi="Arial"/>
          <w:sz w:val="18"/>
          <w:szCs w:val="18"/>
          <w:color w:val="auto"/>
        </w:rPr>
      </w:pPr>
    </w:p>
    <w:p>
      <w:pPr>
        <w:jc w:val="both"/>
        <w:ind w:firstLine="1304"/>
        <w:spacing w:after="0" w:line="271" w:lineRule="auto"/>
        <w:tabs>
          <w:tab w:leader="none" w:pos="1541"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Option Term</w:t>
      </w:r>
      <w:r>
        <w:rPr>
          <w:rFonts w:ascii="Arial" w:cs="Arial" w:eastAsia="Arial" w:hAnsi="Arial"/>
          <w:sz w:val="17"/>
          <w:szCs w:val="17"/>
          <w:color w:val="auto"/>
        </w:rPr>
        <w:t>. The Committee shall determine the term of each Option. The term of any Option shall not exceed ten years from the date of grant. However, an Incentive Stock Option that is granted to an Employee who, at the time of grant, owns stock possessing more than 10% of the total combined voting power of all classes of stock of the Company, or any parent or subsidiary corporation of the Company, as defined in section 424 of the Code, may not have a term that exceeds five years from the date of grant. Notwithstanding the foregoing, in the event that on the last business day of the term of an Option (other than an Incentive Stock Option), the exercise of the Option is prohibited by applicable law, including a prohibition on purchases or sales of Company Stock under the Company’s insider trading policy, the term of the Option shall be extended for a period of 30 days following the end of the legal prohibition, unless the Committee determines otherwise.</w:t>
      </w:r>
    </w:p>
    <w:p>
      <w:pPr>
        <w:spacing w:after="0" w:line="178" w:lineRule="exact"/>
        <w:rPr>
          <w:rFonts w:ascii="Arial" w:cs="Arial" w:eastAsia="Arial" w:hAnsi="Arial"/>
          <w:sz w:val="17"/>
          <w:szCs w:val="17"/>
          <w:color w:val="auto"/>
        </w:rPr>
      </w:pPr>
    </w:p>
    <w:p>
      <w:pPr>
        <w:jc w:val="both"/>
        <w:ind w:firstLine="1304"/>
        <w:spacing w:after="0" w:line="263" w:lineRule="auto"/>
        <w:tabs>
          <w:tab w:leader="none" w:pos="1591"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Exercisability of Options</w:t>
      </w:r>
      <w:r>
        <w:rPr>
          <w:rFonts w:ascii="Arial" w:cs="Arial" w:eastAsia="Arial" w:hAnsi="Arial"/>
          <w:sz w:val="18"/>
          <w:szCs w:val="18"/>
          <w:color w:val="auto"/>
        </w:rPr>
        <w:t>. Options shall become exercisable in accordance with such terms and conditions, consistent with the Plan, as may be determined by the Committee and specified in the Grant Instrument. The Committee may accelerate the exercisability of any or all outstanding Options at any time for any reason.</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41"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Grants to Non-Exempt Employees</w:t>
      </w:r>
      <w:r>
        <w:rPr>
          <w:rFonts w:ascii="Arial" w:cs="Arial" w:eastAsia="Arial" w:hAnsi="Arial"/>
          <w:sz w:val="18"/>
          <w:szCs w:val="18"/>
          <w:color w:val="auto"/>
        </w:rPr>
        <w:t>. Notwithstanding the foregoing, Options granted to persons who are non-exempt employees under the Fair Labor Standards Act of 1938, as amended, may not be exercisable for at least six months after the date of grant (except that such Options may become exercisable, as determined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35" w:name="page136"/>
    <w:bookmarkEnd w:id="135"/>
    <w:p>
      <w:pPr>
        <w:spacing w:after="0" w:line="277" w:lineRule="auto"/>
        <w:rPr>
          <w:sz w:val="20"/>
          <w:szCs w:val="20"/>
          <w:color w:val="auto"/>
        </w:rPr>
      </w:pPr>
      <w:r>
        <w:rPr>
          <w:rFonts w:ascii="Arial" w:cs="Arial" w:eastAsia="Arial" w:hAnsi="Arial"/>
          <w:sz w:val="18"/>
          <w:szCs w:val="18"/>
          <w:color w:val="auto"/>
        </w:rPr>
        <w:t>Committee, upon the Participant’s death, Disability or retirement, or upon a Change of Control or other circumstances permitted by applicable regulations).</w:t>
      </w:r>
    </w:p>
    <w:p>
      <w:pPr>
        <w:spacing w:after="0" w:line="170" w:lineRule="exact"/>
        <w:rPr>
          <w:sz w:val="20"/>
          <w:szCs w:val="20"/>
          <w:color w:val="auto"/>
        </w:rPr>
      </w:pPr>
    </w:p>
    <w:p>
      <w:pPr>
        <w:jc w:val="both"/>
        <w:ind w:firstLine="1304"/>
        <w:spacing w:after="0" w:line="259" w:lineRule="auto"/>
        <w:tabs>
          <w:tab w:leader="none" w:pos="1548"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Except as provided in the Grant Instrument, an Option may only be exercised while the Participant is employed by, or providing services to, the Employer. The Committee shall determine in the Grant Instrument under what circumstances and during what time periods a Participant may exercise an Option after termination of employment or service.</w:t>
      </w:r>
    </w:p>
    <w:p>
      <w:pPr>
        <w:spacing w:after="0" w:line="186" w:lineRule="exact"/>
        <w:rPr>
          <w:rFonts w:ascii="Arial" w:cs="Arial" w:eastAsia="Arial" w:hAnsi="Arial"/>
          <w:sz w:val="18"/>
          <w:szCs w:val="18"/>
          <w:color w:val="auto"/>
        </w:rPr>
      </w:pPr>
    </w:p>
    <w:p>
      <w:pPr>
        <w:jc w:val="both"/>
        <w:ind w:firstLine="1304"/>
        <w:spacing w:after="0" w:line="291" w:lineRule="auto"/>
        <w:tabs>
          <w:tab w:leader="none" w:pos="1564"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Exercise of Options</w:t>
      </w:r>
      <w:r>
        <w:rPr>
          <w:rFonts w:ascii="Arial" w:cs="Arial" w:eastAsia="Arial" w:hAnsi="Arial"/>
          <w:sz w:val="16"/>
          <w:szCs w:val="16"/>
          <w:color w:val="auto"/>
        </w:rPr>
        <w:t>. A Participant may exercise an Option that has become exercisable, in whole or in part, by delivering a notice of exercise to the Company. The Participant shall pay the Exercise Price for an Option as specified by the Committee</w:t>
      </w:r>
    </w:p>
    <w:p>
      <w:pPr>
        <w:jc w:val="both"/>
        <w:ind w:firstLine="8"/>
        <w:spacing w:after="0" w:line="268" w:lineRule="auto"/>
        <w:tabs>
          <w:tab w:leader="none" w:pos="219"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cash, (ii) unless the Committee determines otherwise, by delivering shares of Company Stock owned by the Participant and having a Fair Market Value on the date of exercise at least equal to the Exercise Price or by attestation (on a form prescribed by the Committee) to ownership of shares of Company Stock having a Fair Market Value on the date of exercise at least equal to the Exercise Price, (iii) by payment through a broker in accordance with procedures permitted by Regulation T of the Federal Reserve Board, (iv) by withholding shares of Company Stock subject to the exercisable Option, which have a Fair Market Value on the date of exercise equal to the Exercise Price, or (v) by such other method as the Committee may approve. Shares of Company Stock used to exercise an Option shall have been held by the Participant for the requisite period of time necessary to avoid adverse accounting consequences to the Company with respect to the Option. Payment for the shares to be issued or transferred pursuant to the Option, and any required withholding taxes, must be received by the Company by the time specified by the Committee depending on the type of payment being made, but in all cases prior to the issuance or transfer of such shares.</w:t>
      </w:r>
    </w:p>
    <w:p>
      <w:pPr>
        <w:spacing w:after="0" w:line="178" w:lineRule="exact"/>
        <w:rPr>
          <w:rFonts w:ascii="Arial" w:cs="Arial" w:eastAsia="Arial" w:hAnsi="Arial"/>
          <w:sz w:val="17"/>
          <w:szCs w:val="17"/>
          <w:color w:val="auto"/>
        </w:rPr>
      </w:pPr>
    </w:p>
    <w:p>
      <w:pPr>
        <w:jc w:val="both"/>
        <w:ind w:firstLine="1304"/>
        <w:spacing w:after="0" w:line="279" w:lineRule="auto"/>
        <w:tabs>
          <w:tab w:leader="none" w:pos="1564"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Limits on Incentive Stock Options</w:t>
      </w:r>
      <w:r>
        <w:rPr>
          <w:rFonts w:ascii="Arial" w:cs="Arial" w:eastAsia="Arial" w:hAnsi="Arial"/>
          <w:sz w:val="17"/>
          <w:szCs w:val="17"/>
          <w:color w:val="auto"/>
        </w:rPr>
        <w:t>. Each Incentive Stock Option shall provide that, if the aggregate Fair Market Value of the Company Stock on the date of the grant with respect to which Incentive Stock Options are exercisable for the first time by a Participant during any calendar year, under the Plan or any other stock option plan of the Company or a parent or subsidiary, exceeds $100,000, then the Option, as to the excess, shall be treated as a Nonqualified Stock Option.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7. Stock Awards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Committee may issue or transfer shares of Company Stock to an Employee, Non-Employee Director or Key Advisor under a Stock Award, upon such terms as the Committee deems appropriate. The following provisions are applicable to Stock Awards:</w:t>
      </w:r>
    </w:p>
    <w:p>
      <w:pPr>
        <w:spacing w:after="0" w:line="124" w:lineRule="exact"/>
        <w:rPr>
          <w:sz w:val="20"/>
          <w:szCs w:val="20"/>
          <w:color w:val="auto"/>
        </w:rPr>
      </w:pPr>
    </w:p>
    <w:p>
      <w:pPr>
        <w:jc w:val="both"/>
        <w:ind w:firstLine="1304"/>
        <w:spacing w:after="0" w:line="255" w:lineRule="auto"/>
        <w:tabs>
          <w:tab w:leader="none" w:pos="1541"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General Requirements</w:t>
      </w:r>
      <w:r>
        <w:rPr>
          <w:rFonts w:ascii="Arial" w:cs="Arial" w:eastAsia="Arial" w:hAnsi="Arial"/>
          <w:sz w:val="18"/>
          <w:szCs w:val="18"/>
          <w:color w:val="auto"/>
        </w:rPr>
        <w:t>. Shares of Company Stock issued or transferred pursuant to Stock Awards may be issued or transferred for consideration or for no consideration, and subject to restrictions or no restrictions, as determined by the Committee. The Committee may, but shall not be required to, establish conditions under which restrictions on Stock Awards shall lapse over a period of time or according to such other criteria as the Committee deems appropriate, including, without limitation, restrictions based upon the achievement of specific performance goals. The period of time during which the Stock Awards will remain subject to restrictions will be designated in the Grant Instrument as the “</w:t>
      </w:r>
      <w:r>
        <w:rPr>
          <w:rFonts w:ascii="Arial" w:cs="Arial" w:eastAsia="Arial" w:hAnsi="Arial"/>
          <w:sz w:val="18"/>
          <w:szCs w:val="18"/>
          <w:u w:val="single" w:color="auto"/>
          <w:color w:val="auto"/>
        </w:rPr>
        <w:t>Restriction Period</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firstLine="1304"/>
        <w:spacing w:after="0" w:line="277" w:lineRule="auto"/>
        <w:tabs>
          <w:tab w:leader="none" w:pos="157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Committee shall determine the number of shares of Company Stock to be issued or transferred pursuant to a Stock Award and the restrictions applicable to such shares.</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1554"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Requirement of Employment or Service</w:t>
      </w:r>
      <w:r>
        <w:rPr>
          <w:rFonts w:ascii="Arial" w:cs="Arial" w:eastAsia="Arial" w:hAnsi="Arial"/>
          <w:sz w:val="18"/>
          <w:szCs w:val="18"/>
          <w:color w:val="auto"/>
        </w:rPr>
        <w:t>. If the Participant ceases to be employed by, or provide service to, the Employer during a period designated in the Grant Instrument as the Restriction Period, or if other specified conditions are not met, the Stock Award shall terminate as to all shares covered by the Grant as to which the restrictions have not lapsed, and those shares of Company Stock must be immediately returned to the Company. The Committee may, however, provide for complete or partial exceptions to this requirement as it deems appropriate.</w:t>
      </w:r>
    </w:p>
    <w:p>
      <w:pPr>
        <w:spacing w:after="0" w:line="187" w:lineRule="exact"/>
        <w:rPr>
          <w:rFonts w:ascii="Arial" w:cs="Arial" w:eastAsia="Arial" w:hAnsi="Arial"/>
          <w:sz w:val="18"/>
          <w:szCs w:val="18"/>
          <w:color w:val="auto"/>
        </w:rPr>
      </w:pPr>
    </w:p>
    <w:p>
      <w:pPr>
        <w:ind w:right="20" w:firstLine="1304"/>
        <w:spacing w:after="0" w:line="277" w:lineRule="auto"/>
        <w:tabs>
          <w:tab w:leader="none" w:pos="1551"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and Legend on Stock Certificate</w:t>
      </w:r>
      <w:r>
        <w:rPr>
          <w:rFonts w:ascii="Arial" w:cs="Arial" w:eastAsia="Arial" w:hAnsi="Arial"/>
          <w:sz w:val="18"/>
          <w:szCs w:val="18"/>
          <w:color w:val="auto"/>
        </w:rPr>
        <w:t>. During the Restriction Period, a Participant may not sell, assign, transfer, pledge or otherwise dispose of the shares of a Stock Award except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597535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36" w:name="page137"/>
    <w:bookmarkEnd w:id="136"/>
    <w:p>
      <w:pPr>
        <w:jc w:val="both"/>
        <w:spacing w:after="0" w:line="296" w:lineRule="auto"/>
        <w:rPr>
          <w:sz w:val="20"/>
          <w:szCs w:val="20"/>
          <w:color w:val="auto"/>
        </w:rPr>
      </w:pPr>
      <w:r>
        <w:rPr>
          <w:rFonts w:ascii="Arial" w:cs="Arial" w:eastAsia="Arial" w:hAnsi="Arial"/>
          <w:sz w:val="16"/>
          <w:szCs w:val="16"/>
          <w:color w:val="auto"/>
        </w:rPr>
        <w:t>Section 17 below. Unless otherwise determined by the Committee, the Company will retain possession of certificates for shares of Stock Awards until all restrictions on such shares have lapsed. Each certificate for a Stock Award, unless held by the Company, shall contain a legend giving appropriate notice of the restrictions in the Grant. The Participant shall be entitled to have the legend removed from the stock certificate covering the shares subject to restrictions when all restrictions on such shares have lapsed. The Committee may determine that the Company will not issue certificates for Stock Awards until all restrictions on such shares have lapsed.</w:t>
      </w:r>
    </w:p>
    <w:p>
      <w:pPr>
        <w:spacing w:after="0" w:line="161" w:lineRule="exact"/>
        <w:rPr>
          <w:sz w:val="20"/>
          <w:szCs w:val="20"/>
          <w:color w:val="auto"/>
        </w:rPr>
      </w:pPr>
    </w:p>
    <w:p>
      <w:pPr>
        <w:jc w:val="both"/>
        <w:ind w:firstLine="1304"/>
        <w:spacing w:after="0" w:line="257" w:lineRule="auto"/>
        <w:tabs>
          <w:tab w:leader="none" w:pos="1541"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Right to Vote and to Receive Dividends</w:t>
      </w:r>
      <w:r>
        <w:rPr>
          <w:rFonts w:ascii="Arial" w:cs="Arial" w:eastAsia="Arial" w:hAnsi="Arial"/>
          <w:sz w:val="18"/>
          <w:szCs w:val="18"/>
          <w:color w:val="auto"/>
        </w:rPr>
        <w:t>. Unless the Committee determines otherwise, during the Restriction Period, the Participant shall have the right to vote shares of Stock Awards and to receive any dividends or other distributions paid on such shares, subject to any restrictions deemed appropriate by the Committee, including, without limitation, the achievement of specific performance goals. Dividends with respect to Stock Awards that vest based on performance shall vest if and to the extent that the underlying Stock Award vests, as determined by the Committee.</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534"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 All restrictions imposed on Stock Awards shall lapse upon the expiration of the applicable Restriction Period and the satisfaction of all conditions, if any, imposed by the Committee. The Committee may determine, as to any or all Stock Awards, that the restrictions shall lapse without regard to any Restriction Period.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8. Stock Units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may grant Stock Units, each of which shall represent one hypothetical share of Company Stock, to an Employee, Non-Employee Director or Key Advisor upon such terms and conditions as the Committee deems appropriate. The following provisions are applicable to Stock Units:</w:t>
      </w:r>
    </w:p>
    <w:p>
      <w:pPr>
        <w:spacing w:after="0" w:line="184" w:lineRule="exact"/>
        <w:rPr>
          <w:sz w:val="20"/>
          <w:szCs w:val="20"/>
          <w:color w:val="auto"/>
        </w:rPr>
      </w:pPr>
    </w:p>
    <w:p>
      <w:pPr>
        <w:jc w:val="both"/>
        <w:ind w:firstLine="1304"/>
        <w:spacing w:after="0" w:line="286" w:lineRule="auto"/>
        <w:tabs>
          <w:tab w:leader="none" w:pos="1541"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Crediting of Units</w:t>
      </w:r>
      <w:r>
        <w:rPr>
          <w:rFonts w:ascii="Arial" w:cs="Arial" w:eastAsia="Arial" w:hAnsi="Arial"/>
          <w:sz w:val="17"/>
          <w:szCs w:val="17"/>
          <w:color w:val="auto"/>
        </w:rPr>
        <w:t>. Each Stock Unit shall represent the right of the Participant to receive a share of Company Stock or an amount of cash based on the value of a share of Company Stock, if and when specified conditions are met. All Stock Units shall be credited to bookkeeping accounts established on the Company’s records for purposes of the Plan.</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1564"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Terms of Stock Units</w:t>
      </w:r>
      <w:r>
        <w:rPr>
          <w:rFonts w:ascii="Arial" w:cs="Arial" w:eastAsia="Arial" w:hAnsi="Arial"/>
          <w:sz w:val="18"/>
          <w:szCs w:val="18"/>
          <w:color w:val="auto"/>
        </w:rPr>
        <w:t>. The Committee may grant Stock Units that vest and are payable if specified performance goals or other conditions are met, or under other circumstances. Stock Units may be paid at the end of a specified performance period or other period, or payment may be deferred to a date authorized by the Committee. The Committee shall determine the number of Stock Units to be granted and the requirements applicable to such Stock Units.</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54"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Requirement of Employment or Service</w:t>
      </w:r>
      <w:r>
        <w:rPr>
          <w:rFonts w:ascii="Arial" w:cs="Arial" w:eastAsia="Arial" w:hAnsi="Arial"/>
          <w:sz w:val="18"/>
          <w:szCs w:val="18"/>
          <w:color w:val="auto"/>
        </w:rPr>
        <w:t>. If the Participant ceases to be employed by, or provide service to, the Employer prior to the vesting of Stock Units, or if other conditions established by the Committee are not met, the Participant’s Stock Units shall be forfeited. The Committee may, however, provide for complete or partial exceptions to this requirement as it deems appropriate.</w:t>
      </w:r>
    </w:p>
    <w:p>
      <w:pPr>
        <w:spacing w:after="0" w:line="186" w:lineRule="exact"/>
        <w:rPr>
          <w:rFonts w:ascii="Arial" w:cs="Arial" w:eastAsia="Arial" w:hAnsi="Arial"/>
          <w:sz w:val="18"/>
          <w:szCs w:val="18"/>
          <w:color w:val="auto"/>
        </w:rPr>
      </w:pPr>
    </w:p>
    <w:p>
      <w:pPr>
        <w:ind w:firstLine="1304"/>
        <w:spacing w:after="0" w:line="277" w:lineRule="auto"/>
        <w:tabs>
          <w:tab w:leader="none" w:pos="155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Payment With Respect to Stock Units</w:t>
      </w:r>
      <w:r>
        <w:rPr>
          <w:rFonts w:ascii="Arial" w:cs="Arial" w:eastAsia="Arial" w:hAnsi="Arial"/>
          <w:sz w:val="18"/>
          <w:szCs w:val="18"/>
          <w:color w:val="auto"/>
        </w:rPr>
        <w:t>. Payments with respect to Stock Units shall be made in cash, Company Stock or any combination of the foregoing, as the Committee shall determine.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9. Stock Appreciation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Committee may grant SARs to an Employee, Non-Employee Director or Key Advisor separately or in tandem with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Option. The following provisions are applicable to SARs:</w:t>
      </w:r>
    </w:p>
    <w:p>
      <w:pPr>
        <w:spacing w:after="0" w:line="211" w:lineRule="exact"/>
        <w:rPr>
          <w:sz w:val="20"/>
          <w:szCs w:val="20"/>
          <w:color w:val="auto"/>
        </w:rPr>
      </w:pPr>
    </w:p>
    <w:p>
      <w:pPr>
        <w:jc w:val="both"/>
        <w:ind w:firstLine="1304"/>
        <w:spacing w:after="0" w:line="296" w:lineRule="auto"/>
        <w:tabs>
          <w:tab w:leader="none" w:pos="1541"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General Requirements</w:t>
      </w:r>
      <w:r>
        <w:rPr>
          <w:rFonts w:ascii="Arial" w:cs="Arial" w:eastAsia="Arial" w:hAnsi="Arial"/>
          <w:sz w:val="16"/>
          <w:szCs w:val="16"/>
          <w:color w:val="auto"/>
        </w:rPr>
        <w:t>. The Committee may grant SARs to an Employee, Non-Employee Director or Key Advisor separately or in tandem with any Option (for all or a portion of the applicable Option). Tandem SARs may be granted either at the time the Option is granted or at any time thereafter while the Option remains outstanding; provided, however, that, in the case of an Incentive Stock Option, SARs may be granted only at the time of the grant of the Incentive Stock Option. The Committee shall establish the base amount of the SAR at the time the SAR is granted. The base amount of each SAR shall be equal to or greater than the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591820</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37" w:name="page138"/>
    <w:bookmarkEnd w:id="137"/>
    <w:p>
      <w:pPr>
        <w:jc w:val="both"/>
        <w:spacing w:after="0" w:line="301" w:lineRule="auto"/>
        <w:rPr>
          <w:sz w:val="20"/>
          <w:szCs w:val="20"/>
          <w:color w:val="auto"/>
        </w:rPr>
      </w:pPr>
      <w:r>
        <w:rPr>
          <w:rFonts w:ascii="Arial" w:cs="Arial" w:eastAsia="Arial" w:hAnsi="Arial"/>
          <w:sz w:val="16"/>
          <w:szCs w:val="16"/>
          <w:color w:val="auto"/>
        </w:rPr>
        <w:t>of a share of Company Stock as of the date of grant of the SAR. The term of any SAR shall not exceed ten years from the date of grant. Notwithstanding the foregoing, in the event that on the last business day of the term of a SAR, the exercise of the SAR is prohibited by applicable law, including a prohibition on purchases or sales of Company Stock under the Company’s insider trading policy, the term shall be extended for a period of 30 days following the end of the legal prohibition, unless the Committee determines otherwise.</w:t>
      </w:r>
    </w:p>
    <w:p>
      <w:pPr>
        <w:spacing w:after="0" w:line="157" w:lineRule="exact"/>
        <w:rPr>
          <w:sz w:val="20"/>
          <w:szCs w:val="20"/>
          <w:color w:val="auto"/>
        </w:rPr>
      </w:pPr>
    </w:p>
    <w:p>
      <w:pPr>
        <w:jc w:val="both"/>
        <w:ind w:firstLine="1304"/>
        <w:spacing w:after="0" w:line="257" w:lineRule="auto"/>
        <w:tabs>
          <w:tab w:leader="none" w:pos="1551"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Tandem SARs</w:t>
      </w:r>
      <w:r>
        <w:rPr>
          <w:rFonts w:ascii="Arial" w:cs="Arial" w:eastAsia="Arial" w:hAnsi="Arial"/>
          <w:sz w:val="18"/>
          <w:szCs w:val="18"/>
          <w:color w:val="auto"/>
        </w:rPr>
        <w:t>. In the case of tandem SARs, the number of SARs granted to a Participant that shall be exercisable during a specified period shall not exceed the number of shares of Company Stock that the Participant may purchase upon the exercise of the related Option during such period. Upon the exercise of an Option, the SARs relating to the Company Stock covered by such Option shall terminate. Upon the exercise of SARs, the related Option shall terminate to the extent of an equal number of shares of Company Stock.</w:t>
      </w:r>
    </w:p>
    <w:p>
      <w:pPr>
        <w:spacing w:after="0" w:line="187" w:lineRule="exact"/>
        <w:rPr>
          <w:rFonts w:ascii="Arial" w:cs="Arial" w:eastAsia="Arial" w:hAnsi="Arial"/>
          <w:sz w:val="18"/>
          <w:szCs w:val="18"/>
          <w:color w:val="auto"/>
        </w:rPr>
      </w:pPr>
    </w:p>
    <w:p>
      <w:pPr>
        <w:jc w:val="both"/>
        <w:ind w:firstLine="1304"/>
        <w:spacing w:after="0" w:line="296" w:lineRule="auto"/>
        <w:tabs>
          <w:tab w:leader="none" w:pos="1541"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Exercisability</w:t>
      </w:r>
      <w:r>
        <w:rPr>
          <w:rFonts w:ascii="Arial" w:cs="Arial" w:eastAsia="Arial" w:hAnsi="Arial"/>
          <w:sz w:val="16"/>
          <w:szCs w:val="16"/>
          <w:color w:val="auto"/>
        </w:rPr>
        <w:t>. An SAR shall be exercisable during the period specified by the Committee in the Grant Instrument and shall be subject to such vesting and other restrictions as may be specified in the Grant Instrument. The Committee may accelerate the exercisability of any or all outstanding SARs at any time for any reason. SARs may only be exercised while the Participant is employed by, or providing service to, the Employer or during the applicable period after termination of employment or service as specified by the Committee. A tandem SAR shall be exercisable only during the period when the Option to which it is related is also exercisable.</w:t>
      </w:r>
    </w:p>
    <w:p>
      <w:pPr>
        <w:spacing w:after="0" w:line="161" w:lineRule="exact"/>
        <w:rPr>
          <w:rFonts w:ascii="Arial" w:cs="Arial" w:eastAsia="Arial" w:hAnsi="Arial"/>
          <w:sz w:val="16"/>
          <w:szCs w:val="16"/>
          <w:color w:val="auto"/>
        </w:rPr>
      </w:pPr>
    </w:p>
    <w:p>
      <w:pPr>
        <w:jc w:val="both"/>
        <w:ind w:firstLine="1304"/>
        <w:spacing w:after="0" w:line="279" w:lineRule="auto"/>
        <w:tabs>
          <w:tab w:leader="none" w:pos="1551"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Grants to Non-Exempt Employees</w:t>
      </w:r>
      <w:r>
        <w:rPr>
          <w:rFonts w:ascii="Arial" w:cs="Arial" w:eastAsia="Arial" w:hAnsi="Arial"/>
          <w:sz w:val="17"/>
          <w:szCs w:val="17"/>
          <w:color w:val="auto"/>
        </w:rPr>
        <w:t>. Notwithstanding the foregoing, SARs granted to persons who are non-exempt employees under the Fair Labor Standards Act of 1938, as amended, may not be exercisable for at least six months after the date of grant (except that such SARs may become exercisable, as determined by the Committee, upon the Participant’s death, Disability or retirement, or upon a Change of Control or other circumstances permitted by applicable regulations).</w:t>
      </w:r>
    </w:p>
    <w:p>
      <w:pPr>
        <w:spacing w:after="0" w:line="171" w:lineRule="exact"/>
        <w:rPr>
          <w:rFonts w:ascii="Arial" w:cs="Arial" w:eastAsia="Arial" w:hAnsi="Arial"/>
          <w:sz w:val="17"/>
          <w:szCs w:val="17"/>
          <w:color w:val="auto"/>
        </w:rPr>
      </w:pPr>
    </w:p>
    <w:p>
      <w:pPr>
        <w:jc w:val="both"/>
        <w:ind w:firstLine="1304"/>
        <w:spacing w:after="0" w:line="259" w:lineRule="auto"/>
        <w:tabs>
          <w:tab w:leader="none" w:pos="1554"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Value of SARs</w:t>
      </w:r>
      <w:r>
        <w:rPr>
          <w:rFonts w:ascii="Arial" w:cs="Arial" w:eastAsia="Arial" w:hAnsi="Arial"/>
          <w:sz w:val="18"/>
          <w:szCs w:val="18"/>
          <w:color w:val="auto"/>
        </w:rPr>
        <w:t>. When a Participant exercises SARs, the Participant shall receive in settlement of such SARs an amount equal to the value of the stock appreciation for the number of SARs exercised. The stock appreciation for an SAR is the amount by which the Fair Market Value of the underlying Company Stock on the date of exercise of the SAR exceeds the base amount of the SAR as described in subsection (a).</w:t>
      </w:r>
    </w:p>
    <w:p>
      <w:pPr>
        <w:spacing w:after="0" w:line="186" w:lineRule="exact"/>
        <w:rPr>
          <w:rFonts w:ascii="Arial" w:cs="Arial" w:eastAsia="Arial" w:hAnsi="Arial"/>
          <w:sz w:val="18"/>
          <w:szCs w:val="18"/>
          <w:color w:val="auto"/>
        </w:rPr>
      </w:pPr>
    </w:p>
    <w:p>
      <w:pPr>
        <w:jc w:val="both"/>
        <w:ind w:firstLine="1304"/>
        <w:spacing w:after="0" w:line="286" w:lineRule="auto"/>
        <w:tabs>
          <w:tab w:leader="none" w:pos="1521"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Form of Payment</w:t>
      </w:r>
      <w:r>
        <w:rPr>
          <w:rFonts w:ascii="Arial" w:cs="Arial" w:eastAsia="Arial" w:hAnsi="Arial"/>
          <w:sz w:val="17"/>
          <w:szCs w:val="17"/>
          <w:color w:val="auto"/>
        </w:rPr>
        <w:t>. The appreciation in an SAR shall be paid in shares of Company Stock, cash or any combination of the foregoing, as the Committee shall determine. For purposes of calculating the number of shares of Company Stock to be received, shares of Company Stock shall be valued at their Fair Market Value on the date of exercise of the SAR.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10. Other Stock-Based Awards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Committee may grant Other Stock-Based Awards, which are awards (other than those described in Sections 6, 7, 8 and 9 of the Plan) that are based on or measured by Company Stock, to any Employee, Non-Employee Director or Key Advisor, on such terms and conditions as the Committee shall determine. Other Stock-Based Awards may be awarded subject to the achievement of performance goals or other conditions and may be payable in cash, Company Stock or any combination of the foregoing, as the Committee shall determine.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11. Cash Awards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may grant Cash Awards to Employees who are executive officers and other key employees of the Company. The Committee shall determine the terms and conditions applicable to Cash Awards, including the criteria for the vesting and payment of Cash Awards. Cash Awards shall be based on such measures as the Committee deems appropriate and need not relate to the value of shares of Company Stock.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12. Dividend Equivalents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may grant Dividend Equivalents in connection with Stock Units or Other Stock-Based Awards. Dividend Equivalents may be paid currently or accrued as contingent cash obligations and may be payable in cash or shares of Company Stock, and upon such terms and conditions as the Committee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38" w:name="page139"/>
    <w:bookmarkEnd w:id="138"/>
    <w:p>
      <w:pPr>
        <w:jc w:val="both"/>
        <w:spacing w:after="0" w:line="277" w:lineRule="auto"/>
        <w:rPr>
          <w:sz w:val="20"/>
          <w:szCs w:val="20"/>
          <w:color w:val="auto"/>
        </w:rPr>
      </w:pPr>
      <w:r>
        <w:rPr>
          <w:rFonts w:ascii="Arial" w:cs="Arial" w:eastAsia="Arial" w:hAnsi="Arial"/>
          <w:sz w:val="18"/>
          <w:szCs w:val="18"/>
          <w:color w:val="auto"/>
        </w:rPr>
        <w:t>Dividend Equivalents that vest based on performance shall vest and be paid only if and to the extent the underlying Stock Units or Other Stock-Based Awards vest and are paid, as determined by the Committee.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13. Qualified Performance-Based Compensation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Committee may determine that Stock Awards, Stock Units, Other Stock-Based Awards, Cash Awards and Dividend Equivalents granted to an Employee shall be considered “qualified performance-based compensation” under section 162(m) of the Code (“Performance-Based Grants”). The following provisions shall apply to Stock Awards, Stock Units, Other Stock-Based Awards, Cash Awards and Dividend Equivalents that are to be considered Performance-Based Grants:</w:t>
      </w:r>
    </w:p>
    <w:p>
      <w:pPr>
        <w:spacing w:after="0" w:line="171" w:lineRule="exact"/>
        <w:rPr>
          <w:sz w:val="20"/>
          <w:szCs w:val="20"/>
          <w:color w:val="auto"/>
        </w:rPr>
      </w:pPr>
    </w:p>
    <w:p>
      <w:pPr>
        <w:ind w:left="1540" w:hanging="236"/>
        <w:spacing w:after="0"/>
        <w:tabs>
          <w:tab w:leader="none" w:pos="154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Performance Goals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9" w:lineRule="auto"/>
        <w:tabs>
          <w:tab w:leader="none" w:pos="2177" w:val="left"/>
        </w:tabs>
        <w:numPr>
          <w:ilvl w:val="2"/>
          <w:numId w:val="93"/>
        </w:numPr>
        <w:rPr>
          <w:rFonts w:ascii="Arial" w:cs="Arial" w:eastAsia="Arial" w:hAnsi="Arial"/>
          <w:sz w:val="18"/>
          <w:szCs w:val="18"/>
          <w:color w:val="auto"/>
        </w:rPr>
      </w:pPr>
      <w:r>
        <w:rPr>
          <w:rFonts w:ascii="Arial" w:cs="Arial" w:eastAsia="Arial" w:hAnsi="Arial"/>
          <w:sz w:val="18"/>
          <w:szCs w:val="18"/>
          <w:color w:val="auto"/>
        </w:rPr>
        <w:t>When Performance-Based Grants are granted, the Committee shall establish in writing (A) the objective performance goals that must be met, (B) the performance period during which the performance will be measured, (C) the maximum amounts that may be paid if the performance goals are met, and (D) any other conditions that the Committee deems appropriate and consistent with the Plan and section 162(m) of the Code.</w:t>
      </w:r>
    </w:p>
    <w:p>
      <w:pPr>
        <w:spacing w:after="0" w:line="186" w:lineRule="exact"/>
        <w:rPr>
          <w:rFonts w:ascii="Arial" w:cs="Arial" w:eastAsia="Arial" w:hAnsi="Arial"/>
          <w:sz w:val="18"/>
          <w:szCs w:val="18"/>
          <w:color w:val="auto"/>
        </w:rPr>
      </w:pPr>
    </w:p>
    <w:p>
      <w:pPr>
        <w:jc w:val="both"/>
        <w:ind w:firstLine="1952"/>
        <w:spacing w:after="0" w:line="284" w:lineRule="auto"/>
        <w:tabs>
          <w:tab w:leader="none" w:pos="2225" w:val="left"/>
        </w:tabs>
        <w:numPr>
          <w:ilvl w:val="2"/>
          <w:numId w:val="93"/>
        </w:numPr>
        <w:rPr>
          <w:rFonts w:ascii="Arial" w:cs="Arial" w:eastAsia="Arial" w:hAnsi="Arial"/>
          <w:sz w:val="16"/>
          <w:szCs w:val="16"/>
          <w:color w:val="auto"/>
        </w:rPr>
      </w:pPr>
      <w:r>
        <w:rPr>
          <w:rFonts w:ascii="Arial" w:cs="Arial" w:eastAsia="Arial" w:hAnsi="Arial"/>
          <w:sz w:val="16"/>
          <w:szCs w:val="16"/>
          <w:color w:val="auto"/>
        </w:rPr>
        <w:t>The performance goals may be established on an absolute or relative basis and may be established on a corporate-wide basis or with respect to one or more business units, divisions, subsidiaries or business segments. Relative performance may be measured against a group of peer companies, a financial market index or other objective and quantifiable indices. The Committee shall use objectively determinable performance goals based on one or more of the following criteria: cash flow; earnings (including gross margin, earnings before interest and taxes, earnings before taxes, earnings before interest, taxes, depreciation, amortization and charges for stock-based compensation, earnings before interest, taxes, depreciation and amortization, and net earnings); earnings per share; growth in earnings or earnings per share; stock price; return on equity or average stockholder equity; total stockholder return or growth in total stockholder return either directly or in relation to a comparative group; return on capital; return on assets or net assets; revenue, growth in revenue or return on sales; income or net income; operating income, net operating income or net operating income after tax; operating profit or net operating profit; operating margin; return on operating revenue or return on operating profit; regulatory filings; regulatory approvals, litigation and regulatory resolution goals; other operational, regulatory or departmental objectives; budget comparisons; growth in stockholder value relative to established indexes, or another peer group or peer group index; development and implementation of strategic plans and/or organizational restructuring goals; development and implementation of risk and crisis management programs; improvement in workforce diversity; compliance requirements and compliance relief; safety goals; productivity goals; workforce management and succession planning goals; economic value added (including typical adjustments consistently applied from generally accepted accounting principles required to determine economic value added performance measures); measures of customer satisfaction, employee satisfaction or staff development; development or marketing collaborations, formations of joint ventures or partnerships or the completion of other similar transactions intended to enhance the Corporation’s revenue or profitability or enhance its customer base; merger and acquisitions; licensing transactions; intellectual property milestones; clinical trial progress milestones; scientific publication milestones; research and development milestones; financing milestones; strategic partnership milestones; and other similar criteria consistent with the foregoing. Any performance criteria that are financial metrics may be determined in accordance with GAAP, or may be adjusted when established to include or exclude any items otherwise includable or excludable under GAAP.</w:t>
      </w:r>
    </w:p>
    <w:p>
      <w:pPr>
        <w:spacing w:after="0" w:line="178" w:lineRule="exact"/>
        <w:rPr>
          <w:rFonts w:ascii="Arial" w:cs="Arial" w:eastAsia="Arial" w:hAnsi="Arial"/>
          <w:sz w:val="16"/>
          <w:szCs w:val="16"/>
          <w:color w:val="auto"/>
        </w:rPr>
      </w:pPr>
    </w:p>
    <w:p>
      <w:pPr>
        <w:jc w:val="both"/>
        <w:ind w:firstLine="1952"/>
        <w:spacing w:after="0" w:line="284" w:lineRule="auto"/>
        <w:tabs>
          <w:tab w:leader="none" w:pos="2264" w:val="left"/>
        </w:tabs>
        <w:numPr>
          <w:ilvl w:val="2"/>
          <w:numId w:val="93"/>
        </w:numPr>
        <w:rPr>
          <w:rFonts w:ascii="Arial" w:cs="Arial" w:eastAsia="Arial" w:hAnsi="Arial"/>
          <w:sz w:val="16"/>
          <w:szCs w:val="16"/>
          <w:color w:val="auto"/>
        </w:rPr>
      </w:pPr>
      <w:r>
        <w:rPr>
          <w:rFonts w:ascii="Arial" w:cs="Arial" w:eastAsia="Arial" w:hAnsi="Arial"/>
          <w:sz w:val="16"/>
          <w:szCs w:val="16"/>
          <w:color w:val="auto"/>
        </w:rPr>
        <w:t>In establishing performance goals, the Committee may, no later than the date on which such performance goals are to be established in accordance with Section 13(b) below, provide for the exclusion of the effects of items such as the following, to the extent identified in the audited financial statements of the Company, including footnotes, in the Management Discussion and Analysis of Financial Condition and Results of Operations accompanying such financial statements, or as otherwise specified by the Committee: (A) restructurings, discontinued operations, extraordinary items, and other unusual, infrequent or non-recurring charges or events, (B) asset write-downs, (C) significant litigation or claim judgments or settlements, (D) acquisitions or divestitures, (E) any reorganization or change in the corporate structure or capital structure of the Company, (F) an event either not directly related to the operations of the Company, subsidiary, division, business segment or business unit or not within the reasonable control of management,</w:t>
      </w:r>
    </w:p>
    <w:p>
      <w:pPr>
        <w:ind w:left="300" w:hanging="292"/>
        <w:spacing w:after="0"/>
        <w:tabs>
          <w:tab w:leader="none" w:pos="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foreign exchange gains and losses, (H) a change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39" w:name="page140"/>
    <w:bookmarkEnd w:id="139"/>
    <w:p>
      <w:pPr>
        <w:spacing w:after="0" w:line="277" w:lineRule="auto"/>
        <w:rPr>
          <w:sz w:val="20"/>
          <w:szCs w:val="20"/>
          <w:color w:val="auto"/>
        </w:rPr>
      </w:pPr>
      <w:r>
        <w:rPr>
          <w:rFonts w:ascii="Arial" w:cs="Arial" w:eastAsia="Arial" w:hAnsi="Arial"/>
          <w:sz w:val="18"/>
          <w:szCs w:val="18"/>
          <w:color w:val="auto"/>
        </w:rPr>
        <w:t>fiscal year of the Company, (I) the cumulative effects of tax or accounting changes in accordance with GAAP, or (J) the effect of changes in other laws or regulatory rules affecting reported results.</w:t>
      </w:r>
    </w:p>
    <w:p>
      <w:pPr>
        <w:spacing w:after="0" w:line="170" w:lineRule="exact"/>
        <w:rPr>
          <w:sz w:val="20"/>
          <w:szCs w:val="20"/>
          <w:color w:val="auto"/>
        </w:rPr>
      </w:pPr>
    </w:p>
    <w:p>
      <w:pPr>
        <w:jc w:val="both"/>
        <w:ind w:firstLine="1304"/>
        <w:spacing w:after="0" w:line="290" w:lineRule="auto"/>
        <w:tabs>
          <w:tab w:leader="none" w:pos="155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Establishment of Goals</w:t>
      </w:r>
      <w:r>
        <w:rPr>
          <w:rFonts w:ascii="Arial" w:cs="Arial" w:eastAsia="Arial" w:hAnsi="Arial"/>
          <w:sz w:val="16"/>
          <w:szCs w:val="16"/>
          <w:color w:val="auto"/>
        </w:rPr>
        <w:t>. The Committee shall establish the performance goals in writing either before the beginning of the performance period or during a period ending no later than the earlier of (i) 90 days after the beginning of the performance period or (ii) the date on which 25% of the performance period has been completed, or such other date as may be required or permitted under applicable regulations under section 162(m) of the Code. The performance goals shall satisfy the requirements for “qualified performance-based compensation,” including the requirement that the achievement of the goals be substantially uncertain at the time they are established and that the goals be established in such a way that a third party with knowledge of the relevant facts could determine whether and to what extent the performance goals have been met. The Committee shall not have discretion to increase the amount of compensation that is payable upon achievement of the designated performance goals.</w:t>
      </w:r>
    </w:p>
    <w:p>
      <w:pPr>
        <w:spacing w:after="0" w:line="165" w:lineRule="exact"/>
        <w:rPr>
          <w:rFonts w:ascii="Arial" w:cs="Arial" w:eastAsia="Arial" w:hAnsi="Arial"/>
          <w:sz w:val="16"/>
          <w:szCs w:val="16"/>
          <w:color w:val="auto"/>
        </w:rPr>
      </w:pPr>
    </w:p>
    <w:p>
      <w:pPr>
        <w:jc w:val="both"/>
        <w:ind w:firstLine="1304"/>
        <w:spacing w:after="0" w:line="286" w:lineRule="auto"/>
        <w:tabs>
          <w:tab w:leader="none" w:pos="1554"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Certification of Results</w:t>
      </w:r>
      <w:r>
        <w:rPr>
          <w:rFonts w:ascii="Arial" w:cs="Arial" w:eastAsia="Arial" w:hAnsi="Arial"/>
          <w:sz w:val="17"/>
          <w:szCs w:val="17"/>
          <w:color w:val="auto"/>
        </w:rPr>
        <w:t>. The Committee shall certify achievement of the performance goals after the end of the applicable performance period. If and to the extent that the Committee does not certify that the performance goals have been met, the Performance-Based Grants granted for the performance period shall be forfeited or shall not be made or paid, as applicable.</w:t>
      </w:r>
    </w:p>
    <w:p>
      <w:pPr>
        <w:spacing w:after="0" w:line="165" w:lineRule="exact"/>
        <w:rPr>
          <w:rFonts w:ascii="Arial" w:cs="Arial" w:eastAsia="Arial" w:hAnsi="Arial"/>
          <w:sz w:val="17"/>
          <w:szCs w:val="17"/>
          <w:color w:val="auto"/>
        </w:rPr>
      </w:pPr>
    </w:p>
    <w:p>
      <w:pPr>
        <w:jc w:val="both"/>
        <w:ind w:firstLine="1304"/>
        <w:spacing w:after="0" w:line="311" w:lineRule="auto"/>
        <w:tabs>
          <w:tab w:leader="none" w:pos="1564"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Death, Disability or Other Circumstances</w:t>
      </w:r>
      <w:r>
        <w:rPr>
          <w:rFonts w:ascii="Arial" w:cs="Arial" w:eastAsia="Arial" w:hAnsi="Arial"/>
          <w:sz w:val="16"/>
          <w:szCs w:val="16"/>
          <w:color w:val="auto"/>
        </w:rPr>
        <w:t>. The Committee may provide that Performance-Based Grants shall be payable or restrictions on such Grants shall lapse, in whole or in part, in the event of the Participant’s death or Disability, on or after a Change of Control, or under other circumstances consistent with the Treasury regulations and rulings under section 162(m) of the Code.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14. Consequences of a Change of Control</w:t>
      </w:r>
    </w:p>
    <w:p>
      <w:pPr>
        <w:spacing w:after="0" w:line="225" w:lineRule="exact"/>
        <w:rPr>
          <w:sz w:val="20"/>
          <w:szCs w:val="20"/>
          <w:color w:val="auto"/>
        </w:rPr>
      </w:pPr>
    </w:p>
    <w:p>
      <w:pPr>
        <w:jc w:val="both"/>
        <w:ind w:firstLine="1304"/>
        <w:spacing w:after="0" w:line="296" w:lineRule="auto"/>
        <w:tabs>
          <w:tab w:leader="none" w:pos="1541"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Assumption of Outstanding Grants</w:t>
      </w:r>
      <w:r>
        <w:rPr>
          <w:rFonts w:ascii="Arial" w:cs="Arial" w:eastAsia="Arial" w:hAnsi="Arial"/>
          <w:sz w:val="16"/>
          <w:szCs w:val="16"/>
          <w:color w:val="auto"/>
        </w:rPr>
        <w:t>. Upon a Change of Control where the Company is not the surviving corporation (or survives only as a subsidiary of another corporation), unless the Committee determines otherwise, all outstanding Grants that are not exercised or paid at the time of the Change of Control shall be assumed by, or replaced with grants that have comparable terms by, the surviving corporation (or a parent or subsidiary of the surviving corporation). After a Change of Control, references to the “Company” as they relate to employment matters shall include the successor employer in the transaction, subject to applicable law.</w:t>
      </w:r>
    </w:p>
    <w:p>
      <w:pPr>
        <w:spacing w:after="0" w:line="161" w:lineRule="exact"/>
        <w:rPr>
          <w:rFonts w:ascii="Arial" w:cs="Arial" w:eastAsia="Arial" w:hAnsi="Arial"/>
          <w:sz w:val="16"/>
          <w:szCs w:val="16"/>
          <w:color w:val="auto"/>
        </w:rPr>
      </w:pPr>
    </w:p>
    <w:p>
      <w:pPr>
        <w:jc w:val="both"/>
        <w:ind w:firstLine="1304"/>
        <w:spacing w:after="0" w:line="257" w:lineRule="auto"/>
        <w:tabs>
          <w:tab w:leader="none" w:pos="1605"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Vesting Upon Certain Terminations of Employment</w:t>
      </w:r>
      <w:r>
        <w:rPr>
          <w:rFonts w:ascii="Arial" w:cs="Arial" w:eastAsia="Arial" w:hAnsi="Arial"/>
          <w:sz w:val="18"/>
          <w:szCs w:val="18"/>
          <w:color w:val="auto"/>
        </w:rPr>
        <w:t>. Unless the Grant Instrument provides otherwise, if a Participant’s employment is terminated by the Company without Cause upon or within 12 months following a Change of Control, the Participant’s outstanding Grants shall become fully vested as of the date of such termination; provided that if the vesting of any such Grants is based, in whole or in part, on performance, the applicable Grant Instrument shall specify how the portion of the Grant that becomes vested pursuant to this Section 14(b) shall be calculated.</w:t>
      </w:r>
    </w:p>
    <w:p>
      <w:pPr>
        <w:spacing w:after="0" w:line="187" w:lineRule="exact"/>
        <w:rPr>
          <w:rFonts w:ascii="Arial" w:cs="Arial" w:eastAsia="Arial" w:hAnsi="Arial"/>
          <w:sz w:val="18"/>
          <w:szCs w:val="18"/>
          <w:color w:val="auto"/>
        </w:rPr>
      </w:pPr>
    </w:p>
    <w:p>
      <w:pPr>
        <w:jc w:val="both"/>
        <w:ind w:firstLine="1304"/>
        <w:spacing w:after="0" w:line="286" w:lineRule="auto"/>
        <w:tabs>
          <w:tab w:leader="none" w:pos="1541"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Other Alternatives</w:t>
      </w:r>
      <w:r>
        <w:rPr>
          <w:rFonts w:ascii="Arial" w:cs="Arial" w:eastAsia="Arial" w:hAnsi="Arial"/>
          <w:sz w:val="16"/>
          <w:szCs w:val="16"/>
          <w:color w:val="auto"/>
        </w:rPr>
        <w:t>. In the event of a Change of Control, if any outstanding Grants are not assumed by, or replaced with grants that have comparable terms by, the surviving corporation (or a parent or subsidiary of the surviving corporation), the Committee may take any of the following actions with respect to any or all outstanding Grants, without the consent of any Participant: (i) the Committee may determine that outstanding Stock Options and SARs shall automatically accelerate and become fully exercisable and the restrictions and conditions on outstanding Stock Awards, Stock Units, Cash Awards and Dividend Equivalents shall immediately lapse; (ii) the Committee may determine that Participants shall receive a payment in settlement of outstanding Stock Units, Cash Awards or Dividend Equivalents, in such amount and form as may be determined by the Committee; (ii) the Committee may require that Participants surrender their outstanding Stock Options and SARs in exchange for a payment by the Company, in cash or Company Stock as determined by the Committee, in an amount equal to the amount, if any, by which the then Fair Market Value of the shares of Company Stock subject to the Participant’s unexercised Stock Options and SARs exceeds the Stock Option Exercise Price or SAR base amount, and (iv) after giving Participants an opportunity to exercise all of their outstanding Stock Options and SARs, the Committee may terminate any or all unexercised Stock Options and SARs at such time as the Committee deems appropriate. Such surrender, termination or payment shall take place as of the date of the Change of Control or such other date as the Committee may specify. Without limiting the foregoing, if the per share Fair Market Value of the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597535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40" w:name="page141"/>
    <w:bookmarkEnd w:id="140"/>
    <w:p>
      <w:pPr>
        <w:jc w:val="both"/>
        <w:spacing w:after="0" w:line="277" w:lineRule="auto"/>
        <w:rPr>
          <w:sz w:val="20"/>
          <w:szCs w:val="20"/>
          <w:color w:val="auto"/>
        </w:rPr>
      </w:pPr>
      <w:r>
        <w:rPr>
          <w:rFonts w:ascii="Arial" w:cs="Arial" w:eastAsia="Arial" w:hAnsi="Arial"/>
          <w:sz w:val="18"/>
          <w:szCs w:val="18"/>
          <w:color w:val="auto"/>
        </w:rPr>
        <w:t>does not exceed the per share Stock Option Exercise Price or SAR base amount, as applicable, the Company shall not be required to make any payment to the participant upon surrender of the Stock Option or SAR.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15. Deferrals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Committee may permit or require a Participant to defer receipt of the payment of cash or the delivery of shares that would otherwise be due to such Participant in connection with any Grant. If any such deferral election is permitted or required, the Committee shall establish rules and procedures for such deferrals and may provide for interest or other earnings to be paid on such deferrals. The rules and procedures for any such deferrals shall be consistent with applicable requirements of section 409A of the Code.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16. Withholding of Taxes</w:t>
      </w:r>
    </w:p>
    <w:p>
      <w:pPr>
        <w:spacing w:after="0" w:line="225" w:lineRule="exact"/>
        <w:rPr>
          <w:sz w:val="20"/>
          <w:szCs w:val="20"/>
          <w:color w:val="auto"/>
        </w:rPr>
      </w:pPr>
    </w:p>
    <w:p>
      <w:pPr>
        <w:jc w:val="both"/>
        <w:ind w:firstLine="1304"/>
        <w:spacing w:after="0" w:line="257" w:lineRule="auto"/>
        <w:tabs>
          <w:tab w:leader="none" w:pos="155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Required Withholding</w:t>
      </w:r>
      <w:r>
        <w:rPr>
          <w:rFonts w:ascii="Arial" w:cs="Arial" w:eastAsia="Arial" w:hAnsi="Arial"/>
          <w:sz w:val="18"/>
          <w:szCs w:val="18"/>
          <w:color w:val="auto"/>
        </w:rPr>
        <w:t>. All Grants under the Plan shall be subject to applicable United States federal (including FICA), state and local, foreign country or other tax withholding requirements. The Employer may require that the Participant or other person receiving Grants or exercising Grants pay to the Employer an amount sufficient to satisfy such tax withholding requirements with respect to such Grants, or the Employer may deduct from other wages and compensation paid by the Employer the amount of any withholding taxes due with respect to such Grants.</w:t>
      </w:r>
    </w:p>
    <w:p>
      <w:pPr>
        <w:spacing w:after="0" w:line="187" w:lineRule="exact"/>
        <w:rPr>
          <w:rFonts w:ascii="Arial" w:cs="Arial" w:eastAsia="Arial" w:hAnsi="Arial"/>
          <w:sz w:val="18"/>
          <w:szCs w:val="18"/>
          <w:color w:val="auto"/>
        </w:rPr>
      </w:pPr>
    </w:p>
    <w:p>
      <w:pPr>
        <w:jc w:val="both"/>
        <w:ind w:firstLine="1304"/>
        <w:spacing w:after="0" w:line="293" w:lineRule="auto"/>
        <w:tabs>
          <w:tab w:leader="none" w:pos="1551"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Share Withholding</w:t>
      </w:r>
      <w:r>
        <w:rPr>
          <w:rFonts w:ascii="Arial" w:cs="Arial" w:eastAsia="Arial" w:hAnsi="Arial"/>
          <w:sz w:val="16"/>
          <w:szCs w:val="16"/>
          <w:color w:val="auto"/>
        </w:rPr>
        <w:t>. The Committee may permit or require the Employer’s tax withholding obligation with respect to Grants paid in Company Stock to be satisfied by having shares withheld up to an amount that does not exceed the Participant’s applicable withholding tax rate for United States federal (including FICA), state and local tax liabilities. The Committee may, in its discretion, and subject to such rules as the Committee may adopt, allow Participants to elect to have such share withholding applied to all or a portion of the tax withholding obligation arising in connection with any particular Grant. Unless the Committee determines otherwise, share withholding for taxes shall not exceed the Participant’s minimum applicable tax withholding amount.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17. Transferability of Grants</w:t>
      </w:r>
    </w:p>
    <w:p>
      <w:pPr>
        <w:spacing w:after="0" w:line="225" w:lineRule="exact"/>
        <w:rPr>
          <w:sz w:val="20"/>
          <w:szCs w:val="20"/>
          <w:color w:val="auto"/>
        </w:rPr>
      </w:pPr>
    </w:p>
    <w:p>
      <w:pPr>
        <w:jc w:val="both"/>
        <w:ind w:firstLine="1304"/>
        <w:spacing w:after="0" w:line="255" w:lineRule="auto"/>
        <w:tabs>
          <w:tab w:leader="none" w:pos="1541"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Nontransferability of Grants</w:t>
      </w:r>
      <w:r>
        <w:rPr>
          <w:rFonts w:ascii="Arial" w:cs="Arial" w:eastAsia="Arial" w:hAnsi="Arial"/>
          <w:sz w:val="18"/>
          <w:szCs w:val="18"/>
          <w:color w:val="auto"/>
        </w:rPr>
        <w:t>. Except as described in subsection (b) below, only the Participant may exercise rights under a Grant during the Participant’s lifetime. A Participant may not transfer those rights except (i) by will or by the laws of descent and distribution or (ii) with respect to Grants other than Incentive Stock Options, pursuant to a domestic relations order. When a Participant dies, the personal representative or other person entitled to succeed to the rights of the Participant may exercise such rights. Any such successor must furnish proof satisfactory to the Company of his or her right to receive the Grant under the Participant’s will or under the applicable laws of descent and distribution.</w:t>
      </w:r>
    </w:p>
    <w:p>
      <w:pPr>
        <w:spacing w:after="0" w:line="192" w:lineRule="exact"/>
        <w:rPr>
          <w:rFonts w:ascii="Arial" w:cs="Arial" w:eastAsia="Arial" w:hAnsi="Arial"/>
          <w:sz w:val="18"/>
          <w:szCs w:val="18"/>
          <w:color w:val="auto"/>
        </w:rPr>
      </w:pPr>
    </w:p>
    <w:p>
      <w:pPr>
        <w:jc w:val="both"/>
        <w:ind w:firstLine="1304"/>
        <w:spacing w:after="0" w:line="296" w:lineRule="auto"/>
        <w:tabs>
          <w:tab w:leader="none" w:pos="1564"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Transfer of Nonqualified Stock Options</w:t>
      </w:r>
      <w:r>
        <w:rPr>
          <w:rFonts w:ascii="Arial" w:cs="Arial" w:eastAsia="Arial" w:hAnsi="Arial"/>
          <w:sz w:val="16"/>
          <w:szCs w:val="16"/>
          <w:color w:val="auto"/>
        </w:rPr>
        <w:t>. Notwithstanding the foregoing, the Committee may provide, in a Grant Instrument, that a Participant may transfer Nonqualified Stock Options to family members, or one or more trusts or other entities for the benefit of or owned by family members, consistent with the applicable securities laws, according to such terms as the Committee may determine; provided that the Participant receives no consideration for the transfer of an Option and the transferred Option shall continue to be subject to the same terms and conditions as were applicable to the Option immediately before the transfer.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18. Requirements for Issuance or Transfer of Shares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 Company Stock shall be issued or transferred in connection with any Grant hereunder unless and until all legal requirements applicable to the issuance or transfer of such Company Stock have been complied with to the satisfaction of the Committee. The Committee shall have the right to condition any Grant on the Participant’s undertaking in writing to comply with such restrictions on his or her subsequent disposition of the shares of Company Stock as the Committee shall deem necessary or advisable, and certificates representing such shares may be legended to reflect any such restrictions. Certificates representing shares of Company Stock issued or transferred under the Plan may be subject to such stop-transfer orders and other restrictions as the Committee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593725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to comply with applicable laws, regulations and interpretations, including any requirement that a legend be placed thereon.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19. Amendment and Termination of the Plan</w:t>
      </w:r>
    </w:p>
    <w:p>
      <w:pPr>
        <w:spacing w:after="0" w:line="225" w:lineRule="exact"/>
        <w:rPr>
          <w:sz w:val="20"/>
          <w:szCs w:val="20"/>
          <w:color w:val="auto"/>
        </w:rPr>
      </w:pPr>
    </w:p>
    <w:p>
      <w:pPr>
        <w:jc w:val="both"/>
        <w:ind w:firstLine="1304"/>
        <w:spacing w:after="0" w:line="263" w:lineRule="auto"/>
        <w:tabs>
          <w:tab w:leader="none" w:pos="1541"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Board may amend or terminate the Plan at any time; provided, however, that the Board shall not amend the Plan without stockholder approval if such approval is required in order to comply with the Code or other applicable law, or to comply with applicable stock exchange requirements.</w:t>
      </w:r>
    </w:p>
    <w:p>
      <w:pPr>
        <w:spacing w:after="0" w:line="183" w:lineRule="exact"/>
        <w:rPr>
          <w:rFonts w:ascii="Arial" w:cs="Arial" w:eastAsia="Arial" w:hAnsi="Arial"/>
          <w:sz w:val="18"/>
          <w:szCs w:val="18"/>
          <w:color w:val="auto"/>
        </w:rPr>
      </w:pPr>
    </w:p>
    <w:p>
      <w:pPr>
        <w:jc w:val="both"/>
        <w:ind w:firstLine="1304"/>
        <w:spacing w:after="0" w:line="270" w:lineRule="auto"/>
        <w:tabs>
          <w:tab w:leader="none" w:pos="1578"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No Repricing of Options or SARs</w:t>
      </w:r>
      <w:r>
        <w:rPr>
          <w:rFonts w:ascii="Arial" w:cs="Arial" w:eastAsia="Arial" w:hAnsi="Arial"/>
          <w:sz w:val="17"/>
          <w:szCs w:val="17"/>
          <w:color w:val="auto"/>
        </w:rPr>
        <w:t>. Except in connection with a corporate transaction involving the Company (including, without limitation, any stock dividend, distribution (whether in the form of cash, Company Stock, other securities or property), stock split, extraordinary cash dividend, recapitalization, change in control, reorganization, merger, consolidation, split-up, spin-off, combination, repurchase or exchange of shares of Company Stock or other securities, or similar transactions), the Company may not, without obtaining stockholder approval, (i) amend the terms of outstanding Stock Options or SARs to reduce the Exercise Price of such outstanding Stock Options or base price of such SARs, (ii) cancel outstanding Stock Options or SARs in exchange for Stock Options or SARs with an Exercise Price or base price, as applicable, that is less than the Exercise Price or base price of the original Stock Options or SARs or (iii) cancel outstanding Stock Options or SARs with an Exercise Price or base price, as applicable, above the current stock price in exchange for cash or other securities.</w:t>
      </w:r>
    </w:p>
    <w:p>
      <w:pPr>
        <w:spacing w:after="0" w:line="180" w:lineRule="exact"/>
        <w:rPr>
          <w:rFonts w:ascii="Arial" w:cs="Arial" w:eastAsia="Arial" w:hAnsi="Arial"/>
          <w:sz w:val="17"/>
          <w:szCs w:val="17"/>
          <w:color w:val="auto"/>
        </w:rPr>
      </w:pPr>
    </w:p>
    <w:p>
      <w:pPr>
        <w:ind w:left="1540" w:hanging="236"/>
        <w:spacing w:after="0"/>
        <w:tabs>
          <w:tab w:leader="none" w:pos="15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Stockholder Approval Requirements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4" w:lineRule="auto"/>
        <w:tabs>
          <w:tab w:leader="none" w:pos="2195"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Plan is intended to comply with the transition relief set forth at Treas. Reg. §1.162-27(f)(1) for companies that become publicly held in connection with an initial public offering, which applies until the first to occur of (A) the expiration of the Plan, (B) a material modification of the Plan within the meaning of section 162(m) and the regulations thereunder, (C) the issuance of all Company Stock authorized under the Plan, or (D) the first meeting of stockholders at which directors are to be elected that occurs after the close of the third calendar year following the calendar year in which the initial public offering occurs (the period commencing on the initial public offering and ending on the first to occur of the foregoing events shall be hereinafter referred to as the “</w:t>
      </w:r>
      <w:r>
        <w:rPr>
          <w:rFonts w:ascii="Arial" w:cs="Arial" w:eastAsia="Arial" w:hAnsi="Arial"/>
          <w:sz w:val="18"/>
          <w:szCs w:val="18"/>
          <w:u w:val="single" w:color="auto"/>
          <w:color w:val="auto"/>
        </w:rPr>
        <w:t>Reliance Period</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firstLine="1952"/>
        <w:spacing w:after="0" w:line="296" w:lineRule="auto"/>
        <w:tabs>
          <w:tab w:leader="none" w:pos="2221" w:val="left"/>
        </w:tabs>
        <w:numPr>
          <w:ilvl w:val="1"/>
          <w:numId w:val="99"/>
        </w:numPr>
        <w:rPr>
          <w:rFonts w:ascii="Arial" w:cs="Arial" w:eastAsia="Arial" w:hAnsi="Arial"/>
          <w:sz w:val="16"/>
          <w:szCs w:val="16"/>
          <w:color w:val="auto"/>
        </w:rPr>
      </w:pPr>
      <w:r>
        <w:rPr>
          <w:rFonts w:ascii="Arial" w:cs="Arial" w:eastAsia="Arial" w:hAnsi="Arial"/>
          <w:sz w:val="16"/>
          <w:szCs w:val="16"/>
          <w:color w:val="auto"/>
        </w:rPr>
        <w:t>Following the Reliance Period, if Grants are to be made as “qualified performance-based compensation” under section 162(m) of the Code, the Plan must be approved by the stockholders in accordance with section 162(m). Following such stockholder approval, the Plan must be reapproved by the stockholders no later than the first stockholders meeting that occurs in the fifth year following the year in which the stockholders previously approved the Plan, if additional Grants are to be made as Performance-Based Grants under Section 13 and if required by section 162(m) of the Code or the regulations thereunder.</w:t>
      </w:r>
    </w:p>
    <w:p>
      <w:pPr>
        <w:spacing w:after="0" w:line="161" w:lineRule="exact"/>
        <w:rPr>
          <w:rFonts w:ascii="Arial" w:cs="Arial" w:eastAsia="Arial" w:hAnsi="Arial"/>
          <w:sz w:val="16"/>
          <w:szCs w:val="16"/>
          <w:color w:val="auto"/>
        </w:rPr>
      </w:pPr>
    </w:p>
    <w:p>
      <w:pPr>
        <w:ind w:firstLine="1304"/>
        <w:spacing w:after="0" w:line="308" w:lineRule="auto"/>
        <w:tabs>
          <w:tab w:leader="none" w:pos="1578"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Termination of Plan</w:t>
      </w:r>
      <w:r>
        <w:rPr>
          <w:rFonts w:ascii="Arial" w:cs="Arial" w:eastAsia="Arial" w:hAnsi="Arial"/>
          <w:sz w:val="17"/>
          <w:szCs w:val="17"/>
          <w:color w:val="auto"/>
        </w:rPr>
        <w:t>. The Plan shall terminate on the day immediately preceding the tenth anniversary of its Effective Date, unless the Plan is terminated earlier by the Board or is extended by the Board with the approval of the stockholders.</w:t>
      </w:r>
    </w:p>
    <w:p>
      <w:pPr>
        <w:spacing w:after="0" w:line="146" w:lineRule="exact"/>
        <w:rPr>
          <w:rFonts w:ascii="Arial" w:cs="Arial" w:eastAsia="Arial" w:hAnsi="Arial"/>
          <w:sz w:val="17"/>
          <w:szCs w:val="17"/>
          <w:color w:val="auto"/>
        </w:rPr>
      </w:pPr>
    </w:p>
    <w:p>
      <w:pPr>
        <w:jc w:val="both"/>
        <w:ind w:firstLine="1304"/>
        <w:spacing w:after="0" w:line="275" w:lineRule="auto"/>
        <w:tabs>
          <w:tab w:leader="none" w:pos="1554"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Termination and Amendment of Outstanding Grants</w:t>
      </w:r>
      <w:r>
        <w:rPr>
          <w:rFonts w:ascii="Arial" w:cs="Arial" w:eastAsia="Arial" w:hAnsi="Arial"/>
          <w:sz w:val="17"/>
          <w:szCs w:val="17"/>
          <w:color w:val="auto"/>
        </w:rPr>
        <w:t>. A termination or amendment of the Plan that occurs after a Grant is made shall not materially impair the rights of a Participant unless the Participant consents or unless the Committee acts under Section 20(f) below. The termination of the Plan shall not impair the power and authority of the Committee with respect to an outstanding Grant. Whether or not the Plan has terminated, an outstanding Grant may be terminated or amended under Section 20(f) below or may be amended by agreement of the Company and the Participant consistent with the Plan.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20. Miscellaneous</w:t>
      </w:r>
    </w:p>
    <w:p>
      <w:pPr>
        <w:spacing w:after="0" w:line="225" w:lineRule="exact"/>
        <w:rPr>
          <w:sz w:val="20"/>
          <w:szCs w:val="20"/>
          <w:color w:val="auto"/>
        </w:rPr>
      </w:pPr>
    </w:p>
    <w:p>
      <w:pPr>
        <w:jc w:val="both"/>
        <w:ind w:firstLine="1304"/>
        <w:spacing w:after="0" w:line="259" w:lineRule="auto"/>
        <w:tabs>
          <w:tab w:leader="none" w:pos="1541"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Grants in Connection with Corporate Transactions and Otherwise</w:t>
      </w:r>
      <w:r>
        <w:rPr>
          <w:rFonts w:ascii="Arial" w:cs="Arial" w:eastAsia="Arial" w:hAnsi="Arial"/>
          <w:sz w:val="18"/>
          <w:szCs w:val="18"/>
          <w:color w:val="auto"/>
        </w:rPr>
        <w:t>. Nothing contained in the Plan shall be construed to (i) limit the right of the Committee to make Grants under the Plan in connection with the acquisition, by purchase, lease, merger, consolidation or otherwise, of the business or assets of any corporation, firm or association, including Grants to employees thereof who become Employees, or (ii) limit the right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607695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42" w:name="page143"/>
    <w:bookmarkEnd w:id="142"/>
    <w:p>
      <w:pPr>
        <w:jc w:val="both"/>
        <w:spacing w:after="0" w:line="255" w:lineRule="auto"/>
        <w:rPr>
          <w:sz w:val="20"/>
          <w:szCs w:val="20"/>
          <w:color w:val="auto"/>
        </w:rPr>
      </w:pPr>
      <w:r>
        <w:rPr>
          <w:rFonts w:ascii="Arial" w:cs="Arial" w:eastAsia="Arial" w:hAnsi="Arial"/>
          <w:sz w:val="18"/>
          <w:szCs w:val="18"/>
          <w:color w:val="auto"/>
        </w:rPr>
        <w:t>to grant stock options or make other awards outside of the Plan. The Committee may make a Grant to an employee of another corporation who becomes an Employee by reason of a corporate merger, consolidation, acquisition of stock or property, reorganization or liquidation involving the Company, in substitution for a stock option or stock awards grant made by such corporation. Notwithstanding anything in the Plan to the contrary, the Committee may establish such terms and conditions of the new Grants as it deems appropriate, including setting the Exercise Price of Options or the base price of SARs at a price necessary to retain for the Participant the same economic value as the prior options or rights.</w:t>
      </w:r>
    </w:p>
    <w:p>
      <w:pPr>
        <w:spacing w:after="0" w:line="192" w:lineRule="exact"/>
        <w:rPr>
          <w:sz w:val="20"/>
          <w:szCs w:val="20"/>
          <w:color w:val="auto"/>
        </w:rPr>
      </w:pPr>
    </w:p>
    <w:p>
      <w:pPr>
        <w:jc w:val="both"/>
        <w:ind w:firstLine="1304"/>
        <w:spacing w:after="0" w:line="263" w:lineRule="auto"/>
        <w:tabs>
          <w:tab w:leader="none" w:pos="1605"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Governing Document</w:t>
      </w:r>
      <w:r>
        <w:rPr>
          <w:rFonts w:ascii="Arial" w:cs="Arial" w:eastAsia="Arial" w:hAnsi="Arial"/>
          <w:sz w:val="18"/>
          <w:szCs w:val="18"/>
          <w:color w:val="auto"/>
        </w:rPr>
        <w:t>. The Plan shall be the controlling document. No other statements, representations, explanatory materials or examples, oral or written, may amend the Plan in any manner. The Plan shall be binding upon and enforceable against the Company and its successors and assigns.</w:t>
      </w:r>
    </w:p>
    <w:p>
      <w:pPr>
        <w:spacing w:after="0" w:line="183" w:lineRule="exact"/>
        <w:rPr>
          <w:rFonts w:ascii="Arial" w:cs="Arial" w:eastAsia="Arial" w:hAnsi="Arial"/>
          <w:sz w:val="18"/>
          <w:szCs w:val="18"/>
          <w:color w:val="auto"/>
        </w:rPr>
      </w:pPr>
    </w:p>
    <w:p>
      <w:pPr>
        <w:ind w:firstLine="1304"/>
        <w:spacing w:after="0" w:line="277" w:lineRule="auto"/>
        <w:tabs>
          <w:tab w:leader="none" w:pos="1554"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Funding of the Plan</w:t>
      </w:r>
      <w:r>
        <w:rPr>
          <w:rFonts w:ascii="Arial" w:cs="Arial" w:eastAsia="Arial" w:hAnsi="Arial"/>
          <w:sz w:val="18"/>
          <w:szCs w:val="18"/>
          <w:color w:val="auto"/>
        </w:rPr>
        <w:t>. The Plan shall be unfunded. The Company shall not be required to establish any special or separate fund or to make any other segregation of assets to assure the payment of any Grants under the Plan.</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1564"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Rights of Participants</w:t>
      </w:r>
      <w:r>
        <w:rPr>
          <w:rFonts w:ascii="Arial" w:cs="Arial" w:eastAsia="Arial" w:hAnsi="Arial"/>
          <w:sz w:val="17"/>
          <w:szCs w:val="17"/>
          <w:color w:val="auto"/>
        </w:rPr>
        <w:t>. Nothing in the Plan shall entitle any Employee, Non-Employee Director, Key Advisor or other person to any claim or right to receive a Grant under the Plan. Neither the Plan nor any action taken hereunder shall be construed as giving any individual any rights to be retained by or in the employ of the Employer or any other employment rights.</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1541"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of Company Stock shall be issued or delivered pursuant to the Plan or any Grant. Except as otherwise provided under the Plan, the Committee shall determine whether cash, other awards or other property shall be issued or paid in lieu of such fractional shares or whether such fractional shares or any rights thereto shall be forfeited or otherwise eliminated.</w:t>
      </w:r>
    </w:p>
    <w:p>
      <w:pPr>
        <w:spacing w:after="0" w:line="186" w:lineRule="exact"/>
        <w:rPr>
          <w:rFonts w:ascii="Arial" w:cs="Arial" w:eastAsia="Arial" w:hAnsi="Arial"/>
          <w:sz w:val="18"/>
          <w:szCs w:val="18"/>
          <w:color w:val="auto"/>
        </w:rPr>
      </w:pPr>
    </w:p>
    <w:p>
      <w:pPr>
        <w:ind w:left="1520" w:hanging="216"/>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87" w:lineRule="auto"/>
        <w:tabs>
          <w:tab w:leader="none" w:pos="2163"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Plan, the exercise of Options and SARs and the obligations of the Company to issue or transfer shares of Company Stock under Grants shall be subject to all applicable laws and regulations, and to approvals by any governmental or regulatory agency as may be required. With respect to persons subject to section 16 of the Exchange Act, it is the intent of the Company that the Plan and all transactions under the Plan comply with all applicable provisions of Rule 16b-3 or its successors under the Exchange Act. In addition, it is the intent of the Company that Incentive Stock Options comply with the applicable provisions of section 422 of the Code, that Grants of “qualified performance-based compensation” comply with the applicable provisions of section 162(m) of the Code and that, to the extent applicable, Grants comply with the requirements of section 409A of the Code. To the extent that any legal requirement of section 16 of the Exchange Act or section 422, 162(m) or 409A of the Code as set forth in the Plan ceases to be required under section 16 of the Exchange Act or section 422, 162(m) or 409A of the Code, that Plan provision shall cease to apply. The Committee may revoke any Grant if it is contrary to law or modify a Grant to bring it into compliance with any valid and mandatory government regulation. The Committee may also adopt rules regarding the withholding of taxes on payments to Participants. The Committee may, in its sole discretion, agree to limit its authority under this Section.</w:t>
      </w:r>
    </w:p>
    <w:p>
      <w:pPr>
        <w:spacing w:after="0" w:line="167" w:lineRule="exact"/>
        <w:rPr>
          <w:rFonts w:ascii="Arial" w:cs="Arial" w:eastAsia="Arial" w:hAnsi="Arial"/>
          <w:sz w:val="16"/>
          <w:szCs w:val="16"/>
          <w:color w:val="auto"/>
        </w:rPr>
      </w:pPr>
    </w:p>
    <w:p>
      <w:pPr>
        <w:jc w:val="both"/>
        <w:ind w:firstLine="1952"/>
        <w:spacing w:after="0" w:line="271" w:lineRule="auto"/>
        <w:tabs>
          <w:tab w:leader="none" w:pos="2252"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The Plan is intended to comply with the requirements of section 409A of the Code, to the extent applicable. Each Grant shall be construed and administered such that the Grant either (A) qualifies for an exemption from the requirements of section 409A of the Code or (B) satisfies the requirements of section 409A of the Code. If a Grant is subject to section 409A of the Code, (I) distributions shall only be made in a manner and upon an event permitted under section 409A of the Code, (II) payments to be made upon a termination of employment or service shall only be made upon a “separation from service” under section 409A of the Code, (III) unless the Grant specifies otherwise, each installment payment shall be treated as a separate payment for purposes of section 409A of the Code, and (IV) in no event shall a Participant, directly or indirectly, designate the calendar year in which a distribution is made except in accordance with section 409A of the Code.</w:t>
      </w:r>
    </w:p>
    <w:p>
      <w:pPr>
        <w:spacing w:after="0" w:line="178" w:lineRule="exact"/>
        <w:rPr>
          <w:rFonts w:ascii="Arial" w:cs="Arial" w:eastAsia="Arial" w:hAnsi="Arial"/>
          <w:sz w:val="17"/>
          <w:szCs w:val="17"/>
          <w:color w:val="auto"/>
        </w:rPr>
      </w:pPr>
    </w:p>
    <w:p>
      <w:pPr>
        <w:jc w:val="both"/>
        <w:ind w:firstLine="1952"/>
        <w:spacing w:after="0" w:line="263" w:lineRule="auto"/>
        <w:tabs>
          <w:tab w:leader="none" w:pos="226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Grant that is subject to section 409A of the Code and that is to be distributed to a Key Employee (as defined below) upon separation from service shall be administered so that any distribution with respect to such Grant shall be postponed for six months following the date of the Participant’s separation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43" w:name="page144"/>
    <w:bookmarkEnd w:id="143"/>
    <w:p>
      <w:pPr>
        <w:jc w:val="both"/>
        <w:spacing w:after="0" w:line="296" w:lineRule="auto"/>
        <w:rPr>
          <w:sz w:val="20"/>
          <w:szCs w:val="20"/>
          <w:color w:val="auto"/>
        </w:rPr>
      </w:pPr>
      <w:r>
        <w:rPr>
          <w:rFonts w:ascii="Arial" w:cs="Arial" w:eastAsia="Arial" w:hAnsi="Arial"/>
          <w:sz w:val="16"/>
          <w:szCs w:val="16"/>
          <w:color w:val="auto"/>
        </w:rPr>
        <w:t>service, if required by section 409A of the Code. If a distribution is delayed pursuant to section 409A of the Code, the distribution shall be paid within 15 days after the end of the six-month period. If the Participant dies during such six-month period, any postponed amounts shall be paid within 90 days of the Participant’s death. The determination of Key Employees, including the number and identity of persons considered Key Employees and the identification date, shall be made by the Committee or its delegate each year in accordance with section 416(i) of the Code and the “specified employee” requirements of section 409A of the Code.</w:t>
      </w:r>
    </w:p>
    <w:p>
      <w:pPr>
        <w:spacing w:after="0" w:line="161" w:lineRule="exact"/>
        <w:rPr>
          <w:sz w:val="20"/>
          <w:szCs w:val="20"/>
          <w:color w:val="auto"/>
        </w:rPr>
      </w:pPr>
    </w:p>
    <w:p>
      <w:pPr>
        <w:jc w:val="both"/>
        <w:ind w:firstLine="1952"/>
        <w:spacing w:after="0" w:line="275" w:lineRule="auto"/>
        <w:tabs>
          <w:tab w:leader="none" w:pos="2267" w:val="left"/>
        </w:tabs>
        <w:numPr>
          <w:ilvl w:val="2"/>
          <w:numId w:val="102"/>
        </w:numPr>
        <w:rPr>
          <w:rFonts w:ascii="Arial" w:cs="Arial" w:eastAsia="Arial" w:hAnsi="Arial"/>
          <w:sz w:val="17"/>
          <w:szCs w:val="17"/>
          <w:color w:val="auto"/>
        </w:rPr>
      </w:pPr>
      <w:r>
        <w:rPr>
          <w:rFonts w:ascii="Arial" w:cs="Arial" w:eastAsia="Arial" w:hAnsi="Arial"/>
          <w:sz w:val="17"/>
          <w:szCs w:val="17"/>
          <w:color w:val="auto"/>
        </w:rPr>
        <w:t>Notwithstanding anything in the Plan or any Grant agreement to the contrary, each Participant shall be solely responsible for the tax consequences of Grants under the Plan, and in no event shall the Company or any subsidiary or affiliate of the Company have any responsibility or liability if a Grant does not meet any applicable requirements of section 409A of the Code. Although the Company intends to administer the Plan to prevent taxation under section 409A of the Code, the Company does not represent or warrant that the Plan or any Grant complies with any provision of federal, state, local or other tax law.</w:t>
      </w:r>
    </w:p>
    <w:p>
      <w:pPr>
        <w:spacing w:after="0" w:line="176" w:lineRule="exact"/>
        <w:rPr>
          <w:rFonts w:ascii="Arial" w:cs="Arial" w:eastAsia="Arial" w:hAnsi="Arial"/>
          <w:sz w:val="17"/>
          <w:szCs w:val="17"/>
          <w:color w:val="auto"/>
        </w:rPr>
      </w:pPr>
    </w:p>
    <w:p>
      <w:pPr>
        <w:jc w:val="both"/>
        <w:ind w:firstLine="1304"/>
        <w:spacing w:after="0" w:line="254" w:lineRule="auto"/>
        <w:tabs>
          <w:tab w:leader="none" w:pos="1564"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Establishment of Subplans</w:t>
      </w:r>
      <w:r>
        <w:rPr>
          <w:rFonts w:ascii="Arial" w:cs="Arial" w:eastAsia="Arial" w:hAnsi="Arial"/>
          <w:sz w:val="18"/>
          <w:szCs w:val="18"/>
          <w:color w:val="auto"/>
        </w:rPr>
        <w:t>. The Board may from time to time establish one or more sub-plans under the Plan for purposes of satisfying applicable blue sky, securities or tax laws of various jurisdictions. The Board shall establish such sub-plans by adopting supplements to the Plan setting forth (i) such limitations on the Committee’s discretion under the Plan as the Board deems necessary or desirable and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Employer shall not be required to provide copies of any supplement to Participants in any jurisdiction that is not affected.</w:t>
      </w:r>
    </w:p>
    <w:p>
      <w:pPr>
        <w:spacing w:after="0" w:line="194" w:lineRule="exact"/>
        <w:rPr>
          <w:rFonts w:ascii="Arial" w:cs="Arial" w:eastAsia="Arial" w:hAnsi="Arial"/>
          <w:sz w:val="18"/>
          <w:szCs w:val="18"/>
          <w:color w:val="auto"/>
        </w:rPr>
      </w:pPr>
    </w:p>
    <w:p>
      <w:pPr>
        <w:jc w:val="both"/>
        <w:ind w:firstLine="1304"/>
        <w:spacing w:after="0" w:line="285" w:lineRule="auto"/>
        <w:tabs>
          <w:tab w:leader="none" w:pos="1591"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Clawback Rights</w:t>
      </w:r>
      <w:r>
        <w:rPr>
          <w:rFonts w:ascii="Arial" w:cs="Arial" w:eastAsia="Arial" w:hAnsi="Arial"/>
          <w:sz w:val="16"/>
          <w:szCs w:val="16"/>
          <w:color w:val="auto"/>
        </w:rPr>
        <w:t>. Subject to the requirements of applicable law, the Committee may provide in any Grant Instrument that, if a Participant breaches any restrictive covenant agreement between the Participant and the Employer (which may be set forth in any Grant Instrument) or otherwise engages in activities that constitute Cause either while employed by, or providing service to, the Employer or within a specified period of time thereafter, all Grants held by the Participant shall terminate, and the Company may rescind any exercise of an Option or SAR and the vesting of any other Grant and delivery of shares upon such exercise or vesting (including pursuant to dividends and Dividend Equivalents), as applicable on such terms as the Committee shall determine, including the right to require that in the event of any such rescission (i) the Participant shall return to the Company the shares received upon the exercise of any Option or SAR and/or the vesting and payment of any other Grant (including pursuant to dividends and Dividend Equivalents) or (ii) if the Participant no longer owns the shares, the Participant shall pay to the Company the amount of any gain realized or payment received as a result of any sale or other disposition of the shares (or, in the event the Participant transfers the shares by gift or otherwise without consideration, the Fair Market Value of the shares on the date of the breach of the restrictive covenant agreement (including a Participant’s Grant Instrument containing restrictive covenants) or activity constituting Cause), net of the price originally paid by the Participant for the shares. Payment by the Participant shall be made in such manner and on such terms and conditions as may be required by the Committee. The Employer shall be entitled to set off against the amount of any such payment any amounts otherwise owed to the Participant by the Employer. In addition, all Grants under the Plan shall be subject to any applicable clawback or recoupment policies, share trading policies and other policies that may be implemented by the Board from time to time.</w:t>
      </w:r>
    </w:p>
    <w:p>
      <w:pPr>
        <w:spacing w:after="0" w:line="176" w:lineRule="exact"/>
        <w:rPr>
          <w:rFonts w:ascii="Arial" w:cs="Arial" w:eastAsia="Arial" w:hAnsi="Arial"/>
          <w:sz w:val="16"/>
          <w:szCs w:val="16"/>
          <w:color w:val="auto"/>
        </w:rPr>
      </w:pPr>
    </w:p>
    <w:p>
      <w:pPr>
        <w:jc w:val="both"/>
        <w:ind w:right="20" w:firstLine="1304"/>
        <w:spacing w:after="0" w:line="263" w:lineRule="auto"/>
        <w:tabs>
          <w:tab w:leader="none" w:pos="1511"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interpretation and effect of the Plan and Grant Instruments issued under the Plan shall be governed and construed by and determined in accordance with the laws of the State of Delaware, without giving effect to the conflict of laws provisions thereof.</w:t>
      </w:r>
    </w:p>
    <w:p>
      <w:pPr>
        <w:spacing w:after="0" w:line="18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approved by the Board on June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44" w:name="page145"/>
    <w:bookmarkEnd w:id="144"/>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Herriot Tabuteau, M.D., certify that:</w:t>
      </w:r>
    </w:p>
    <w:p>
      <w:pPr>
        <w:spacing w:after="0" w:line="198" w:lineRule="exact"/>
        <w:rPr>
          <w:sz w:val="20"/>
          <w:szCs w:val="20"/>
          <w:color w:val="auto"/>
        </w:rPr>
      </w:pPr>
    </w:p>
    <w:p>
      <w:pPr>
        <w:ind w:left="360" w:hanging="316"/>
        <w:spacing w:after="0"/>
        <w:tabs>
          <w:tab w:leader="none" w:pos="3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Axsome Therapeutics, Inc.;</w:t>
      </w:r>
    </w:p>
    <w:p>
      <w:pPr>
        <w:spacing w:after="0" w:line="198" w:lineRule="exact"/>
        <w:rPr>
          <w:rFonts w:ascii="Arial" w:cs="Arial" w:eastAsia="Arial" w:hAnsi="Arial"/>
          <w:sz w:val="18"/>
          <w:szCs w:val="18"/>
          <w:color w:val="auto"/>
        </w:rPr>
      </w:pPr>
    </w:p>
    <w:p>
      <w:pPr>
        <w:jc w:val="both"/>
        <w:ind w:left="360" w:right="119" w:hanging="316"/>
        <w:spacing w:after="0" w:line="248" w:lineRule="auto"/>
        <w:tabs>
          <w:tab w:leader="none" w:pos="35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60" w:right="99" w:hanging="316"/>
        <w:spacing w:after="0" w:line="248" w:lineRule="auto"/>
        <w:tabs>
          <w:tab w:leader="none" w:pos="35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360" w:right="239" w:hanging="316"/>
        <w:spacing w:after="0" w:line="270" w:lineRule="auto"/>
        <w:tabs>
          <w:tab w:leader="none" w:pos="34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700" w:right="359" w:hanging="332"/>
        <w:spacing w:after="0" w:line="243" w:lineRule="auto"/>
        <w:tabs>
          <w:tab w:leader="none" w:pos="69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700" w:right="79" w:hanging="332"/>
        <w:spacing w:after="0" w:line="243" w:lineRule="auto"/>
        <w:tabs>
          <w:tab w:leader="none" w:pos="70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700" w:right="199" w:hanging="332"/>
        <w:spacing w:after="0" w:line="248" w:lineRule="auto"/>
        <w:tabs>
          <w:tab w:leader="none" w:pos="69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700" w:right="99" w:hanging="332"/>
        <w:spacing w:after="0" w:line="243" w:lineRule="auto"/>
        <w:tabs>
          <w:tab w:leader="none" w:pos="70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60" w:right="319" w:hanging="316"/>
        <w:spacing w:after="0" w:line="248" w:lineRule="auto"/>
        <w:tabs>
          <w:tab w:leader="none" w:pos="34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700" w:right="159" w:hanging="332"/>
        <w:spacing w:after="0" w:line="248" w:lineRule="auto"/>
        <w:tabs>
          <w:tab w:leader="none" w:pos="68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700" w:right="239" w:hanging="332"/>
        <w:spacing w:after="0" w:line="261" w:lineRule="auto"/>
        <w:tabs>
          <w:tab w:leader="none" w:pos="69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Herriot Tabuteau, M.D.</w:t>
      </w:r>
    </w:p>
    <w:p>
      <w:pPr>
        <w:ind w:left="45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5" w:name="page146"/>
    <w:bookmarkEnd w:id="145"/>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PERIODIC REPORT PURSUANT TO SECTION 302 OF THE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SARBANES-OXLEY ACT OF 2002</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Nick Pizzie, certify that:</w:t>
      </w:r>
    </w:p>
    <w:p>
      <w:pPr>
        <w:spacing w:after="0" w:line="198" w:lineRule="exact"/>
        <w:rPr>
          <w:sz w:val="20"/>
          <w:szCs w:val="20"/>
          <w:color w:val="auto"/>
        </w:rPr>
      </w:pPr>
    </w:p>
    <w:p>
      <w:pPr>
        <w:ind w:left="360" w:hanging="316"/>
        <w:spacing w:after="0"/>
        <w:tabs>
          <w:tab w:leader="none" w:pos="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Axsome Therapeutics, Inc.;</w:t>
      </w:r>
    </w:p>
    <w:p>
      <w:pPr>
        <w:spacing w:after="0" w:line="198" w:lineRule="exact"/>
        <w:rPr>
          <w:rFonts w:ascii="Arial" w:cs="Arial" w:eastAsia="Arial" w:hAnsi="Arial"/>
          <w:sz w:val="18"/>
          <w:szCs w:val="18"/>
          <w:color w:val="auto"/>
        </w:rPr>
      </w:pPr>
    </w:p>
    <w:p>
      <w:pPr>
        <w:jc w:val="both"/>
        <w:ind w:left="360" w:right="119" w:hanging="316"/>
        <w:spacing w:after="0" w:line="248" w:lineRule="auto"/>
        <w:tabs>
          <w:tab w:leader="none" w:pos="35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60" w:right="99" w:hanging="316"/>
        <w:spacing w:after="0" w:line="248" w:lineRule="auto"/>
        <w:tabs>
          <w:tab w:leader="none" w:pos="35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360" w:right="239" w:hanging="316"/>
        <w:spacing w:after="0" w:line="270" w:lineRule="auto"/>
        <w:tabs>
          <w:tab w:leader="none" w:pos="34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700" w:right="359" w:hanging="332"/>
        <w:spacing w:after="0" w:line="243" w:lineRule="auto"/>
        <w:tabs>
          <w:tab w:leader="none" w:pos="69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700" w:right="79" w:hanging="332"/>
        <w:spacing w:after="0" w:line="243" w:lineRule="auto"/>
        <w:tabs>
          <w:tab w:leader="none" w:pos="70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700" w:right="199" w:hanging="332"/>
        <w:spacing w:after="0" w:line="248" w:lineRule="auto"/>
        <w:tabs>
          <w:tab w:leader="none" w:pos="69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700" w:right="99" w:hanging="332"/>
        <w:spacing w:after="0" w:line="243" w:lineRule="auto"/>
        <w:tabs>
          <w:tab w:leader="none" w:pos="70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60" w:right="319" w:hanging="316"/>
        <w:spacing w:after="0" w:line="248" w:lineRule="auto"/>
        <w:tabs>
          <w:tab w:leader="none" w:pos="34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700" w:right="159" w:hanging="332"/>
        <w:spacing w:after="0" w:line="248" w:lineRule="auto"/>
        <w:tabs>
          <w:tab w:leader="none" w:pos="68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700" w:right="239" w:hanging="332"/>
        <w:spacing w:after="0" w:line="261" w:lineRule="auto"/>
        <w:tabs>
          <w:tab w:leader="none" w:pos="69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6"/>
          <w:szCs w:val="16"/>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Nick Pizzie</w:t>
      </w:r>
    </w:p>
    <w:p>
      <w:pPr>
        <w:ind w:left="450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6" w:name="page147"/>
    <w:bookmarkEnd w:id="146"/>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STATEMENT OF PRINCIPAL EXECUTIVE OFFICER OF</w:t>
      </w:r>
    </w:p>
    <w:p>
      <w:pPr>
        <w:spacing w:after="0" w:line="1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AXSOME THERAPEUTICS, INC.</w:t>
      </w:r>
    </w:p>
    <w:p>
      <w:pPr>
        <w:ind w:left="2800"/>
        <w:spacing w:after="0" w:line="234" w:lineRule="auto"/>
        <w:rPr>
          <w:sz w:val="20"/>
          <w:szCs w:val="20"/>
          <w:color w:val="auto"/>
        </w:rPr>
      </w:pPr>
      <w:r>
        <w:rPr>
          <w:rFonts w:ascii="Arial" w:cs="Arial" w:eastAsia="Arial" w:hAnsi="Arial"/>
          <w:sz w:val="18"/>
          <w:szCs w:val="18"/>
          <w:b w:val="1"/>
          <w:bCs w:val="1"/>
          <w:color w:val="auto"/>
        </w:rPr>
        <w:t>PURSUANT TO 18 U.S.C. SECTION 1350,</w:t>
      </w:r>
    </w:p>
    <w:p>
      <w:pPr>
        <w:ind w:left="3240"/>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ind w:left="40" w:right="139" w:firstLine="432"/>
        <w:spacing w:after="0" w:line="243" w:lineRule="auto"/>
        <w:rPr>
          <w:sz w:val="20"/>
          <w:szCs w:val="20"/>
          <w:color w:val="auto"/>
        </w:rPr>
      </w:pPr>
      <w:r>
        <w:rPr>
          <w:rFonts w:ascii="Arial" w:cs="Arial" w:eastAsia="Arial" w:hAnsi="Arial"/>
          <w:sz w:val="18"/>
          <w:szCs w:val="18"/>
          <w:color w:val="auto"/>
        </w:rPr>
        <w:t>In connection with the quarterly report of Axsome Therapeutics, Inc. (the “Company”) on Form 10-Q for the quarter ended June 30, 2020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74" w:lineRule="exact"/>
        <w:rPr>
          <w:sz w:val="20"/>
          <w:szCs w:val="20"/>
          <w:color w:val="auto"/>
        </w:rPr>
      </w:pPr>
    </w:p>
    <w:p>
      <w:pPr>
        <w:ind w:left="360" w:right="119" w:firstLine="8"/>
        <w:spacing w:after="0" w:line="261" w:lineRule="auto"/>
        <w:tabs>
          <w:tab w:leader="none" w:pos="64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7" w:lineRule="exact"/>
        <w:rPr>
          <w:rFonts w:ascii="Arial" w:cs="Arial" w:eastAsia="Arial" w:hAnsi="Arial"/>
          <w:sz w:val="18"/>
          <w:szCs w:val="18"/>
          <w:color w:val="auto"/>
        </w:rPr>
      </w:pPr>
    </w:p>
    <w:p>
      <w:pPr>
        <w:ind w:left="360" w:right="159" w:firstLine="8"/>
        <w:spacing w:after="0" w:line="261" w:lineRule="auto"/>
        <w:tabs>
          <w:tab w:leader="none" w:pos="64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Herriot Tabuteau, M.D.</w:t>
      </w:r>
    </w:p>
    <w:p>
      <w:pPr>
        <w:ind w:left="45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7" w:name="page148"/>
    <w:bookmarkEnd w:id="147"/>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left="40" w:right="59"/>
        <w:spacing w:after="0" w:line="242" w:lineRule="auto"/>
        <w:rPr>
          <w:sz w:val="20"/>
          <w:szCs w:val="20"/>
          <w:color w:val="auto"/>
        </w:rPr>
      </w:pPr>
      <w:r>
        <w:rPr>
          <w:rFonts w:ascii="Arial" w:cs="Arial" w:eastAsia="Arial" w:hAnsi="Arial"/>
          <w:sz w:val="18"/>
          <w:szCs w:val="18"/>
          <w:b w:val="1"/>
          <w:bCs w:val="1"/>
          <w:color w:val="auto"/>
        </w:rPr>
        <w:t>STATEMENT OF PRINCIPAL FINANCIAL OFFICER OF AXSOME THERAPEUTICS, INC. PURSUANT TO 18 U.S.C. SECTION 1350, AS ADOPTED PURSUANT TO SECTION 906 OF THE SARBANES-OXLEY ACT OF 2002</w:t>
      </w:r>
    </w:p>
    <w:p>
      <w:pPr>
        <w:spacing w:after="0" w:line="175" w:lineRule="exact"/>
        <w:rPr>
          <w:sz w:val="20"/>
          <w:szCs w:val="20"/>
          <w:color w:val="auto"/>
        </w:rPr>
      </w:pPr>
    </w:p>
    <w:p>
      <w:pPr>
        <w:ind w:left="40" w:right="139" w:firstLine="432"/>
        <w:spacing w:after="0" w:line="243" w:lineRule="auto"/>
        <w:rPr>
          <w:sz w:val="20"/>
          <w:szCs w:val="20"/>
          <w:color w:val="auto"/>
        </w:rPr>
      </w:pPr>
      <w:r>
        <w:rPr>
          <w:rFonts w:ascii="Arial" w:cs="Arial" w:eastAsia="Arial" w:hAnsi="Arial"/>
          <w:sz w:val="18"/>
          <w:szCs w:val="18"/>
          <w:color w:val="auto"/>
        </w:rPr>
        <w:t>In connection with the quarterly report of Axsome Therapeutics, Inc. (the “Company”) on Form 10-Q for the quarter ended June 30, 2020 as filed with the Securities and Exchange Commission (the “Report”), I, Nick Pizzie, Chief Financial Officer of the Company, certify, pursuant to 18 U.S.C. §1350, as adopted pursuant to §906 of the Sarbanes-Oxley Act of 2002, that, based on my knowledge:</w:t>
      </w:r>
    </w:p>
    <w:p>
      <w:pPr>
        <w:spacing w:after="0" w:line="174" w:lineRule="exact"/>
        <w:rPr>
          <w:sz w:val="20"/>
          <w:szCs w:val="20"/>
          <w:color w:val="auto"/>
        </w:rPr>
      </w:pPr>
    </w:p>
    <w:p>
      <w:pPr>
        <w:ind w:left="360" w:right="119" w:firstLine="8"/>
        <w:spacing w:after="0" w:line="261" w:lineRule="auto"/>
        <w:tabs>
          <w:tab w:leader="none" w:pos="64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7" w:lineRule="exact"/>
        <w:rPr>
          <w:rFonts w:ascii="Arial" w:cs="Arial" w:eastAsia="Arial" w:hAnsi="Arial"/>
          <w:sz w:val="18"/>
          <w:szCs w:val="18"/>
          <w:color w:val="auto"/>
        </w:rPr>
      </w:pPr>
    </w:p>
    <w:p>
      <w:pPr>
        <w:ind w:left="360" w:right="159" w:firstLine="8"/>
        <w:spacing w:after="0" w:line="261" w:lineRule="auto"/>
        <w:tabs>
          <w:tab w:leader="none" w:pos="64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6"/>
          <w:szCs w:val="16"/>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Nick Pizzie</w:t>
      </w:r>
    </w:p>
    <w:p>
      <w:pPr>
        <w:ind w:left="450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1)"/>
      <w:numFmt w:val="lowerRoman"/>
      <w:start w:val="2"/>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lvl w:ilvl="1">
      <w:lvlJc w:val="left"/>
      <w:lvlText w:val="%2"/>
      <w:numFmt w:val="decimal"/>
      <w:start w:val="104"/>
    </w:lvl>
  </w:abstractNum>
  <w:abstractNum w:abstractNumId="39">
    <w:nsid w:val="661E3F1E"/>
    <w:multiLevelType w:val="hybridMultilevel"/>
    <w:lvl w:ilvl="0">
      <w:lvlJc w:val="left"/>
      <w:lvlText w:val="1"/>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42">
    <w:nsid w:val="7BD3EE7B"/>
    <w:multiLevelType w:val="hybridMultilevel"/>
    <w:lvl w:ilvl="0">
      <w:lvlJc w:val="left"/>
      <w:lvlText w:val="%1."/>
      <w:numFmt w:val="lowerLetter"/>
      <w:start w:val="35"/>
    </w:lvl>
    <w:lvl w:ilvl="1">
      <w:lvlJc w:val="left"/>
      <w:lvlText w:val="%2."/>
      <w:numFmt w:val="lowerLetter"/>
      <w:start w:val="1"/>
    </w:lvl>
  </w:abstractNum>
  <w:abstractNum w:abstractNumId="43">
    <w:nsid w:val="51D9C564"/>
    <w:multiLevelType w:val="hybridMultilevel"/>
    <w:lvl w:ilvl="0">
      <w:lvlJc w:val="left"/>
      <w:lvlText w:val="%1."/>
      <w:numFmt w:val="lowerLetter"/>
      <w:start w:val="3"/>
    </w:lvl>
  </w:abstractNum>
  <w:abstractNum w:abstractNumId="44">
    <w:nsid w:val="613EFDC5"/>
    <w:multiLevelType w:val="hybridMultilevel"/>
    <w:lvl w:ilvl="0">
      <w:lvlJc w:val="left"/>
      <w:lvlText w:val="%1."/>
      <w:numFmt w:val="lowerLetter"/>
      <w:start w:val="2"/>
    </w:lvl>
  </w:abstractNum>
  <w:abstractNum w:abstractNumId="45">
    <w:nsid w:val="BF72B14"/>
    <w:multiLevelType w:val="hybridMultilevel"/>
    <w:lvl w:ilvl="0">
      <w:lvlJc w:val="left"/>
      <w:lvlText w:val="%1."/>
      <w:numFmt w:val="lowerLetter"/>
      <w:start w:val="1"/>
    </w:lvl>
  </w:abstractNum>
  <w:abstractNum w:abstractNumId="46">
    <w:nsid w:val="11447B73"/>
    <w:multiLevelType w:val="hybridMultilevel"/>
    <w:lvl w:ilvl="0">
      <w:lvlJc w:val="left"/>
      <w:lvlText w:val="%1."/>
      <w:numFmt w:val="lowerLetter"/>
      <w:start w:val="1"/>
    </w:lvl>
  </w:abstractNum>
  <w:abstractNum w:abstractNumId="47">
    <w:nsid w:val="42963E5A"/>
    <w:multiLevelType w:val="hybridMultilevel"/>
    <w:lvl w:ilvl="0">
      <w:lvlJc w:val="left"/>
      <w:lvlText w:val="%1."/>
      <w:numFmt w:val="lowerLetter"/>
      <w:start w:val="8"/>
    </w:lvl>
  </w:abstractNum>
  <w:abstractNum w:abstractNumId="48">
    <w:nsid w:val="A0382C5"/>
    <w:multiLevelType w:val="hybridMultilevel"/>
    <w:lvl w:ilvl="0">
      <w:lvlJc w:val="left"/>
      <w:lvlText w:val="%1."/>
      <w:numFmt w:val="lowerLetter"/>
      <w:start w:val="1"/>
    </w:lvl>
  </w:abstractNum>
  <w:abstractNum w:abstractNumId="49">
    <w:nsid w:val="8F2B15E"/>
    <w:multiLevelType w:val="hybridMultilevel"/>
    <w:lvl w:ilvl="0">
      <w:lvlJc w:val="left"/>
      <w:lvlText w:val="%1."/>
      <w:numFmt w:val="lowerLetter"/>
      <w:start w:val="3"/>
    </w:lvl>
    <w:lvl w:ilvl="1">
      <w:lvlJc w:val="left"/>
      <w:lvlText w:val="·"/>
      <w:numFmt w:val="bullet"/>
      <w:start w:val="1"/>
    </w:lvl>
  </w:abstractNum>
  <w:abstractNum w:abstractNumId="50">
    <w:nsid w:val="1A32234B"/>
    <w:multiLevelType w:val="hybridMultilevel"/>
    <w:lvl w:ilvl="0">
      <w:lvlJc w:val="left"/>
      <w:lvlText w:val="%1"/>
      <w:numFmt w:val="lowerLetter"/>
      <w:start w:val="1"/>
    </w:lvl>
    <w:lvl w:ilvl="1">
      <w:lvlJc w:val="left"/>
      <w:lvlText w:val="(%2)"/>
      <w:numFmt w:val="lowerLetter"/>
      <w:start w:val="25"/>
    </w:lvl>
  </w:abstractNum>
  <w:abstractNum w:abstractNumId="51">
    <w:nsid w:val="3B0FD379"/>
    <w:multiLevelType w:val="hybridMultilevel"/>
    <w:lvl w:ilvl="0">
      <w:lvlJc w:val="left"/>
      <w:lvlText w:val="%1."/>
      <w:numFmt w:val="lowerLetter"/>
      <w:start w:val="5"/>
    </w:lvl>
    <w:lvl w:ilvl="1">
      <w:lvlJc w:val="left"/>
      <w:lvlText w:val="%2"/>
      <w:numFmt w:val="lowerLetter"/>
      <w:start w:val="1"/>
    </w:lvl>
  </w:abstractNum>
  <w:abstractNum w:abstractNumId="52">
    <w:nsid w:val="68EB2F63"/>
    <w:multiLevelType w:val="hybridMultilevel"/>
    <w:lvl w:ilvl="0">
      <w:lvlJc w:val="left"/>
      <w:lvlText w:val="%1."/>
      <w:numFmt w:val="lowerLetter"/>
      <w:start w:val="6"/>
    </w:lvl>
  </w:abstractNum>
  <w:abstractNum w:abstractNumId="53">
    <w:nsid w:val="4962813B"/>
    <w:multiLevelType w:val="hybridMultilevel"/>
    <w:lvl w:ilvl="0">
      <w:lvlJc w:val="left"/>
      <w:lvlText w:val="%1."/>
      <w:numFmt w:val="lowerLetter"/>
      <w:start w:val="1"/>
    </w:lvl>
  </w:abstractNum>
  <w:abstractNum w:abstractNumId="54">
    <w:nsid w:val="60B6DF70"/>
    <w:multiLevelType w:val="hybridMultilevel"/>
    <w:lvl w:ilvl="0">
      <w:lvlJc w:val="left"/>
      <w:lvlText w:val="%1."/>
      <w:numFmt w:val="lowerLetter"/>
      <w:start w:val="4"/>
    </w:lvl>
  </w:abstractNum>
  <w:abstractNum w:abstractNumId="55">
    <w:nsid w:val="6A5EE64"/>
    <w:multiLevelType w:val="hybridMultilevel"/>
    <w:lvl w:ilvl="0">
      <w:lvlJc w:val="left"/>
      <w:lvlText w:val="%1."/>
      <w:numFmt w:val="lowerLetter"/>
      <w:start w:val="8"/>
    </w:lvl>
  </w:abstractNum>
  <w:abstractNum w:abstractNumId="56">
    <w:nsid w:val="14330624"/>
    <w:multiLevelType w:val="hybridMultilevel"/>
    <w:lvl w:ilvl="0">
      <w:lvlJc w:val="left"/>
      <w:lvlText w:val="%1."/>
      <w:numFmt w:val="lowerLetter"/>
      <w:start w:val="1"/>
    </w:lvl>
  </w:abstractNum>
  <w:abstractNum w:abstractNumId="57">
    <w:nsid w:val="7FFFCA11"/>
    <w:multiLevelType w:val="hybridMultilevel"/>
    <w:lvl w:ilvl="0">
      <w:lvlJc w:val="left"/>
      <w:lvlText w:val="%1."/>
      <w:numFmt w:val="lowerLetter"/>
      <w:start w:val="4"/>
    </w:lvl>
  </w:abstractNum>
  <w:abstractNum w:abstractNumId="58">
    <w:nsid w:val="1A27709E"/>
    <w:multiLevelType w:val="hybridMultilevel"/>
    <w:lvl w:ilvl="0">
      <w:lvlJc w:val="left"/>
      <w:lvlText w:val="%1."/>
      <w:numFmt w:val="lowerLetter"/>
      <w:start w:val="1"/>
    </w:lvl>
    <w:lvl w:ilvl="1">
      <w:lvlJc w:val="left"/>
      <w:lvlText w:val="(%2)"/>
      <w:numFmt w:val="decimal"/>
      <w:start w:val="2"/>
    </w:lvl>
  </w:abstractNum>
  <w:abstractNum w:abstractNumId="59">
    <w:nsid w:val="71EA1109"/>
    <w:multiLevelType w:val="hybridMultilevel"/>
    <w:lvl w:ilvl="0">
      <w:lvlJc w:val="left"/>
      <w:lvlText w:val="%1."/>
      <w:numFmt w:val="lowerLetter"/>
      <w:start w:val="6"/>
    </w:lvl>
    <w:lvl w:ilvl="1">
      <w:lvlJc w:val="left"/>
      <w:lvlText w:val="(%2)"/>
      <w:numFmt w:val="lowerRoman"/>
      <w:start w:val="1"/>
    </w:lvl>
  </w:abstractNum>
  <w:abstractNum w:abstractNumId="60">
    <w:nsid w:val="100F59DC"/>
    <w:multiLevelType w:val="hybridMultilevel"/>
    <w:lvl w:ilvl="0">
      <w:lvlJc w:val="left"/>
      <w:lvlText w:val="%1"/>
      <w:numFmt w:val="lowerLetter"/>
      <w:start w:val="1"/>
    </w:lvl>
    <w:lvl w:ilvl="1">
      <w:lvlJc w:val="left"/>
      <w:lvlText w:val="(%2)"/>
      <w:numFmt w:val="lowerRoman"/>
      <w:start w:val="3"/>
    </w:lvl>
  </w:abstractNum>
  <w:abstractNum w:abstractNumId="61">
    <w:nsid w:val="7FB7E0AA"/>
    <w:multiLevelType w:val="hybridMultilevel"/>
    <w:lvl w:ilvl="0">
      <w:lvlJc w:val="left"/>
      <w:lvlText w:val="%1."/>
      <w:numFmt w:val="lowerLetter"/>
      <w:start w:val="12"/>
    </w:lvl>
    <w:lvl w:ilvl="1">
      <w:lvlJc w:val="left"/>
      <w:lvlText w:val="%2"/>
      <w:numFmt w:val="lowerRoman"/>
      <w:start w:val="1"/>
    </w:lvl>
  </w:abstractNum>
  <w:abstractNum w:abstractNumId="62">
    <w:nsid w:val="6EB5BD4"/>
    <w:multiLevelType w:val="hybridMultilevel"/>
    <w:lvl w:ilvl="0">
      <w:lvlJc w:val="left"/>
      <w:lvlText w:val="%1"/>
      <w:numFmt w:val="lowerLetter"/>
      <w:start w:val="1"/>
    </w:lvl>
    <w:lvl w:ilvl="1">
      <w:lvlJc w:val="left"/>
      <w:lvlText w:val="(%2)"/>
      <w:numFmt w:val="decimal"/>
      <w:start w:val="15"/>
    </w:lvl>
  </w:abstractNum>
  <w:abstractNum w:abstractNumId="63">
    <w:nsid w:val="6F6DD9AC"/>
    <w:multiLevelType w:val="hybridMultilevel"/>
    <w:lvl w:ilvl="0">
      <w:lvlJc w:val="left"/>
      <w:lvlText w:val="%1."/>
      <w:numFmt w:val="lowerLetter"/>
      <w:start w:val="15"/>
    </w:lvl>
    <w:lvl w:ilvl="1">
      <w:lvlJc w:val="left"/>
      <w:lvlText w:val="%2"/>
      <w:numFmt w:val="decimal"/>
      <w:start w:val="1"/>
    </w:lvl>
  </w:abstractNum>
  <w:abstractNum w:abstractNumId="64">
    <w:nsid w:val="94211F2"/>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65">
    <w:nsid w:val="885E1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66">
    <w:nsid w:val="76272110"/>
    <w:multiLevelType w:val="hybridMultilevel"/>
    <w:lvl w:ilvl="0">
      <w:lvlJc w:val="left"/>
      <w:lvlText w:val="%1."/>
      <w:numFmt w:val="lowerRoman"/>
      <w:start w:val="13"/>
    </w:lvl>
  </w:abstractNum>
  <w:abstractNum w:abstractNumId="67">
    <w:nsid w:val="4C04A8AF"/>
    <w:multiLevelType w:val="hybridMultilevel"/>
    <w:lvl w:ilvl="0">
      <w:lvlJc w:val="left"/>
      <w:lvlText w:val="%1"/>
      <w:numFmt w:val="lowerLetter"/>
      <w:start w:val="1"/>
    </w:lvl>
    <w:lvl w:ilvl="1">
      <w:lvlJc w:val="left"/>
      <w:lvlText w:val="%2."/>
      <w:numFmt w:val="lowerRoman"/>
      <w:start w:val="14"/>
    </w:lvl>
    <w:lvl w:ilvl="2">
      <w:lvlJc w:val="left"/>
      <w:lvlText w:val="%3"/>
      <w:numFmt w:val="lowerRoman"/>
      <w:start w:val="1"/>
    </w:lvl>
  </w:abstractNum>
  <w:abstractNum w:abstractNumId="68">
    <w:nsid w:val="1716703B"/>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69">
    <w:nsid w:val="14E17E33"/>
    <w:multiLevelType w:val="hybridMultilevel"/>
    <w:lvl w:ilvl="0">
      <w:lvlJc w:val="left"/>
      <w:lvlText w:val="%1"/>
      <w:numFmt w:val="lowerRoman"/>
      <w:start w:val="1"/>
    </w:lvl>
    <w:lvl w:ilvl="1">
      <w:lvlJc w:val="left"/>
      <w:lvlText w:val="%2."/>
      <w:numFmt w:val="lowerRoman"/>
      <w:start w:val="6"/>
    </w:lvl>
  </w:abstractNum>
  <w:abstractNum w:abstractNumId="70">
    <w:nsid w:val="3222E7CD"/>
    <w:multiLevelType w:val="hybridMultilevel"/>
    <w:lvl w:ilvl="0">
      <w:lvlJc w:val="left"/>
      <w:lvlText w:val="%1."/>
      <w:numFmt w:val="lowerRoman"/>
      <w:start w:val="14"/>
    </w:lvl>
    <w:lvl w:ilvl="1">
      <w:lvlJc w:val="left"/>
      <w:lvlText w:val="%2"/>
      <w:numFmt w:val="lowerRoman"/>
      <w:start w:val="1"/>
    </w:lvl>
  </w:abstractNum>
  <w:abstractNum w:abstractNumId="71">
    <w:nsid w:val="74DE0EE3"/>
    <w:multiLevelType w:val="hybridMultilevel"/>
    <w:lvl w:ilvl="0">
      <w:lvlJc w:val="left"/>
      <w:lvlText w:val="(%1)"/>
      <w:numFmt w:val="lowerLetter"/>
      <w:start w:val="1"/>
    </w:lvl>
    <w:lvl w:ilvl="1">
      <w:lvlJc w:val="left"/>
      <w:lvlText w:val="(%2)"/>
      <w:numFmt w:val="lowerLetter"/>
      <w:start w:val="9"/>
    </w:lvl>
  </w:abstractNum>
  <w:abstractNum w:abstractNumId="72">
    <w:nsid w:val="68EBC550"/>
    <w:multiLevelType w:val="hybridMultilevel"/>
    <w:lvl w:ilvl="0">
      <w:lvlJc w:val="left"/>
      <w:lvlText w:val="(%1)"/>
      <w:numFmt w:val="lowerRoman"/>
      <w:start w:val="2"/>
    </w:lvl>
  </w:abstractNum>
  <w:abstractNum w:abstractNumId="73">
    <w:nsid w:val="2DF6D648"/>
    <w:multiLevelType w:val="hybridMultilevel"/>
    <w:lvl w:ilvl="0">
      <w:lvlJc w:val="left"/>
      <w:lvlText w:val="(%1)"/>
      <w:numFmt w:val="lowerLetter"/>
      <w:start w:val="5"/>
    </w:lvl>
  </w:abstractNum>
  <w:abstractNum w:abstractNumId="74">
    <w:nsid w:val="46B7D447"/>
    <w:multiLevelType w:val="hybridMultilevel"/>
    <w:lvl w:ilvl="0">
      <w:lvlJc w:val="left"/>
      <w:lvlText w:val="%1"/>
      <w:numFmt w:val="upperLetter"/>
      <w:start w:val="1"/>
    </w:lvl>
    <w:lvl w:ilvl="1">
      <w:lvlJc w:val="left"/>
      <w:lvlText w:val="(%2)"/>
      <w:numFmt w:val="lowerLetter"/>
      <w:start w:val="13"/>
    </w:lvl>
    <w:lvl w:ilvl="2">
      <w:lvlJc w:val="left"/>
      <w:lvlText w:val="(%3)"/>
      <w:numFmt w:val="lowerRoman"/>
      <w:start w:val="1"/>
    </w:lvl>
  </w:abstractNum>
  <w:abstractNum w:abstractNumId="75">
    <w:nsid w:val="4A2AC315"/>
    <w:multiLevelType w:val="hybridMultilevel"/>
    <w:lvl w:ilvl="0">
      <w:lvlJc w:val="left"/>
      <w:lvlText w:val="(%1)"/>
      <w:numFmt w:val="upperLetter"/>
      <w:start w:val="1"/>
    </w:lvl>
    <w:lvl w:ilvl="1">
      <w:lvlJc w:val="left"/>
      <w:lvlText w:val="(%2)"/>
      <w:numFmt w:val="lowerLetter"/>
      <w:start w:val="18"/>
    </w:lvl>
    <w:lvl w:ilvl="2">
      <w:lvlJc w:val="left"/>
      <w:lvlText w:val="(%3)"/>
      <w:numFmt w:val="lowerRoman"/>
      <w:start w:val="2"/>
    </w:lvl>
  </w:abstractNum>
  <w:abstractNum w:abstractNumId="76">
    <w:nsid w:val="39EE015C"/>
    <w:multiLevelType w:val="hybridMultilevel"/>
    <w:lvl w:ilvl="0">
      <w:lvlJc w:val="left"/>
      <w:lvlText w:val="(%1)"/>
      <w:numFmt w:val="lowerLetter"/>
      <w:start w:val="25"/>
    </w:lvl>
  </w:abstractNum>
  <w:abstractNum w:abstractNumId="77">
    <w:nsid w:val="57FC4FBB"/>
    <w:multiLevelType w:val="hybridMultilevel"/>
    <w:lvl w:ilvl="0">
      <w:lvlJc w:val="left"/>
      <w:lvlText w:val="(%1)"/>
      <w:numFmt w:val="lowerLetter"/>
      <w:start w:val="27"/>
    </w:lvl>
  </w:abstractNum>
  <w:abstractNum w:abstractNumId="78">
    <w:nsid w:val="CC1016F"/>
    <w:multiLevelType w:val="hybridMultilevel"/>
    <w:lvl w:ilvl="0">
      <w:lvlJc w:val="left"/>
      <w:lvlText w:val="(%1)"/>
      <w:numFmt w:val="lowerLetter"/>
      <w:start w:val="1"/>
    </w:lvl>
  </w:abstractNum>
  <w:abstractNum w:abstractNumId="79">
    <w:nsid w:val="43F18422"/>
    <w:multiLevelType w:val="hybridMultilevel"/>
    <w:lvl w:ilvl="0">
      <w:lvlJc w:val="left"/>
      <w:lvlText w:val="(%1)"/>
      <w:numFmt w:val="lowerLetter"/>
      <w:start w:val="5"/>
    </w:lvl>
  </w:abstractNum>
  <w:abstractNum w:abstractNumId="80">
    <w:nsid w:val="60EF0119"/>
    <w:multiLevelType w:val="hybridMultilevel"/>
    <w:lvl w:ilvl="0">
      <w:lvlJc w:val="left"/>
      <w:lvlText w:val="(%1)"/>
      <w:numFmt w:val="lowerLetter"/>
      <w:start w:val="1"/>
    </w:lvl>
  </w:abstractNum>
  <w:abstractNum w:abstractNumId="81">
    <w:nsid w:val="26F324BA"/>
    <w:multiLevelType w:val="hybridMultilevel"/>
    <w:lvl w:ilvl="0">
      <w:lvlJc w:val="left"/>
      <w:lvlText w:val="%1"/>
      <w:numFmt w:val="lowerLetter"/>
      <w:start w:val="1"/>
    </w:lvl>
    <w:lvl w:ilvl="1">
      <w:lvlJc w:val="left"/>
      <w:lvlText w:val="(%2)"/>
      <w:numFmt w:val="lowerRoman"/>
      <w:start w:val="1"/>
    </w:lvl>
  </w:abstractNum>
  <w:abstractNum w:abstractNumId="82">
    <w:nsid w:val="7F01579B"/>
    <w:multiLevelType w:val="hybridMultilevel"/>
    <w:lvl w:ilvl="0">
      <w:lvlJc w:val="left"/>
      <w:lvlText w:val="(%1)"/>
      <w:numFmt w:val="lowerLetter"/>
      <w:start w:val="4"/>
    </w:lvl>
    <w:lvl w:ilvl="1">
      <w:lvlJc w:val="left"/>
      <w:lvlText w:val="%2"/>
      <w:numFmt w:val="lowerRoman"/>
      <w:start w:val="1"/>
    </w:lvl>
  </w:abstractNum>
  <w:abstractNum w:abstractNumId="83">
    <w:nsid w:val="49DA307D"/>
    <w:multiLevelType w:val="hybridMultilevel"/>
    <w:lvl w:ilvl="0">
      <w:lvlJc w:val="left"/>
      <w:lvlText w:val="(%1)"/>
      <w:numFmt w:val="lowerLetter"/>
      <w:start w:val="1"/>
    </w:lvl>
  </w:abstractNum>
  <w:abstractNum w:abstractNumId="84">
    <w:nsid w:val="7055A5F5"/>
    <w:multiLevelType w:val="hybridMultilevel"/>
    <w:lvl w:ilvl="0">
      <w:lvlJc w:val="left"/>
      <w:lvlText w:val="(%1)"/>
      <w:numFmt w:val="lowerLetter"/>
      <w:start w:val="1"/>
    </w:lvl>
    <w:lvl w:ilvl="1">
      <w:lvlJc w:val="left"/>
      <w:lvlText w:val="(%2)"/>
      <w:numFmt w:val="lowerRoman"/>
      <w:start w:val="1"/>
    </w:lvl>
  </w:abstractNum>
  <w:abstractNum w:abstractNumId="85">
    <w:nsid w:val="5FB8370B"/>
    <w:multiLevelType w:val="hybridMultilevel"/>
    <w:lvl w:ilvl="0">
      <w:lvlJc w:val="left"/>
      <w:lvlText w:val="%1"/>
      <w:numFmt w:val="lowerLetter"/>
      <w:start w:val="1"/>
    </w:lvl>
    <w:lvl w:ilvl="1">
      <w:lvlJc w:val="left"/>
      <w:lvlText w:val="(%2)"/>
      <w:numFmt w:val="lowerLetter"/>
      <w:start w:val="6"/>
    </w:lvl>
  </w:abstractNum>
  <w:abstractNum w:abstractNumId="86">
    <w:nsid w:val="50801EE1"/>
    <w:multiLevelType w:val="hybridMultilevel"/>
    <w:lvl w:ilvl="0">
      <w:lvlJc w:val="left"/>
      <w:lvlText w:val="(%1)"/>
      <w:numFmt w:val="lowerLetter"/>
      <w:start w:val="9"/>
    </w:lvl>
    <w:lvl w:ilvl="1">
      <w:lvlJc w:val="left"/>
      <w:lvlText w:val="(%2)"/>
      <w:numFmt w:val="lowerLetter"/>
      <w:start w:val="8"/>
    </w:lvl>
  </w:abstractNum>
  <w:abstractNum w:abstractNumId="87">
    <w:nsid w:val="488AC1A"/>
    <w:multiLevelType w:val="hybridMultilevel"/>
    <w:lvl w:ilvl="0">
      <w:lvlJc w:val="left"/>
      <w:lvlText w:val="(%1)"/>
      <w:numFmt w:val="lowerLetter"/>
      <w:start w:val="1"/>
    </w:lvl>
  </w:abstractNum>
  <w:abstractNum w:abstractNumId="88">
    <w:nsid w:val="5FB8011C"/>
    <w:multiLevelType w:val="hybridMultilevel"/>
    <w:lvl w:ilvl="0">
      <w:lvlJc w:val="left"/>
      <w:lvlText w:val="(%1)"/>
      <w:numFmt w:val="lowerLetter"/>
      <w:start w:val="5"/>
    </w:lvl>
  </w:abstractNum>
  <w:abstractNum w:abstractNumId="89">
    <w:nsid w:val="6AA78F7F"/>
    <w:multiLevelType w:val="hybridMultilevel"/>
    <w:lvl w:ilvl="0">
      <w:lvlJc w:val="left"/>
      <w:lvlText w:val="(%1)"/>
      <w:numFmt w:val="lowerLetter"/>
      <w:start w:val="1"/>
    </w:lvl>
  </w:abstractNum>
  <w:abstractNum w:abstractNumId="90">
    <w:nsid w:val="7672BD23"/>
    <w:multiLevelType w:val="hybridMultilevel"/>
    <w:lvl w:ilvl="0">
      <w:lvlJc w:val="left"/>
      <w:lvlText w:val="(%1)"/>
      <w:numFmt w:val="lowerLetter"/>
      <w:start w:val="1"/>
    </w:lvl>
  </w:abstractNum>
  <w:abstractNum w:abstractNumId="91">
    <w:nsid w:val="6FC75AF8"/>
    <w:multiLevelType w:val="hybridMultilevel"/>
    <w:lvl w:ilvl="0">
      <w:lvlJc w:val="left"/>
      <w:lvlText w:val="(%1)"/>
      <w:numFmt w:val="lowerLetter"/>
      <w:start w:val="2"/>
    </w:lvl>
  </w:abstractNum>
  <w:abstractNum w:abstractNumId="92">
    <w:nsid w:val="6A5F702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3">
    <w:nsid w:val="7D5E18F8"/>
    <w:multiLevelType w:val="hybridMultilevel"/>
    <w:lvl w:ilvl="0">
      <w:lvlJc w:val="left"/>
      <w:lvlText w:val="(%1)"/>
      <w:numFmt w:val="upperLetter"/>
      <w:start w:val="7"/>
    </w:lvl>
    <w:lvl w:ilvl="1">
      <w:lvlJc w:val="left"/>
      <w:lvlText w:val="%2"/>
      <w:numFmt w:val="lowerLetter"/>
      <w:start w:val="1"/>
    </w:lvl>
    <w:lvl w:ilvl="2">
      <w:lvlJc w:val="left"/>
      <w:lvlText w:val="%3"/>
      <w:numFmt w:val="lowerRoman"/>
      <w:start w:val="1"/>
    </w:lvl>
  </w:abstractNum>
  <w:abstractNum w:abstractNumId="94">
    <w:nsid w:val="5F3534A4"/>
    <w:multiLevelType w:val="hybridMultilevel"/>
    <w:lvl w:ilvl="0">
      <w:lvlJc w:val="left"/>
      <w:lvlText w:val="(%1)"/>
      <w:numFmt w:val="lowerLetter"/>
      <w:start w:val="2"/>
    </w:lvl>
  </w:abstractNum>
  <w:abstractNum w:abstractNumId="95">
    <w:nsid w:val="73A1821B"/>
    <w:multiLevelType w:val="hybridMultilevel"/>
    <w:lvl w:ilvl="0">
      <w:lvlJc w:val="left"/>
      <w:lvlText w:val="(%1)"/>
      <w:numFmt w:val="lowerLetter"/>
      <w:start w:val="1"/>
    </w:lvl>
  </w:abstractNum>
  <w:abstractNum w:abstractNumId="96">
    <w:nsid w:val="7DE67713"/>
    <w:multiLevelType w:val="hybridMultilevel"/>
    <w:lvl w:ilvl="0">
      <w:lvlJc w:val="left"/>
      <w:lvlText w:val="(%1)"/>
      <w:numFmt w:val="lowerLetter"/>
      <w:start w:val="1"/>
    </w:lvl>
  </w:abstractNum>
  <w:abstractNum w:abstractNumId="97">
    <w:nsid w:val="555C55B5"/>
    <w:multiLevelType w:val="hybridMultilevel"/>
    <w:lvl w:ilvl="0">
      <w:lvlJc w:val="left"/>
      <w:lvlText w:val="(%1)"/>
      <w:numFmt w:val="lowerLetter"/>
      <w:start w:val="1"/>
    </w:lvl>
  </w:abstractNum>
  <w:abstractNum w:abstractNumId="98">
    <w:nsid w:val="3FA62ACA"/>
    <w:multiLevelType w:val="hybridMultilevel"/>
    <w:lvl w:ilvl="0">
      <w:lvlJc w:val="left"/>
      <w:lvlText w:val="(%1)"/>
      <w:numFmt w:val="lowerLetter"/>
      <w:start w:val="1"/>
    </w:lvl>
    <w:lvl w:ilvl="1">
      <w:lvlJc w:val="left"/>
      <w:lvlText w:val="(%2)"/>
      <w:numFmt w:val="lowerRoman"/>
      <w:start w:val="1"/>
    </w:lvl>
  </w:abstractNum>
  <w:abstractNum w:abstractNumId="99">
    <w:nsid w:val="14FCE74E"/>
    <w:multiLevelType w:val="hybridMultilevel"/>
    <w:lvl w:ilvl="0">
      <w:lvlJc w:val="left"/>
      <w:lvlText w:val="(%1)"/>
      <w:numFmt w:val="lowerLetter"/>
      <w:start w:val="1"/>
    </w:lvl>
  </w:abstractNum>
  <w:abstractNum w:abstractNumId="100">
    <w:nsid w:val="6A3DD3E8"/>
    <w:multiLevelType w:val="hybridMultilevel"/>
    <w:lvl w:ilvl="0">
      <w:lvlJc w:val="left"/>
      <w:lvlText w:val="(%1)"/>
      <w:numFmt w:val="lowerLetter"/>
      <w:start w:val="2"/>
    </w:lvl>
    <w:lvl w:ilvl="1">
      <w:lvlJc w:val="left"/>
      <w:lvlText w:val="(%2)"/>
      <w:numFmt w:val="lowerRoman"/>
      <w:start w:val="1"/>
    </w:lvl>
  </w:abstractNum>
  <w:abstractNum w:abstractNumId="101">
    <w:nsid w:val="71C9129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abstractNum>
  <w:abstractNum w:abstractNumId="102">
    <w:nsid w:val="9DAF632"/>
    <w:multiLevelType w:val="hybridMultilevel"/>
    <w:lvl w:ilvl="0">
      <w:lvlJc w:val="left"/>
      <w:lvlText w:val="*"/>
      <w:numFmt w:val="bullet"/>
      <w:start w:val="1"/>
    </w:lvl>
    <w:lvl w:ilvl="1">
      <w:lvlJc w:val="left"/>
      <w:lvlText w:val="(%2)"/>
      <w:numFmt w:val="lowerLetter"/>
      <w:start w:val="7"/>
    </w:lvl>
    <w:lvl w:ilvl="2">
      <w:lvlJc w:val="left"/>
      <w:lvlText w:val="%3"/>
      <w:numFmt w:val="lowerRoman"/>
      <w:start w:val="1"/>
    </w:lvl>
  </w:abstractNum>
  <w:abstractNum w:abstractNumId="103">
    <w:nsid w:val="53299938"/>
    <w:multiLevelType w:val="hybridMultilevel"/>
    <w:lvl w:ilvl="0">
      <w:lvlJc w:val="left"/>
      <w:lvlText w:val="%1."/>
      <w:numFmt w:val="decimal"/>
      <w:start w:val="1"/>
    </w:lvl>
    <w:lvl w:ilvl="1">
      <w:lvlJc w:val="left"/>
      <w:lvlText w:val="%2)"/>
      <w:numFmt w:val="lowerLetter"/>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2020-08-10T16:09:05Z</dcterms:created>
  <dcterms:modified xsi:type="dcterms:W3CDTF">2020-08-10T16:09:05Z</dcterms:modified>
</cp:coreProperties>
</file>