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05,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August 5, 2024, Axsome Therapeutics, Inc. (the “Company”) issued a press release announcing its financial results for the three months ended June 30, 2024 and provided an update on the Company’s operations. The Company is furnishing a copy of the press release, which is attached hereto as Exhibit 99.1.</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40" w:type="dxa"/>
            <w:vAlign w:val="bottom"/>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c>
          <w:tcPr>
            <w:tcW w:w="724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8"/>
                <w:szCs w:val="18"/>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August 5, 2024.</w:t>
            </w:r>
          </w:p>
        </w:tc>
      </w:tr>
      <w:tr>
        <w:trPr>
          <w:trHeight w:val="20"/>
        </w:trPr>
        <w:tc>
          <w:tcPr>
            <w:tcW w:w="12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20" w:type="dxa"/>
            <w:vAlign w:val="bottom"/>
            <w:tcBorders>
              <w:right w:val="single" w:sz="8" w:color="0000EE"/>
            </w:tcBorders>
            <w:shd w:val="clear" w:color="auto" w:fill="0000FF"/>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r>
      <w:tr>
        <w:trPr>
          <w:trHeight w:val="2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9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August 5, 2024</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5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580" w:type="dxa"/>
            <w:vAlign w:val="bottom"/>
          </w:tcPr>
          <w:p>
            <w:pPr>
              <w:ind w:left="19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56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5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line="16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88265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82650" cy="49720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19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Axsome Therapeutics Reports Second Quarter 2024 Financial Results and Provides Business Update</w:t>
      </w:r>
    </w:p>
    <w:p>
      <w:pPr>
        <w:spacing w:after="0" w:line="200" w:lineRule="exact"/>
        <w:rPr>
          <w:sz w:val="20"/>
          <w:szCs w:val="20"/>
          <w:color w:val="auto"/>
        </w:rPr>
      </w:pPr>
    </w:p>
    <w:p>
      <w:pPr>
        <w:ind w:left="1940"/>
        <w:spacing w:after="0"/>
        <w:rPr>
          <w:sz w:val="20"/>
          <w:szCs w:val="20"/>
          <w:color w:val="auto"/>
        </w:rPr>
      </w:pPr>
      <w:r>
        <w:rPr>
          <w:rFonts w:ascii="Arial" w:cs="Arial" w:eastAsia="Arial" w:hAnsi="Arial"/>
          <w:sz w:val="18"/>
          <w:szCs w:val="18"/>
          <w:i w:val="1"/>
          <w:iCs w:val="1"/>
          <w:color w:val="auto"/>
        </w:rPr>
        <w:t>Total 2Q 2024 net product revenue of $87.2 million, representing 87% year-over-year growth</w:t>
      </w:r>
    </w:p>
    <w:p>
      <w:pPr>
        <w:spacing w:after="0" w:line="198" w:lineRule="exact"/>
        <w:rPr>
          <w:sz w:val="20"/>
          <w:szCs w:val="20"/>
          <w:color w:val="auto"/>
        </w:rPr>
      </w:pPr>
    </w:p>
    <w:p>
      <w:pPr>
        <w:ind w:left="1800"/>
        <w:spacing w:after="0"/>
        <w:rPr>
          <w:sz w:val="20"/>
          <w:szCs w:val="20"/>
          <w:color w:val="auto"/>
        </w:rPr>
      </w:pPr>
      <w:r>
        <w:rPr>
          <w:rFonts w:ascii="Arial" w:cs="Arial" w:eastAsia="Arial" w:hAnsi="Arial"/>
          <w:sz w:val="18"/>
          <w:szCs w:val="18"/>
          <w:i w:val="1"/>
          <w:iCs w:val="1"/>
          <w:color w:val="auto"/>
        </w:rPr>
        <w:t>Auvelity® 2Q 2024 net product sales of $65.0 million, representing 135% year-over-year growth</w:t>
      </w:r>
    </w:p>
    <w:p>
      <w:pPr>
        <w:spacing w:after="0" w:line="198" w:lineRule="exact"/>
        <w:rPr>
          <w:sz w:val="20"/>
          <w:szCs w:val="20"/>
          <w:color w:val="auto"/>
        </w:rPr>
      </w:pPr>
    </w:p>
    <w:p>
      <w:pPr>
        <w:ind w:left="1820"/>
        <w:spacing w:after="0"/>
        <w:rPr>
          <w:sz w:val="20"/>
          <w:szCs w:val="20"/>
          <w:color w:val="auto"/>
        </w:rPr>
      </w:pPr>
      <w:r>
        <w:rPr>
          <w:rFonts w:ascii="Arial" w:cs="Arial" w:eastAsia="Arial" w:hAnsi="Arial"/>
          <w:sz w:val="18"/>
          <w:szCs w:val="18"/>
          <w:i w:val="1"/>
          <w:iCs w:val="1"/>
          <w:color w:val="auto"/>
        </w:rPr>
        <w:t>Sunosi® 2Q 2024 net product revenue of $22.1 million representing 16% year-over-year growth</w:t>
      </w:r>
    </w:p>
    <w:p>
      <w:pPr>
        <w:spacing w:after="0" w:line="198"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NDA for AXS-07 in migraine resubmitted</w:t>
      </w:r>
    </w:p>
    <w:p>
      <w:pPr>
        <w:spacing w:after="0" w:line="198"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Topline results of ADVANCE-2 Phase 3 trial of AXS-05 in Alzheimer’s disease agitation anticipated 2H 2024</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Topline results of ACCORD-2 Phase 3 randomized withdrawal trial of AXS-05 in Alzheimer's disease agitation anticipated 2H 2024; target</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enrollment reached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Topline results of FOCUS Phase 3 trial of solriamfetol in ADHD anticipated 2H 2024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SUSTAIN Phase 3 trial of solriamfetol in shift work disorder initiated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NDA submission for AXS-14 in fibromyalgia expected 3Q 2024</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NEW YORK, August 5, 2024 (Globe Newswire) – Axsome Therapeutics, Inc. (NASDAQ: AXSM), a biopharmaceutical company developing and delivering novel therapies for the management of central nervous system (CNS) disorders, today announced financial results for the second quarter of 2024.</w:t>
      </w:r>
    </w:p>
    <w:p>
      <w:pPr>
        <w:spacing w:after="0" w:line="15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“We delivered another robust quarter driven by focused commercial execution and continued pipeline advancement,” said Herriot Tabuteau, MD, CEO of Axsome Therapeutics. “We continue to see strong demand for Auvelity and increased commercial payer coverage by more than 22 million lives as of August 1</w:t>
      </w:r>
      <w:r>
        <w:rPr>
          <w:rFonts w:ascii="Arial" w:cs="Arial" w:eastAsia="Arial" w:hAnsi="Arial"/>
          <w:sz w:val="24"/>
          <w:szCs w:val="24"/>
          <w:color w:val="auto"/>
          <w:vertAlign w:val="superscript"/>
        </w:rPr>
        <w:t>st</w:t>
      </w:r>
      <w:r>
        <w:rPr>
          <w:rFonts w:ascii="Arial" w:cs="Arial" w:eastAsia="Arial" w:hAnsi="Arial"/>
          <w:sz w:val="18"/>
          <w:szCs w:val="18"/>
          <w:color w:val="auto"/>
        </w:rPr>
        <w:t>. The NDA for AXS-07 in migraine has been resubmitted, and we are tracking to submit the NDA for AXS-14 in fibromyalgia in the third quarter. Trials in four new indications for solriamfetol are now underway, and we remain on track to deliver topline results from the FOCUS Phase 3 trial in ADHD in the second half of this year. For our AXS-05 program in Alzheimer’s disease agitation, the ADVANCE-2 Phase 3 trial continues to progress, and the ACCORD-2 Phase 3 trial has reached target enrollment, positioning us to potentially report topline results for both of these pivotal trials in the second half of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2024 Financial Highlights</w:t>
      </w:r>
    </w:p>
    <w:p>
      <w:pPr>
        <w:spacing w:after="0" w:line="198" w:lineRule="exact"/>
        <w:rPr>
          <w:sz w:val="20"/>
          <w:szCs w:val="20"/>
          <w:color w:val="auto"/>
        </w:rPr>
      </w:pPr>
    </w:p>
    <w:p>
      <w:pPr>
        <w:ind w:left="380" w:right="2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net product revenue for the second quarter of 2024 was $87.2 million, representing 87% year-over-year growth. Total net product revenue for the comparable period in 2023 was $46.7 million.</w:t>
      </w:r>
    </w:p>
    <w:p>
      <w:pPr>
        <w:spacing w:after="0" w:line="140"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Auvelity net product sales were $65.0 million for the second quarter of 2024, representing 135% year-over-year growth. Auvelity net product sales for the comparable period in 2023 were $27.6 million.</w:t>
      </w:r>
    </w:p>
    <w:p>
      <w:pPr>
        <w:spacing w:after="0" w:line="140"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Sunosi net product revenue was $22.1 million for the second quarter of 2024, consisting of $21.5 million in net product sales and $0.6 million in royalty revenue associated with sales in out-licensed territories, representing 16% year-over-year growth. Sunosi net product revenue for the comparable period in 2023 was $19.1 million, consisting of $18.4 million in net product sales and $0.7 million in royalty revenue.</w:t>
      </w:r>
    </w:p>
    <w:p>
      <w:pPr>
        <w:spacing w:after="0" w:line="163"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Total cost of revenue was $8.1 million for the second quarter of 2024. Total cost of revenue for the comparable period in 2023 was $4.6 million.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55" w:lineRule="exact"/>
        <w:rPr>
          <w:sz w:val="20"/>
          <w:szCs w:val="20"/>
          <w:color w:val="auto"/>
        </w:rPr>
      </w:pPr>
    </w:p>
    <w:p>
      <w:pPr>
        <w:jc w:val="both"/>
        <w:ind w:left="380" w:hanging="372"/>
        <w:spacing w:after="0" w:line="243"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$49.9 million for the second quarter of 2024, compared to $20.6 million for the comparable period in 2023. The increase was primarily related to the initiation and continuation of solriamfetol Phase 3 trials in major depressive disorder, ADHD, and binge eating disorder, ongoing trials of AXS-05 and AXS-12, manufacturing costs associated with AXS-07 and AXS-14, post-marketing commitments for Auvelity and Sunosi, and higher personnel costs, including non-cash stock-based compensation, due to organizational growth.</w:t>
      </w:r>
    </w:p>
    <w:p>
      <w:pPr>
        <w:spacing w:after="0" w:line="166"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Selling, general, and administrative (SG&amp;A) expenses were $103.6 million for the second quarter of 2024, compared to $78.9 million for the comparable period in 2023. The increase was primarily related to commercialization expenses largely driven by field force expansion and higher personnel costs, including non-cash stock-based compensation, due to organizational growth.</w:t>
      </w:r>
    </w:p>
    <w:p>
      <w:pPr>
        <w:spacing w:after="0" w:line="157"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second quarter of 2024 was $79.3 million or $(1.67) per share, compared to a net loss of $67.2 million or $(1.54) per share for the comparable period in 2023. The net loss in the second quarter of 2024 reflects $26.0 million in non-cash charges.</w:t>
      </w:r>
    </w:p>
    <w:p>
      <w:pPr>
        <w:spacing w:after="0" w:line="14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and cash equivalents totaled $315.7 million at June 30, 2024, compared to $386.2 million at December 31, 2023.</w:t>
      </w:r>
    </w:p>
    <w:p>
      <w:pPr>
        <w:spacing w:after="0" w:line="21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Shares of common stock outstanding were 47,801,578 at June 30,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198" w:lineRule="exact"/>
        <w:rPr>
          <w:sz w:val="20"/>
          <w:szCs w:val="20"/>
          <w:color w:val="auto"/>
        </w:rPr>
      </w:pPr>
    </w:p>
    <w:p>
      <w:pPr>
        <w:ind w:left="380" w:hanging="372"/>
        <w:spacing w:after="0" w:line="27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Axsome believes that its current cash is sufficient to fund anticipated operations into cash flow positivity, based on the current operating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Highlights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Auvelity</w:t>
      </w:r>
    </w:p>
    <w:p>
      <w:pPr>
        <w:spacing w:after="0" w:line="196" w:lineRule="exact"/>
        <w:rPr>
          <w:sz w:val="20"/>
          <w:szCs w:val="20"/>
          <w:color w:val="auto"/>
        </w:rPr>
      </w:pPr>
    </w:p>
    <w:p>
      <w:pPr>
        <w:ind w:left="380" w:right="20" w:hanging="372"/>
        <w:spacing w:after="0" w:line="270"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123,000 prescriptions were written for Auvelity in the second quarter of 2024, representing a 29% sequential increase versus the first quarter of 2024.</w:t>
      </w:r>
    </w:p>
    <w:p>
      <w:pPr>
        <w:spacing w:after="0" w:line="140" w:lineRule="exact"/>
        <w:rPr>
          <w:rFonts w:ascii="Times New Roman" w:cs="Times New Roman" w:eastAsia="Times New Roman" w:hAnsi="Times New Roman"/>
          <w:sz w:val="18"/>
          <w:szCs w:val="18"/>
          <w:color w:val="auto"/>
        </w:rPr>
      </w:pPr>
    </w:p>
    <w:p>
      <w:pPr>
        <w:jc w:val="both"/>
        <w:ind w:left="380" w:hanging="372"/>
        <w:spacing w:after="0" w:line="246"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Payer coverage for Auvelity in the commercial channel increased from 48% of lives covered last quarter to 60% of lives covered as of August 1. The proportion of lives covered in the government channel (Medicare and Medicaid) remains at approximately 100%. Payer coverage for Auvelity across all channels is now at approximately 76% of all covered lives. Axsome expects coverage to continue to expand and evolve.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Sunosi</w:t>
      </w:r>
    </w:p>
    <w:p>
      <w:pPr>
        <w:spacing w:after="0" w:line="196" w:lineRule="exact"/>
        <w:rPr>
          <w:sz w:val="20"/>
          <w:szCs w:val="20"/>
          <w:color w:val="auto"/>
        </w:rPr>
      </w:pPr>
    </w:p>
    <w:p>
      <w:pPr>
        <w:ind w:left="380" w:right="2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45,000 prescriptions were written for Sunosi in the U.S. in the second quarter of 2024, representing an 8% increase versus the first quarter of 2024.</w:t>
      </w:r>
    </w:p>
    <w:p>
      <w:pPr>
        <w:spacing w:after="0" w:line="140" w:lineRule="exact"/>
        <w:rPr>
          <w:rFonts w:ascii="Times New Roman" w:cs="Times New Roman" w:eastAsia="Times New Roman" w:hAnsi="Times New Roman"/>
          <w:sz w:val="18"/>
          <w:szCs w:val="18"/>
          <w:color w:val="auto"/>
        </w:rPr>
      </w:pPr>
    </w:p>
    <w:p>
      <w:pPr>
        <w:ind w:left="380" w:right="2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Sunosi maintains broad payer coverage in the commercial channel with 95% of lives covered. Currently 83% of total lives across all channels are covered.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Pipeline</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Axsome is advancing an industry-leading neuroscience pipeline encompassing five innovative, late-stage, patent-protected product candidates for 9 serious psychiatric and neurologic conditions, which affect more than 140 million people in the U.S. alone. Recent and anticipated progress for key pipeline programs is summarized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AXS-05</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AXS-05 (dextromethorphan-bupropion) is Axsome’s novel, oral, investigational NMDA receptor antagonist and sigma-1 agonist being developed for the treatment of Alzheimer’s disease (AD) agitation and smoking cessation. AXS-05 has been granted U.S. Food and Drug Administration (FDA) Breakthrough Therapy designation for AD agitation.</w:t>
      </w:r>
    </w:p>
    <w:p>
      <w:pPr>
        <w:spacing w:after="0" w:line="155" w:lineRule="exact"/>
        <w:rPr>
          <w:sz w:val="20"/>
          <w:szCs w:val="20"/>
          <w:color w:val="auto"/>
        </w:rPr>
      </w:pPr>
    </w:p>
    <w:p>
      <w:pPr>
        <w:jc w:val="both"/>
        <w:ind w:left="380" w:hanging="372"/>
        <w:spacing w:after="0" w:line="252"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Alzheimer’s Disease Agitation: </w:t>
      </w:r>
      <w:r>
        <w:rPr>
          <w:rFonts w:ascii="Arial" w:cs="Arial" w:eastAsia="Arial" w:hAnsi="Arial"/>
          <w:sz w:val="18"/>
          <w:szCs w:val="18"/>
          <w:color w:val="auto"/>
        </w:rPr>
        <w:t>Axsome is conducting the ADVANCE-2 study, a Phase 3, placebo-controlled, parallel group trial</w:t>
      </w:r>
      <w:r>
        <w:rPr>
          <w:rFonts w:ascii="Arial" w:cs="Arial" w:eastAsia="Arial" w:hAnsi="Arial"/>
          <w:sz w:val="18"/>
          <w:szCs w:val="18"/>
          <w:b w:val="1"/>
          <w:bCs w:val="1"/>
          <w:color w:val="auto"/>
        </w:rPr>
        <w:t xml:space="preserve"> </w:t>
      </w:r>
      <w:r>
        <w:rPr>
          <w:rFonts w:ascii="Arial" w:cs="Arial" w:eastAsia="Arial" w:hAnsi="Arial"/>
          <w:sz w:val="18"/>
          <w:szCs w:val="18"/>
          <w:color w:val="auto"/>
        </w:rPr>
        <w:t>evaluating the efficacy and safety of AXS-05 in AD agitation. Patients completing ADVANCE-2 may enter a long-term open label safety extension trial. The Company anticipates topline results from the ADVANCE-2 trial in the second half of 2024.</w:t>
      </w:r>
    </w:p>
    <w:p>
      <w:pPr>
        <w:spacing w:after="0" w:line="157" w:lineRule="exact"/>
        <w:rPr>
          <w:rFonts w:ascii="Times New Roman" w:cs="Times New Roman" w:eastAsia="Times New Roman" w:hAnsi="Times New Roman"/>
          <w:sz w:val="18"/>
          <w:szCs w:val="18"/>
          <w:color w:val="auto"/>
        </w:rPr>
      </w:pPr>
    </w:p>
    <w:p>
      <w:pPr>
        <w:jc w:val="both"/>
        <w:ind w:left="380"/>
        <w:spacing w:after="0" w:line="253" w:lineRule="auto"/>
        <w:rPr>
          <w:rFonts w:ascii="Times New Roman" w:cs="Times New Roman" w:eastAsia="Times New Roman" w:hAnsi="Times New Roman"/>
          <w:sz w:val="18"/>
          <w:szCs w:val="18"/>
          <w:color w:val="auto"/>
        </w:rPr>
      </w:pPr>
      <w:r>
        <w:rPr>
          <w:rFonts w:ascii="Arial" w:cs="Arial" w:eastAsia="Arial" w:hAnsi="Arial"/>
          <w:sz w:val="18"/>
          <w:szCs w:val="18"/>
          <w:color w:val="auto"/>
        </w:rPr>
        <w:t>Axsome is also conducting the ACCORD-2 study, a Phase 3, double-blind, placebo-controlled, randomized withdrawal trial evaluating the efficacy and safety of AXS-05 in AD agitation. The enrollment target for the ACCORD-2 trial has been met and the Company now anticipates topline results in the second half of 2024.</w:t>
      </w:r>
    </w:p>
    <w:p>
      <w:pPr>
        <w:spacing w:after="0" w:line="15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Smoking Cessation: </w:t>
      </w:r>
      <w:r>
        <w:rPr>
          <w:rFonts w:ascii="Arial" w:cs="Arial" w:eastAsia="Arial" w:hAnsi="Arial"/>
          <w:sz w:val="18"/>
          <w:szCs w:val="18"/>
          <w:color w:val="auto"/>
        </w:rPr>
        <w:t>Axsome plans to initiate a pivotal Phase 2/3 trial of AXS-05 in smoking cessation in 2024.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AXS-07</w:t>
      </w:r>
    </w:p>
    <w:p>
      <w:pPr>
        <w:spacing w:after="0" w:line="19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AXS-07 (MoSEIC™ meloxicam-rizatriptan) is Axsome’s novel, oral, rapidly absorbed, multi-mechanistic, investigational medicine being developed for the acute treatment of migraine.</w:t>
      </w:r>
    </w:p>
    <w:p>
      <w:pPr>
        <w:spacing w:after="0" w:line="140" w:lineRule="exact"/>
        <w:rPr>
          <w:sz w:val="20"/>
          <w:szCs w:val="20"/>
          <w:color w:val="auto"/>
        </w:rPr>
      </w:pPr>
    </w:p>
    <w:p>
      <w:pPr>
        <w:ind w:left="380" w:hanging="372"/>
        <w:spacing w:after="0" w:line="270"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Migraine: </w:t>
      </w:r>
      <w:r>
        <w:rPr>
          <w:rFonts w:ascii="Arial" w:cs="Arial" w:eastAsia="Arial" w:hAnsi="Arial"/>
          <w:sz w:val="18"/>
          <w:szCs w:val="18"/>
          <w:color w:val="auto"/>
        </w:rPr>
        <w:t>The Company has resubmitted its New Drug Application (NDA) for AXS-07 for the acute treatment of migraine.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expects the NDA resubmission to be designated as Class 2, which would be subject to a six-month review.</w:t>
      </w:r>
    </w:p>
    <w:p>
      <w:pPr>
        <w:spacing w:after="0" w:line="140"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Axsome is conducting the EMERGE study, a multicenter, Phase 3, single-group trial evaluating the efficacy and safety of AXS-07 for the acute treatment of migraine headache in adults with a prior inadequate response to an oral CGRP inhibitor. The Company anticipates topline results from the EMERGE trial in the second half of 2024.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AXS-12</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AXS-12 (reboxetine) is Axsome’s novel, oral, potent, investigational highly selective norepinephrine reuptake inhibitor and cortical dopamine modulator being developed for the treatment of narcolepsy. AXS-12 has been granted FDA Orphan Drug designation for narcolepsy.</w:t>
      </w:r>
    </w:p>
    <w:p>
      <w:pPr>
        <w:spacing w:after="0" w:line="140" w:lineRule="exact"/>
        <w:rPr>
          <w:sz w:val="20"/>
          <w:szCs w:val="20"/>
          <w:color w:val="auto"/>
        </w:rPr>
      </w:pPr>
    </w:p>
    <w:p>
      <w:pPr>
        <w:jc w:val="both"/>
        <w:ind w:left="380" w:hanging="372"/>
        <w:spacing w:after="0" w:line="252" w:lineRule="auto"/>
        <w:tabs>
          <w:tab w:leader="none" w:pos="3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Narcolepsy: </w:t>
      </w:r>
      <w:r>
        <w:rPr>
          <w:rFonts w:ascii="Arial" w:cs="Arial" w:eastAsia="Arial" w:hAnsi="Arial"/>
          <w:sz w:val="18"/>
          <w:szCs w:val="18"/>
          <w:color w:val="auto"/>
        </w:rPr>
        <w:t>Axsome is conducting a Phase 3 open label safety extension trial of AXS-12 with topline results anticipated in the fourth</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2024. AXS-12 has previously met the primary endpoints and demonstrated positive and statistically significant results in the completed SYMPHONY Phase 3 and CONCERT Phase 2 trials in patients with narcolepsy.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AXS-14</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AXS-14 (esreboxetine) is Axsome’s novel, oral, potent, highly selective investigational norepinephrine reuptake inhibitor being developed for the management of fibromyalgia. Esreboxetine, the SS-enantiomer of reboxetine, is more potent and selective than racemic reboxetine.</w:t>
      </w:r>
    </w:p>
    <w:p>
      <w:pPr>
        <w:spacing w:after="0" w:line="140" w:lineRule="exact"/>
        <w:rPr>
          <w:sz w:val="20"/>
          <w:szCs w:val="20"/>
          <w:color w:val="auto"/>
        </w:rPr>
      </w:pPr>
    </w:p>
    <w:p>
      <w:pPr>
        <w:jc w:val="both"/>
        <w:ind w:left="380" w:hanging="372"/>
        <w:spacing w:after="0" w:line="252" w:lineRule="auto"/>
        <w:tabs>
          <w:tab w:leader="none" w:pos="38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Fibromyalgia: </w:t>
      </w:r>
      <w:r>
        <w:rPr>
          <w:rFonts w:ascii="Arial" w:cs="Arial" w:eastAsia="Arial" w:hAnsi="Arial"/>
          <w:sz w:val="18"/>
          <w:szCs w:val="18"/>
          <w:color w:val="auto"/>
        </w:rPr>
        <w:t>Pre-submission activities for the Company’s NDA for AXS-14 for the management of fibromyalgia are substantially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 The Company expects to submit the NDA in the third quarter of 2024. AXS-14 has previously met the primary endpoints and demonstrated positive and statistically significant results in a Phase 3 and in a Phase 2 trial for the management of fibromyalgia.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Solriamfetol</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Solriamfetol is Axsome’s dopamine and norepinephrine reuptake inhibitor and TAAR1 agonist being developed for the treatment of attention deficit hyperactivity disorder (ADHD), major depressive disorder (MDD), binge eating disorder (BED), and excessive sleepiness associated with shift work disorder (SWD).</w:t>
      </w:r>
    </w:p>
    <w:p>
      <w:pPr>
        <w:spacing w:after="0" w:line="155" w:lineRule="exact"/>
        <w:rPr>
          <w:sz w:val="20"/>
          <w:szCs w:val="20"/>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Attention Deficit Hyperactivity Disorder: </w:t>
      </w:r>
      <w:r>
        <w:rPr>
          <w:rFonts w:ascii="Arial" w:cs="Arial" w:eastAsia="Arial" w:hAnsi="Arial"/>
          <w:sz w:val="18"/>
          <w:szCs w:val="18"/>
          <w:color w:val="auto"/>
        </w:rPr>
        <w:t>Axsome is conducting the FOCUS study, a Phase 3, randomized, double-blind, placebo-controlled, multicenter trial evaluating the efficacy and safety of solriamfetol for the treatment of ADHD in adults. The Company anticipates topline results in the second half of 2024.</w:t>
      </w:r>
    </w:p>
    <w:p>
      <w:pPr>
        <w:spacing w:after="0" w:line="15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Major Depressive Disorder: </w:t>
      </w:r>
      <w:r>
        <w:rPr>
          <w:rFonts w:ascii="Arial" w:cs="Arial" w:eastAsia="Arial" w:hAnsi="Arial"/>
          <w:sz w:val="18"/>
          <w:szCs w:val="18"/>
          <w:color w:val="auto"/>
        </w:rPr>
        <w:t>Axsome is conducting the PARADIGM study, a Phase 3, randomized,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trial evaluating the efficacy and safety of solriamfetol for the treatment of MDD. The Company anticipates topline results in 2025.</w:t>
      </w:r>
    </w:p>
    <w:p>
      <w:pPr>
        <w:spacing w:after="0" w:line="15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Binge Eating Disorder: </w:t>
      </w:r>
      <w:r>
        <w:rPr>
          <w:rFonts w:ascii="Arial" w:cs="Arial" w:eastAsia="Arial" w:hAnsi="Arial"/>
          <w:sz w:val="18"/>
          <w:szCs w:val="18"/>
          <w:color w:val="auto"/>
        </w:rPr>
        <w:t>Axsome is conducting the ENGAGE study, a Phase 3, randomized, double-blind, placebo-controlled,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multicenter trial evaluating the efficacy and safety of solriamfetol for the treatment of BED. The Company anticipates topline results in 2025.</w:t>
      </w:r>
    </w:p>
    <w:p>
      <w:pPr>
        <w:spacing w:after="0" w:line="15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Shift Work Disorder: </w:t>
      </w:r>
      <w:r>
        <w:rPr>
          <w:rFonts w:ascii="Arial" w:cs="Arial" w:eastAsia="Arial" w:hAnsi="Arial"/>
          <w:sz w:val="18"/>
          <w:szCs w:val="18"/>
          <w:color w:val="auto"/>
        </w:rPr>
        <w:t>Axsome has initiated the SUSTAIN (Studying Solriamfetol Modulation of TAAR-1, Dopamine, and Norepinephrine</w:t>
      </w:r>
      <w:r>
        <w:rPr>
          <w:rFonts w:ascii="Arial" w:cs="Arial" w:eastAsia="Arial" w:hAnsi="Arial"/>
          <w:sz w:val="18"/>
          <w:szCs w:val="18"/>
          <w:b w:val="1"/>
          <w:bCs w:val="1"/>
          <w:color w:val="auto"/>
        </w:rPr>
        <w:t xml:space="preserve"> </w:t>
      </w:r>
      <w:r>
        <w:rPr>
          <w:rFonts w:ascii="Arial" w:cs="Arial" w:eastAsia="Arial" w:hAnsi="Arial"/>
          <w:sz w:val="18"/>
          <w:szCs w:val="18"/>
          <w:color w:val="auto"/>
        </w:rPr>
        <w:t>in Shift Work Disorder) study, a Phase 3, randomized, double-blind, placebo-controlled, multicenter trial evaluating the efficacy and safety of solriamfetol for the treatment of SWD in adults. The Company anticipates topline results in 2026.</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Update</w:t>
      </w:r>
    </w:p>
    <w:p>
      <w:pPr>
        <w:spacing w:after="0" w:line="198" w:lineRule="exact"/>
        <w:rPr>
          <w:sz w:val="20"/>
          <w:szCs w:val="20"/>
          <w:color w:val="auto"/>
        </w:rPr>
      </w:pPr>
    </w:p>
    <w:p>
      <w:pPr>
        <w:jc w:val="both"/>
        <w:ind w:left="380" w:hanging="372"/>
        <w:spacing w:after="0" w:line="246" w:lineRule="auto"/>
        <w:tabs>
          <w:tab w:leader="none" w:pos="38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 June 2024, Axsome announced that it has resolved patent litigation with Unichem Laboratories Ltd. (Unichem) seeking approval to market a generic equivalent of Sunosi in the United States. The Company entered into a settlement agreement with Unichem Laboratories Ltd., which permits Unichem to begin selling its generic version of Sunosi on June 30, 2042, or earlier under certain circumstances. The June 30, 2042 date is also subject to potential extension for pediatric exclusivity.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Milestones</w:t>
      </w:r>
    </w:p>
    <w:p>
      <w:pPr>
        <w:spacing w:after="0" w:line="198"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Regulatory:</w:t>
      </w:r>
    </w:p>
    <w:p>
      <w:pPr>
        <w:spacing w:after="0" w:line="211" w:lineRule="exact"/>
        <w:rPr>
          <w:sz w:val="20"/>
          <w:szCs w:val="20"/>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AXS-14 for fibromyalgia, NDA submission (3Q 2024)</w:t>
      </w:r>
    </w:p>
    <w:p>
      <w:pPr>
        <w:spacing w:after="0" w:line="21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Topline Results:</w:t>
      </w:r>
    </w:p>
    <w:p>
      <w:pPr>
        <w:spacing w:after="0" w:line="21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ADVANCE-2 trial of AXS-05 in Alzheimer’s disease agitation (2H 2024)</w:t>
      </w:r>
    </w:p>
    <w:p>
      <w:pPr>
        <w:spacing w:after="0" w:line="21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ACCORD-2 trial of AXS-05 in Alzheimer’s disease agitation (2H 2024)</w:t>
      </w:r>
    </w:p>
    <w:p>
      <w:pPr>
        <w:spacing w:after="0" w:line="21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open-label safety extension trial of AXS-12 in narcolepsy (2H 2024)</w:t>
      </w:r>
    </w:p>
    <w:p>
      <w:pPr>
        <w:spacing w:after="0" w:line="21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FOCUS trial of solriamfetol in ADHD in adults (2H 2024)</w:t>
      </w:r>
    </w:p>
    <w:p>
      <w:pPr>
        <w:spacing w:after="0" w:line="21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EMERGE trial of AXS-07 in patients with migraine with inadequate response to oral CGRP inhibitors (2H 2024)</w:t>
      </w:r>
    </w:p>
    <w:p>
      <w:pPr>
        <w:spacing w:after="0" w:line="21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PARADIGM trial of solriamfetol in major depressive disorder (2025)</w:t>
      </w:r>
    </w:p>
    <w:p>
      <w:pPr>
        <w:spacing w:after="0" w:line="21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ENGAGE trial of solriamfetol in binge eating disorder (2025)</w:t>
      </w:r>
    </w:p>
    <w:p>
      <w:pPr>
        <w:spacing w:after="0" w:line="21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Phase 3 SUSTAIN trial of solriamfetol in shift work disorder (2026)</w:t>
      </w:r>
    </w:p>
    <w:p>
      <w:pPr>
        <w:spacing w:after="0" w:line="210"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Clinical Trial Initiations and Progress:</w:t>
      </w:r>
    </w:p>
    <w:p>
      <w:pPr>
        <w:spacing w:after="0" w:line="210"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Pivotal Phase 2/3 trial of AXS-05 in smoking cessation, initiation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will host a conference call and webcast today at 8:00 AM Eastern to discuss second quarter 2024 financial results and provide a business update. To participate in the live conference call, please dial (877) 405-1239 (toll-free domestic). The live webcast can be accessed on the Investors page of the Company’s website at axsome.com. A replay of the webcast will be available for approximately 30 days following the live event.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9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the Company’s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products and the success of the Company’s efforts to obtain any additional indication(s) with respect to solriamfetol and/or AXS-05; the Company’s ability to maintain and expand payer coverage; the success, timing and cost of the Company’s ongoing clinical trials and anticipated clinical trials for the Company’s current product candidates, including statements regarding the timing of initiation, pace of enrollment and completion of the trials (including the Company’s ability to fully fund the Company’s disclosed clinical trials, which assumes no material changes to the Company’s currently projected revenues or expenses), futility analyses and receipt of interim results, which are not necessarily indicative of the final results of the Company’s ongoing clinical trials, and/or data readouts, and the number or type of studies or nature of results necessary to support the filing of a new drug application (“NDA”) for any of the Company’s current product candidates; the Company’s ability to fund additional clinical trials to continue the advancement of the Company’s product candidates; the timing of and the Company’s ability to obtain and maintain U.S. Food and Drug Administration (“FDA”) or other regulatory authority approval of, or other action with respect to, the Company’s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the Company’s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the Company’s ability to convert sales to recognized revenue and maintain a favorable gross to net sales; unforeseen circumstances or other disruptions to normal business operations arising from or related to domestic political climate,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315,657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386,193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Accounts receivables,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120,342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94,820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11,808</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463,027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504,263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Equipment,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 - operating lease</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12,042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12,042</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 net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53,286</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Non-current inventory and other assets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16,255</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11,027</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548,226</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588,236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61,340</w:t>
            </w:r>
          </w:p>
        </w:tc>
        <w:tc>
          <w:tcPr>
            <w:tcW w:w="2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40,679</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90,501</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0"/>
              <w:spacing w:after="0"/>
              <w:rPr>
                <w:sz w:val="20"/>
                <w:szCs w:val="20"/>
                <w:color w:val="auto"/>
              </w:rPr>
            </w:pPr>
            <w:r>
              <w:rPr>
                <w:rFonts w:ascii="Arial" w:cs="Arial" w:eastAsia="Arial" w:hAnsi="Arial"/>
                <w:sz w:val="18"/>
                <w:szCs w:val="18"/>
                <w:color w:val="auto"/>
              </w:rPr>
              <w:t>Operating lease liability, current portion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Contingent consideration, current</w:t>
            </w: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7,040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186,570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138,854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consideration, non-current</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73,300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Loan payable, long-term</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179,330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178,070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long-term</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Finance lease liability, long-term</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445,374</w:t>
            </w:r>
          </w:p>
        </w:tc>
        <w:tc>
          <w:tcPr>
            <w:tcW w:w="28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397,259</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720" w:type="dxa"/>
            <w:vAlign w:val="bottom"/>
            <w:shd w:val="clear" w:color="auto" w:fill="CFF0FC"/>
          </w:tcPr>
          <w:p>
            <w:pPr>
              <w:ind w:left="200"/>
              <w:spacing w:after="0" w:line="197" w:lineRule="exact"/>
              <w:rPr>
                <w:sz w:val="20"/>
                <w:szCs w:val="20"/>
                <w:color w:val="auto"/>
              </w:rPr>
            </w:pPr>
            <w:r>
              <w:rPr>
                <w:rFonts w:ascii="Arial" w:cs="Arial" w:eastAsia="Arial" w:hAnsi="Arial"/>
                <w:sz w:val="18"/>
                <w:szCs w:val="18"/>
                <w:color w:val="auto"/>
              </w:rPr>
              <w:t>Preferred stock, $0.0001 par value per share (10,000,000 shares authorized, none issued</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outstanding)</w:t>
            </w:r>
          </w:p>
        </w:tc>
        <w:tc>
          <w:tcPr>
            <w:tcW w:w="26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7720" w:type="dxa"/>
            <w:vAlign w:val="bottom"/>
          </w:tcPr>
          <w:p>
            <w:pPr>
              <w:ind w:left="200"/>
              <w:spacing w:after="0" w:line="197" w:lineRule="exact"/>
              <w:rPr>
                <w:sz w:val="20"/>
                <w:szCs w:val="20"/>
                <w:color w:val="auto"/>
              </w:rPr>
            </w:pPr>
            <w:r>
              <w:rPr>
                <w:rFonts w:ascii="Arial" w:cs="Arial" w:eastAsia="Arial" w:hAnsi="Arial"/>
                <w:sz w:val="18"/>
                <w:szCs w:val="18"/>
                <w:color w:val="auto"/>
              </w:rPr>
              <w:t>Common stock, $0.0001 par value per share (150,000,000 shares authorized, 47,801,578</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20" w:type="dxa"/>
            <w:vAlign w:val="bottom"/>
          </w:tcPr>
          <w:p>
            <w:pPr>
              <w:ind w:left="200"/>
              <w:spacing w:after="0" w:line="202" w:lineRule="exact"/>
              <w:rPr>
                <w:sz w:val="20"/>
                <w:szCs w:val="20"/>
                <w:color w:val="auto"/>
              </w:rPr>
            </w:pPr>
            <w:r>
              <w:rPr>
                <w:rFonts w:ascii="Arial" w:cs="Arial" w:eastAsia="Arial" w:hAnsi="Arial"/>
                <w:sz w:val="18"/>
                <w:szCs w:val="18"/>
                <w:color w:val="auto"/>
              </w:rPr>
              <w:t>and 47,351,363 shares issued and outstanding at June 30, 2024 and December 31, 2023,</w:t>
            </w: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29"/>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1,086,120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1,026,543</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(983,273 )</w:t>
            </w:r>
          </w:p>
        </w:tc>
        <w:tc>
          <w:tcPr>
            <w:tcW w:w="2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(835,571 )</w:t>
            </w:r>
          </w:p>
        </w:tc>
      </w:tr>
      <w:tr>
        <w:trPr>
          <w:trHeight w:val="223"/>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102,852</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548,226</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588,236</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-3239770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-3222625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-2339340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-179705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4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6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680" w:type="dxa"/>
            <w:vAlign w:val="bottom"/>
          </w:tcPr>
          <w:p>
            <w:pPr>
              <w:ind w:left="200"/>
              <w:spacing w:after="0"/>
              <w:rPr>
                <w:sz w:val="20"/>
                <w:szCs w:val="20"/>
                <w:color w:val="auto"/>
              </w:rPr>
            </w:pPr>
            <w:r>
              <w:rPr>
                <w:rFonts w:ascii="Arial" w:cs="Arial" w:eastAsia="Arial" w:hAnsi="Arial"/>
                <w:sz w:val="18"/>
                <w:szCs w:val="18"/>
                <w:color w:val="auto"/>
              </w:rPr>
              <w:t>Product sales, net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86,520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46,017</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160,616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74,586</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License revenue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65,735</w:t>
            </w:r>
          </w:p>
        </w:tc>
        <w:tc>
          <w:tcPr>
            <w:tcW w:w="100" w:type="dxa"/>
            <w:vAlign w:val="bottom"/>
            <w:shd w:val="clear" w:color="auto" w:fill="CFF0FC"/>
          </w:tcPr>
          <w:p>
            <w:pPr>
              <w:spacing w:after="0"/>
              <w:rPr>
                <w:sz w:val="19"/>
                <w:szCs w:val="19"/>
                <w:color w:val="auto"/>
              </w:rPr>
            </w:pPr>
          </w:p>
        </w:tc>
      </w:tr>
      <w:tr>
        <w:trPr>
          <w:trHeight w:val="229"/>
        </w:trPr>
        <w:tc>
          <w:tcPr>
            <w:tcW w:w="5680" w:type="dxa"/>
            <w:vAlign w:val="bottom"/>
          </w:tcPr>
          <w:p>
            <w:pPr>
              <w:ind w:left="200"/>
              <w:spacing w:after="0"/>
              <w:rPr>
                <w:sz w:val="20"/>
                <w:szCs w:val="20"/>
                <w:color w:val="auto"/>
              </w:rPr>
            </w:pPr>
            <w:r>
              <w:rPr>
                <w:rFonts w:ascii="Arial" w:cs="Arial" w:eastAsia="Arial" w:hAnsi="Arial"/>
                <w:sz w:val="18"/>
                <w:szCs w:val="18"/>
                <w:color w:val="auto"/>
              </w:rPr>
              <w:t>Royalty revenue</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19"/>
                <w:szCs w:val="19"/>
                <w:color w:val="auto"/>
              </w:rPr>
            </w:pPr>
          </w:p>
        </w:tc>
      </w:tr>
      <w:tr>
        <w:trPr>
          <w:trHeight w:val="223"/>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87,166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46,700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162,165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 of revenue (excluding amortization and depreciation)</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8,055</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4,599</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12,155</w:t>
            </w:r>
          </w:p>
        </w:tc>
        <w:tc>
          <w:tcPr>
            <w:tcW w:w="100" w:type="dxa"/>
            <w:vAlign w:val="bottom"/>
            <w:shd w:val="clear" w:color="auto" w:fill="CFF0FC"/>
          </w:tcPr>
          <w:p>
            <w:pPr>
              <w:spacing w:after="0"/>
              <w:rPr>
                <w:sz w:val="19"/>
                <w:szCs w:val="19"/>
                <w:color w:val="auto"/>
              </w:rPr>
            </w:pPr>
          </w:p>
        </w:tc>
      </w:tr>
      <w:tr>
        <w:trPr>
          <w:trHeight w:val="229"/>
        </w:trPr>
        <w:tc>
          <w:tcPr>
            <w:tcW w:w="56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49,853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20,581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86,683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38,374</w:t>
            </w:r>
          </w:p>
        </w:tc>
        <w:tc>
          <w:tcPr>
            <w:tcW w:w="100" w:type="dxa"/>
            <w:vAlign w:val="bottom"/>
          </w:tcPr>
          <w:p>
            <w:pPr>
              <w:spacing w:after="0"/>
              <w:rPr>
                <w:sz w:val="19"/>
                <w:szCs w:val="19"/>
                <w:color w:val="auto"/>
              </w:rPr>
            </w:pPr>
          </w:p>
        </w:tc>
      </w:tr>
      <w:tr>
        <w:trPr>
          <w:trHeight w:val="229"/>
        </w:trPr>
        <w:tc>
          <w:tcPr>
            <w:tcW w:w="5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103,554</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202,524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153,126</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ind w:left="200"/>
              <w:spacing w:after="0"/>
              <w:rPr>
                <w:sz w:val="20"/>
                <w:szCs w:val="20"/>
                <w:color w:val="auto"/>
              </w:rPr>
            </w:pPr>
            <w:r>
              <w:rPr>
                <w:rFonts w:ascii="Arial" w:cs="Arial" w:eastAsia="Arial" w:hAnsi="Arial"/>
                <w:sz w:val="18"/>
                <w:szCs w:val="18"/>
                <w:color w:val="auto"/>
              </w:rPr>
              <w:t>Loss in fair value of contingent consideration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5,891</w:t>
            </w:r>
          </w:p>
        </w:tc>
        <w:tc>
          <w:tcPr>
            <w:tcW w:w="100" w:type="dxa"/>
            <w:vAlign w:val="bottom"/>
          </w:tcPr>
          <w:p>
            <w:pPr>
              <w:spacing w:after="0"/>
              <w:rPr>
                <w:sz w:val="19"/>
                <w:szCs w:val="19"/>
                <w:color w:val="auto"/>
              </w:rPr>
            </w:pPr>
          </w:p>
        </w:tc>
      </w:tr>
      <w:tr>
        <w:trPr>
          <w:trHeight w:val="229"/>
        </w:trPr>
        <w:tc>
          <w:tcPr>
            <w:tcW w:w="5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Intangible asset amortization</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165,212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111,757</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307,486</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212,707</w:t>
            </w:r>
          </w:p>
        </w:tc>
        <w:tc>
          <w:tcPr>
            <w:tcW w:w="100" w:type="dxa"/>
            <w:vAlign w:val="bottom"/>
          </w:tcPr>
          <w:p>
            <w:pPr>
              <w:spacing w:after="0"/>
              <w:rPr>
                <w:sz w:val="19"/>
                <w:szCs w:val="19"/>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(78,046 )</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(65,057 )</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(145,321 )</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(71,431 )</w:t>
            </w:r>
          </w:p>
        </w:tc>
      </w:tr>
      <w:tr>
        <w:trPr>
          <w:trHeight w:val="230"/>
        </w:trPr>
        <w:tc>
          <w:tcPr>
            <w:tcW w:w="56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(1,299 )</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(2,730 )</w:t>
            </w:r>
          </w:p>
        </w:tc>
        <w:tc>
          <w:tcPr>
            <w:tcW w:w="1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(2,381 )</w:t>
            </w: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(4,994 )</w:t>
            </w: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(79,345 )</w:t>
            </w:r>
          </w:p>
        </w:tc>
        <w:tc>
          <w:tcPr>
            <w:tcW w:w="1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(67,787 )</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(147,702 )</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(76,425 )</w:t>
            </w:r>
          </w:p>
        </w:tc>
      </w:tr>
      <w:tr>
        <w:trPr>
          <w:trHeight w:val="230"/>
        </w:trPr>
        <w:tc>
          <w:tcPr>
            <w:tcW w:w="5680" w:type="dxa"/>
            <w:vAlign w:val="bottom"/>
          </w:tcPr>
          <w:p>
            <w:pPr>
              <w:ind w:left="200"/>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(1,963 )</w:t>
            </w: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5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(79,345 )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(67,170 )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(147,702 )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(78,388 )</w:t>
            </w:r>
          </w:p>
        </w:tc>
      </w:tr>
      <w:tr>
        <w:trPr>
          <w:trHeight w:val="20"/>
        </w:trPr>
        <w:tc>
          <w:tcPr>
            <w:tcW w:w="56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Net loss per common share, basic and diluted</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(1.67 )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(1.54 )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(3.11 )</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(1.80 )</w:t>
            </w:r>
          </w:p>
        </w:tc>
      </w:tr>
      <w:tr>
        <w:trPr>
          <w:trHeight w:val="20"/>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 basic and diluted</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47,573,229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43,669,820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47,482,602</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43,597,131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-2159635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-2159635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-2159635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-1276350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-1276350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-1276350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-367665</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-350520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-367665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-350520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-367665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-350520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Mark Jacobson</w:t>
      </w:r>
    </w:p>
    <w:p>
      <w:pPr>
        <w:spacing w:after="0" w:line="235"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563C1"/>
        </w:rPr>
        <w:t>dopland@axsome.com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2024-08-05T06:13:09Z</dcterms:created>
  <dcterms:modified xsi:type="dcterms:W3CDTF">2024-08-05T06:13:09Z</dcterms:modified>
</cp:coreProperties>
</file>