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TABUTEAU HERRIOT</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02/26/2026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29TH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0"/>
          <w:szCs w:val="20"/>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54,623</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02/26/2026</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54,623</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02/26/2036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54,623</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16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three substantially equal annual installments, such that the RSUs will be fully vested on February 26, 2030. Vested shares will be delivered to the reporting person upon the earlier of (i) the closing of a Change in Control (as defined in the Issuer's 2025 Long-Term Incentive Plan ("2025 Plan")), (ii) the reporting person's separation of service from the Issuer (including termination with or without Cause (as defined in the 2025 Plan), or termination due to death or Total and Permanent Disability (as defined in the 2025 Plan)), or (iii) seven (7) years from the date of grant.</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Herriot Tabuteau, M.D.</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02/27/2026</w:t>
            </w:r>
          </w:p>
        </w:tc>
      </w:tr>
      <w:tr>
        <w:trPr>
          <w:trHeight w:val="20"/>
        </w:trPr>
        <w:tc>
          <w:tcPr>
            <w:tcW w:w="1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219927"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2026-02-27T18:13:54Z</dcterms:created>
  <dcterms:modified xsi:type="dcterms:W3CDTF">2026-02-27T18:13:54Z</dcterms:modified>
</cp:coreProperties>
</file>