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the Securities Exchange Act of 1934 (Amendment No.)</w:t>
      </w:r>
    </w:p>
    <w:p>
      <w:pPr>
        <w:spacing w:after="0" w:line="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00" w:lineRule="exact"/>
        <w:rPr>
          <w:sz w:val="24"/>
          <w:szCs w:val="24"/>
          <w:color w:val="auto"/>
        </w:rPr>
      </w:pPr>
    </w:p>
    <w:p>
      <w:pPr>
        <w:ind w:left="820" w:hanging="799"/>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11" w:lineRule="exact"/>
        <w:rPr>
          <w:rFonts w:ascii="MS PGothic" w:cs="MS PGothic" w:eastAsia="MS PGothic" w:hAnsi="MS PGothic"/>
          <w:sz w:val="16"/>
          <w:szCs w:val="16"/>
          <w:color w:val="auto"/>
        </w:rPr>
      </w:pPr>
    </w:p>
    <w:p>
      <w:pPr>
        <w:ind w:left="820" w:hanging="799"/>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97" w:lineRule="exact"/>
        <w:rPr>
          <w:sz w:val="24"/>
          <w:szCs w:val="24"/>
          <w:color w:val="auto"/>
        </w:rPr>
      </w:pPr>
    </w:p>
    <w:p>
      <w:pPr>
        <w:ind w:left="820" w:hanging="799"/>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5" w:lineRule="exact"/>
        <w:rPr>
          <w:sz w:val="24"/>
          <w:szCs w:val="24"/>
          <w:color w:val="auto"/>
        </w:rPr>
      </w:pPr>
    </w:p>
    <w:p>
      <w:pPr>
        <w:ind w:left="820" w:hanging="799"/>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99" w:lineRule="exact"/>
        <w:rPr>
          <w:rFonts w:ascii="MS PGothic" w:cs="MS PGothic" w:eastAsia="MS PGothic" w:hAnsi="MS PGothic"/>
          <w:sz w:val="16"/>
          <w:szCs w:val="16"/>
          <w:color w:val="auto"/>
        </w:rPr>
      </w:pPr>
    </w:p>
    <w:p>
      <w:pPr>
        <w:ind w:left="820" w:hanging="799"/>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right"/>
        <w:ind w:right="479"/>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 Payment of Filing Fee (Check the appropriate box):</w:t>
      </w:r>
    </w:p>
    <w:p>
      <w:pPr>
        <w:spacing w:after="0" w:line="163" w:lineRule="exact"/>
        <w:rPr>
          <w:sz w:val="24"/>
          <w:szCs w:val="24"/>
          <w:color w:val="auto"/>
        </w:rPr>
      </w:pPr>
    </w:p>
    <w:p>
      <w:pPr>
        <w:ind w:left="820" w:hanging="799"/>
        <w:spacing w:after="0"/>
        <w:tabs>
          <w:tab w:leader="none" w:pos="8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5" w:lineRule="exact"/>
        <w:rPr>
          <w:sz w:val="24"/>
          <w:szCs w:val="24"/>
          <w:color w:val="auto"/>
        </w:rPr>
      </w:pPr>
    </w:p>
    <w:p>
      <w:pPr>
        <w:ind w:left="820" w:hanging="799"/>
        <w:spacing w:after="0"/>
        <w:tabs>
          <w:tab w:leader="none" w:pos="82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99" w:lineRule="exact"/>
        <w:rPr>
          <w:rFonts w:ascii="MS PGothic" w:cs="MS PGothic" w:eastAsia="MS PGothic" w:hAnsi="MS PGothic"/>
          <w:sz w:val="16"/>
          <w:szCs w:val="16"/>
          <w:color w:val="auto"/>
        </w:rPr>
      </w:pPr>
    </w:p>
    <w:p>
      <w:pPr>
        <w:ind w:left="820" w:hanging="799"/>
        <w:spacing w:after="0"/>
        <w:tabs>
          <w:tab w:leader="none" w:pos="82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1173480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194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April 26, 2024</w:t>
      </w:r>
    </w:p>
    <w:p>
      <w:pPr>
        <w:spacing w:after="0" w:line="127" w:lineRule="exact"/>
        <w:rPr>
          <w:sz w:val="20"/>
          <w:szCs w:val="20"/>
          <w:color w:val="auto"/>
        </w:rPr>
      </w:pPr>
    </w:p>
    <w:p>
      <w:pPr>
        <w:ind w:right="60" w:firstLine="374"/>
        <w:spacing w:after="0" w:line="272" w:lineRule="auto"/>
        <w:rPr>
          <w:sz w:val="20"/>
          <w:szCs w:val="20"/>
          <w:color w:val="auto"/>
        </w:rPr>
      </w:pPr>
      <w:r>
        <w:rPr>
          <w:rFonts w:ascii="Times New Roman" w:cs="Times New Roman" w:eastAsia="Times New Roman" w:hAnsi="Times New Roman"/>
          <w:sz w:val="16"/>
          <w:szCs w:val="16"/>
          <w:color w:val="auto"/>
        </w:rPr>
        <w:t>You are cordially invited to attend the 2024 Annual Meeting of Stockholders of Axsome Therapeutics, Inc. (the “Annual Meeting”) that will be held on Friday, June 7, 2024 at 9:00 a.m. local time. The Annual Meeting will be held virtually via means of remote communication. Stockholders will be able to attend the Annual Meeting, and submit questions, and vote their shares during the Annual Meeting, from any location that has Internet connectivity. There will be no physical in-person meeting. To register and receive access to the virtual meeting, registered stockholders and beneficial stockholders (those holding shares through a stock brokerage account or by a bank or other holder of record) will need to follow the instructions applicable to them provided in the enclosed Proxy statement.</w:t>
      </w:r>
    </w:p>
    <w:p>
      <w:pPr>
        <w:spacing w:after="0" w:line="78"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In accordance with the Securities and Exchange Commission rules allowing companies to furnish proxy materials to their stockholders over the Internet, we have sent stockholders of record at the close of business on April 15, 2024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Attached to this letter are a Notice of Annual Meeting of Stockholders and Proxy statement, which describe the business to be conducted at the meeting.</w:t>
      </w:r>
    </w:p>
    <w:p>
      <w:pPr>
        <w:spacing w:after="0" w:line="12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Your vote is important to us. Please act as soon as possible to vote your shares. It is important that your shares be represented at the meeting whether or not you plan to attend the annual meeting. Please vote electronically over the Internet, by telephone, or if you receive a paper copy of the proxy card by mail, by returning your signed proxy card in the envelope provided. We encourage you to vote by proxy so that your shares will be represented and voted at the meeting, whether or not you can attend.</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Thank you for your ongoing support of Axsome.</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29210</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Chief Executive Officer,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40" w:type="dxa"/>
            <w:vAlign w:val="bottom"/>
            <w:gridSpan w:val="5"/>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c>
          <w:tcPr>
            <w:tcW w:w="0" w:type="dxa"/>
            <w:vAlign w:val="bottom"/>
          </w:tcPr>
          <w:p>
            <w:pPr>
              <w:spacing w:after="0"/>
              <w:rPr>
                <w:sz w:val="1"/>
                <w:szCs w:val="1"/>
                <w:color w:val="auto"/>
              </w:rPr>
            </w:pPr>
          </w:p>
        </w:tc>
      </w:tr>
      <w:tr>
        <w:trPr>
          <w:trHeight w:val="288"/>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w w:val="98"/>
              </w:rPr>
              <w:t>One World Trade Center, 22</w:t>
            </w:r>
            <w:r>
              <w:rPr>
                <w:rFonts w:ascii="Times New Roman" w:cs="Times New Roman" w:eastAsia="Times New Roman" w:hAnsi="Times New Roman"/>
                <w:sz w:val="21"/>
                <w:szCs w:val="21"/>
                <w:b w:val="1"/>
                <w:bCs w:val="1"/>
                <w:color w:val="auto"/>
                <w:w w:val="98"/>
                <w:vertAlign w:val="superscript"/>
              </w:rPr>
              <w:t>nd</w:t>
            </w:r>
            <w:r>
              <w:rPr>
                <w:rFonts w:ascii="Times New Roman" w:cs="Times New Roman" w:eastAsia="Times New Roman" w:hAnsi="Times New Roman"/>
                <w:sz w:val="16"/>
                <w:szCs w:val="16"/>
                <w:b w:val="1"/>
                <w:bCs w:val="1"/>
                <w:color w:val="auto"/>
                <w:w w:val="98"/>
              </w:rPr>
              <w:t xml:space="preserve"> Floor, New York, New York 10007</w:t>
            </w:r>
          </w:p>
        </w:tc>
        <w:tc>
          <w:tcPr>
            <w:tcW w:w="0" w:type="dxa"/>
            <w:vAlign w:val="bottom"/>
          </w:tcPr>
          <w:p>
            <w:pPr>
              <w:spacing w:after="0"/>
              <w:rPr>
                <w:sz w:val="1"/>
                <w:szCs w:val="1"/>
                <w:color w:val="auto"/>
              </w:rPr>
            </w:pPr>
          </w:p>
        </w:tc>
      </w:tr>
      <w:tr>
        <w:trPr>
          <w:trHeight w:val="455"/>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NOTICE OF</w:t>
            </w: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2024 ANNUAL MEETING OF STOCKHOLDERS</w:t>
            </w:r>
          </w:p>
        </w:tc>
        <w:tc>
          <w:tcPr>
            <w:tcW w:w="0" w:type="dxa"/>
            <w:vAlign w:val="bottom"/>
          </w:tcPr>
          <w:p>
            <w:pPr>
              <w:spacing w:after="0"/>
              <w:rPr>
                <w:sz w:val="1"/>
                <w:szCs w:val="1"/>
                <w:color w:val="auto"/>
              </w:rPr>
            </w:pPr>
          </w:p>
        </w:tc>
      </w:tr>
      <w:tr>
        <w:trPr>
          <w:trHeight w:val="141"/>
        </w:trPr>
        <w:tc>
          <w:tcPr>
            <w:tcW w:w="7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Time and Date:</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Friday, June 7, 2024 at 9:00 a.m. local time.</w:t>
            </w:r>
          </w:p>
        </w:tc>
        <w:tc>
          <w:tcPr>
            <w:tcW w:w="0" w:type="dxa"/>
            <w:vAlign w:val="bottom"/>
          </w:tcPr>
          <w:p>
            <w:pPr>
              <w:spacing w:after="0"/>
              <w:rPr>
                <w:sz w:val="1"/>
                <w:szCs w:val="1"/>
                <w:color w:val="auto"/>
              </w:rPr>
            </w:pPr>
          </w:p>
        </w:tc>
      </w:tr>
      <w:tr>
        <w:trPr>
          <w:trHeight w:val="330"/>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Place:</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The Annual Meeting will be completely virtual. You may attend the virtual meeting, submit questions, and vote your shares electronically</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40" w:type="dxa"/>
            <w:vAlign w:val="bottom"/>
            <w:gridSpan w:val="5"/>
          </w:tcPr>
          <w:p>
            <w:pPr>
              <w:ind w:left="460"/>
              <w:spacing w:after="0" w:line="176" w:lineRule="exact"/>
              <w:rPr>
                <w:sz w:val="20"/>
                <w:szCs w:val="20"/>
                <w:color w:val="auto"/>
              </w:rPr>
            </w:pPr>
            <w:r>
              <w:rPr>
                <w:rFonts w:ascii="Times New Roman" w:cs="Times New Roman" w:eastAsia="Times New Roman" w:hAnsi="Times New Roman"/>
                <w:sz w:val="16"/>
                <w:szCs w:val="16"/>
                <w:color w:val="auto"/>
              </w:rPr>
              <w:t>during the meeting via live webcast by visiting https://www.virtualshareholdermeeting.com/AXSM2024.</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Items of Business:</w:t>
            </w:r>
          </w:p>
        </w:tc>
        <w:tc>
          <w:tcPr>
            <w:tcW w:w="354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780" w:type="dxa"/>
            <w:vAlign w:val="bottom"/>
            <w:gridSpan w:val="2"/>
            <w:vMerge w:val="continue"/>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(1)  To elect two directors named in the proxy statement accompanying this notice to serve as Class III directors until the annual meeting</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ind w:left="780"/>
              <w:spacing w:after="0"/>
              <w:rPr>
                <w:sz w:val="20"/>
                <w:szCs w:val="20"/>
                <w:color w:val="auto"/>
              </w:rPr>
            </w:pPr>
            <w:r>
              <w:rPr>
                <w:rFonts w:ascii="Times New Roman" w:cs="Times New Roman" w:eastAsia="Times New Roman" w:hAnsi="Times New Roman"/>
                <w:sz w:val="16"/>
                <w:szCs w:val="16"/>
                <w:color w:val="auto"/>
              </w:rPr>
              <w:t>held in 2027 and until their successor is duly elected and qualified.</w:t>
            </w:r>
          </w:p>
        </w:tc>
        <w:tc>
          <w:tcPr>
            <w:tcW w:w="0" w:type="dxa"/>
            <w:vAlign w:val="bottom"/>
          </w:tcPr>
          <w:p>
            <w:pPr>
              <w:spacing w:after="0"/>
              <w:rPr>
                <w:sz w:val="1"/>
                <w:szCs w:val="1"/>
                <w:color w:val="auto"/>
              </w:rPr>
            </w:pPr>
          </w:p>
        </w:tc>
      </w:tr>
      <w:tr>
        <w:trPr>
          <w:trHeight w:val="343"/>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(2)  To ratify the appointment of Deloitte &amp; Touche LLP as Axsome Therapeutics, Inc.’s independent registered public accounting firm</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ind w:left="780"/>
              <w:spacing w:after="0"/>
              <w:rPr>
                <w:sz w:val="20"/>
                <w:szCs w:val="20"/>
                <w:color w:val="auto"/>
              </w:rPr>
            </w:pPr>
            <w:r>
              <w:rPr>
                <w:rFonts w:ascii="Times New Roman" w:cs="Times New Roman" w:eastAsia="Times New Roman" w:hAnsi="Times New Roman"/>
                <w:sz w:val="16"/>
                <w:szCs w:val="16"/>
                <w:color w:val="auto"/>
              </w:rPr>
              <w:t>for the year ending December 31, 2024.</w:t>
            </w:r>
          </w:p>
        </w:tc>
        <w:tc>
          <w:tcPr>
            <w:tcW w:w="0" w:type="dxa"/>
            <w:vAlign w:val="bottom"/>
          </w:tcPr>
          <w:p>
            <w:pPr>
              <w:spacing w:after="0"/>
              <w:rPr>
                <w:sz w:val="1"/>
                <w:szCs w:val="1"/>
                <w:color w:val="auto"/>
              </w:rPr>
            </w:pPr>
          </w:p>
        </w:tc>
      </w:tr>
      <w:tr>
        <w:trPr>
          <w:trHeight w:val="351"/>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(3)  To approve, by non-binding advisory vote, the compensation of our named executive officers.</w:t>
            </w:r>
          </w:p>
        </w:tc>
        <w:tc>
          <w:tcPr>
            <w:tcW w:w="0" w:type="dxa"/>
            <w:vAlign w:val="bottom"/>
          </w:tcPr>
          <w:p>
            <w:pPr>
              <w:spacing w:after="0"/>
              <w:rPr>
                <w:sz w:val="1"/>
                <w:szCs w:val="1"/>
                <w:color w:val="auto"/>
              </w:rPr>
            </w:pPr>
          </w:p>
        </w:tc>
      </w:tr>
      <w:tr>
        <w:trPr>
          <w:trHeight w:val="351"/>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(4)  To transact such other business as may properly come before the annual meeting or any adjournment thereof.</w:t>
            </w:r>
          </w:p>
        </w:tc>
        <w:tc>
          <w:tcPr>
            <w:tcW w:w="0" w:type="dxa"/>
            <w:vAlign w:val="bottom"/>
          </w:tcPr>
          <w:p>
            <w:pPr>
              <w:spacing w:after="0"/>
              <w:rPr>
                <w:sz w:val="1"/>
                <w:szCs w:val="1"/>
                <w:color w:val="auto"/>
              </w:rPr>
            </w:pPr>
          </w:p>
        </w:tc>
      </w:tr>
      <w:tr>
        <w:trPr>
          <w:trHeight w:val="338"/>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w:t>
            </w:r>
          </w:p>
        </w:tc>
        <w:tc>
          <w:tcPr>
            <w:tcW w:w="0" w:type="dxa"/>
            <w:vAlign w:val="bottom"/>
          </w:tcPr>
          <w:p>
            <w:pPr>
              <w:spacing w:after="0"/>
              <w:rPr>
                <w:sz w:val="1"/>
                <w:szCs w:val="1"/>
                <w:color w:val="auto"/>
              </w:rPr>
            </w:pPr>
          </w:p>
        </w:tc>
      </w:tr>
      <w:tr>
        <w:trPr>
          <w:trHeight w:val="476"/>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Adjournments and</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Any action on the items of business described above may be considered at the annual meeting at the time and on the date specified above</w:t>
            </w:r>
          </w:p>
        </w:tc>
        <w:tc>
          <w:tcPr>
            <w:tcW w:w="0" w:type="dxa"/>
            <w:vAlign w:val="bottom"/>
          </w:tcPr>
          <w:p>
            <w:pPr>
              <w:spacing w:after="0"/>
              <w:rPr>
                <w:sz w:val="1"/>
                <w:szCs w:val="1"/>
                <w:color w:val="auto"/>
              </w:rPr>
            </w:pPr>
          </w:p>
        </w:tc>
      </w:tr>
      <w:tr>
        <w:trPr>
          <w:trHeight w:val="212"/>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Postponements:</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or at any time and date to which the annual meeting may be properly adjourned or postponed.</w:t>
            </w:r>
          </w:p>
        </w:tc>
        <w:tc>
          <w:tcPr>
            <w:tcW w:w="0" w:type="dxa"/>
            <w:vAlign w:val="bottom"/>
          </w:tcPr>
          <w:p>
            <w:pPr>
              <w:spacing w:after="0"/>
              <w:rPr>
                <w:sz w:val="1"/>
                <w:szCs w:val="1"/>
                <w:color w:val="auto"/>
              </w:rPr>
            </w:pPr>
          </w:p>
        </w:tc>
      </w:tr>
      <w:tr>
        <w:trPr>
          <w:trHeight w:val="337"/>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You are entitled to vote if you were a stockholder of record as of the close of business on April 15, 2024.</w:t>
            </w:r>
          </w:p>
        </w:tc>
        <w:tc>
          <w:tcPr>
            <w:tcW w:w="0" w:type="dxa"/>
            <w:vAlign w:val="bottom"/>
          </w:tcPr>
          <w:p>
            <w:pPr>
              <w:spacing w:after="0"/>
              <w:rPr>
                <w:sz w:val="1"/>
                <w:szCs w:val="1"/>
                <w:color w:val="auto"/>
              </w:rPr>
            </w:pPr>
          </w:p>
        </w:tc>
      </w:tr>
      <w:tr>
        <w:trPr>
          <w:trHeight w:val="330"/>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Your vote is very important. Whether or not you plan to attend the annual meeting, we encourage you to read the proxy statement and</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vote on the Internet or by telephone or submit your proxy card, if you have requested one, as soon as possible. For specific instructions on</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how to vote your shares, please refer to the section herein entitled “Questions and Answers About Procedural Matters.”</w:t>
            </w:r>
          </w:p>
        </w:tc>
        <w:tc>
          <w:tcPr>
            <w:tcW w:w="0" w:type="dxa"/>
            <w:vAlign w:val="bottom"/>
          </w:tcPr>
          <w:p>
            <w:pPr>
              <w:spacing w:after="0"/>
              <w:rPr>
                <w:sz w:val="1"/>
                <w:szCs w:val="1"/>
                <w:color w:val="auto"/>
              </w:rPr>
            </w:pPr>
          </w:p>
        </w:tc>
      </w:tr>
      <w:tr>
        <w:trPr>
          <w:trHeight w:val="351"/>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By order of the Board of Directors,</w:t>
            </w:r>
          </w:p>
        </w:tc>
        <w:tc>
          <w:tcPr>
            <w:tcW w:w="0" w:type="dxa"/>
            <w:vAlign w:val="bottom"/>
          </w:tcPr>
          <w:p>
            <w:pPr>
              <w:spacing w:after="0"/>
              <w:rPr>
                <w:sz w:val="1"/>
                <w:szCs w:val="1"/>
                <w:color w:val="auto"/>
              </w:rPr>
            </w:pPr>
          </w:p>
        </w:tc>
      </w:tr>
      <w:tr>
        <w:trPr>
          <w:trHeight w:val="472"/>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/s/ HUNTER MURDOCK</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Hunter Murdock</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Secretary</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Notice of Annual Meeting and Proxy Statement are first being distributed or made available, as the case may be, on or about April 26, 2024.</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Important Notice Regarding the Availability of Proxy Materials for the Stockholder Meeting: This Proxy Statement and our Annual Report are available free of charge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CFF0FC"/>
            </w:tcBorders>
            <w:shd w:val="clear" w:color="auto" w:fill="CFF0FC"/>
          </w:tcPr>
          <w:p>
            <w:pPr>
              <w:spacing w:after="0"/>
              <w:rPr>
                <w:sz w:val="20"/>
                <w:szCs w:val="20"/>
                <w:color w:val="auto"/>
              </w:rPr>
            </w:pPr>
          </w:p>
        </w:tc>
        <w:tc>
          <w:tcPr>
            <w:tcW w:w="5120" w:type="dxa"/>
            <w:vAlign w:val="bottom"/>
            <w:tcBorders>
              <w:bottom w:val="single" w:sz="8" w:color="0000FF"/>
            </w:tcBorders>
            <w:gridSpan w:val="45"/>
            <w:shd w:val="clear" w:color="auto" w:fill="CFF0FC"/>
          </w:tcPr>
          <w:p>
            <w:pPr>
              <w:spacing w:after="0"/>
              <w:rPr>
                <w:sz w:val="20"/>
                <w:szCs w:val="20"/>
                <w:color w:val="auto"/>
              </w:rPr>
            </w:pPr>
            <w:r>
              <w:rPr>
                <w:rFonts w:ascii="Times New Roman" w:cs="Times New Roman" w:eastAsia="Times New Roman" w:hAnsi="Times New Roman"/>
                <w:sz w:val="18"/>
                <w:szCs w:val="18"/>
                <w:color w:val="0000FF"/>
                <w:w w:val="99"/>
              </w:rPr>
              <w:t>QUESTIONS AND ANSWERS ABOUT PROCEDURAL MATTERS</w:t>
            </w:r>
          </w:p>
        </w:tc>
        <w:tc>
          <w:tcPr>
            <w:tcW w:w="4760" w:type="dxa"/>
            <w:vAlign w:val="bottom"/>
            <w:tcBorders>
              <w:bottom w:val="single" w:sz="8" w:color="CFF0FC"/>
            </w:tcBorders>
            <w:gridSpan w:val="2"/>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Annual Meeting</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Stock Ownership</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Quorum and Voting</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Stockholder Proposals and Director Nominations</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Additional Information about the Proxy Materials</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3720" w:type="dxa"/>
            <w:vAlign w:val="bottom"/>
            <w:tcBorders>
              <w:bottom w:val="single" w:sz="8" w:color="0000FF"/>
            </w:tcBorders>
            <w:gridSpan w:val="3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PROPOSAL ONE—ELECTION OF DIRECTORS</w:t>
            </w:r>
          </w:p>
        </w:tc>
        <w:tc>
          <w:tcPr>
            <w:tcW w:w="6160" w:type="dxa"/>
            <w:vAlign w:val="bottom"/>
            <w:tcBorders>
              <w:bottom w:val="single" w:sz="8" w:color="CFF0FC"/>
            </w:tcBorders>
            <w:gridSpan w:val="14"/>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General</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Information Regarding the Nominees and Other Directors</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4160" w:type="dxa"/>
            <w:vAlign w:val="bottom"/>
            <w:tcBorders>
              <w:top w:val="single" w:sz="8" w:color="0000FF"/>
            </w:tcBorders>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Board Diversity Matrix</w:t>
            </w:r>
          </w:p>
        </w:tc>
        <w:tc>
          <w:tcPr>
            <w:tcW w:w="5280" w:type="dxa"/>
            <w:vAlign w:val="bottom"/>
            <w:tcBorders>
              <w:top w:val="single" w:sz="8" w:color="CFF0FC"/>
            </w:tcBorders>
            <w:gridSpan w:val="6"/>
          </w:tcPr>
          <w:p>
            <w:pPr>
              <w:spacing w:after="0"/>
              <w:rPr>
                <w:sz w:val="16"/>
                <w:szCs w:val="16"/>
                <w:color w:val="auto"/>
              </w:rPr>
            </w:pP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9900" w:type="dxa"/>
            <w:vAlign w:val="bottom"/>
            <w:gridSpan w:val="48"/>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PROPOSAL TWO—RATIFICATION OF THE APPOINTMENT OF INDEPENDENT REGISTERED PUBLIC ACCOUNTING FIRM</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9440" w:type="dxa"/>
            <w:vAlign w:val="bottom"/>
            <w:tcBorders>
              <w:top w:val="single" w:sz="8" w:color="0000FF"/>
            </w:tcBorders>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General</w:t>
            </w: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Change in Independent Registered Public Accounting Firm</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4260" w:type="dxa"/>
            <w:vAlign w:val="bottom"/>
            <w:tcBorders>
              <w:top w:val="single" w:sz="8" w:color="0000FF"/>
            </w:tcBorders>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5180" w:type="dxa"/>
            <w:vAlign w:val="bottom"/>
            <w:tcBorders>
              <w:top w:val="single" w:sz="8" w:color="CFF0FC"/>
            </w:tcBorders>
            <w:gridSpan w:val="4"/>
          </w:tcPr>
          <w:p>
            <w:pPr>
              <w:spacing w:after="0"/>
              <w:rPr>
                <w:sz w:val="16"/>
                <w:szCs w:val="16"/>
                <w:color w:val="auto"/>
              </w:rPr>
            </w:pP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420" w:type="dxa"/>
            <w:vAlign w:val="bottom"/>
            <w:tcBorders>
              <w:bottom w:val="single" w:sz="8" w:color="0000FF"/>
            </w:tcBorders>
            <w:gridSpan w:val="35"/>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Pre-Approval of Audit and Non-Audit Services</w:t>
            </w:r>
          </w:p>
        </w:tc>
        <w:tc>
          <w:tcPr>
            <w:tcW w:w="6020" w:type="dxa"/>
            <w:vAlign w:val="bottom"/>
            <w:tcBorders>
              <w:bottom w:val="single" w:sz="8" w:color="CFF0FC"/>
            </w:tcBorders>
            <w:gridSpan w:val="11"/>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189"/>
        </w:trPr>
        <w:tc>
          <w:tcPr>
            <w:tcW w:w="9900" w:type="dxa"/>
            <w:vAlign w:val="bottom"/>
            <w:gridSpan w:val="48"/>
          </w:tcPr>
          <w:p>
            <w:pPr>
              <w:ind w:left="20"/>
              <w:spacing w:after="0" w:line="189" w:lineRule="exact"/>
              <w:rPr>
                <w:sz w:val="20"/>
                <w:szCs w:val="20"/>
                <w:color w:val="auto"/>
              </w:rPr>
            </w:pPr>
            <w:r>
              <w:rPr>
                <w:rFonts w:ascii="Times New Roman" w:cs="Times New Roman" w:eastAsia="Times New Roman" w:hAnsi="Times New Roman"/>
                <w:sz w:val="18"/>
                <w:szCs w:val="18"/>
                <w:color w:val="0000FF"/>
              </w:rPr>
              <w:t>PROPOSAL THREE—ADVISORY VOTE ON THE COMPENSATION OF OUR NAMED EXECUTIVE OFFICERS</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r>
      <w:tr>
        <w:trPr>
          <w:trHeight w:val="34"/>
        </w:trPr>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0000FF"/>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General</w:t>
            </w:r>
          </w:p>
        </w:tc>
        <w:tc>
          <w:tcPr>
            <w:tcW w:w="8860" w:type="dxa"/>
            <w:vAlign w:val="bottom"/>
            <w:tcBorders>
              <w:bottom w:val="single" w:sz="8" w:color="CFF0FC"/>
            </w:tcBorders>
            <w:gridSpan w:val="44"/>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r>
      <w:tr>
        <w:trPr>
          <w:trHeight w:val="189"/>
        </w:trPr>
        <w:tc>
          <w:tcPr>
            <w:tcW w:w="9900" w:type="dxa"/>
            <w:vAlign w:val="bottom"/>
            <w:gridSpan w:val="48"/>
          </w:tcPr>
          <w:p>
            <w:pPr>
              <w:ind w:left="20"/>
              <w:spacing w:after="0" w:line="189" w:lineRule="exact"/>
              <w:rPr>
                <w:sz w:val="20"/>
                <w:szCs w:val="20"/>
                <w:color w:val="auto"/>
              </w:rPr>
            </w:pPr>
            <w:r>
              <w:rPr>
                <w:rFonts w:ascii="Times New Roman" w:cs="Times New Roman" w:eastAsia="Times New Roman" w:hAnsi="Times New Roman"/>
                <w:sz w:val="18"/>
                <w:szCs w:val="18"/>
                <w:color w:val="0000FF"/>
              </w:rPr>
              <w:t>CORPORATE GOVERNANCE</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r>
      <w:tr>
        <w:trPr>
          <w:trHeight w:val="34"/>
        </w:trPr>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720" w:type="dxa"/>
            <w:vAlign w:val="bottom"/>
            <w:tcBorders>
              <w:bottom w:val="single" w:sz="8" w:color="0000FF"/>
            </w:tcBorders>
            <w:gridSpan w:val="2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Code of Business Conduct and Ethics</w:t>
            </w:r>
          </w:p>
        </w:tc>
        <w:tc>
          <w:tcPr>
            <w:tcW w:w="6720" w:type="dxa"/>
            <w:vAlign w:val="bottom"/>
            <w:tcBorders>
              <w:bottom w:val="single" w:sz="8" w:color="CFF0FC"/>
            </w:tcBorders>
            <w:gridSpan w:val="20"/>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Board Composition</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Director Independence</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Board Leadership Structure</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0000FF"/>
            </w:tcBorders>
            <w:gridSpan w:val="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Board Committees</w:t>
            </w:r>
          </w:p>
        </w:tc>
        <w:tc>
          <w:tcPr>
            <w:tcW w:w="8080" w:type="dxa"/>
            <w:vAlign w:val="bottom"/>
            <w:tcBorders>
              <w:bottom w:val="single" w:sz="8" w:color="CFF0FC"/>
            </w:tcBorders>
            <w:gridSpan w:val="40"/>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Meetings of the Board of Directors</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2520" w:type="dxa"/>
            <w:vAlign w:val="bottom"/>
            <w:tcBorders>
              <w:top w:val="single" w:sz="8" w:color="0000FF"/>
            </w:tcBorders>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Board Oversight of Risk</w:t>
            </w:r>
          </w:p>
        </w:tc>
        <w:tc>
          <w:tcPr>
            <w:tcW w:w="6920" w:type="dxa"/>
            <w:vAlign w:val="bottom"/>
            <w:tcBorders>
              <w:top w:val="single" w:sz="8" w:color="CFF0FC"/>
            </w:tcBorders>
            <w:gridSpan w:val="22"/>
          </w:tcPr>
          <w:p>
            <w:pPr>
              <w:spacing w:after="0"/>
              <w:rPr>
                <w:sz w:val="16"/>
                <w:szCs w:val="16"/>
                <w:color w:val="auto"/>
              </w:rPr>
            </w:pP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Commitment to Corporate Responsibility</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2980" w:type="dxa"/>
            <w:vAlign w:val="bottom"/>
            <w:tcBorders>
              <w:top w:val="single" w:sz="8" w:color="0000FF"/>
            </w:tcBorders>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Director Nomination Process</w:t>
            </w:r>
          </w:p>
        </w:tc>
        <w:tc>
          <w:tcPr>
            <w:tcW w:w="6460" w:type="dxa"/>
            <w:vAlign w:val="bottom"/>
            <w:tcBorders>
              <w:top w:val="single" w:sz="8" w:color="CFF0FC"/>
            </w:tcBorders>
            <w:gridSpan w:val="17"/>
          </w:tcPr>
          <w:p>
            <w:pPr>
              <w:spacing w:after="0"/>
              <w:rPr>
                <w:sz w:val="16"/>
                <w:szCs w:val="16"/>
                <w:color w:val="auto"/>
              </w:rPr>
            </w:pP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Director Compensation</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Limitation of Liability and Indemnification Arrangements</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r>
      <w:tr>
        <w:trPr>
          <w:trHeight w:val="189"/>
        </w:trPr>
        <w:tc>
          <w:tcPr>
            <w:tcW w:w="9900" w:type="dxa"/>
            <w:vAlign w:val="bottom"/>
            <w:gridSpan w:val="48"/>
          </w:tcPr>
          <w:p>
            <w:pPr>
              <w:ind w:left="20"/>
              <w:spacing w:after="0" w:line="189" w:lineRule="exact"/>
              <w:rPr>
                <w:sz w:val="20"/>
                <w:szCs w:val="20"/>
                <w:color w:val="auto"/>
              </w:rPr>
            </w:pPr>
            <w:r>
              <w:rPr>
                <w:rFonts w:ascii="Times New Roman" w:cs="Times New Roman" w:eastAsia="Times New Roman" w:hAnsi="Times New Roman"/>
                <w:sz w:val="18"/>
                <w:szCs w:val="18"/>
                <w:color w:val="0000FF"/>
              </w:rPr>
              <w:t>EXECUTIVE OFFICERS &amp; KEY PERSONNEL</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r>
      <w:tr>
        <w:trPr>
          <w:trHeight w:val="34"/>
        </w:trPr>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9880" w:type="dxa"/>
            <w:vAlign w:val="bottom"/>
            <w:gridSpan w:val="4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Overview of Executive Compensation Program</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Compensation Policies and Practices at a Glance</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3500" w:type="dxa"/>
            <w:vAlign w:val="bottom"/>
            <w:tcBorders>
              <w:top w:val="single" w:sz="8" w:color="0000FF"/>
            </w:tcBorders>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Compensation Objectives and Philosophy</w:t>
            </w:r>
          </w:p>
        </w:tc>
        <w:tc>
          <w:tcPr>
            <w:tcW w:w="5940" w:type="dxa"/>
            <w:vAlign w:val="bottom"/>
            <w:tcBorders>
              <w:top w:val="single" w:sz="8" w:color="CFF0FC"/>
            </w:tcBorders>
            <w:gridSpan w:val="10"/>
          </w:tcPr>
          <w:p>
            <w:pPr>
              <w:spacing w:after="0"/>
              <w:rPr>
                <w:sz w:val="16"/>
                <w:szCs w:val="16"/>
                <w:color w:val="auto"/>
              </w:rPr>
            </w:pP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0000FF"/>
            </w:tcBorders>
            <w:gridSpan w:val="1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Roles and Responsibilities</w:t>
            </w:r>
          </w:p>
        </w:tc>
        <w:tc>
          <w:tcPr>
            <w:tcW w:w="7520" w:type="dxa"/>
            <w:vAlign w:val="bottom"/>
            <w:tcBorders>
              <w:bottom w:val="single" w:sz="8" w:color="CFF0FC"/>
            </w:tcBorders>
            <w:gridSpan w:val="30"/>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Peer and Industry Data</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Elements of NEO Compensation</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2360" w:type="dxa"/>
            <w:vAlign w:val="bottom"/>
            <w:tcBorders>
              <w:top w:val="single" w:sz="8" w:color="0000FF"/>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Base Salary</w:t>
            </w:r>
          </w:p>
        </w:tc>
        <w:tc>
          <w:tcPr>
            <w:tcW w:w="7080" w:type="dxa"/>
            <w:vAlign w:val="bottom"/>
            <w:tcBorders>
              <w:top w:val="single" w:sz="8" w:color="CFF0FC"/>
            </w:tcBorders>
            <w:gridSpan w:val="24"/>
          </w:tcPr>
          <w:p>
            <w:pPr>
              <w:spacing w:after="0"/>
              <w:rPr>
                <w:sz w:val="16"/>
                <w:szCs w:val="16"/>
                <w:color w:val="auto"/>
              </w:rPr>
            </w:pP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Annual Cash Incentive Bonuses</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2300" w:type="dxa"/>
            <w:vAlign w:val="bottom"/>
            <w:tcBorders>
              <w:top w:val="single" w:sz="8" w:color="0000FF"/>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FF"/>
                <w:w w:val="99"/>
              </w:rPr>
              <w:t>Equity Incentive Compensation</w:t>
            </w:r>
          </w:p>
        </w:tc>
        <w:tc>
          <w:tcPr>
            <w:tcW w:w="7140" w:type="dxa"/>
            <w:vAlign w:val="bottom"/>
            <w:tcBorders>
              <w:top w:val="single" w:sz="8" w:color="CFF0FC"/>
            </w:tcBorders>
            <w:gridSpan w:val="25"/>
          </w:tcPr>
          <w:p>
            <w:pPr>
              <w:spacing w:after="0"/>
              <w:rPr>
                <w:sz w:val="16"/>
                <w:szCs w:val="16"/>
                <w:color w:val="auto"/>
              </w:rPr>
            </w:pP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300" w:type="dxa"/>
            <w:vAlign w:val="bottom"/>
            <w:tcBorders>
              <w:bottom w:val="single" w:sz="8" w:color="0000FF"/>
            </w:tcBorders>
            <w:gridSpan w:val="3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Other Aspects of Our Compensation Program</w:t>
            </w:r>
          </w:p>
        </w:tc>
        <w:tc>
          <w:tcPr>
            <w:tcW w:w="6140" w:type="dxa"/>
            <w:vAlign w:val="bottom"/>
            <w:tcBorders>
              <w:bottom w:val="single" w:sz="8" w:color="CFF0FC"/>
            </w:tcBorders>
            <w:gridSpan w:val="13"/>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Insider Trading Policy</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0000FF"/>
            </w:tcBorders>
            <w:gridSpan w:val="1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Clawback and Forfeiture</w:t>
            </w:r>
          </w:p>
        </w:tc>
        <w:tc>
          <w:tcPr>
            <w:tcW w:w="7640" w:type="dxa"/>
            <w:vAlign w:val="bottom"/>
            <w:tcBorders>
              <w:bottom w:val="single" w:sz="8" w:color="CFF0FC"/>
            </w:tcBorders>
            <w:gridSpan w:val="32"/>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40" w:type="dxa"/>
            <w:vAlign w:val="bottom"/>
            <w:gridSpan w:val="4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Compensation Committee Report</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CFF0FC"/>
            </w:tcBorders>
          </w:tcPr>
          <w:p>
            <w:pPr>
              <w:spacing w:after="0"/>
              <w:rPr>
                <w:sz w:val="16"/>
                <w:szCs w:val="16"/>
                <w:color w:val="auto"/>
              </w:rPr>
            </w:pPr>
          </w:p>
        </w:tc>
        <w:tc>
          <w:tcPr>
            <w:tcW w:w="2420" w:type="dxa"/>
            <w:vAlign w:val="bottom"/>
            <w:tcBorders>
              <w:top w:val="single" w:sz="8" w:color="0000FF"/>
            </w:tcBorders>
            <w:gridSpan w:val="23"/>
          </w:tcPr>
          <w:p>
            <w:pPr>
              <w:ind w:left="20"/>
              <w:spacing w:after="0" w:line="189" w:lineRule="exact"/>
              <w:rPr>
                <w:sz w:val="20"/>
                <w:szCs w:val="20"/>
                <w:color w:val="auto"/>
              </w:rPr>
            </w:pPr>
            <w:r>
              <w:rPr>
                <w:rFonts w:ascii="Times New Roman" w:cs="Times New Roman" w:eastAsia="Times New Roman" w:hAnsi="Times New Roman"/>
                <w:sz w:val="18"/>
                <w:szCs w:val="18"/>
                <w:color w:val="0000FF"/>
              </w:rPr>
              <w:t>Summary Compensation Table</w:t>
            </w:r>
          </w:p>
        </w:tc>
        <w:tc>
          <w:tcPr>
            <w:tcW w:w="7020" w:type="dxa"/>
            <w:vAlign w:val="bottom"/>
            <w:tcBorders>
              <w:top w:val="single" w:sz="8" w:color="CFF0FC"/>
            </w:tcBorders>
            <w:gridSpan w:val="23"/>
          </w:tcPr>
          <w:p>
            <w:pPr>
              <w:spacing w:after="0"/>
              <w:rPr>
                <w:sz w:val="16"/>
                <w:szCs w:val="16"/>
                <w:color w:val="auto"/>
              </w:rPr>
            </w:pPr>
          </w:p>
        </w:tc>
        <w:tc>
          <w:tcPr>
            <w:tcW w:w="134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40" w:type="dxa"/>
            <w:vAlign w:val="bottom"/>
            <w:gridSpan w:val="46"/>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2023 Grants of Plan-Based Awards</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40" w:type="dxa"/>
            <w:vAlign w:val="bottom"/>
            <w:gridSpan w:val="46"/>
          </w:tcPr>
          <w:p>
            <w:pPr>
              <w:ind w:left="20"/>
              <w:spacing w:after="0" w:line="189" w:lineRule="exact"/>
              <w:rPr>
                <w:sz w:val="20"/>
                <w:szCs w:val="20"/>
                <w:color w:val="auto"/>
              </w:rPr>
            </w:pPr>
            <w:r>
              <w:rPr>
                <w:rFonts w:ascii="Times New Roman" w:cs="Times New Roman" w:eastAsia="Times New Roman" w:hAnsi="Times New Roman"/>
                <w:sz w:val="18"/>
                <w:szCs w:val="18"/>
                <w:color w:val="0000FF"/>
              </w:rPr>
              <w:t>Outstanding Equity Awards as of December 31, 2023</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40" w:type="dxa"/>
            <w:vAlign w:val="bottom"/>
            <w:gridSpan w:val="46"/>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2023 Option Exercises and Stock Vested</w:t>
            </w: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Potential Payments Upon Termination/Change of Control and Employment Agreements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20" w:type="dxa"/>
            <w:vAlign w:val="bottom"/>
            <w:gridSpan w:val="17"/>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Chief Executive Officer Pay Ratio</w:t>
            </w:r>
          </w:p>
        </w:tc>
        <w:tc>
          <w:tcPr>
            <w:tcW w:w="1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38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2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480" w:type="dxa"/>
            <w:vAlign w:val="bottom"/>
            <w:tcBorders>
              <w:top w:val="single" w:sz="8" w:color="CFF0FC"/>
            </w:tcBorders>
            <w:shd w:val="clear" w:color="auto" w:fill="CFF0FC"/>
          </w:tcPr>
          <w:p>
            <w:pPr>
              <w:spacing w:after="0"/>
              <w:rPr>
                <w:sz w:val="2"/>
                <w:szCs w:val="2"/>
                <w:color w:val="auto"/>
              </w:rPr>
            </w:pPr>
          </w:p>
        </w:tc>
        <w:tc>
          <w:tcPr>
            <w:tcW w:w="196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2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FF"/>
              </w:rPr>
              <w:t>Pay Versus Performance</w:t>
            </w:r>
          </w:p>
        </w:tc>
        <w:tc>
          <w:tcPr>
            <w:tcW w:w="1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20" w:type="dxa"/>
            <w:vAlign w:val="bottom"/>
            <w:gridSpan w:val="17"/>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Description of Relationship Between NEO Compensation Actually Paid and Company Total Shareholder Return (“TSR”)</w:t>
            </w:r>
          </w:p>
        </w:tc>
        <w:tc>
          <w:tcPr>
            <w:tcW w:w="1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EE"/>
            </w:tcBorders>
            <w:shd w:val="clear" w:color="auto" w:fill="CFF0FC"/>
          </w:tcPr>
          <w:p>
            <w:pPr>
              <w:spacing w:after="0"/>
              <w:rPr>
                <w:sz w:val="2"/>
                <w:szCs w:val="2"/>
                <w:color w:val="auto"/>
              </w:rPr>
            </w:pPr>
          </w:p>
        </w:tc>
        <w:tc>
          <w:tcPr>
            <w:tcW w:w="760" w:type="dxa"/>
            <w:vAlign w:val="bottom"/>
            <w:tcBorders>
              <w:top w:val="single" w:sz="8" w:color="0000EE"/>
            </w:tcBorders>
            <w:shd w:val="clear" w:color="auto" w:fill="CFF0FC"/>
          </w:tcPr>
          <w:p>
            <w:pPr>
              <w:spacing w:after="0"/>
              <w:rPr>
                <w:sz w:val="2"/>
                <w:szCs w:val="2"/>
                <w:color w:val="auto"/>
              </w:rPr>
            </w:pPr>
          </w:p>
        </w:tc>
        <w:tc>
          <w:tcPr>
            <w:tcW w:w="160" w:type="dxa"/>
            <w:vAlign w:val="bottom"/>
            <w:tcBorders>
              <w:top w:val="single" w:sz="8" w:color="0000EE"/>
            </w:tcBorders>
            <w:shd w:val="clear" w:color="auto" w:fill="CFF0FC"/>
          </w:tcPr>
          <w:p>
            <w:pPr>
              <w:spacing w:after="0"/>
              <w:rPr>
                <w:sz w:val="2"/>
                <w:szCs w:val="2"/>
                <w:color w:val="auto"/>
              </w:rPr>
            </w:pPr>
          </w:p>
        </w:tc>
        <w:tc>
          <w:tcPr>
            <w:tcW w:w="20" w:type="dxa"/>
            <w:vAlign w:val="bottom"/>
            <w:tcBorders>
              <w:top w:val="single" w:sz="8" w:color="0000EE"/>
            </w:tcBorders>
            <w:shd w:val="clear" w:color="auto" w:fill="CFF0FC"/>
          </w:tcPr>
          <w:p>
            <w:pPr>
              <w:spacing w:after="0"/>
              <w:rPr>
                <w:sz w:val="2"/>
                <w:szCs w:val="2"/>
                <w:color w:val="auto"/>
              </w:rPr>
            </w:pPr>
          </w:p>
        </w:tc>
        <w:tc>
          <w:tcPr>
            <w:tcW w:w="100" w:type="dxa"/>
            <w:vAlign w:val="bottom"/>
            <w:tcBorders>
              <w:top w:val="single" w:sz="8" w:color="0000EE"/>
            </w:tcBorders>
            <w:shd w:val="clear" w:color="auto" w:fill="CFF0FC"/>
          </w:tcPr>
          <w:p>
            <w:pPr>
              <w:spacing w:after="0"/>
              <w:rPr>
                <w:sz w:val="2"/>
                <w:szCs w:val="2"/>
                <w:color w:val="auto"/>
              </w:rPr>
            </w:pPr>
          </w:p>
        </w:tc>
        <w:tc>
          <w:tcPr>
            <w:tcW w:w="40" w:type="dxa"/>
            <w:vAlign w:val="bottom"/>
            <w:tcBorders>
              <w:top w:val="single" w:sz="8" w:color="0000EE"/>
            </w:tcBorders>
            <w:shd w:val="clear" w:color="auto" w:fill="CFF0FC"/>
          </w:tcPr>
          <w:p>
            <w:pPr>
              <w:spacing w:after="0"/>
              <w:rPr>
                <w:sz w:val="2"/>
                <w:szCs w:val="2"/>
                <w:color w:val="auto"/>
              </w:rPr>
            </w:pPr>
          </w:p>
        </w:tc>
        <w:tc>
          <w:tcPr>
            <w:tcW w:w="380" w:type="dxa"/>
            <w:vAlign w:val="bottom"/>
            <w:tcBorders>
              <w:top w:val="single" w:sz="8" w:color="0000EE"/>
            </w:tcBorders>
            <w:shd w:val="clear" w:color="auto" w:fill="CFF0FC"/>
          </w:tcPr>
          <w:p>
            <w:pPr>
              <w:spacing w:after="0"/>
              <w:rPr>
                <w:sz w:val="2"/>
                <w:szCs w:val="2"/>
                <w:color w:val="auto"/>
              </w:rPr>
            </w:pPr>
          </w:p>
        </w:tc>
        <w:tc>
          <w:tcPr>
            <w:tcW w:w="360" w:type="dxa"/>
            <w:vAlign w:val="bottom"/>
            <w:tcBorders>
              <w:top w:val="single" w:sz="8" w:color="0000EE"/>
            </w:tcBorders>
            <w:shd w:val="clear" w:color="auto" w:fill="CFF0FC"/>
          </w:tcPr>
          <w:p>
            <w:pPr>
              <w:spacing w:after="0"/>
              <w:rPr>
                <w:sz w:val="2"/>
                <w:szCs w:val="2"/>
                <w:color w:val="auto"/>
              </w:rPr>
            </w:pPr>
          </w:p>
        </w:tc>
        <w:tc>
          <w:tcPr>
            <w:tcW w:w="620" w:type="dxa"/>
            <w:vAlign w:val="bottom"/>
            <w:tcBorders>
              <w:top w:val="single" w:sz="8" w:color="0000EE"/>
            </w:tcBorders>
            <w:shd w:val="clear" w:color="auto" w:fill="CFF0FC"/>
          </w:tcPr>
          <w:p>
            <w:pPr>
              <w:spacing w:after="0"/>
              <w:rPr>
                <w:sz w:val="2"/>
                <w:szCs w:val="2"/>
                <w:color w:val="auto"/>
              </w:rPr>
            </w:pPr>
          </w:p>
        </w:tc>
        <w:tc>
          <w:tcPr>
            <w:tcW w:w="300" w:type="dxa"/>
            <w:vAlign w:val="bottom"/>
            <w:tcBorders>
              <w:top w:val="single" w:sz="8" w:color="0000EE"/>
            </w:tcBorders>
            <w:shd w:val="clear" w:color="auto" w:fill="CFF0FC"/>
          </w:tcPr>
          <w:p>
            <w:pPr>
              <w:spacing w:after="0"/>
              <w:rPr>
                <w:sz w:val="2"/>
                <w:szCs w:val="2"/>
                <w:color w:val="auto"/>
              </w:rPr>
            </w:pPr>
          </w:p>
        </w:tc>
        <w:tc>
          <w:tcPr>
            <w:tcW w:w="1280" w:type="dxa"/>
            <w:vAlign w:val="bottom"/>
            <w:tcBorders>
              <w:top w:val="single" w:sz="8" w:color="0000EE"/>
            </w:tcBorders>
            <w:shd w:val="clear" w:color="auto" w:fill="CFF0FC"/>
          </w:tcPr>
          <w:p>
            <w:pPr>
              <w:spacing w:after="0"/>
              <w:rPr>
                <w:sz w:val="2"/>
                <w:szCs w:val="2"/>
                <w:color w:val="auto"/>
              </w:rPr>
            </w:pPr>
          </w:p>
        </w:tc>
        <w:tc>
          <w:tcPr>
            <w:tcW w:w="160" w:type="dxa"/>
            <w:vAlign w:val="bottom"/>
            <w:tcBorders>
              <w:top w:val="single" w:sz="8" w:color="0000EE"/>
            </w:tcBorders>
            <w:shd w:val="clear" w:color="auto" w:fill="CFF0FC"/>
          </w:tcPr>
          <w:p>
            <w:pPr>
              <w:spacing w:after="0"/>
              <w:rPr>
                <w:sz w:val="2"/>
                <w:szCs w:val="2"/>
                <w:color w:val="auto"/>
              </w:rPr>
            </w:pPr>
          </w:p>
        </w:tc>
        <w:tc>
          <w:tcPr>
            <w:tcW w:w="580" w:type="dxa"/>
            <w:vAlign w:val="bottom"/>
            <w:tcBorders>
              <w:top w:val="single" w:sz="8" w:color="0000EE"/>
            </w:tcBorders>
            <w:shd w:val="clear" w:color="auto" w:fill="CFF0FC"/>
          </w:tcPr>
          <w:p>
            <w:pPr>
              <w:spacing w:after="0"/>
              <w:rPr>
                <w:sz w:val="2"/>
                <w:szCs w:val="2"/>
                <w:color w:val="auto"/>
              </w:rPr>
            </w:pPr>
          </w:p>
        </w:tc>
        <w:tc>
          <w:tcPr>
            <w:tcW w:w="500" w:type="dxa"/>
            <w:vAlign w:val="bottom"/>
            <w:tcBorders>
              <w:top w:val="single" w:sz="8" w:color="0000EE"/>
            </w:tcBorders>
            <w:shd w:val="clear" w:color="auto" w:fill="CFF0FC"/>
          </w:tcPr>
          <w:p>
            <w:pPr>
              <w:spacing w:after="0"/>
              <w:rPr>
                <w:sz w:val="2"/>
                <w:szCs w:val="2"/>
                <w:color w:val="auto"/>
              </w:rPr>
            </w:pPr>
          </w:p>
        </w:tc>
        <w:tc>
          <w:tcPr>
            <w:tcW w:w="60" w:type="dxa"/>
            <w:vAlign w:val="bottom"/>
            <w:tcBorders>
              <w:top w:val="single" w:sz="8" w:color="0000EE"/>
            </w:tcBorders>
            <w:shd w:val="clear" w:color="auto" w:fill="CFF0FC"/>
          </w:tcPr>
          <w:p>
            <w:pPr>
              <w:spacing w:after="0"/>
              <w:rPr>
                <w:sz w:val="2"/>
                <w:szCs w:val="2"/>
                <w:color w:val="auto"/>
              </w:rPr>
            </w:pPr>
          </w:p>
        </w:tc>
        <w:tc>
          <w:tcPr>
            <w:tcW w:w="2480" w:type="dxa"/>
            <w:vAlign w:val="bottom"/>
            <w:tcBorders>
              <w:top w:val="single" w:sz="8" w:color="0000EE"/>
            </w:tcBorders>
            <w:shd w:val="clear" w:color="auto" w:fill="CFF0FC"/>
          </w:tcPr>
          <w:p>
            <w:pPr>
              <w:spacing w:after="0"/>
              <w:rPr>
                <w:sz w:val="2"/>
                <w:szCs w:val="2"/>
                <w:color w:val="auto"/>
              </w:rPr>
            </w:pPr>
          </w:p>
        </w:tc>
        <w:tc>
          <w:tcPr>
            <w:tcW w:w="1960" w:type="dxa"/>
            <w:vAlign w:val="bottom"/>
            <w:tcBorders>
              <w:top w:val="single" w:sz="8" w:color="CFF0FC"/>
            </w:tcBorders>
            <w:shd w:val="clear" w:color="auto" w:fill="CFF0FC"/>
          </w:tcPr>
          <w:p>
            <w:pPr>
              <w:spacing w:after="0"/>
              <w:rPr>
                <w:sz w:val="2"/>
                <w:szCs w:val="2"/>
                <w:color w:val="auto"/>
              </w:rPr>
            </w:pPr>
          </w:p>
        </w:tc>
      </w:tr>
      <w:tr>
        <w:trPr>
          <w:trHeight w:val="189"/>
        </w:trPr>
        <w:tc>
          <w:tcPr>
            <w:tcW w:w="928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w:t>
            </w:r>
          </w:p>
        </w:tc>
      </w:tr>
      <w:tr>
        <w:trPr>
          <w:trHeight w:val="34"/>
        </w:trPr>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9260" w:type="dxa"/>
            <w:vAlign w:val="bottom"/>
            <w:gridSpan w:val="18"/>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1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r>
      <w:tr>
        <w:trPr>
          <w:trHeight w:val="189"/>
        </w:trPr>
        <w:tc>
          <w:tcPr>
            <w:tcW w:w="20" w:type="dxa"/>
            <w:vAlign w:val="bottom"/>
            <w:tcBorders>
              <w:top w:val="single" w:sz="8" w:color="CFF0FC"/>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346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5360" w:type="dxa"/>
            <w:vAlign w:val="bottom"/>
            <w:tcBorders>
              <w:top w:val="single" w:sz="8" w:color="CFF0FC"/>
            </w:tcBorders>
            <w:gridSpan w:val="7"/>
          </w:tcPr>
          <w:p>
            <w:pPr>
              <w:spacing w:after="0"/>
              <w:rPr>
                <w:sz w:val="16"/>
                <w:szCs w:val="16"/>
                <w:color w:val="auto"/>
              </w:rPr>
            </w:pPr>
          </w:p>
        </w:tc>
        <w:tc>
          <w:tcPr>
            <w:tcW w:w="1960" w:type="dxa"/>
            <w:vAlign w:val="bottom"/>
            <w:tcBorders>
              <w:top w:val="single" w:sz="8" w:color="CFF0FC"/>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5480" w:type="dxa"/>
            <w:vAlign w:val="bottom"/>
            <w:tcBorders>
              <w:bottom w:val="single" w:sz="8" w:color="0000FF"/>
            </w:tcBorders>
            <w:gridSpan w:val="1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3780" w:type="dxa"/>
            <w:vAlign w:val="bottom"/>
            <w:tcBorders>
              <w:bottom w:val="single" w:sz="8" w:color="CFF0FC"/>
            </w:tcBorders>
            <w:gridSpan w:val="5"/>
            <w:shd w:val="clear" w:color="auto" w:fill="CFF0FC"/>
          </w:tcPr>
          <w:p>
            <w:pPr>
              <w:spacing w:after="0"/>
              <w:rPr>
                <w:sz w:val="19"/>
                <w:szCs w:val="19"/>
                <w:color w:val="auto"/>
              </w:rPr>
            </w:pPr>
          </w:p>
        </w:tc>
        <w:tc>
          <w:tcPr>
            <w:tcW w:w="196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Related Party Transactions</w:t>
            </w:r>
          </w:p>
        </w:tc>
        <w:tc>
          <w:tcPr>
            <w:tcW w:w="1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20" w:type="dxa"/>
            <w:vAlign w:val="bottom"/>
            <w:gridSpan w:val="1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Indemnification Agreements</w:t>
            </w:r>
          </w:p>
        </w:tc>
        <w:tc>
          <w:tcPr>
            <w:tcW w:w="1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2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480" w:type="dxa"/>
            <w:vAlign w:val="bottom"/>
            <w:tcBorders>
              <w:top w:val="single" w:sz="8" w:color="CFF0FC"/>
            </w:tcBorders>
            <w:shd w:val="clear" w:color="auto" w:fill="CFF0FC"/>
          </w:tcPr>
          <w:p>
            <w:pPr>
              <w:spacing w:after="0"/>
              <w:rPr>
                <w:sz w:val="2"/>
                <w:szCs w:val="2"/>
                <w:color w:val="auto"/>
              </w:rPr>
            </w:pPr>
          </w:p>
        </w:tc>
        <w:tc>
          <w:tcPr>
            <w:tcW w:w="196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Review and Approval of Related Party Transactions</w:t>
            </w:r>
          </w:p>
        </w:tc>
        <w:tc>
          <w:tcPr>
            <w:tcW w:w="1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5640" w:type="dxa"/>
            <w:vAlign w:val="bottom"/>
            <w:tcBorders>
              <w:bottom w:val="single" w:sz="8" w:color="0000FF"/>
            </w:tcBorders>
            <w:gridSpan w:val="1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SECTION 16(a) BENEFICIAL OWNERSHIP REPORTING COMPLIANCE</w:t>
            </w:r>
          </w:p>
        </w:tc>
        <w:tc>
          <w:tcPr>
            <w:tcW w:w="3620" w:type="dxa"/>
            <w:vAlign w:val="bottom"/>
            <w:tcBorders>
              <w:bottom w:val="single" w:sz="8" w:color="CFF0FC"/>
            </w:tcBorders>
            <w:gridSpan w:val="4"/>
            <w:shd w:val="clear" w:color="auto" w:fill="CFF0FC"/>
          </w:tcPr>
          <w:p>
            <w:pPr>
              <w:spacing w:after="0"/>
              <w:rPr>
                <w:sz w:val="19"/>
                <w:szCs w:val="19"/>
                <w:color w:val="auto"/>
              </w:rPr>
            </w:pPr>
          </w:p>
        </w:tc>
        <w:tc>
          <w:tcPr>
            <w:tcW w:w="196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r>
      <w:tr>
        <w:trPr>
          <w:trHeight w:val="189"/>
        </w:trPr>
        <w:tc>
          <w:tcPr>
            <w:tcW w:w="928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0000FF"/>
              </w:rPr>
              <w:t>AUDIT COMMITTEE REPORT</w:t>
            </w:r>
          </w:p>
        </w:tc>
        <w:tc>
          <w:tcPr>
            <w:tcW w:w="1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w:t>
            </w:r>
          </w:p>
        </w:tc>
      </w:tr>
      <w:tr>
        <w:trPr>
          <w:trHeight w:val="34"/>
        </w:trPr>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20" w:type="dxa"/>
            <w:vAlign w:val="bottom"/>
            <w:gridSpan w:val="1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Role of the Audit Committee</w:t>
            </w:r>
          </w:p>
        </w:tc>
        <w:tc>
          <w:tcPr>
            <w:tcW w:w="1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2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480" w:type="dxa"/>
            <w:vAlign w:val="bottom"/>
            <w:tcBorders>
              <w:top w:val="single" w:sz="8" w:color="CFF0FC"/>
            </w:tcBorders>
            <w:shd w:val="clear" w:color="auto" w:fill="CFF0FC"/>
          </w:tcPr>
          <w:p>
            <w:pPr>
              <w:spacing w:after="0"/>
              <w:rPr>
                <w:sz w:val="2"/>
                <w:szCs w:val="2"/>
                <w:color w:val="auto"/>
              </w:rPr>
            </w:pPr>
          </w:p>
        </w:tc>
        <w:tc>
          <w:tcPr>
            <w:tcW w:w="196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Review of Audited Financial Statements for the Year Ended December 31, 2023</w:t>
            </w:r>
          </w:p>
        </w:tc>
        <w:tc>
          <w:tcPr>
            <w:tcW w:w="1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w:t>
            </w:r>
          </w:p>
        </w:tc>
      </w:tr>
      <w:tr>
        <w:trPr>
          <w:trHeight w:val="3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9280" w:type="dxa"/>
            <w:vAlign w:val="bottom"/>
            <w:gridSpan w:val="19"/>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MATTERS</w:t>
            </w:r>
          </w:p>
        </w:tc>
        <w:tc>
          <w:tcPr>
            <w:tcW w:w="1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r>
      <w:tr>
        <w:trPr>
          <w:trHeight w:val="1411"/>
        </w:trPr>
        <w:tc>
          <w:tcPr>
            <w:tcW w:w="2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62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128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58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480" w:type="dxa"/>
            <w:vAlign w:val="bottom"/>
            <w:tcBorders>
              <w:top w:val="single" w:sz="8" w:color="CFF0FC"/>
              <w:bottom w:val="single" w:sz="8" w:color="9A9A9A"/>
            </w:tcBorders>
          </w:tcPr>
          <w:p>
            <w:pPr>
              <w:spacing w:after="0"/>
              <w:rPr>
                <w:sz w:val="24"/>
                <w:szCs w:val="24"/>
                <w:color w:val="auto"/>
              </w:rPr>
            </w:pPr>
          </w:p>
        </w:tc>
        <w:tc>
          <w:tcPr>
            <w:tcW w:w="196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One World Trade Center, 22</w:t>
      </w:r>
      <w:r>
        <w:rPr>
          <w:rFonts w:ascii="Times New Roman" w:cs="Times New Roman" w:eastAsia="Times New Roman" w:hAnsi="Times New Roman"/>
          <w:sz w:val="21"/>
          <w:szCs w:val="21"/>
          <w:b w:val="1"/>
          <w:bCs w:val="1"/>
          <w:color w:val="auto"/>
          <w:vertAlign w:val="superscript"/>
        </w:rPr>
        <w:t>nd</w:t>
      </w:r>
      <w:r>
        <w:rPr>
          <w:rFonts w:ascii="Times New Roman" w:cs="Times New Roman" w:eastAsia="Times New Roman" w:hAnsi="Times New Roman"/>
          <w:sz w:val="16"/>
          <w:szCs w:val="16"/>
          <w:b w:val="1"/>
          <w:bCs w:val="1"/>
          <w:color w:val="auto"/>
        </w:rPr>
        <w:t xml:space="preserve"> Floor</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New York, New York 10007</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PROXY STATEMENT FOR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73025</wp:posOffset>
            </wp:positionV>
            <wp:extent cx="60693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149" w:lineRule="exact"/>
        <w:rPr>
          <w:sz w:val="20"/>
          <w:szCs w:val="20"/>
          <w:color w:val="auto"/>
        </w:rPr>
      </w:pPr>
    </w:p>
    <w:p>
      <w:pPr>
        <w:ind w:right="220" w:firstLine="374"/>
        <w:spacing w:after="0" w:line="272" w:lineRule="auto"/>
        <w:rPr>
          <w:sz w:val="20"/>
          <w:szCs w:val="20"/>
          <w:color w:val="auto"/>
        </w:rPr>
      </w:pPr>
      <w:r>
        <w:rPr>
          <w:rFonts w:ascii="Times New Roman" w:cs="Times New Roman" w:eastAsia="Times New Roman" w:hAnsi="Times New Roman"/>
          <w:sz w:val="16"/>
          <w:szCs w:val="16"/>
          <w:color w:val="auto"/>
        </w:rPr>
        <w:t xml:space="preserve">This proxy statement is furnished in connection with solicitation of proxies by our Board of Directors for use at the 2024 Annual Meeting of Stockholders (the “Annual Meeting”) to be held at 9:00 a.m. local time on Friday, June 7, 2024, and any postponements or adjournments thereof. The Annual Meeting will be completely virtual. You may attend the virtual meeting, submit questions, and vote your shares electronically during the meeting via live webcast by visiting </w:t>
      </w:r>
      <w:r>
        <w:rPr>
          <w:rFonts w:ascii="Times New Roman" w:cs="Times New Roman" w:eastAsia="Times New Roman" w:hAnsi="Times New Roman"/>
          <w:sz w:val="16"/>
          <w:szCs w:val="16"/>
          <w:u w:val="single" w:color="auto"/>
          <w:color w:val="auto"/>
        </w:rPr>
        <w:t>https://www.virtualshareholdermeeting.com/AXSM2024</w:t>
      </w:r>
      <w:r>
        <w:rPr>
          <w:rFonts w:ascii="Times New Roman" w:cs="Times New Roman" w:eastAsia="Times New Roman" w:hAnsi="Times New Roman"/>
          <w:sz w:val="16"/>
          <w:szCs w:val="16"/>
          <w:color w:val="auto"/>
        </w:rPr>
        <w:t>. As used in this proxy statement, the terms “the Company,” “Axsome,” “we,” “us,” and “our” mean Axsome Therapeutics, Inc. unless the context indicates otherwise.</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QUESTIONS AND ANSWERS ABOUT PROCEDURAL MATTERS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Meeting</w:t>
      </w:r>
    </w:p>
    <w:p>
      <w:pPr>
        <w:spacing w:after="0" w:line="14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am I receiving these proxy materials?</w:t>
      </w:r>
    </w:p>
    <w:p>
      <w:pPr>
        <w:spacing w:after="0" w:line="196" w:lineRule="exact"/>
        <w:rPr>
          <w:sz w:val="20"/>
          <w:szCs w:val="20"/>
          <w:color w:val="auto"/>
        </w:rPr>
      </w:pPr>
    </w:p>
    <w:p>
      <w:pPr>
        <w:ind w:left="360" w:right="60" w:hanging="339"/>
        <w:spacing w:after="0" w:line="275" w:lineRule="auto"/>
        <w:tabs>
          <w:tab w:leader="none" w:pos="3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made these proxy materials available to you on the Internet or, upon your request, have delivered paper proxy materials to you, because our Board of Directors is soliciting your proxy to vote at the Annual Meeting to be held on Friday, June 7, 2024 at 9:00 a.m. local time, and at any adjournment or postponement thereof, for the purpose of considering and acting upon the matters set forth herein. This proxy statement includes information that we are required to provide to you by the U.S. Securities and Exchange Commission (the “SEC”) and that is designed to assist you in voting your shares.</w:t>
      </w:r>
    </w:p>
    <w:p>
      <w:pPr>
        <w:spacing w:after="0" w:line="14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did I receive a notice in the mail regarding the Internet availability of proxy materials instead of a paper copy of proxy materials?</w:t>
      </w:r>
    </w:p>
    <w:p>
      <w:pPr>
        <w:spacing w:after="0" w:line="196" w:lineRule="exact"/>
        <w:rPr>
          <w:sz w:val="20"/>
          <w:szCs w:val="20"/>
          <w:color w:val="auto"/>
        </w:rPr>
      </w:pPr>
    </w:p>
    <w:p>
      <w:pPr>
        <w:ind w:left="360" w:right="120" w:hanging="339"/>
        <w:spacing w:after="0" w:line="269" w:lineRule="auto"/>
        <w:tabs>
          <w:tab w:leader="none" w:pos="3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of the SEC permit us to furnish proxy materials, including this proxy statement and our 2023 Annual Report, to our stockholders by providing access to such documents on the Internet instead of mailing printed copies. As a result, we are mailing most of our stockholders a paper copy of the 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Stockholders will not receive paper copies of the proxy materials unless they request them. Instead, the Notice of Internet Availability of Proxy Materials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144"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did I receive a complete set of paper proxy materials in the mail instead of a Notice of Internet Availability of Proxy Materials?</w:t>
      </w:r>
    </w:p>
    <w:p>
      <w:pPr>
        <w:spacing w:after="0" w:line="196" w:lineRule="exact"/>
        <w:rPr>
          <w:sz w:val="20"/>
          <w:szCs w:val="20"/>
          <w:color w:val="auto"/>
        </w:rPr>
      </w:pPr>
    </w:p>
    <w:p>
      <w:pPr>
        <w:ind w:left="360" w:hanging="339"/>
        <w:spacing w:after="0" w:line="275"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14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included in the proxy materials?</w:t>
      </w:r>
    </w:p>
    <w:p>
      <w:pPr>
        <w:spacing w:after="0" w:line="196" w:lineRule="exact"/>
        <w:rPr>
          <w:sz w:val="20"/>
          <w:szCs w:val="20"/>
          <w:color w:val="auto"/>
        </w:rPr>
      </w:pPr>
    </w:p>
    <w:p>
      <w:pPr>
        <w:ind w:left="360" w:hanging="339"/>
        <w:spacing w:after="0"/>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proxy materials include:</w:t>
      </w:r>
    </w:p>
    <w:p>
      <w:pPr>
        <w:spacing w:after="0" w:line="15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proxy statement for the Annual Meeting;</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2023 Annual Report to Stockholders, which consists of our Annual Report on Form 10-K for the year ended December 31, 2023;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proxy card or a voting instruction form for the Annual Meeting, if you have requested that the proxy materials be mailed to you.</w:t>
      </w:r>
    </w:p>
    <w:p>
      <w:pPr>
        <w:spacing w:after="0" w:line="13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information is contained in this proxy statement?</w:t>
      </w:r>
    </w:p>
    <w:p>
      <w:pPr>
        <w:spacing w:after="0" w:line="196" w:lineRule="exact"/>
        <w:rPr>
          <w:sz w:val="20"/>
          <w:szCs w:val="20"/>
          <w:color w:val="auto"/>
        </w:rPr>
      </w:pPr>
    </w:p>
    <w:p>
      <w:pPr>
        <w:ind w:left="360" w:right="360" w:hanging="339"/>
        <w:spacing w:after="0" w:line="298" w:lineRule="auto"/>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9"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Where is the Annual Meeting?</w:t>
      </w:r>
    </w:p>
    <w:p>
      <w:pPr>
        <w:spacing w:after="0" w:line="169" w:lineRule="exact"/>
        <w:rPr>
          <w:sz w:val="20"/>
          <w:szCs w:val="20"/>
          <w:color w:val="auto"/>
        </w:rPr>
      </w:pPr>
    </w:p>
    <w:p>
      <w:pPr>
        <w:ind w:left="360" w:right="20" w:hanging="339"/>
        <w:spacing w:after="0" w:line="298" w:lineRule="auto"/>
        <w:tabs>
          <w:tab w:leader="none" w:pos="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Annual Meeting will be completely virtual. You may attend the virtual meeting, submit questions, and vote your shares electronically during the meeting via live webcast by visiting </w:t>
      </w:r>
      <w:r>
        <w:rPr>
          <w:rFonts w:ascii="Times New Roman" w:cs="Times New Roman" w:eastAsia="Times New Roman" w:hAnsi="Times New Roman"/>
          <w:sz w:val="16"/>
          <w:szCs w:val="16"/>
          <w:u w:val="single" w:color="auto"/>
          <w:color w:val="auto"/>
        </w:rPr>
        <w:t>https://www.virtualshareholdermeeting.com/AXSM2024</w:t>
      </w:r>
      <w:r>
        <w:rPr>
          <w:rFonts w:ascii="Times New Roman" w:cs="Times New Roman" w:eastAsia="Times New Roman" w:hAnsi="Times New Roman"/>
          <w:sz w:val="16"/>
          <w:szCs w:val="16"/>
          <w:color w:val="auto"/>
        </w:rPr>
        <w:t>.</w:t>
      </w:r>
    </w:p>
    <w:p>
      <w:pPr>
        <w:spacing w:after="0" w:line="8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attend the Annual Meeting?</w:t>
      </w:r>
    </w:p>
    <w:p>
      <w:pPr>
        <w:spacing w:after="0" w:line="169" w:lineRule="exact"/>
        <w:rPr>
          <w:sz w:val="20"/>
          <w:szCs w:val="20"/>
          <w:color w:val="auto"/>
        </w:rPr>
      </w:pPr>
    </w:p>
    <w:p>
      <w:pPr>
        <w:ind w:left="360" w:right="20" w:hanging="339"/>
        <w:spacing w:after="0" w:line="298" w:lineRule="auto"/>
        <w:tabs>
          <w:tab w:leader="none" w:pos="3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invited to attend the Annual Meeting if you were a stockholder of record or a beneficial owner as of April 15, 2024, the Record Date. The meeting will begin via live webcast promptly at 9:00 a.m. local time on June 7,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Ownership</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difference between holding shares as a stockholder of record and as a beneficial owner?</w:t>
      </w:r>
    </w:p>
    <w:p>
      <w:pPr>
        <w:spacing w:after="0" w:line="167" w:lineRule="exact"/>
        <w:rPr>
          <w:sz w:val="20"/>
          <w:szCs w:val="20"/>
          <w:color w:val="auto"/>
        </w:rPr>
      </w:pPr>
    </w:p>
    <w:p>
      <w:pPr>
        <w:ind w:left="360" w:right="120" w:hanging="339"/>
        <w:spacing w:after="0" w:line="282" w:lineRule="auto"/>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Stockholders of record</w:t>
      </w:r>
      <w:r>
        <w:rPr>
          <w:rFonts w:ascii="Times New Roman" w:cs="Times New Roman" w:eastAsia="Times New Roman" w:hAnsi="Times New Roman"/>
          <w:sz w:val="16"/>
          <w:szCs w:val="16"/>
          <w:color w:val="auto"/>
        </w:rPr>
        <w:t>—If your shares are registered directly in your name with our transfer agent, American Stock Transfer &amp; Trust Company, LLC, you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considered, with respect to those shares, the “stockholder of record,” and the proxy materials were provided to you directly by us. As the stockholder of record, you have the right to grant your voting proxy directly to the individuals listed on the proxy card or to vote in person at the Annual Meeting.</w:t>
      </w:r>
    </w:p>
    <w:p>
      <w:pPr>
        <w:spacing w:after="0" w:line="66" w:lineRule="exact"/>
        <w:rPr>
          <w:rFonts w:ascii="Times New Roman" w:cs="Times New Roman" w:eastAsia="Times New Roman" w:hAnsi="Times New Roman"/>
          <w:sz w:val="16"/>
          <w:szCs w:val="16"/>
          <w:color w:val="auto"/>
        </w:rPr>
      </w:pPr>
    </w:p>
    <w:p>
      <w:pPr>
        <w:ind w:left="360" w:right="22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—Many Axsome stockholders hold their shares through a broker, trustee or other nominee, rather than directly in their own name. If your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68" w:lineRule="exact"/>
        <w:rPr>
          <w:rFonts w:ascii="Times New Roman" w:cs="Times New Roman" w:eastAsia="Times New Roman" w:hAnsi="Times New Roman"/>
          <w:sz w:val="16"/>
          <w:szCs w:val="16"/>
          <w:color w:val="auto"/>
        </w:rPr>
      </w:pPr>
    </w:p>
    <w:p>
      <w:pPr>
        <w:ind w:left="360" w:right="12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Quorum and Voting</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many shares must be present or represented to conduct business at the Annual Meeting?</w:t>
      </w:r>
    </w:p>
    <w:p>
      <w:pPr>
        <w:spacing w:after="0" w:line="169" w:lineRule="exact"/>
        <w:rPr>
          <w:sz w:val="20"/>
          <w:szCs w:val="20"/>
          <w:color w:val="auto"/>
        </w:rPr>
      </w:pPr>
    </w:p>
    <w:p>
      <w:pPr>
        <w:ind w:left="360" w:right="20" w:hanging="339"/>
        <w:spacing w:after="0" w:line="281" w:lineRule="auto"/>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quorum is the minimum number of shares required to be present at the Annual Meeting for the meeting to be properly held under our amended and restated bylaws and the Delaware General Corporation Law (the “DGCL”). The presence, in person or by proxy, of a majority of the aggregate voting power of the issued and outstanding shares of stock entitled to vote at the Annual Meeting will constitute a quorum at the Annual Meeting.</w:t>
      </w:r>
    </w:p>
    <w:p>
      <w:pPr>
        <w:spacing w:after="0" w:line="69" w:lineRule="exact"/>
        <w:rPr>
          <w:rFonts w:ascii="Times New Roman" w:cs="Times New Roman" w:eastAsia="Times New Roman" w:hAnsi="Times New Roman"/>
          <w:sz w:val="16"/>
          <w:szCs w:val="16"/>
          <w:color w:val="auto"/>
        </w:rPr>
      </w:pPr>
    </w:p>
    <w:p>
      <w:pPr>
        <w:ind w:left="360" w:right="10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proxy submitted by a stockholder may indicate that the shares represented by the proxy are not being voted, referred to as stockholder withholding with respect to a particular matter.</w:t>
      </w:r>
    </w:p>
    <w:p>
      <w:pPr>
        <w:spacing w:after="0" w:line="56" w:lineRule="exact"/>
        <w:rPr>
          <w:rFonts w:ascii="Times New Roman" w:cs="Times New Roman" w:eastAsia="Times New Roman" w:hAnsi="Times New Roman"/>
          <w:sz w:val="16"/>
          <w:szCs w:val="16"/>
          <w:color w:val="auto"/>
        </w:rPr>
      </w:pPr>
    </w:p>
    <w:p>
      <w:pPr>
        <w:ind w:left="360" w:right="1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DGCL, abstentions and broker “non-votes” are counted as present and entitled to vote and are, therefore, included for purposes of determining whether a quorum is present at the Annual Meeting.</w:t>
      </w:r>
    </w:p>
    <w:p>
      <w:pPr>
        <w:spacing w:after="0" w:line="56" w:lineRule="exact"/>
        <w:rPr>
          <w:rFonts w:ascii="Times New Roman" w:cs="Times New Roman" w:eastAsia="Times New Roman" w:hAnsi="Times New Roman"/>
          <w:sz w:val="16"/>
          <w:szCs w:val="16"/>
          <w:color w:val="auto"/>
        </w:rPr>
      </w:pPr>
    </w:p>
    <w:p>
      <w:pPr>
        <w:ind w:left="360" w:right="7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8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Who is entitled to vote at the Annual Meeting?</w:t>
      </w:r>
    </w:p>
    <w:p>
      <w:pPr>
        <w:spacing w:after="0" w:line="169" w:lineRule="exact"/>
        <w:rPr>
          <w:sz w:val="20"/>
          <w:szCs w:val="20"/>
          <w:color w:val="auto"/>
        </w:rPr>
      </w:pPr>
    </w:p>
    <w:p>
      <w:pPr>
        <w:ind w:left="360" w:hanging="339"/>
        <w:spacing w:after="0" w:line="275"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record of our common stock at the close of business on the Record Date are entitled to receive notice of and to vote their shares at the Annual Meeting. As of the Record Date, we had 47,493,320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p>
      <w:pPr>
        <w:spacing w:after="0" w:line="10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can I vote my shares at the Annual Meeting?</w:t>
      </w:r>
    </w:p>
    <w:p>
      <w:pPr>
        <w:spacing w:after="0" w:line="169" w:lineRule="exact"/>
        <w:rPr>
          <w:sz w:val="20"/>
          <w:szCs w:val="20"/>
          <w:color w:val="auto"/>
        </w:rPr>
      </w:pPr>
    </w:p>
    <w:p>
      <w:pPr>
        <w:ind w:left="360" w:right="80" w:hanging="339"/>
        <w:spacing w:after="0" w:line="275"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Shares held in your name as the stockholder of record may be voted at the Annual Meeting. Shares held beneficially in street name may be voted at the Annual Meeting only if you obtain a legal proxy from the broker, trustee or other nominee that holds your shares giving you the right to vote the shares. </w:t>
      </w:r>
      <w:r>
        <w:rPr>
          <w:rFonts w:ascii="Times New Roman" w:cs="Times New Roman" w:eastAsia="Times New Roman" w:hAnsi="Times New Roman"/>
          <w:sz w:val="16"/>
          <w:szCs w:val="16"/>
          <w:b w:val="1"/>
          <w:bCs w:val="1"/>
          <w:color w:val="auto"/>
        </w:rPr>
        <w:t>Even if you plan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attend the Annual Meeting, we recommend that you also submit your proxy card, if you have requested one, or follow the voting directions described below, so that your vote will be counted if you later decide not to attend the Annual Meeting.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can I vote my shares without attending the Annual Meeting?</w:t>
      </w:r>
    </w:p>
    <w:p>
      <w:pPr>
        <w:spacing w:after="0" w:line="167" w:lineRule="exact"/>
        <w:rPr>
          <w:sz w:val="20"/>
          <w:szCs w:val="20"/>
          <w:color w:val="auto"/>
        </w:rPr>
      </w:pPr>
    </w:p>
    <w:p>
      <w:pPr>
        <w:ind w:left="360" w:hanging="339"/>
        <w:spacing w:after="0"/>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 are a stockholder of record, there are three ways to vote without attending the Annual Meeting:</w:t>
      </w:r>
    </w:p>
    <w:p>
      <w:pPr>
        <w:spacing w:after="0" w:line="153" w:lineRule="exact"/>
        <w:rPr>
          <w:rFonts w:ascii="Times New Roman" w:cs="Times New Roman" w:eastAsia="Times New Roman" w:hAnsi="Times New Roman"/>
          <w:sz w:val="16"/>
          <w:szCs w:val="16"/>
          <w:color w:val="auto"/>
        </w:rPr>
      </w:pPr>
    </w:p>
    <w:p>
      <w:pPr>
        <w:ind w:left="760" w:hanging="378"/>
        <w:spacing w:after="0" w:line="301" w:lineRule="auto"/>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Via the Internet</w:t>
      </w:r>
      <w:r>
        <w:rPr>
          <w:rFonts w:ascii="Times New Roman" w:cs="Times New Roman" w:eastAsia="Times New Roman" w:hAnsi="Times New Roman"/>
          <w:sz w:val="16"/>
          <w:szCs w:val="16"/>
          <w:color w:val="auto"/>
        </w:rPr>
        <w:t>—You may vote by proxy via the Internet at www.proxyvote.com by following the instructions provided in the Notice and Access Card or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card.</w:t>
      </w:r>
    </w:p>
    <w:p>
      <w:pPr>
        <w:spacing w:after="0" w:line="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Telephone</w:t>
      </w:r>
      <w:r>
        <w:rPr>
          <w:rFonts w:ascii="Times New Roman" w:cs="Times New Roman" w:eastAsia="Times New Roman" w:hAnsi="Times New Roman"/>
          <w:sz w:val="16"/>
          <w:szCs w:val="16"/>
          <w:color w:val="auto"/>
        </w:rPr>
        <w:t>—You may vote by proxy by telephone by calling the toll-free number found on the proxy card.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Mail</w:t>
      </w:r>
      <w:r>
        <w:rPr>
          <w:rFonts w:ascii="Times New Roman" w:cs="Times New Roman" w:eastAsia="Times New Roman" w:hAnsi="Times New Roman"/>
          <w:sz w:val="16"/>
          <w:szCs w:val="16"/>
          <w:color w:val="auto"/>
        </w:rPr>
        <w:t>—You may vote by proxy by filling out the proxy card you may have received and returning it in the envelope provided.</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Telephone and Internet voting facilities for stockholders of record will be available 24 hours a day and will close at 11:59 p.m., Eastern Time on June 6, 2024.</w:t>
      </w:r>
    </w:p>
    <w:p>
      <w:pPr>
        <w:spacing w:after="0" w:line="125" w:lineRule="exact"/>
        <w:rPr>
          <w:sz w:val="20"/>
          <w:szCs w:val="20"/>
          <w:color w:val="auto"/>
        </w:rPr>
      </w:pPr>
    </w:p>
    <w:p>
      <w:pPr>
        <w:ind w:left="380" w:right="340"/>
        <w:spacing w:after="0" w:line="301" w:lineRule="auto"/>
        <w:rPr>
          <w:sz w:val="20"/>
          <w:szCs w:val="20"/>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—If you are a beneficial owner holding shares through a bank, broker or other nominee, please refer to information forwarded by your bank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broker to see which voting options are available to you.</w:t>
      </w:r>
    </w:p>
    <w:p>
      <w:pPr>
        <w:spacing w:after="0" w:line="5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vote my shares by completing and returning the Notice?</w:t>
      </w:r>
    </w:p>
    <w:p>
      <w:pPr>
        <w:spacing w:after="0" w:line="169" w:lineRule="exact"/>
        <w:rPr>
          <w:sz w:val="20"/>
          <w:szCs w:val="20"/>
          <w:color w:val="auto"/>
        </w:rPr>
      </w:pPr>
    </w:p>
    <w:p>
      <w:pPr>
        <w:ind w:left="360" w:right="220" w:hanging="339"/>
        <w:spacing w:after="0" w:line="298"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Notice and Access Card will, however, provide instructions on how to vote by telephone, by Internet, or by requesting and returning a paper proxy card or voting instruction card.</w:t>
      </w:r>
    </w:p>
    <w:p>
      <w:pPr>
        <w:spacing w:after="0" w:line="8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proposals will be voted on at the Annual Meeting?</w:t>
      </w:r>
    </w:p>
    <w:p>
      <w:pPr>
        <w:spacing w:after="0" w:line="169" w:lineRule="exact"/>
        <w:rPr>
          <w:sz w:val="20"/>
          <w:szCs w:val="20"/>
          <w:color w:val="auto"/>
        </w:rPr>
      </w:pPr>
    </w:p>
    <w:p>
      <w:pPr>
        <w:ind w:left="360" w:hanging="339"/>
        <w:spacing w:after="0"/>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Annual Meeting, stockholders will be asked to vote:</w:t>
      </w:r>
    </w:p>
    <w:p>
      <w:pPr>
        <w:spacing w:after="0" w:line="15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two directors to serve as Class III directors until the annual meeting held in 2027 and until their successor is duly elected and qualified;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Deloitte &amp; Touche LLP as our independent registered public accounting firm for the year ending December 31, 2024;</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by non-binding advisory vote, the compensation of our named executive officers;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 thereof.</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voting requirement to approve each of the proposals?</w:t>
      </w:r>
    </w:p>
    <w:p>
      <w:pPr>
        <w:spacing w:after="0" w:line="167" w:lineRule="exact"/>
        <w:rPr>
          <w:sz w:val="20"/>
          <w:szCs w:val="20"/>
          <w:color w:val="auto"/>
        </w:rPr>
      </w:pPr>
    </w:p>
    <w:p>
      <w:pPr>
        <w:ind w:left="360" w:right="120" w:hanging="339"/>
        <w:spacing w:after="0" w:line="282" w:lineRule="auto"/>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One</w:t>
      </w:r>
      <w:r>
        <w:rPr>
          <w:rFonts w:ascii="Times New Roman" w:cs="Times New Roman" w:eastAsia="Times New Roman" w:hAnsi="Times New Roman"/>
          <w:sz w:val="16"/>
          <w:szCs w:val="16"/>
          <w:color w:val="auto"/>
        </w:rPr>
        <w:t>—The election of a director requires a plurality vote of the shares of common stock voted at the Annual Meeting. “Plurality” means that the individual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spacing w:after="0" w:line="66" w:lineRule="exact"/>
        <w:rPr>
          <w:rFonts w:ascii="Times New Roman" w:cs="Times New Roman" w:eastAsia="Times New Roman" w:hAnsi="Times New Roman"/>
          <w:sz w:val="16"/>
          <w:szCs w:val="16"/>
          <w:color w:val="auto"/>
        </w:rPr>
      </w:pPr>
    </w:p>
    <w:p>
      <w:pPr>
        <w:jc w:val="both"/>
        <w:ind w:left="360" w:right="12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Two</w:t>
      </w:r>
      <w:r>
        <w:rPr>
          <w:rFonts w:ascii="Times New Roman" w:cs="Times New Roman" w:eastAsia="Times New Roman" w:hAnsi="Times New Roman"/>
          <w:sz w:val="16"/>
          <w:szCs w:val="16"/>
          <w:color w:val="auto"/>
        </w:rPr>
        <w:t>—The affirmative vote of a majority of votes cast is required to ratify the appointment of Deloitte &amp; Touche LLP as our independent registered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firm. Abstentions will have the effect of a vote against this proposal. Brokers are entitled to vote on this matter without direction from you, and therefore are included in the number of affirmative votes required to achieve a majority.</w:t>
      </w:r>
    </w:p>
    <w:p>
      <w:pPr>
        <w:spacing w:after="0" w:line="66" w:lineRule="exact"/>
        <w:rPr>
          <w:rFonts w:ascii="Times New Roman" w:cs="Times New Roman" w:eastAsia="Times New Roman" w:hAnsi="Times New Roman"/>
          <w:sz w:val="16"/>
          <w:szCs w:val="16"/>
          <w:color w:val="auto"/>
        </w:rPr>
      </w:pPr>
    </w:p>
    <w:p>
      <w:pPr>
        <w:ind w:left="360" w:right="420"/>
        <w:spacing w:after="0" w:line="30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Three</w:t>
      </w:r>
      <w:r>
        <w:rPr>
          <w:rFonts w:ascii="Times New Roman" w:cs="Times New Roman" w:eastAsia="Times New Roman" w:hAnsi="Times New Roman"/>
          <w:sz w:val="16"/>
          <w:szCs w:val="16"/>
          <w:color w:val="auto"/>
        </w:rPr>
        <w:t>—The affirmative vote of a majority of votes cast is required to approve the advisory vote on the compensation of our named executive officers.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Abstentions will have the effect of a vote against this proposal and broker non-votes will have no effect on the outcome of this proposal.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does the Board of Directors recommend that I vote?</w:t>
      </w:r>
    </w:p>
    <w:p>
      <w:pPr>
        <w:spacing w:after="0" w:line="169" w:lineRule="exact"/>
        <w:rPr>
          <w:sz w:val="20"/>
          <w:szCs w:val="20"/>
          <w:color w:val="auto"/>
        </w:rPr>
      </w:pPr>
    </w:p>
    <w:p>
      <w:pPr>
        <w:ind w:left="360" w:hanging="339"/>
        <w:spacing w:after="0"/>
        <w:tabs>
          <w:tab w:leader="none" w:pos="3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unanimously recommends that you vote your shares:</w:t>
      </w:r>
    </w:p>
    <w:p>
      <w:pPr>
        <w:spacing w:after="0" w:line="15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nominees for election as directors listed in Proposal One;</w:t>
      </w:r>
    </w:p>
    <w:p>
      <w:pPr>
        <w:spacing w:after="0" w:line="126" w:lineRule="exact"/>
        <w:rPr>
          <w:rFonts w:ascii="Times New Roman" w:cs="Times New Roman" w:eastAsia="Times New Roman" w:hAnsi="Times New Roman"/>
          <w:sz w:val="16"/>
          <w:szCs w:val="16"/>
          <w:color w:val="auto"/>
        </w:rPr>
      </w:pPr>
    </w:p>
    <w:p>
      <w:pPr>
        <w:ind w:left="760" w:right="200" w:hanging="378"/>
        <w:spacing w:after="0" w:line="298" w:lineRule="auto"/>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ratification of the appointment of Deloitte &amp; Touche LLP as our independent registered public accounting firm for the year ending December 31, 2024;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approval of the compensation of our named executive officers.</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happens if I do not give specific voting instructions?</w:t>
      </w:r>
    </w:p>
    <w:p>
      <w:pPr>
        <w:spacing w:after="0" w:line="167" w:lineRule="exact"/>
        <w:rPr>
          <w:sz w:val="20"/>
          <w:szCs w:val="20"/>
          <w:color w:val="auto"/>
        </w:rPr>
      </w:pPr>
    </w:p>
    <w:p>
      <w:pPr>
        <w:ind w:left="360" w:hanging="339"/>
        <w:spacing w:after="0"/>
        <w:tabs>
          <w:tab w:leader="none" w:pos="3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 are a stockholder of record and you:</w:t>
      </w:r>
    </w:p>
    <w:p>
      <w:pPr>
        <w:spacing w:after="0" w:line="15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 when voting on the Internet or by telephone that you wish to vote as recommended by our Board of Directors; or</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 and return a proxy card without giving specific voting instructions,</w:t>
      </w:r>
    </w:p>
    <w:p>
      <w:pPr>
        <w:spacing w:after="0" w:line="127" w:lineRule="exact"/>
        <w:rPr>
          <w:sz w:val="20"/>
          <w:szCs w:val="20"/>
          <w:color w:val="auto"/>
        </w:rPr>
      </w:pPr>
    </w:p>
    <w:p>
      <w:pPr>
        <w:ind w:left="380"/>
        <w:spacing w:after="0" w:line="298" w:lineRule="auto"/>
        <w:rPr>
          <w:sz w:val="20"/>
          <w:szCs w:val="20"/>
          <w:color w:val="auto"/>
        </w:rPr>
      </w:pPr>
      <w:r>
        <w:rPr>
          <w:rFonts w:ascii="Times New Roman" w:cs="Times New Roman" w:eastAsia="Times New Roman" w:hAnsi="Times New Roman"/>
          <w:sz w:val="16"/>
          <w:szCs w:val="16"/>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54" w:lineRule="exact"/>
        <w:rPr>
          <w:sz w:val="20"/>
          <w:szCs w:val="20"/>
          <w:color w:val="auto"/>
        </w:rPr>
      </w:pPr>
    </w:p>
    <w:p>
      <w:pPr>
        <w:ind w:left="380" w:right="20"/>
        <w:spacing w:after="0" w:line="276" w:lineRule="auto"/>
        <w:rPr>
          <w:sz w:val="20"/>
          <w:szCs w:val="20"/>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—If you are a beneficial owner of shares held in street name and do not provide the organization that holds your shares with specific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7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may my brokerage firm or other intermediary vote my shares if I fail to provide timely directions?</w:t>
      </w:r>
    </w:p>
    <w:p>
      <w:pPr>
        <w:spacing w:after="0" w:line="169" w:lineRule="exact"/>
        <w:rPr>
          <w:sz w:val="20"/>
          <w:szCs w:val="20"/>
          <w:color w:val="auto"/>
        </w:rPr>
      </w:pPr>
    </w:p>
    <w:p>
      <w:pPr>
        <w:ind w:left="360" w:hanging="339"/>
        <w:spacing w:after="0" w:line="275" w:lineRule="auto"/>
        <w:tabs>
          <w:tab w:leader="none" w:pos="3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Deloitte &amp; Touche LLP. Your broker will not have discretion to vote on the election of directors or the compensation of our named executive officers.</w:t>
      </w:r>
    </w:p>
    <w:p>
      <w:pPr>
        <w:spacing w:after="0" w:line="86"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Please note that brokers may not vote your shares on the election of directors or the compensation of our named executive officers in the absence of your specific instructions as to how to vote, so we encourage you to provide instructions to your broker regarding the voting of your shares.</w:t>
      </w:r>
    </w:p>
    <w:p>
      <w:pPr>
        <w:spacing w:after="0" w:line="5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happens if additional matters are presented at the Annual Meeting?</w:t>
      </w:r>
    </w:p>
    <w:p>
      <w:pPr>
        <w:spacing w:after="0" w:line="169" w:lineRule="exact"/>
        <w:rPr>
          <w:sz w:val="20"/>
          <w:szCs w:val="20"/>
          <w:color w:val="auto"/>
        </w:rPr>
      </w:pPr>
    </w:p>
    <w:p>
      <w:pPr>
        <w:ind w:left="360" w:right="20" w:hanging="339"/>
        <w:spacing w:after="0" w:line="275" w:lineRule="auto"/>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change or revoke my vote after submitting my proxy?</w:t>
      </w:r>
    </w:p>
    <w:p>
      <w:pPr>
        <w:spacing w:after="0" w:line="169" w:lineRule="exact"/>
        <w:rPr>
          <w:sz w:val="20"/>
          <w:szCs w:val="20"/>
          <w:color w:val="auto"/>
        </w:rPr>
      </w:pPr>
    </w:p>
    <w:p>
      <w:pPr>
        <w:ind w:left="360" w:right="280" w:hanging="339"/>
        <w:spacing w:after="0" w:line="298" w:lineRule="auto"/>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rules your broker, trustee or nominee may have, you may change or revoke your proxy in any one of the ways listed below at any time before your proxy is voted at the Annual Meeting.</w:t>
      </w:r>
    </w:p>
    <w:p>
      <w:pPr>
        <w:spacing w:after="0" w:line="56" w:lineRule="exact"/>
        <w:rPr>
          <w:rFonts w:ascii="Times New Roman" w:cs="Times New Roman" w:eastAsia="Times New Roman" w:hAnsi="Times New Roman"/>
          <w:sz w:val="16"/>
          <w:szCs w:val="16"/>
          <w:color w:val="auto"/>
        </w:rPr>
      </w:pPr>
    </w:p>
    <w:p>
      <w:pPr>
        <w:ind w:left="360" w:right="2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voting at the Annual Meeting. A stockholder of record that has voted on the Internet or by telephone may also change his or her vote by later making a timely and valid Internet or telephone vote.</w:t>
      </w:r>
    </w:p>
    <w:p>
      <w:pPr>
        <w:spacing w:after="0" w:line="74" w:lineRule="exact"/>
        <w:rPr>
          <w:rFonts w:ascii="Times New Roman" w:cs="Times New Roman" w:eastAsia="Times New Roman" w:hAnsi="Times New Roman"/>
          <w:sz w:val="16"/>
          <w:szCs w:val="16"/>
          <w:color w:val="auto"/>
        </w:rPr>
      </w:pPr>
    </w:p>
    <w:p>
      <w:pPr>
        <w:ind w:left="360" w:right="10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beneficial owner of shares held in street name, you may change your vote: (1) by submitting new voting instructions to your broker, trustee or other nominee; (2) if you have obtained a legal proxy from the broker, trustee or other nominee that holds your shares giving you the right to vote the shares, by attending the Annual Meeting and voting in person; or (3) filing with our Corporate Secretary, prior to your shares being voted at the Annual Meeting, a written notice of revocation or a duly executed proxy card, in either case dated later than the prior proxy card relating to the same shares.</w:t>
      </w:r>
    </w:p>
    <w:p>
      <w:pPr>
        <w:spacing w:after="0" w:line="74" w:lineRule="exact"/>
        <w:rPr>
          <w:rFonts w:ascii="Times New Roman" w:cs="Times New Roman" w:eastAsia="Times New Roman" w:hAnsi="Times New Roman"/>
          <w:sz w:val="16"/>
          <w:szCs w:val="16"/>
          <w:color w:val="auto"/>
        </w:rPr>
      </w:pPr>
    </w:p>
    <w:p>
      <w:pPr>
        <w:ind w:left="360" w:right="1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94"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Who will bear the cost of soliciting votes for the Annual Meeting?</w:t>
      </w:r>
    </w:p>
    <w:p>
      <w:pPr>
        <w:spacing w:after="0" w:line="169" w:lineRule="exact"/>
        <w:rPr>
          <w:sz w:val="20"/>
          <w:szCs w:val="20"/>
          <w:color w:val="auto"/>
        </w:rPr>
      </w:pPr>
    </w:p>
    <w:p>
      <w:pPr>
        <w:ind w:left="360" w:hanging="339"/>
        <w:spacing w:after="0" w:line="269" w:lineRule="auto"/>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10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Is my vote confidential?</w:t>
      </w:r>
    </w:p>
    <w:p>
      <w:pPr>
        <w:spacing w:after="0" w:line="169" w:lineRule="exact"/>
        <w:rPr>
          <w:sz w:val="20"/>
          <w:szCs w:val="20"/>
          <w:color w:val="auto"/>
        </w:rPr>
      </w:pPr>
    </w:p>
    <w:p>
      <w:pPr>
        <w:jc w:val="both"/>
        <w:ind w:left="360" w:right="100" w:hanging="339"/>
        <w:spacing w:after="0" w:line="281" w:lineRule="auto"/>
        <w:tabs>
          <w:tab w:leader="none" w:pos="3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 allow for the tabulation of votes and certification of the vote, or to facilitate a successful proxy solicitation.</w:t>
      </w:r>
    </w:p>
    <w:p>
      <w:pPr>
        <w:spacing w:after="0" w:line="94"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Where can I find the voting results of the Annual Meeting?</w:t>
      </w:r>
    </w:p>
    <w:p>
      <w:pPr>
        <w:spacing w:after="0" w:line="169" w:lineRule="exact"/>
        <w:rPr>
          <w:sz w:val="20"/>
          <w:szCs w:val="20"/>
          <w:color w:val="auto"/>
        </w:rPr>
      </w:pPr>
    </w:p>
    <w:p>
      <w:pPr>
        <w:ind w:left="360" w:right="280" w:hanging="339"/>
        <w:spacing w:after="0" w:line="298" w:lineRule="auto"/>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announce preliminary voting results at the Annual Meeting and will publish final results in a Current Report on Form 8-K within four business days after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Proposals and Director Nominations</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deadline to propose actions for consideration at next year’s annual meeting of stockholders or to nominate individuals to serve as directors?</w:t>
      </w:r>
    </w:p>
    <w:p>
      <w:pPr>
        <w:spacing w:after="0" w:line="169" w:lineRule="exact"/>
        <w:rPr>
          <w:sz w:val="20"/>
          <w:szCs w:val="20"/>
          <w:color w:val="auto"/>
        </w:rPr>
      </w:pPr>
    </w:p>
    <w:p>
      <w:pPr>
        <w:ind w:left="360" w:hanging="339"/>
        <w:spacing w:after="0"/>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submit proposals, including director nominations, for consideration at future stockholder meetings.</w:t>
      </w:r>
    </w:p>
    <w:p>
      <w:pPr>
        <w:spacing w:after="0" w:line="124" w:lineRule="exact"/>
        <w:rPr>
          <w:rFonts w:ascii="Times New Roman" w:cs="Times New Roman" w:eastAsia="Times New Roman" w:hAnsi="Times New Roman"/>
          <w:sz w:val="16"/>
          <w:szCs w:val="16"/>
          <w:color w:val="auto"/>
        </w:rPr>
      </w:pPr>
    </w:p>
    <w:p>
      <w:pPr>
        <w:ind w:left="360" w:right="2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Requirements for stockholder proposals to be considered for inclusion in our proxy materials</w:t>
      </w:r>
      <w:r>
        <w:rPr>
          <w:rFonts w:ascii="Times New Roman" w:cs="Times New Roman" w:eastAsia="Times New Roman" w:hAnsi="Times New Roman"/>
          <w:sz w:val="16"/>
          <w:szCs w:val="16"/>
          <w:color w:val="auto"/>
        </w:rPr>
        <w:t>—Stockholders may present proper proposals for inclusion in our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 and for consideration at our next annual meeting of stockholders by submitting their proposals in writing to our Corporate Secretary in a timely manner. In order to be included in the proxy statement for the 2025 annual meeting of stockholders, stockholder proposals must be received by our Corporate Secretary no later than December 27, 2024 and must otherwise comply with the requirements of Rule 14a-8 of the Securities Exchange Act of 1934, as amended (the “Exchange Act”).</w:t>
      </w:r>
    </w:p>
    <w:p>
      <w:pPr>
        <w:spacing w:after="0" w:line="71" w:lineRule="exact"/>
        <w:rPr>
          <w:rFonts w:ascii="Times New Roman" w:cs="Times New Roman" w:eastAsia="Times New Roman" w:hAnsi="Times New Roman"/>
          <w:sz w:val="16"/>
          <w:szCs w:val="16"/>
          <w:color w:val="auto"/>
        </w:rPr>
      </w:pPr>
    </w:p>
    <w:p>
      <w:pPr>
        <w:ind w:left="360" w:right="30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Requirements for stockholder proposals to be brought before an annual meeting</w:t>
      </w:r>
      <w:r>
        <w:rPr>
          <w:rFonts w:ascii="Times New Roman" w:cs="Times New Roman" w:eastAsia="Times New Roman" w:hAnsi="Times New Roman"/>
          <w:sz w:val="16"/>
          <w:szCs w:val="16"/>
          <w:color w:val="auto"/>
        </w:rPr>
        <w:t>—In addition, our bylaws establish an advance notice procedure for stockholders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0" w:right="120"/>
        <w:spacing w:after="0" w:line="275" w:lineRule="auto"/>
        <w:rPr>
          <w:sz w:val="20"/>
          <w:szCs w:val="20"/>
          <w:color w:val="auto"/>
        </w:rPr>
      </w:pPr>
      <w:r>
        <w:rPr>
          <w:rFonts w:ascii="Times New Roman" w:cs="Times New Roman" w:eastAsia="Times New Roman" w:hAnsi="Times New Roman"/>
          <w:sz w:val="16"/>
          <w:szCs w:val="16"/>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75" w:lineRule="exact"/>
        <w:rPr>
          <w:sz w:val="20"/>
          <w:szCs w:val="20"/>
          <w:color w:val="auto"/>
        </w:rPr>
      </w:pPr>
    </w:p>
    <w:p>
      <w:pPr>
        <w:ind w:left="360" w:right="240"/>
        <w:spacing w:after="0" w:line="281" w:lineRule="auto"/>
        <w:rPr>
          <w:sz w:val="20"/>
          <w:szCs w:val="20"/>
          <w:color w:val="auto"/>
        </w:rPr>
      </w:pPr>
      <w:r>
        <w:rPr>
          <w:rFonts w:ascii="Times New Roman" w:cs="Times New Roman" w:eastAsia="Times New Roman" w:hAnsi="Times New Roman"/>
          <w:sz w:val="16"/>
          <w:szCs w:val="16"/>
          <w:color w:val="auto"/>
        </w:rPr>
        <w:t>The “Notice Deadline” is defined in our amended and restated bylaws as that date which is not less than 120 days nor more than 150 days prior to the one-year anniversary of the previous year’s annual meeting of stockholders. As a result, the Notice Deadline for the 2025 annual meeting of stockholders is between January 8, 2025 and February 7, 2025.</w:t>
      </w:r>
    </w:p>
    <w:p>
      <w:pPr>
        <w:spacing w:after="0" w:line="69" w:lineRule="exact"/>
        <w:rPr>
          <w:sz w:val="20"/>
          <w:szCs w:val="20"/>
          <w:color w:val="auto"/>
        </w:rPr>
      </w:pPr>
    </w:p>
    <w:p>
      <w:pPr>
        <w:ind w:left="360" w:right="220"/>
        <w:spacing w:after="0" w:line="298" w:lineRule="auto"/>
        <w:rPr>
          <w:sz w:val="20"/>
          <w:szCs w:val="20"/>
          <w:color w:val="auto"/>
        </w:rPr>
      </w:pPr>
      <w:r>
        <w:rPr>
          <w:rFonts w:ascii="Times New Roman" w:cs="Times New Roman" w:eastAsia="Times New Roman" w:hAnsi="Times New Roman"/>
          <w:sz w:val="16"/>
          <w:szCs w:val="16"/>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54" w:lineRule="exact"/>
        <w:rPr>
          <w:sz w:val="20"/>
          <w:szCs w:val="20"/>
          <w:color w:val="auto"/>
        </w:rPr>
      </w:pPr>
    </w:p>
    <w:p>
      <w:pPr>
        <w:ind w:left="360" w:right="100"/>
        <w:spacing w:after="0" w:line="301" w:lineRule="auto"/>
        <w:rPr>
          <w:sz w:val="20"/>
          <w:szCs w:val="20"/>
          <w:color w:val="auto"/>
        </w:rPr>
      </w:pPr>
      <w:r>
        <w:rPr>
          <w:rFonts w:ascii="Times New Roman" w:cs="Times New Roman" w:eastAsia="Times New Roman" w:hAnsi="Times New Roman"/>
          <w:sz w:val="16"/>
          <w:szCs w:val="16"/>
          <w:i w:val="1"/>
          <w:iCs w:val="1"/>
          <w:color w:val="auto"/>
        </w:rPr>
        <w:t>Recommendation of director candidates</w:t>
      </w:r>
      <w:r>
        <w:rPr>
          <w:rFonts w:ascii="Times New Roman" w:cs="Times New Roman" w:eastAsia="Times New Roman" w:hAnsi="Times New Roman"/>
          <w:sz w:val="16"/>
          <w:szCs w:val="16"/>
          <w:color w:val="auto"/>
        </w:rPr>
        <w:t>—You may recommend candidates to our Board of Directors for consideration by our Nominating and Corporate Governance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by following the procedures set forth below in “Corporation Governance—Stockholder Recommendations for Nominations to the Board of Directors.”</w:t>
      </w:r>
    </w:p>
    <w:p>
      <w:pPr>
        <w:spacing w:after="0" w:line="7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may I obtain a copy of the bylaw provisions regarding stockholder proposals and director nominations?</w:t>
      </w:r>
    </w:p>
    <w:p>
      <w:pPr>
        <w:spacing w:after="0" w:line="169" w:lineRule="exact"/>
        <w:rPr>
          <w:sz w:val="20"/>
          <w:szCs w:val="20"/>
          <w:color w:val="auto"/>
        </w:rPr>
      </w:pPr>
    </w:p>
    <w:p>
      <w:pPr>
        <w:ind w:left="360" w:right="180" w:hanging="339"/>
        <w:spacing w:after="0" w:line="275" w:lineRule="auto"/>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 All notices of proposals by stockholders, whether or not included in Axsome’s proxy materials, should be sent to our principal executive offices, Attention: Corporate Secretary.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about the Proxy Materials</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does it mean if multiple members of my household are stockholders, but we only received one full set of proxy materials in the mail?</w:t>
      </w:r>
    </w:p>
    <w:p>
      <w:pPr>
        <w:spacing w:after="0" w:line="169" w:lineRule="exact"/>
        <w:rPr>
          <w:sz w:val="20"/>
          <w:szCs w:val="20"/>
          <w:color w:val="auto"/>
        </w:rPr>
      </w:pPr>
    </w:p>
    <w:p>
      <w:pPr>
        <w:ind w:left="360" w:right="120" w:hanging="339"/>
        <w:spacing w:after="0" w:line="269" w:lineRule="auto"/>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10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mailing address for Axsome’s principal executive offices?</w:t>
      </w:r>
    </w:p>
    <w:p>
      <w:pPr>
        <w:spacing w:after="0" w:line="169" w:lineRule="exact"/>
        <w:rPr>
          <w:sz w:val="20"/>
          <w:szCs w:val="20"/>
          <w:color w:val="auto"/>
        </w:rPr>
      </w:pPr>
    </w:p>
    <w:p>
      <w:pPr>
        <w:ind w:left="360" w:right="160" w:hanging="339"/>
        <w:spacing w:after="0" w:line="298" w:lineRule="auto"/>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principal executive offices are located at One World Trade Center, 22nd Floor, New York, New York 10007. The telephone number at that location is (212) 332-3241.</w:t>
      </w:r>
    </w:p>
    <w:p>
      <w:pPr>
        <w:spacing w:after="0" w:line="56" w:lineRule="exact"/>
        <w:rPr>
          <w:rFonts w:ascii="Times New Roman" w:cs="Times New Roman" w:eastAsia="Times New Roman" w:hAnsi="Times New Roman"/>
          <w:sz w:val="16"/>
          <w:szCs w:val="16"/>
          <w:color w:val="auto"/>
        </w:rPr>
      </w:pPr>
    </w:p>
    <w:p>
      <w:pPr>
        <w:ind w:left="360" w:right="5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written requests for additional information, copies of the proxy materials and 2023 Annual Report, notices of stockholder proposals, recommendations for candidates to our Board of Directors, communications to our Board of Directors or any other communications should be sent to the address above.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Annual Reports</w:t>
      </w:r>
    </w:p>
    <w:p>
      <w:pPr>
        <w:spacing w:after="0" w:line="127" w:lineRule="exact"/>
        <w:rPr>
          <w:sz w:val="20"/>
          <w:szCs w:val="20"/>
          <w:color w:val="auto"/>
        </w:rPr>
      </w:pPr>
    </w:p>
    <w:p>
      <w:pPr>
        <w:ind w:firstLine="374"/>
        <w:spacing w:after="0" w:line="259" w:lineRule="auto"/>
        <w:rPr>
          <w:sz w:val="20"/>
          <w:szCs w:val="20"/>
          <w:color w:val="auto"/>
        </w:rPr>
      </w:pPr>
      <w:r>
        <w:rPr>
          <w:rFonts w:ascii="Times New Roman" w:cs="Times New Roman" w:eastAsia="Times New Roman" w:hAnsi="Times New Roman"/>
          <w:sz w:val="16"/>
          <w:szCs w:val="16"/>
          <w:b w:val="1"/>
          <w:bCs w:val="1"/>
          <w:color w:val="auto"/>
        </w:rPr>
        <w:t>This proxy statement is accompanied by our 2023 Annual Report to Stockholders, which includes our Annual Report on Form 10-K for the fiscal year ended December 31, 2023. The Form 10-K includes our audited financial statements. We have filed the Form 10-K with the SEC, and it is available free of charge at the SEC’s website at www.sec.gov and on our website at www.axsome.com. In addition, upon written request to the Company’s Corporate Secretary at One World Trade Center, 22</w:t>
      </w:r>
      <w:r>
        <w:rPr>
          <w:rFonts w:ascii="Times New Roman" w:cs="Times New Roman" w:eastAsia="Times New Roman" w:hAnsi="Times New Roman"/>
          <w:sz w:val="21"/>
          <w:szCs w:val="21"/>
          <w:b w:val="1"/>
          <w:bCs w:val="1"/>
          <w:color w:val="auto"/>
          <w:vertAlign w:val="superscript"/>
        </w:rPr>
        <w:t>nd</w:t>
      </w:r>
      <w:r>
        <w:rPr>
          <w:rFonts w:ascii="Times New Roman" w:cs="Times New Roman" w:eastAsia="Times New Roman" w:hAnsi="Times New Roman"/>
          <w:sz w:val="16"/>
          <w:szCs w:val="16"/>
          <w:b w:val="1"/>
          <w:bCs w:val="1"/>
          <w:color w:val="auto"/>
        </w:rPr>
        <w:t xml:space="preserve"> Floor, New York, New York 10007, we will mail a paper copy of our Form 10-K, including the financial statements and the financial statement schedules, to you free of charge.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PROPOSAL ONE</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100" w:firstLine="374"/>
        <w:spacing w:after="0" w:line="272" w:lineRule="auto"/>
        <w:rPr>
          <w:sz w:val="20"/>
          <w:szCs w:val="20"/>
          <w:color w:val="auto"/>
        </w:rPr>
      </w:pPr>
      <w:r>
        <w:rPr>
          <w:rFonts w:ascii="Times New Roman" w:cs="Times New Roman" w:eastAsia="Times New Roman" w:hAnsi="Times New Roman"/>
          <w:sz w:val="16"/>
          <w:szCs w:val="16"/>
          <w:color w:val="auto"/>
        </w:rPr>
        <w:t>Our Board of Directors may establish the authorized number of directors from time to time by resolution. Our Board of Directors is currently comprised of five members who are divided into three classes with staggered three-year terms. A director serves in office until their respective successor is duly elected and qualified or until their earlier death or resignation. This classification of the Board of Directors into three classes with staggered three-year terms may have the effect of delaying or preventing changes in our control or management. The term of office of our Class III directors, Herriot Tabuteau, M.D. and Mark Coleman, M.D., will expire at this year’s Annual Meeting. Your proxy cannot be voted for a greater number of persons than the number of nominees named in this proxy statement.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Regarding the Nominees and Other Directors</w:t>
      </w:r>
    </w:p>
    <w:p>
      <w:pPr>
        <w:spacing w:after="0" w:line="1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i w:val="1"/>
          <w:iCs w:val="1"/>
          <w:color w:val="auto"/>
        </w:rPr>
        <w:t>Nominees for Class III Directors for Terms Expiring in 2027</w:t>
      </w:r>
    </w:p>
    <w:p>
      <w:pPr>
        <w:spacing w:after="0" w:line="131"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6"/>
          <w:szCs w:val="16"/>
          <w:color w:val="auto"/>
        </w:rPr>
        <w:t>Two Class III directors have been nominated for election at the Annual Meeting for three-year terms expiring in 2027. Upon the recommendation of our Nominating and Corporate Governance Committee, our Board of Directors has nominated Herriot Tabuteau, M.D. and Mark Coleman, M.D. for election as Class III directors. The term of office of the nominee elected as director will continue until such director's term expires in 2027 and until their successor has been duly elected and qualified.</w:t>
      </w:r>
    </w:p>
    <w:p>
      <w:pPr>
        <w:sectPr>
          <w:pgSz w:w="11900" w:h="16838" w:orient="portrait"/>
          <w:cols w:equalWidth="0" w:num="1">
            <w:col w:w="11200"/>
          </w:cols>
          <w:pgMar w:left="320" w:top="769" w:right="379"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r>
      <w:tr>
        <w:trPr>
          <w:trHeight w:val="205"/>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6"/>
                <w:szCs w:val="16"/>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Mark Coleman, M.D.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5134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3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Dr. Tabuteau has served as our founder, Chief Executive Officer, President and Chairman of our Board of Directors since our founding in January 2012. He is also the founder of Antecip Capital LLC (formerly Versant Capital Management LLC), one of our principal stockholders, for which Dr. Tabuteau has been the managing member since 2003. Dr. Tabuteau is also the managing member of Antecip Bioventures II LLC. Prior to founding our company, Dr. Tabuteau was a Senior Analyst and Partner at Healthco/S.A.C. Capital (now known as HealthCor) where he was responsible for the biotechnology, genomics, and instrumentation portfolios. Previously, Dr. Tabuteau was the healthcare analyst at Kingdon Capital. Prior to that position, Dr. Tabuteau was a Senior Research Analyst at Banc of America Securities covering the hospital supplies sector. Prior to Banc of America, Dr. Tabuteau was part of the healthcare investment banking group at Goldman Sachs. Dr. Tabuteau earned his M.D. from Yale University School of Medicine and his Bachelor of Arts in molecular biology and biochemistry from Wesleyan University.</w:t>
      </w:r>
    </w:p>
    <w:p>
      <w:pPr>
        <w:spacing w:after="0" w:line="154"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Dr. Coleman has been a member of our Board of Directors since December 2014. In addition, from 2012 to 2014, Dr. Coleman served as a consultant to us. Dr. Coleman is currently the Medical Director of the Pikesville office of National Spine and Pain Centers (“NSPC”), one of the nation’s largest interventional pain management groups. Dr. Coleman was formerly the President and then Director of Clinical Services of NSPC. Dr. Coleman is a Diplomat of the American Board of Anesthesiology in Anesthesiology and Pain Management.</w:t>
      </w:r>
    </w:p>
    <w:p>
      <w:pPr>
        <w:spacing w:after="0" w:line="14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In 2021, Dr. Coleman joined the Board of Directors of Enalare Therapeutics, a privately held company developing respiratory stimulants for the emergency and critical care setting. Dr. Coleman holds an M.D. from Johns Hopkins University School of Medicine and received his undergraduate degree from Wesleyan University. Dr. Coleman's medical expertise and business experience make him qualified to serve on our board.</w:t>
      </w:r>
    </w:p>
    <w:p>
      <w:pPr>
        <w:spacing w:after="0" w:line="200" w:lineRule="exact"/>
        <w:rPr>
          <w:sz w:val="20"/>
          <w:szCs w:val="20"/>
          <w:color w:val="auto"/>
        </w:rPr>
      </w:pPr>
    </w:p>
    <w:p>
      <w:pPr>
        <w:sectPr>
          <w:pgSz w:w="11900" w:h="16838" w:orient="portrait"/>
          <w:cols w:equalWidth="0" w:num="2">
            <w:col w:w="3040" w:space="120"/>
            <w:col w:w="8040"/>
          </w:cols>
          <w:pgMar w:left="320" w:top="769" w:right="37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CLASS III NOMINEES NAMED ABOVE.</w:t>
      </w:r>
    </w:p>
    <w:p>
      <w:pPr>
        <w:spacing w:after="0" w:line="119" w:lineRule="exact"/>
        <w:rPr>
          <w:sz w:val="20"/>
          <w:szCs w:val="20"/>
          <w:color w:val="auto"/>
        </w:rPr>
      </w:pPr>
    </w:p>
    <w:p>
      <w:pPr>
        <w:ind w:right="160" w:firstLine="374"/>
        <w:spacing w:after="0" w:line="275" w:lineRule="auto"/>
        <w:rPr>
          <w:sz w:val="20"/>
          <w:szCs w:val="20"/>
          <w:color w:val="auto"/>
        </w:rPr>
      </w:pPr>
      <w:r>
        <w:rPr>
          <w:rFonts w:ascii="Times New Roman" w:cs="Times New Roman" w:eastAsia="Times New Roman" w:hAnsi="Times New Roman"/>
          <w:sz w:val="16"/>
          <w:szCs w:val="16"/>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the Record Date is set forth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Incumbent Class I Director Whose Term Expires in 2025</w:t>
            </w:r>
          </w:p>
        </w:tc>
      </w:tr>
      <w:tr>
        <w:trPr>
          <w:trHeight w:val="275"/>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3"/>
                <w:szCs w:val="2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23"/>
                <w:szCs w:val="23"/>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205"/>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Roger Jeffs, Ph.D.</w:t>
            </w:r>
          </w:p>
        </w:tc>
        <w:tc>
          <w:tcPr>
            <w:tcW w:w="12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Jeffs has been a member of our Board of Directors since December 2014.</w:t>
            </w:r>
          </w:p>
        </w:tc>
      </w:tr>
      <w:tr>
        <w:trPr>
          <w:trHeight w:val="37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Jeffs has served as the Chief Executive Officer of Liquidia Corporation since January 2022. Dr. Jeffs is also the Co-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Founder and Vice Chairman of Kriya Therapeutics, a gene therapy company. Dr. Jeffs was previously at United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Therapeutics Corporation where he worked for 18 years until 2016. Dr. Jeffs joined United Therapeutics Corporation during</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its inception phase in 1998 as Director of Research, Development, and Medical and served as its President and Chief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Operating Officer from 2001 to 2014, and President and co-CEO from 2015-2016, and was a member of the Board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Directors from 2001 through 2016. While at United Therapeutics, Dr. Jeffs helped lead the IPO, oversaw the clinical</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development and regulatory approval of 6 products for rare diseases, and managed the commercial effort that led to a</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consistent &gt;20% CAGR and $1.5B revenue run rate. United Therapeutics was consistently recognized as one of the fastest</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growing companies and best places to work during his tenure. Dr. Jeffs previously held positions at Amgen, Inc. and</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Burroughs Wellcome Co. where he held roles in clinical development.</w:t>
            </w:r>
          </w:p>
        </w:tc>
      </w:tr>
      <w:tr>
        <w:trPr>
          <w:trHeight w:val="37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Jeffs currently serves on the Board of Directors of Liquidia Corporation, and previously served on the Board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Directors of Albireo Pharma, Axovant Gene Therapies, Dova Pharmaceuticals and Sangamo Therapeutics. Dr. Jeffs holds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an undergraduate degree in chemistry from Duke University and a Ph.D. in pharmacology from the University of North</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Carolina School of Medicine. Dr. Jeffs’ scientific background and business experience, coupled with his experience as a</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of a publicly-traded biotechnology company, provides him with the qualifications and skills to serve</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on our board.</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Incumbent Class II Directors Whose Terms Expire in 2026</w:t>
            </w:r>
          </w:p>
        </w:tc>
      </w:tr>
      <w:tr>
        <w:trPr>
          <w:trHeight w:val="342"/>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24"/>
                <w:szCs w:val="24"/>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205"/>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Susan Mahony, Ph.D., MBA</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Mahony has been a member of our board of directors since October 2023.</w:t>
            </w:r>
          </w:p>
        </w:tc>
      </w:tr>
      <w:tr>
        <w:trPr>
          <w:trHeight w:val="221"/>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Mahony was formerly Senior Vice President of Eli Lilly and Company and President of Lilly Oncology, where under</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her leadership, the business unit evolved from one to five marketed medicines. At Lilly, she held leadership positions and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led organizations in Europe, the United States, Canada, Japan, and China. She also led the global development and launches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of several products, including duloxetine for depression and pain. Prior to Lilly, Dr. Mahony led commercial activities for</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Bristol Myers Squibb’s cardiovascular business and worked in sales and marketing at Amgen and Schering Plough. Dr.</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Mahony earned her Bachelor of Science in Pharmacy, and her Doctor of Philosophy in Oncology from the University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Aston, UK. She also earned her Master of Business Administration from the London School of Business. Dr. Mahony</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previously served on the board of directors of Horizon Therapeutics from 2019 until its acquisition by Amgen in October</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2023, and Vifor Pharma from 2019 until its acquisition by CSL Limited in August 2022. She currently serves on the board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of directors of Zymeworks Inc. and Assembly Biosciences. Dr. Mahony also serves on the board of directors of the</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Chordoma Foundation, a nonprofit dedicated to improving the lives of people affected by chordoma.</w:t>
            </w:r>
          </w:p>
        </w:tc>
      </w:tr>
      <w:tr>
        <w:trPr>
          <w:trHeight w:val="378"/>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Saad</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54</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Mr. Saad has been a member of our Board of Directors since December 2014.</w:t>
            </w:r>
          </w:p>
        </w:tc>
      </w:tr>
      <w:tr>
        <w:trPr>
          <w:trHeight w:val="37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Mr. Saad is currently the CEO of NuLids, LLC, a portfolio company of Alethea Capital Management, LLC, an asset</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management firm based in Seattle for which he also serves as an advisor. Between 2014 and 2017, he served as the Chief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Financial Officer of Bird Rock Bio, Inc., a clinical stage biopharmaceutical company focused on developing innovative</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immuno-inflammatory regulators.</w:t>
            </w:r>
          </w:p>
        </w:tc>
      </w:tr>
    </w:tbl>
    <w:p>
      <w:pPr>
        <w:spacing w:after="0" w:line="168" w:lineRule="exact"/>
        <w:rPr>
          <w:sz w:val="20"/>
          <w:szCs w:val="20"/>
          <w:color w:val="auto"/>
        </w:rPr>
      </w:pPr>
    </w:p>
    <w:p>
      <w:pPr>
        <w:ind w:left="3160" w:right="20"/>
        <w:spacing w:after="0" w:line="269" w:lineRule="auto"/>
        <w:rPr>
          <w:sz w:val="20"/>
          <w:szCs w:val="20"/>
          <w:color w:val="auto"/>
        </w:rPr>
      </w:pPr>
      <w:r>
        <w:rPr>
          <w:rFonts w:ascii="Times New Roman" w:cs="Times New Roman" w:eastAsia="Times New Roman" w:hAnsi="Times New Roman"/>
          <w:sz w:val="16"/>
          <w:szCs w:val="16"/>
          <w:color w:val="auto"/>
        </w:rPr>
        <w:t>Previously, he served as Chief Financial Officer of Cytori Therapeutics from 2004 to 2014, where he was responsible for finance and accounting, business development, and other operating functions. Prior to Cytori, he served as Executive Director of UBS Investment Bank, where he was the Chief Operating Officer of the Global Healthcare Group. Prior to UBS, he was part of the Health Care Investment Banking Group at Salomon Smith Barney. Mr. Saad currently serves on the Board of Directors of several private healthcare companies. Mr. Saad holds a Bachelor of Arts Degree from Villanova University. Through his years of experience as a chief financial officer, and his experience in the investment banking field, Mr. Saad provides valuable financial and leadership experience to the board.</w:t>
      </w:r>
    </w:p>
    <w:p>
      <w:pPr>
        <w:spacing w:after="0" w:line="95" w:lineRule="exact"/>
        <w:rPr>
          <w:sz w:val="20"/>
          <w:szCs w:val="20"/>
          <w:color w:val="auto"/>
        </w:rPr>
      </w:pPr>
    </w:p>
    <w:p>
      <w:pPr>
        <w:ind w:right="60" w:firstLine="374"/>
        <w:spacing w:after="0" w:line="298" w:lineRule="auto"/>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 See “Corporate Governance” below for additional information regarding our Board of Directors.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Diversity Matrix</w:t>
      </w:r>
    </w:p>
    <w:p>
      <w:pPr>
        <w:spacing w:after="0" w:line="129"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The tables below provide certain highlights of the composition of our Board of Directors. Each of the categories listed in the below tables has the meaning as it is used in Nasdaq Listing Rule 5605(f). Our Board of Directors is committed to having a diversified board, including diversity of thought, background and experience, and diversity of personal characteristics such as gender identity, race, ethnicity and sexual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7059295" cy="167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9295" cy="167005"/>
                    </a:xfrm>
                    <a:prstGeom prst="rect">
                      <a:avLst/>
                    </a:prstGeom>
                    <a:noFill/>
                  </pic:spPr>
                </pic:pic>
              </a:graphicData>
            </a:graphic>
          </wp:anchor>
        </w:drawing>
      </w:r>
    </w:p>
    <w:p>
      <w:pPr>
        <w:spacing w:after="0" w:line="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Board Diversity Matrix (As of April 15, 2024)</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960" w:type="dxa"/>
            <w:vAlign w:val="bottom"/>
            <w:tcBorders>
              <w:top w:val="single" w:sz="8" w:color="auto"/>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1460" w:type="dxa"/>
            <w:vAlign w:val="bottom"/>
            <w:tcBorders>
              <w:top w:val="single" w:sz="8" w:color="auto"/>
              <w:bottom w:val="single" w:sz="8" w:color="auto"/>
              <w:right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right w:val="single" w:sz="8" w:color="CFF0FC"/>
            </w:tcBorders>
            <w:shd w:val="clear" w:color="auto" w:fill="CFF0FC"/>
          </w:tcPr>
          <w:p>
            <w:pPr>
              <w:spacing w:after="0"/>
              <w:rPr>
                <w:sz w:val="20"/>
                <w:szCs w:val="20"/>
                <w:color w:val="auto"/>
              </w:rPr>
            </w:pPr>
          </w:p>
        </w:tc>
        <w:tc>
          <w:tcPr>
            <w:tcW w:w="1480" w:type="dxa"/>
            <w:vAlign w:val="bottom"/>
            <w:tcBorders>
              <w:top w:val="single" w:sz="8" w:color="auto"/>
              <w:bottom w:val="single" w:sz="8" w:color="auto"/>
              <w:right w:val="single" w:sz="8" w:color="CFF0FC"/>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5</w:t>
            </w:r>
          </w:p>
        </w:tc>
        <w:tc>
          <w:tcPr>
            <w:tcW w:w="2780" w:type="dxa"/>
            <w:vAlign w:val="bottom"/>
            <w:tcBorders>
              <w:top w:val="single" w:sz="8" w:color="auto"/>
              <w:bottom w:val="single" w:sz="8" w:color="auto"/>
              <w:right w:val="single" w:sz="8" w:color="auto"/>
            </w:tcBorders>
            <w:shd w:val="clear" w:color="auto" w:fill="CFF0FC"/>
          </w:tcPr>
          <w:p>
            <w:pPr>
              <w:spacing w:after="0"/>
              <w:rPr>
                <w:sz w:val="20"/>
                <w:szCs w:val="20"/>
                <w:color w:val="auto"/>
              </w:rPr>
            </w:pPr>
          </w:p>
        </w:tc>
      </w:tr>
      <w:tr>
        <w:trPr>
          <w:trHeight w:val="231"/>
        </w:trPr>
        <w:tc>
          <w:tcPr>
            <w:tcW w:w="39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Male</w:t>
            </w:r>
          </w:p>
        </w:tc>
        <w:tc>
          <w:tcPr>
            <w:tcW w:w="148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7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220"/>
        </w:trPr>
        <w:tc>
          <w:tcPr>
            <w:tcW w:w="3960" w:type="dxa"/>
            <w:vAlign w:val="bottom"/>
            <w:tcBorders>
              <w:top w:val="single" w:sz="8" w:color="CFF0FC"/>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460" w:type="dxa"/>
            <w:vAlign w:val="bottom"/>
            <w:tcBorders>
              <w:top w:val="single" w:sz="8" w:color="CFF0FC"/>
              <w:bottom w:val="single" w:sz="8" w:color="auto"/>
              <w:right w:val="single" w:sz="8" w:color="auto"/>
            </w:tcBorders>
            <w:shd w:val="clear" w:color="auto" w:fill="CFF0FC"/>
          </w:tcPr>
          <w:p>
            <w:pPr>
              <w:spacing w:after="0"/>
              <w:rPr>
                <w:sz w:val="19"/>
                <w:szCs w:val="19"/>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19"/>
                <w:szCs w:val="19"/>
                <w:color w:val="auto"/>
              </w:rPr>
            </w:pPr>
          </w:p>
        </w:tc>
        <w:tc>
          <w:tcPr>
            <w:tcW w:w="1480" w:type="dxa"/>
            <w:vAlign w:val="bottom"/>
            <w:tcBorders>
              <w:top w:val="single" w:sz="8" w:color="CFF0FC"/>
              <w:bottom w:val="single" w:sz="8" w:color="auto"/>
              <w:right w:val="single" w:sz="8" w:color="auto"/>
            </w:tcBorders>
            <w:shd w:val="clear" w:color="auto" w:fill="CFF0FC"/>
          </w:tcPr>
          <w:p>
            <w:pPr>
              <w:spacing w:after="0"/>
              <w:rPr>
                <w:sz w:val="19"/>
                <w:szCs w:val="19"/>
                <w:color w:val="auto"/>
              </w:rPr>
            </w:pPr>
          </w:p>
        </w:tc>
        <w:tc>
          <w:tcPr>
            <w:tcW w:w="2780" w:type="dxa"/>
            <w:vAlign w:val="bottom"/>
            <w:tcBorders>
              <w:top w:val="single" w:sz="8" w:color="auto"/>
              <w:bottom w:val="single" w:sz="8" w:color="auto"/>
              <w:right w:val="single" w:sz="8" w:color="auto"/>
            </w:tcBorders>
            <w:shd w:val="clear" w:color="auto" w:fill="CFF0FC"/>
          </w:tcPr>
          <w:p>
            <w:pPr>
              <w:spacing w:after="0"/>
              <w:rPr>
                <w:sz w:val="19"/>
                <w:szCs w:val="19"/>
                <w:color w:val="auto"/>
              </w:rPr>
            </w:pPr>
          </w:p>
        </w:tc>
      </w:tr>
      <w:tr>
        <w:trPr>
          <w:trHeight w:val="203"/>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214"/>
        </w:trPr>
        <w:tc>
          <w:tcPr>
            <w:tcW w:w="39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460" w:type="dxa"/>
            <w:vAlign w:val="bottom"/>
            <w:tcBorders>
              <w:bottom w:val="single" w:sz="8" w:color="auto"/>
              <w:right w:val="single" w:sz="8" w:color="auto"/>
            </w:tcBorders>
            <w:shd w:val="clear" w:color="auto" w:fill="CFF0FC"/>
          </w:tcPr>
          <w:p>
            <w:pPr>
              <w:spacing w:after="0"/>
              <w:rPr>
                <w:sz w:val="18"/>
                <w:szCs w:val="18"/>
                <w:color w:val="auto"/>
              </w:rPr>
            </w:pPr>
          </w:p>
        </w:tc>
        <w:tc>
          <w:tcPr>
            <w:tcW w:w="1460" w:type="dxa"/>
            <w:vAlign w:val="bottom"/>
            <w:tcBorders>
              <w:bottom w:val="single" w:sz="8" w:color="auto"/>
              <w:right w:val="single" w:sz="8" w:color="auto"/>
            </w:tcBorders>
            <w:shd w:val="clear" w:color="auto" w:fill="CFF0FC"/>
          </w:tcPr>
          <w:p>
            <w:pPr>
              <w:spacing w:after="0"/>
              <w:rPr>
                <w:sz w:val="18"/>
                <w:szCs w:val="18"/>
                <w:color w:val="auto"/>
              </w:rPr>
            </w:pPr>
          </w:p>
        </w:tc>
        <w:tc>
          <w:tcPr>
            <w:tcW w:w="1480" w:type="dxa"/>
            <w:vAlign w:val="bottom"/>
            <w:tcBorders>
              <w:bottom w:val="single" w:sz="8" w:color="auto"/>
              <w:right w:val="single" w:sz="8" w:color="auto"/>
            </w:tcBorders>
            <w:shd w:val="clear" w:color="auto" w:fill="CFF0FC"/>
          </w:tcPr>
          <w:p>
            <w:pPr>
              <w:spacing w:after="0"/>
              <w:rPr>
                <w:sz w:val="18"/>
                <w:szCs w:val="18"/>
                <w:color w:val="auto"/>
              </w:rPr>
            </w:pPr>
          </w:p>
        </w:tc>
        <w:tc>
          <w:tcPr>
            <w:tcW w:w="278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Asian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Hispanic or Latin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28"/>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4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r>
      <w:tr>
        <w:trPr>
          <w:trHeight w:val="221"/>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r>
      <w:tr>
        <w:trPr>
          <w:trHeight w:val="193"/>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146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LGBTQ+</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059295" cy="167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9295" cy="167005"/>
                    </a:xfrm>
                    <a:prstGeom prst="rect">
                      <a:avLst/>
                    </a:prstGeom>
                    <a:noFill/>
                  </pic:spPr>
                </pic:pic>
              </a:graphicData>
            </a:graphic>
          </wp:anchor>
        </w:drawing>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Board Diversity Matrix (As of April 10, 2023)</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960" w:type="dxa"/>
            <w:vAlign w:val="bottom"/>
            <w:tcBorders>
              <w:top w:val="single" w:sz="8" w:color="auto"/>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1460" w:type="dxa"/>
            <w:vAlign w:val="bottom"/>
            <w:tcBorders>
              <w:top w:val="single" w:sz="8" w:color="auto"/>
              <w:bottom w:val="single" w:sz="8" w:color="auto"/>
              <w:right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right w:val="single" w:sz="8" w:color="CFF0FC"/>
            </w:tcBorders>
            <w:shd w:val="clear" w:color="auto" w:fill="CFF0FC"/>
          </w:tcPr>
          <w:p>
            <w:pPr>
              <w:spacing w:after="0"/>
              <w:rPr>
                <w:sz w:val="20"/>
                <w:szCs w:val="20"/>
                <w:color w:val="auto"/>
              </w:rPr>
            </w:pPr>
          </w:p>
        </w:tc>
        <w:tc>
          <w:tcPr>
            <w:tcW w:w="1480" w:type="dxa"/>
            <w:vAlign w:val="bottom"/>
            <w:tcBorders>
              <w:top w:val="single" w:sz="8" w:color="auto"/>
              <w:bottom w:val="single" w:sz="8" w:color="auto"/>
              <w:right w:val="single" w:sz="8" w:color="CFF0FC"/>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4</w:t>
            </w:r>
          </w:p>
        </w:tc>
        <w:tc>
          <w:tcPr>
            <w:tcW w:w="2780" w:type="dxa"/>
            <w:vAlign w:val="bottom"/>
            <w:tcBorders>
              <w:top w:val="single" w:sz="8" w:color="auto"/>
              <w:bottom w:val="single" w:sz="8" w:color="auto"/>
              <w:right w:val="single" w:sz="8" w:color="auto"/>
            </w:tcBorders>
            <w:shd w:val="clear" w:color="auto" w:fill="CFF0FC"/>
          </w:tcPr>
          <w:p>
            <w:pPr>
              <w:spacing w:after="0"/>
              <w:rPr>
                <w:sz w:val="20"/>
                <w:szCs w:val="20"/>
                <w:color w:val="auto"/>
              </w:rPr>
            </w:pPr>
          </w:p>
        </w:tc>
      </w:tr>
      <w:tr>
        <w:trPr>
          <w:trHeight w:val="231"/>
        </w:trPr>
        <w:tc>
          <w:tcPr>
            <w:tcW w:w="3960" w:type="dxa"/>
            <w:vAlign w:val="bottom"/>
            <w:tcBorders>
              <w:left w:val="single" w:sz="8" w:color="auto"/>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Male</w:t>
            </w:r>
          </w:p>
        </w:tc>
        <w:tc>
          <w:tcPr>
            <w:tcW w:w="148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7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220"/>
        </w:trPr>
        <w:tc>
          <w:tcPr>
            <w:tcW w:w="3960" w:type="dxa"/>
            <w:vAlign w:val="bottom"/>
            <w:tcBorders>
              <w:top w:val="single" w:sz="8" w:color="CFF0FC"/>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460" w:type="dxa"/>
            <w:vAlign w:val="bottom"/>
            <w:tcBorders>
              <w:top w:val="single" w:sz="8" w:color="CFF0FC"/>
              <w:bottom w:val="single" w:sz="8" w:color="auto"/>
              <w:right w:val="single" w:sz="8" w:color="auto"/>
            </w:tcBorders>
            <w:shd w:val="clear" w:color="auto" w:fill="CFF0FC"/>
          </w:tcPr>
          <w:p>
            <w:pPr>
              <w:spacing w:after="0"/>
              <w:rPr>
                <w:sz w:val="19"/>
                <w:szCs w:val="19"/>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19"/>
                <w:szCs w:val="19"/>
                <w:color w:val="auto"/>
              </w:rPr>
            </w:pPr>
          </w:p>
        </w:tc>
        <w:tc>
          <w:tcPr>
            <w:tcW w:w="1480" w:type="dxa"/>
            <w:vAlign w:val="bottom"/>
            <w:tcBorders>
              <w:top w:val="single" w:sz="8" w:color="CFF0FC"/>
              <w:bottom w:val="single" w:sz="8" w:color="auto"/>
              <w:right w:val="single" w:sz="8" w:color="auto"/>
            </w:tcBorders>
            <w:shd w:val="clear" w:color="auto" w:fill="CFF0FC"/>
          </w:tcPr>
          <w:p>
            <w:pPr>
              <w:spacing w:after="0"/>
              <w:rPr>
                <w:sz w:val="19"/>
                <w:szCs w:val="19"/>
                <w:color w:val="auto"/>
              </w:rPr>
            </w:pPr>
          </w:p>
        </w:tc>
        <w:tc>
          <w:tcPr>
            <w:tcW w:w="2780" w:type="dxa"/>
            <w:vAlign w:val="bottom"/>
            <w:tcBorders>
              <w:top w:val="single" w:sz="8" w:color="auto"/>
              <w:bottom w:val="single" w:sz="8" w:color="auto"/>
              <w:right w:val="single" w:sz="8" w:color="auto"/>
            </w:tcBorders>
            <w:shd w:val="clear" w:color="auto" w:fill="CFF0FC"/>
          </w:tcPr>
          <w:p>
            <w:pPr>
              <w:spacing w:after="0"/>
              <w:rPr>
                <w:sz w:val="19"/>
                <w:szCs w:val="19"/>
                <w:color w:val="auto"/>
              </w:rPr>
            </w:pPr>
          </w:p>
        </w:tc>
      </w:tr>
      <w:tr>
        <w:trPr>
          <w:trHeight w:val="21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Directors</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4"/>
        </w:trPr>
        <w:tc>
          <w:tcPr>
            <w:tcW w:w="3960" w:type="dxa"/>
            <w:vAlign w:val="bottom"/>
            <w:tcBorders>
              <w:top w:val="single" w:sz="8" w:color="auto"/>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460" w:type="dxa"/>
            <w:vAlign w:val="bottom"/>
            <w:tcBorders>
              <w:top w:val="single" w:sz="8" w:color="CFF0FC"/>
              <w:bottom w:val="single" w:sz="8" w:color="auto"/>
              <w:right w:val="single" w:sz="8" w:color="auto"/>
            </w:tcBorders>
            <w:shd w:val="clear" w:color="auto" w:fill="CFF0FC"/>
          </w:tcPr>
          <w:p>
            <w:pPr>
              <w:spacing w:after="0"/>
              <w:rPr>
                <w:sz w:val="17"/>
                <w:szCs w:val="17"/>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17"/>
                <w:szCs w:val="17"/>
                <w:color w:val="auto"/>
              </w:rPr>
            </w:pPr>
          </w:p>
        </w:tc>
        <w:tc>
          <w:tcPr>
            <w:tcW w:w="1480" w:type="dxa"/>
            <w:vAlign w:val="bottom"/>
            <w:tcBorders>
              <w:top w:val="single" w:sz="8" w:color="CFF0FC"/>
              <w:bottom w:val="single" w:sz="8" w:color="auto"/>
              <w:right w:val="single" w:sz="8" w:color="auto"/>
            </w:tcBorders>
            <w:shd w:val="clear" w:color="auto" w:fill="CFF0FC"/>
          </w:tcPr>
          <w:p>
            <w:pPr>
              <w:spacing w:after="0"/>
              <w:rPr>
                <w:sz w:val="17"/>
                <w:szCs w:val="17"/>
                <w:color w:val="auto"/>
              </w:rPr>
            </w:pPr>
          </w:p>
        </w:tc>
        <w:tc>
          <w:tcPr>
            <w:tcW w:w="2780" w:type="dxa"/>
            <w:vAlign w:val="bottom"/>
            <w:tcBorders>
              <w:top w:val="single" w:sz="8" w:color="CFF0FC"/>
              <w:bottom w:val="single" w:sz="8" w:color="auto"/>
              <w:right w:val="single" w:sz="8" w:color="auto"/>
            </w:tcBorders>
            <w:shd w:val="clear" w:color="auto" w:fill="CFF0FC"/>
          </w:tcPr>
          <w:p>
            <w:pPr>
              <w:spacing w:after="0"/>
              <w:rPr>
                <w:sz w:val="17"/>
                <w:szCs w:val="17"/>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Asian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Hispanic or Latin</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28"/>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4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r>
      <w:tr>
        <w:trPr>
          <w:trHeight w:val="221"/>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White</w:t>
            </w:r>
          </w:p>
        </w:tc>
        <w:tc>
          <w:tcPr>
            <w:tcW w:w="14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r>
      <w:tr>
        <w:trPr>
          <w:trHeight w:val="193"/>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146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LGBTQ+</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9"/>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TWO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RATIFICATION OF THE APPOINTMENT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460" w:firstLine="374"/>
        <w:spacing w:after="0" w:line="298" w:lineRule="auto"/>
        <w:rPr>
          <w:sz w:val="20"/>
          <w:szCs w:val="20"/>
          <w:color w:val="auto"/>
        </w:rPr>
      </w:pPr>
      <w:r>
        <w:rPr>
          <w:rFonts w:ascii="Times New Roman" w:cs="Times New Roman" w:eastAsia="Times New Roman" w:hAnsi="Times New Roman"/>
          <w:sz w:val="16"/>
          <w:szCs w:val="16"/>
          <w:color w:val="auto"/>
        </w:rPr>
        <w:t>Our Audit Committee has appointed the firm of Deloitte &amp; Touche LLP, independent registered public accountants, to audit our financial statements for the year ending December 31, 2024. Deloitte &amp; Touche LLP has been our auditor since June 30, 2023.</w:t>
      </w:r>
    </w:p>
    <w:p>
      <w:pPr>
        <w:spacing w:after="0" w:line="56" w:lineRule="exact"/>
        <w:rPr>
          <w:sz w:val="20"/>
          <w:szCs w:val="20"/>
          <w:color w:val="auto"/>
        </w:rPr>
      </w:pPr>
    </w:p>
    <w:p>
      <w:pPr>
        <w:ind w:right="140" w:firstLine="374"/>
        <w:spacing w:after="0" w:line="271" w:lineRule="auto"/>
        <w:rPr>
          <w:sz w:val="20"/>
          <w:szCs w:val="20"/>
          <w:color w:val="auto"/>
        </w:rPr>
      </w:pPr>
      <w:r>
        <w:rPr>
          <w:rFonts w:ascii="Times New Roman" w:cs="Times New Roman" w:eastAsia="Times New Roman" w:hAnsi="Times New Roman"/>
          <w:sz w:val="16"/>
          <w:szCs w:val="16"/>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Deloitte &amp; Touche LLP as our independent registered public accounting firm for the year ending December 31, 2024. Our Audit Committee is submitting the selection of Deloitte &amp; Touche LLP to our stockholders because we value our stockholders’ views on our independent registered public accounting firm and as a matter of good corporate governance. Representatives of Deloitte &amp; Touche LLP will be present at the Annual Meeting, and they will have an opportunity to make statements and will be available to respond to appropriate questions from stockholders.</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this proposal does not receive the affirmative approval of a majority of the votes cast on the proposal, the Audit Committee would reconsider the appointment.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in Independent Registered Public Accounting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Previous Independent Registered Public Accounting Firm</w:t>
      </w:r>
    </w:p>
    <w:p>
      <w:pPr>
        <w:spacing w:after="0" w:line="129" w:lineRule="exact"/>
        <w:rPr>
          <w:sz w:val="20"/>
          <w:szCs w:val="20"/>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On June 22, 2023, Ernst &amp; Young LLP (“Ernst &amp; Young”) was informed that the Audit Committee approved Ernst &amp; Young’s dismissal as the Company’s independent registered public accounting firm with such dismissal to be effective as of June 30, 2023.</w:t>
      </w:r>
    </w:p>
    <w:p>
      <w:pPr>
        <w:spacing w:after="0" w:line="56" w:lineRule="exact"/>
        <w:rPr>
          <w:sz w:val="20"/>
          <w:szCs w:val="20"/>
          <w:color w:val="auto"/>
        </w:rPr>
      </w:pPr>
    </w:p>
    <w:p>
      <w:pPr>
        <w:ind w:right="340" w:firstLine="374"/>
        <w:spacing w:after="0" w:line="298" w:lineRule="auto"/>
        <w:rPr>
          <w:sz w:val="20"/>
          <w:szCs w:val="20"/>
          <w:color w:val="auto"/>
        </w:rPr>
      </w:pPr>
      <w:r>
        <w:rPr>
          <w:rFonts w:ascii="Times New Roman" w:cs="Times New Roman" w:eastAsia="Times New Roman" w:hAnsi="Times New Roman"/>
          <w:sz w:val="16"/>
          <w:szCs w:val="16"/>
          <w:color w:val="auto"/>
        </w:rPr>
        <w:t>Ernst &amp; Young LLP’s reports on our consolidated financial statements for each of our fiscal years ended December 31, 2022 and 2021 did not contain any adverse opinion or disclaimer of opinion, nor were they qualified or modified as to uncertainty, audit scope or accounting principles.</w:t>
      </w:r>
    </w:p>
    <w:p>
      <w:pPr>
        <w:spacing w:after="0" w:line="56"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During our fiscal years ended December 31, 2022 and 2021, and the subsequent interim period through June 30, 2023: (i) there were no disagreements between the Company and Ernst &amp; Young LLP on any matter of accounting principles or practices, financial statement disclosure, or auditing scope or procedure, which disagreements, if not resolved to Ernst &amp; Young LLP’s satisfaction, would have caused Ernst &amp; Young LLP to make reference to the subject matter of the disagreements in connection with its reports on the financial statements for such years and (ii) there were no reportable events as defined in Item 304(a)(1)(v) of Regulation S-K.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Independent Registered Public Accounting Firm</w:t>
      </w:r>
    </w:p>
    <w:p>
      <w:pPr>
        <w:spacing w:after="0" w:line="129"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During the fiscal years ended December 31, 2022 and 2021, and the subsequent interim period through June 30, 2023, neither we nor anyone acting on our behalf consulted with Deloitte &amp; Touche LLP regarding either (i) the application of accounting principles to a specific, completed or proposed transaction, or the type of audit opinion that might be rendered on our financial statements, or (ii) any matter that was either the subject of a disagreement (as defined in Item 304(a)(1)(iv) of Regulation S-K and the related instructions to Item 304 of Regulation S-K) or a reportable event (as defined in Item 304(a)(1)(v) of Regulation S-K).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Accounting Fees and Services</w:t>
      </w:r>
    </w:p>
    <w:p>
      <w:pPr>
        <w:spacing w:after="0" w:line="129" w:lineRule="exact"/>
        <w:rPr>
          <w:sz w:val="20"/>
          <w:szCs w:val="20"/>
          <w:color w:val="auto"/>
        </w:rPr>
      </w:pPr>
    </w:p>
    <w:p>
      <w:pPr>
        <w:ind w:right="140" w:firstLine="374"/>
        <w:spacing w:after="0" w:line="298" w:lineRule="auto"/>
        <w:rPr>
          <w:sz w:val="20"/>
          <w:szCs w:val="20"/>
          <w:color w:val="auto"/>
        </w:rPr>
      </w:pPr>
      <w:r>
        <w:rPr>
          <w:rFonts w:ascii="Times New Roman" w:cs="Times New Roman" w:eastAsia="Times New Roman" w:hAnsi="Times New Roman"/>
          <w:sz w:val="16"/>
          <w:szCs w:val="16"/>
          <w:color w:val="auto"/>
        </w:rPr>
        <w:t>The following table sets forth all fees paid or accrued by us for professional audit services and other services rendered by Deloitte &amp; Touche LLP and Ernst &amp; Young LLP during the years ended December 31, 2023 and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r>
      <w:tr>
        <w:trPr>
          <w:trHeight w:val="224"/>
        </w:trPr>
        <w:tc>
          <w:tcPr>
            <w:tcW w:w="7720" w:type="dxa"/>
            <w:vAlign w:val="bottom"/>
            <w:gridSpan w:val="2"/>
            <w:shd w:val="clear" w:color="auto" w:fill="CFF0FC"/>
          </w:tcPr>
          <w:p>
            <w:pPr>
              <w:ind w:left="20"/>
              <w:spacing w:after="0" w:line="224"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1,533,824</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1,443,500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720" w:type="dxa"/>
            <w:vAlign w:val="bottom"/>
            <w:gridSpan w:val="2"/>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(3)</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7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(4)</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5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Fees</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1,535,719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1,443,500</w:t>
            </w:r>
          </w:p>
        </w:tc>
        <w:tc>
          <w:tcPr>
            <w:tcW w:w="100" w:type="dxa"/>
            <w:vAlign w:val="bottom"/>
            <w:shd w:val="clear" w:color="auto" w:fill="CFF0FC"/>
          </w:tcPr>
          <w:p>
            <w:pPr>
              <w:spacing w:after="0"/>
              <w:rPr>
                <w:sz w:val="22"/>
                <w:szCs w:val="22"/>
                <w:color w:val="auto"/>
              </w:rPr>
            </w:pPr>
          </w:p>
        </w:tc>
      </w:tr>
      <w:tr>
        <w:trPr>
          <w:trHeight w:val="108"/>
        </w:trPr>
        <w:tc>
          <w:tcPr>
            <w:tcW w:w="3000" w:type="dxa"/>
            <w:vAlign w:val="bottom"/>
            <w:tcBorders>
              <w:top w:val="single" w:sz="8" w:color="CFF0FC"/>
              <w:bottom w:val="single" w:sz="8" w:color="auto"/>
            </w:tcBorders>
          </w:tcPr>
          <w:p>
            <w:pPr>
              <w:spacing w:after="0"/>
              <w:rPr>
                <w:sz w:val="9"/>
                <w:szCs w:val="9"/>
                <w:color w:val="auto"/>
              </w:rPr>
            </w:pPr>
          </w:p>
        </w:tc>
        <w:tc>
          <w:tcPr>
            <w:tcW w:w="472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-110490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380" w:right="20" w:hanging="372"/>
        <w:spacing w:after="0" w:line="227" w:lineRule="auto"/>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 of fees for professional services provided by Deloitte &amp; Touche LLP and Ernst &amp; Young LLP in connection with the audit of our financial statements, review of our quarterly financial statements, and related services that are normally provided in connection with statutory and regulatory filings or engagements.</w:t>
      </w:r>
    </w:p>
    <w:p>
      <w:pPr>
        <w:spacing w:after="0" w:line="1" w:lineRule="exact"/>
        <w:rPr>
          <w:rFonts w:ascii="Times New Roman" w:cs="Times New Roman" w:eastAsia="Times New Roman" w:hAnsi="Times New Roman"/>
          <w:sz w:val="13"/>
          <w:szCs w:val="13"/>
          <w:color w:val="auto"/>
        </w:rPr>
      </w:pPr>
    </w:p>
    <w:p>
      <w:pPr>
        <w:ind w:left="380" w:right="320" w:hanging="372"/>
        <w:spacing w:after="0" w:line="216" w:lineRule="auto"/>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Consist of fees for assurance and related services that are reasonably related to the performance of the audit or review of our financial statements, including, but not limited to, the review of registration statements.</w:t>
      </w:r>
    </w:p>
    <w:p>
      <w:pPr>
        <w:ind w:left="380" w:right="220" w:hanging="372"/>
        <w:spacing w:after="0" w:line="216" w:lineRule="auto"/>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 of fees for professional services in connection with tax compliance, tax planning, and tax advice, including, but not limited to, foreign tax return preparation and requests for rulings or technical advice from tax authorities.</w:t>
      </w:r>
    </w:p>
    <w:p>
      <w:pPr>
        <w:ind w:left="380" w:hanging="372"/>
        <w:spacing w:after="0"/>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Consist of the aggregate fees billed for any other products and services performed by the principal accountant.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of Audit and Non-Audit Services</w:t>
      </w:r>
    </w:p>
    <w:p>
      <w:pPr>
        <w:spacing w:after="0" w:line="129" w:lineRule="exact"/>
        <w:rPr>
          <w:sz w:val="20"/>
          <w:szCs w:val="20"/>
          <w:color w:val="auto"/>
        </w:rPr>
      </w:pPr>
    </w:p>
    <w:p>
      <w:pPr>
        <w:ind w:right="100" w:firstLine="374"/>
        <w:spacing w:after="0" w:line="275" w:lineRule="auto"/>
        <w:rPr>
          <w:sz w:val="20"/>
          <w:szCs w:val="20"/>
          <w:color w:val="auto"/>
        </w:rPr>
      </w:pPr>
      <w:r>
        <w:rPr>
          <w:rFonts w:ascii="Times New Roman" w:cs="Times New Roman" w:eastAsia="Times New Roman" w:hAnsi="Times New Roman"/>
          <w:sz w:val="16"/>
          <w:szCs w:val="16"/>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generally pre-approves all audit and permissible non-audit services provided by the independent registered public accounting firm. These services may include audit services, audit-related services, tax services and other services.</w:t>
      </w:r>
    </w:p>
    <w:p>
      <w:pPr>
        <w:spacing w:after="0" w:line="289" w:lineRule="exact"/>
        <w:rPr>
          <w:sz w:val="20"/>
          <w:szCs w:val="20"/>
          <w:color w:val="auto"/>
        </w:rPr>
      </w:pPr>
    </w:p>
    <w:p>
      <w:pPr>
        <w:jc w:val="center"/>
        <w:ind w:left="340"/>
        <w:spacing w:after="0" w:line="301"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RATIFICATION OF THE APPOINTMENT OF DELOITTE &amp; TOUCHE LLP AS OUR INDEPENDENT REGISTERED PUBLIC ACCOUNTING FIRM FOR THE YEAR ENDING DECEMBER 31, 2024.</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PROPOSAL THREE</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ADVISORY VOTE ON THE COMPENSATION OF</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OUR NAMED 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200" w:firstLine="374"/>
        <w:spacing w:after="0" w:line="275"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of 2010 provides the Company’s stockholders with the opportunity to vote to approve, on an advisory, non-binding basis, the compensation of our named executive officers as disclosed in this proxy statement in accordance with SEC rules. Our Board of Directors determined to follow our stockholders’ recommendations and to include an annual stockholders advisory vote on the compensation of the Company’s named executive officers.</w:t>
      </w:r>
    </w:p>
    <w:p>
      <w:pPr>
        <w:spacing w:after="0" w:line="75" w:lineRule="exact"/>
        <w:rPr>
          <w:sz w:val="20"/>
          <w:szCs w:val="20"/>
          <w:color w:val="auto"/>
        </w:rPr>
      </w:pPr>
    </w:p>
    <w:p>
      <w:pPr>
        <w:ind w:right="360" w:firstLine="374"/>
        <w:spacing w:after="0" w:line="298" w:lineRule="auto"/>
        <w:rPr>
          <w:sz w:val="20"/>
          <w:szCs w:val="20"/>
          <w:color w:val="auto"/>
        </w:rPr>
      </w:pPr>
      <w:r>
        <w:rPr>
          <w:rFonts w:ascii="Times New Roman" w:cs="Times New Roman" w:eastAsia="Times New Roman" w:hAnsi="Times New Roman"/>
          <w:sz w:val="16"/>
          <w:szCs w:val="16"/>
          <w:color w:val="auto"/>
        </w:rPr>
        <w:t>We are asking our stockholders to approve, on a non-binding advisory basis, the compensation of our named executive officers, as disclosed in the Compensation Discussion and Analysis section of this proxy statement and the related compensation tables and disclosure.</w:t>
      </w:r>
    </w:p>
    <w:p>
      <w:pPr>
        <w:spacing w:after="0" w:line="56"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As described below in the Compensation Discussion and Analysis section of this proxy statement, the executive officer compensation programs are designed to support our business goals and to promote short- and long-term profitable growth. We urge stockholders to read the “Compensation Discussion and Analysis” section of this proxy statement, which describes our executive compensation policies, and to review the other related compensation tables and narratives, which provide detailed information on the compensation of our named executive officers. Our Compensation Committee believes that our policies and procedures are effective in fulfilling our objectives and that the compensation of our named executive officers reported in this proxy statement has supported and contributed to our recent and long-term success.</w:t>
      </w:r>
    </w:p>
    <w:p>
      <w:pPr>
        <w:spacing w:after="0" w:line="78" w:lineRule="exact"/>
        <w:rPr>
          <w:sz w:val="20"/>
          <w:szCs w:val="20"/>
          <w:color w:val="auto"/>
        </w:rPr>
      </w:pPr>
    </w:p>
    <w:p>
      <w:pPr>
        <w:ind w:right="580" w:firstLine="374"/>
        <w:spacing w:after="0" w:line="298" w:lineRule="auto"/>
        <w:rPr>
          <w:sz w:val="20"/>
          <w:szCs w:val="20"/>
          <w:color w:val="auto"/>
        </w:rPr>
      </w:pPr>
      <w:r>
        <w:rPr>
          <w:rFonts w:ascii="Times New Roman" w:cs="Times New Roman" w:eastAsia="Times New Roman" w:hAnsi="Times New Roman"/>
          <w:sz w:val="16"/>
          <w:szCs w:val="16"/>
          <w:color w:val="auto"/>
        </w:rPr>
        <w:t>Proposal Three, commonly known as a “say on pay” vote, gives stockholders the opportunity to endorse or not endorse the compensation of our executives as disclosed in this proxy statement. This proposal will be presented at the Annual Meeting as a resolution in substantially the following form:</w:t>
      </w:r>
    </w:p>
    <w:p>
      <w:pPr>
        <w:spacing w:after="0" w:line="56" w:lineRule="exact"/>
        <w:rPr>
          <w:sz w:val="20"/>
          <w:szCs w:val="20"/>
          <w:color w:val="auto"/>
        </w:rPr>
      </w:pPr>
    </w:p>
    <w:p>
      <w:pPr>
        <w:ind w:right="460" w:firstLine="374"/>
        <w:spacing w:after="0" w:line="298" w:lineRule="auto"/>
        <w:rPr>
          <w:sz w:val="20"/>
          <w:szCs w:val="20"/>
          <w:color w:val="auto"/>
        </w:rPr>
      </w:pPr>
      <w:r>
        <w:rPr>
          <w:rFonts w:ascii="Times New Roman" w:cs="Times New Roman" w:eastAsia="Times New Roman" w:hAnsi="Times New Roman"/>
          <w:sz w:val="16"/>
          <w:szCs w:val="16"/>
          <w:color w:val="auto"/>
        </w:rPr>
        <w:t>RESOLVED, that the stockholders approve the compensation of our named executive officers, as disclosed pursuant to the compensation disclosure rules of the Securities and Exchange Commission in the compensation tables and related narrative disclosure in our proxy statement for the Annual Meeting.</w:t>
      </w:r>
    </w:p>
    <w:p>
      <w:pPr>
        <w:spacing w:after="0" w:line="56"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6"/>
          <w:szCs w:val="16"/>
          <w:color w:val="auto"/>
        </w:rPr>
        <w:t>This vote will not be binding on our Board of Directors and may not be construed as overruling a decision by our Board of Directors or creating or implying any change to the fiduciary duties of our Board of Directors. The vote will not affect any compensation previously paid or awarded to any executive. Our Compensation Committee and our Board of Directors may, however, take into account the outcome of the vote when considering future executive compensation arrangements.</w:t>
      </w:r>
    </w:p>
    <w:p>
      <w:pPr>
        <w:spacing w:after="0" w:line="283" w:lineRule="exact"/>
        <w:rPr>
          <w:sz w:val="20"/>
          <w:szCs w:val="20"/>
          <w:color w:val="auto"/>
        </w:rPr>
      </w:pPr>
    </w:p>
    <w:p>
      <w:pPr>
        <w:jc w:val="center"/>
        <w:ind w:left="380" w:right="2400"/>
        <w:spacing w:after="0" w:line="282"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THE APPROVAL, ON AN ADVISORY BASIS, OF THE COMPENSATION OF OUR NAMED EXECUTIVE OFFICERS.</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29"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waivers of, our Code of Business Conduct and Ethics,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129"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6"/>
          <w:szCs w:val="16"/>
          <w:color w:val="auto"/>
        </w:rPr>
        <w:t>Our Board of Directors currently consists of five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identity, sexual orientation,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29" w:lineRule="exact"/>
        <w:rPr>
          <w:sz w:val="20"/>
          <w:szCs w:val="20"/>
          <w:color w:val="auto"/>
        </w:rPr>
      </w:pPr>
    </w:p>
    <w:p>
      <w:pPr>
        <w:jc w:val="both"/>
        <w:ind w:right="200" w:firstLine="374"/>
        <w:spacing w:after="0" w:line="275" w:lineRule="auto"/>
        <w:rPr>
          <w:sz w:val="20"/>
          <w:szCs w:val="20"/>
          <w:color w:val="auto"/>
        </w:rPr>
      </w:pPr>
      <w:r>
        <w:rPr>
          <w:rFonts w:ascii="Times New Roman" w:cs="Times New Roman" w:eastAsia="Times New Roman" w:hAnsi="Times New Roman"/>
          <w:sz w:val="16"/>
          <w:szCs w:val="16"/>
          <w:color w:val="auto"/>
        </w:rPr>
        <w:t>Under the listing requirements and rules of The Nasdaq Global Market (“Nasdaq”), independent directors must compose a majority of a listed company’s Board of Directors within a one-year period following the completion of its initial public offering. In addition, applicable Nasdaq rules require that, subject to specified exceptions, each member of a listed company’s Audit, Compensation, and Nominating and Corporate Governance Committees must be independent within the meaning of applicable Nasdaq rules. Audit Committee members must also satisfy the independence criteria set forth in Rule 10A-3 under the Exchange Act.</w:t>
      </w:r>
    </w:p>
    <w:p>
      <w:pPr>
        <w:spacing w:after="0" w:line="75" w:lineRule="exact"/>
        <w:rPr>
          <w:sz w:val="20"/>
          <w:szCs w:val="20"/>
          <w:color w:val="auto"/>
        </w:rPr>
      </w:pPr>
    </w:p>
    <w:p>
      <w:pPr>
        <w:ind w:right="100" w:firstLine="374"/>
        <w:spacing w:after="0" w:line="272" w:lineRule="auto"/>
        <w:rPr>
          <w:sz w:val="20"/>
          <w:szCs w:val="20"/>
          <w:color w:val="auto"/>
        </w:rPr>
      </w:pPr>
      <w:r>
        <w:rPr>
          <w:rFonts w:ascii="Times New Roman" w:cs="Times New Roman" w:eastAsia="Times New Roman" w:hAnsi="Times New Roman"/>
          <w:sz w:val="16"/>
          <w:szCs w:val="16"/>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78"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As a result of this review, our Board of Directors determined that Dr. Coleman, Dr. Jeffs, Dr. Mahony,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78"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Dr. Mahony, and Mr. Saad qualify as an independent director pursuant to Rule 10A-3.</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129" w:lineRule="exact"/>
        <w:rPr>
          <w:sz w:val="20"/>
          <w:szCs w:val="20"/>
          <w:color w:val="auto"/>
        </w:rPr>
      </w:pPr>
    </w:p>
    <w:p>
      <w:pPr>
        <w:ind w:right="20" w:firstLine="374"/>
        <w:spacing w:after="0" w:line="267" w:lineRule="auto"/>
        <w:rPr>
          <w:sz w:val="20"/>
          <w:szCs w:val="20"/>
          <w:color w:val="auto"/>
        </w:rPr>
      </w:pPr>
      <w:r>
        <w:rPr>
          <w:rFonts w:ascii="Times New Roman" w:cs="Times New Roman" w:eastAsia="Times New Roman" w:hAnsi="Times New Roman"/>
          <w:sz w:val="16"/>
          <w:szCs w:val="16"/>
          <w:color w:val="auto"/>
        </w:rPr>
        <w:t>The positions of Chief Executive Officer and Chairman of the Board are both currently held by Dr. Tabuteau. Our Board of Directors has also appointed a Lead Director, Dr. Coleman.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our Board of Directors, and our Company’s strong corporate governance policies and procedures.</w:t>
      </w:r>
    </w:p>
    <w:p>
      <w:pPr>
        <w:spacing w:after="0" w:line="84" w:lineRule="exact"/>
        <w:rPr>
          <w:sz w:val="20"/>
          <w:szCs w:val="20"/>
          <w:color w:val="auto"/>
        </w:rPr>
      </w:pPr>
    </w:p>
    <w:p>
      <w:pPr>
        <w:ind w:right="100" w:firstLine="374"/>
        <w:spacing w:after="0" w:line="298" w:lineRule="auto"/>
        <w:rPr>
          <w:sz w:val="20"/>
          <w:szCs w:val="20"/>
          <w:color w:val="auto"/>
        </w:rPr>
      </w:pPr>
      <w:r>
        <w:rPr>
          <w:rFonts w:ascii="Times New Roman" w:cs="Times New Roman" w:eastAsia="Times New Roman" w:hAnsi="Times New Roman"/>
          <w:sz w:val="16"/>
          <w:szCs w:val="16"/>
          <w:color w:val="auto"/>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spacing w:after="0" w:line="56" w:lineRule="exact"/>
        <w:rPr>
          <w:sz w:val="20"/>
          <w:szCs w:val="20"/>
          <w:color w:val="auto"/>
        </w:rPr>
      </w:pPr>
    </w:p>
    <w:p>
      <w:pPr>
        <w:ind w:right="260" w:firstLine="374"/>
        <w:spacing w:after="0" w:line="298" w:lineRule="auto"/>
        <w:rPr>
          <w:sz w:val="20"/>
          <w:szCs w:val="20"/>
          <w:color w:val="auto"/>
        </w:rPr>
      </w:pPr>
      <w:r>
        <w:rPr>
          <w:rFonts w:ascii="Times New Roman" w:cs="Times New Roman" w:eastAsia="Times New Roman" w:hAnsi="Times New Roman"/>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129"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spacing w:after="0" w:line="67"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Audit Committee. </w:t>
      </w:r>
      <w:r>
        <w:rPr>
          <w:rFonts w:ascii="Times New Roman" w:cs="Times New Roman" w:eastAsia="Times New Roman" w:hAnsi="Times New Roman"/>
          <w:sz w:val="16"/>
          <w:szCs w:val="16"/>
          <w:color w:val="auto"/>
        </w:rPr>
        <w:t>Dr. Coleman, Dr. Jeffs, Dr. Mahony, and Mr. Saad currently serve on the Audit Committee, which is chaired by Mr. Saad. Our Board of Directors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 into this proxy. Our Audit Committee met four times during the year ended December 31, 2023. The Audit Committee’s responsibilities include:</w:t>
      </w:r>
    </w:p>
    <w:p>
      <w:pPr>
        <w:spacing w:after="0" w:line="78"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auditing and permissible non-audit services, and the terms of such services, to be provided by our independent registered public accounting firm;</w:t>
      </w:r>
    </w:p>
    <w:p>
      <w:pPr>
        <w:spacing w:after="0" w:line="126" w:lineRule="exact"/>
        <w:rPr>
          <w:rFonts w:ascii="Times New Roman" w:cs="Times New Roman" w:eastAsia="Times New Roman" w:hAnsi="Times New Roman"/>
          <w:sz w:val="16"/>
          <w:szCs w:val="16"/>
          <w:color w:val="auto"/>
        </w:rPr>
      </w:pPr>
    </w:p>
    <w:p>
      <w:pPr>
        <w:ind w:left="760" w:right="34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overall audit plan with the independent registered public accounting firm and members of management responsible for preparing our financial statements;</w:t>
      </w:r>
    </w:p>
    <w:p>
      <w:pPr>
        <w:spacing w:after="0" w:line="56" w:lineRule="exact"/>
        <w:rPr>
          <w:rFonts w:ascii="Times New Roman" w:cs="Times New Roman" w:eastAsia="Times New Roman" w:hAnsi="Times New Roman"/>
          <w:sz w:val="16"/>
          <w:szCs w:val="16"/>
          <w:color w:val="auto"/>
        </w:rPr>
      </w:pPr>
    </w:p>
    <w:p>
      <w:pPr>
        <w:ind w:left="760" w:right="40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oversight and reviewing the adequacy of our internal control over financial reporting;</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and procedures for the receipt and retention of accounting-related complaints and concerns;</w:t>
      </w:r>
    </w:p>
    <w:p>
      <w:pPr>
        <w:spacing w:after="0" w:line="126" w:lineRule="exact"/>
        <w:rPr>
          <w:rFonts w:ascii="Times New Roman" w:cs="Times New Roman" w:eastAsia="Times New Roman" w:hAnsi="Times New Roman"/>
          <w:sz w:val="16"/>
          <w:szCs w:val="16"/>
          <w:color w:val="auto"/>
        </w:rPr>
      </w:pPr>
    </w:p>
    <w:p>
      <w:pPr>
        <w:ind w:left="760" w:right="14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56" w:lineRule="exact"/>
        <w:rPr>
          <w:rFonts w:ascii="Times New Roman" w:cs="Times New Roman" w:eastAsia="Times New Roman" w:hAnsi="Times New Roman"/>
          <w:sz w:val="16"/>
          <w:szCs w:val="16"/>
          <w:color w:val="auto"/>
        </w:rPr>
      </w:pPr>
    </w:p>
    <w:p>
      <w:pPr>
        <w:ind w:left="760" w:right="38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integrity of our financial statements and our compliance with legal and regulatory requirements as they relate to our financial statements and accounting matters and other matters;</w:t>
      </w:r>
    </w:p>
    <w:p>
      <w:pPr>
        <w:spacing w:after="0" w:line="56" w:lineRule="exact"/>
        <w:rPr>
          <w:rFonts w:ascii="Times New Roman" w:cs="Times New Roman" w:eastAsia="Times New Roman" w:hAnsi="Times New Roman"/>
          <w:sz w:val="16"/>
          <w:szCs w:val="16"/>
          <w:color w:val="auto"/>
        </w:rPr>
      </w:pPr>
    </w:p>
    <w:p>
      <w:pPr>
        <w:ind w:left="760" w:right="80" w:hanging="378"/>
        <w:spacing w:after="0" w:line="298"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Company’s information security and technology risks (including cybersecurity), and including the Company’s information security and risk management programs;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 to be included in our annual proxy statement;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760" w:right="400" w:hanging="378"/>
        <w:spacing w:after="0" w:line="298"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all related person transactions for potential conflict of interest situations, approving all such transactions, and keeping our independent registered public accounting firm aware of such transactions;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quarterly earnings releases.</w:t>
      </w:r>
    </w:p>
    <w:p>
      <w:pPr>
        <w:spacing w:after="0" w:line="125" w:lineRule="exact"/>
        <w:rPr>
          <w:sz w:val="20"/>
          <w:szCs w:val="20"/>
          <w:color w:val="auto"/>
        </w:rPr>
      </w:pPr>
    </w:p>
    <w:p>
      <w:pPr>
        <w:ind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Dr. Coleman, Dr. Jeffs, Dr. Mahony, and Mr. Saad currently serve on the Compensation Committee, which is chaired by Dr. Coleman.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of 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Compensation Committee met four times during the year ended December 31, 2023. The Compensation Committee’s responsibilities include:</w:t>
      </w:r>
    </w:p>
    <w:p>
      <w:pPr>
        <w:spacing w:after="0" w:line="76" w:lineRule="exact"/>
        <w:rPr>
          <w:sz w:val="20"/>
          <w:szCs w:val="20"/>
          <w:color w:val="auto"/>
        </w:rPr>
      </w:pPr>
    </w:p>
    <w:p>
      <w:pPr>
        <w:ind w:left="760" w:right="240" w:hanging="378"/>
        <w:spacing w:after="0" w:line="298"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making recommendations to the Board of Directors with respect to corporate goals and objectives relevant to the compensation of our chief executive officer;</w:t>
      </w:r>
    </w:p>
    <w:p>
      <w:pPr>
        <w:spacing w:after="0" w:line="56" w:lineRule="exact"/>
        <w:rPr>
          <w:rFonts w:ascii="Times New Roman" w:cs="Times New Roman" w:eastAsia="Times New Roman" w:hAnsi="Times New Roman"/>
          <w:sz w:val="16"/>
          <w:szCs w:val="16"/>
          <w:color w:val="auto"/>
        </w:rPr>
      </w:pPr>
    </w:p>
    <w:p>
      <w:pPr>
        <w:ind w:left="760" w:right="100" w:hanging="378"/>
        <w:spacing w:after="0" w:line="298"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other executive officers;</w:t>
      </w:r>
    </w:p>
    <w:p>
      <w:pPr>
        <w:spacing w:after="0" w:line="126" w:lineRule="exact"/>
        <w:rPr>
          <w:rFonts w:ascii="Times New Roman" w:cs="Times New Roman" w:eastAsia="Times New Roman" w:hAnsi="Times New Roman"/>
          <w:sz w:val="16"/>
          <w:szCs w:val="16"/>
          <w:color w:val="auto"/>
        </w:rPr>
      </w:pPr>
    </w:p>
    <w:p>
      <w:pPr>
        <w:ind w:left="760" w:right="80" w:hanging="378"/>
        <w:spacing w:after="0" w:line="298"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of Directors regarding the compensation of non-employee directors, the components and amounts thereof, and directors’ and officer’s indemnification and insurance matters;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establishing our overall management compensation, philosophy and policy;</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administering our compensation and similar plans;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our policies and procedures for the grant of equity-based awards;</w:t>
      </w:r>
    </w:p>
    <w:p>
      <w:pPr>
        <w:spacing w:after="0" w:line="126" w:lineRule="exact"/>
        <w:rPr>
          <w:rFonts w:ascii="Times New Roman" w:cs="Times New Roman" w:eastAsia="Times New Roman" w:hAnsi="Times New Roman"/>
          <w:sz w:val="16"/>
          <w:szCs w:val="16"/>
          <w:color w:val="auto"/>
        </w:rPr>
      </w:pPr>
    </w:p>
    <w:p>
      <w:pPr>
        <w:ind w:left="760" w:right="220" w:hanging="378"/>
        <w:spacing w:after="0" w:line="298"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the compensation discussion and analysis to be included in our annual proxy statement or Annual Report on Form 10-K;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third party compensation consultants to review and make recommendations on the compensation of directors, executive officers and other key officers.</w:t>
      </w:r>
    </w:p>
    <w:p>
      <w:pPr>
        <w:spacing w:after="0" w:line="127" w:lineRule="exact"/>
        <w:rPr>
          <w:sz w:val="20"/>
          <w:szCs w:val="20"/>
          <w:color w:val="auto"/>
        </w:rPr>
      </w:pPr>
    </w:p>
    <w:p>
      <w:pPr>
        <w:ind w:right="80" w:firstLine="374"/>
        <w:spacing w:after="0" w:line="269" w:lineRule="auto"/>
        <w:rPr>
          <w:sz w:val="20"/>
          <w:szCs w:val="20"/>
          <w:color w:val="auto"/>
        </w:rPr>
      </w:pPr>
      <w:r>
        <w:rPr>
          <w:rFonts w:ascii="Times New Roman" w:cs="Times New Roman" w:eastAsia="Times New Roman" w:hAnsi="Times New Roman"/>
          <w:sz w:val="16"/>
          <w:szCs w:val="16"/>
          <w:color w:val="auto"/>
        </w:rPr>
        <w:t>During the fiscal years ended December 31, 2023 and December 31, 2022, our Compensation Committee retained Frederic W. Cook &amp; Co. Inc. (“FW Cook”) to review our compensation program and to provide them with independent compensation data and analysis. In connection with this analysis, FW Cook and the Compensation Committee 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 interest, and, based on its analysis, determined that the work of FW Cook and the individual compensation advisors employed by FW Cook as compensation consultants has not created any conflict of interest and the Compensation Committee is satisfied with the independence of FW Cook.</w:t>
      </w:r>
    </w:p>
    <w:p>
      <w:pPr>
        <w:spacing w:after="0" w:line="80" w:lineRule="exact"/>
        <w:rPr>
          <w:sz w:val="20"/>
          <w:szCs w:val="20"/>
          <w:color w:val="auto"/>
        </w:rPr>
      </w:pPr>
    </w:p>
    <w:p>
      <w:pPr>
        <w:ind w:right="140" w:firstLine="374"/>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Dr. Coleman, Dr. Jeffs, Dr. Mahony, and Mr. Saad currently serve on the Nominating and Corporate Governance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which 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met once during the year ended December 31, 2023. The Nominating and Corporate Governance Committee’s responsibilities include:</w:t>
      </w:r>
    </w:p>
    <w:p>
      <w:pPr>
        <w:spacing w:after="0" w:line="78"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of Directors criteria for board and committee membership;</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identifying and evaluating board of director candidates, including nominees recommended by stockholders;</w:t>
      </w:r>
    </w:p>
    <w:p>
      <w:pPr>
        <w:spacing w:after="0" w:line="126" w:lineRule="exact"/>
        <w:rPr>
          <w:rFonts w:ascii="Times New Roman" w:cs="Times New Roman" w:eastAsia="Times New Roman" w:hAnsi="Times New Roman"/>
          <w:sz w:val="16"/>
          <w:szCs w:val="16"/>
          <w:color w:val="auto"/>
        </w:rPr>
      </w:pPr>
    </w:p>
    <w:p>
      <w:pPr>
        <w:ind w:left="760" w:right="180" w:hanging="378"/>
        <w:spacing w:after="0" w:line="298"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size and composition of the Board of Directors to ensure that it is composed of members containing the appropriate skills and expertise to advise us;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members of the Board of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the Board of Directors the persons to be nominated for election as directors and to each of the Board of Director’s committees;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of Directors a code of business conduct and ethics and a set of corporate governance guidelines;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corporate governance practices and procedures;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independence standards applicable to members of the Board of Directors;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orientation and continuing education programs for members of the Board of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disclosure policy committee;</w:t>
      </w:r>
    </w:p>
    <w:p>
      <w:pPr>
        <w:spacing w:after="0" w:line="126" w:lineRule="exact"/>
        <w:rPr>
          <w:rFonts w:ascii="Times New Roman" w:cs="Times New Roman" w:eastAsia="Times New Roman" w:hAnsi="Times New Roman"/>
          <w:sz w:val="16"/>
          <w:szCs w:val="16"/>
          <w:color w:val="auto"/>
        </w:rPr>
      </w:pPr>
    </w:p>
    <w:p>
      <w:pPr>
        <w:ind w:left="760" w:right="140" w:hanging="378"/>
        <w:spacing w:after="0" w:line="298"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any director resignation letter tendered to the Company and evaluating and recommending to the Board of Directors whether such resignation should be accepted;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Board of Directors corporate succession plans for the chief executive officer and other key officers;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environmental, social, and governance strategy and reporting as well as corporate citizenship matters;</w:t>
      </w:r>
    </w:p>
    <w:p>
      <w:pPr>
        <w:spacing w:after="0" w:line="126" w:lineRule="exact"/>
        <w:rPr>
          <w:rFonts w:ascii="Times New Roman" w:cs="Times New Roman" w:eastAsia="Times New Roman" w:hAnsi="Times New Roman"/>
          <w:sz w:val="16"/>
          <w:szCs w:val="16"/>
          <w:color w:val="auto"/>
        </w:rPr>
      </w:pPr>
    </w:p>
    <w:p>
      <w:pPr>
        <w:ind w:left="760" w:right="260" w:hanging="378"/>
        <w:spacing w:after="0" w:line="298"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policies and practices related to human capital management, which may include, but is not limited to, culture, diversity, equity and inclusion, pay equity, and talent management;</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 mechanism by which violations of the Code of Business Conduct and Ethics can be reported in a confidential manner;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 of Directors and management.</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Board of Directors may from time to time establish other committees.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29"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Meetings of the Board of Directors</w:t>
      </w:r>
    </w:p>
    <w:p>
      <w:pPr>
        <w:spacing w:after="0" w:line="129" w:lineRule="exact"/>
        <w:rPr>
          <w:sz w:val="20"/>
          <w:szCs w:val="20"/>
          <w:color w:val="auto"/>
        </w:rPr>
      </w:pPr>
    </w:p>
    <w:p>
      <w:pPr>
        <w:jc w:val="both"/>
        <w:ind w:right="120" w:firstLine="374"/>
        <w:spacing w:after="0" w:line="281" w:lineRule="auto"/>
        <w:rPr>
          <w:sz w:val="20"/>
          <w:szCs w:val="20"/>
          <w:color w:val="auto"/>
        </w:rPr>
      </w:pPr>
      <w:r>
        <w:rPr>
          <w:rFonts w:ascii="Times New Roman" w:cs="Times New Roman" w:eastAsia="Times New Roman" w:hAnsi="Times New Roman"/>
          <w:sz w:val="16"/>
          <w:szCs w:val="16"/>
          <w:color w:val="auto"/>
        </w:rPr>
        <w:t>The full Board of Directors met nine times during the year ended December 31, 2023 and also acted via unanimous written consent multiple times during the year as needed. No director attended fewer than 75% of the total number of meetings of the Board of Directors and of any committees of the Board of Directors of which he or she was a member during our fiscal year ended December 31, 2023.</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It is our policy that directors are invited and encouraged to attend our annual meetings of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Oversight of Risk</w:t>
      </w:r>
    </w:p>
    <w:p>
      <w:pPr>
        <w:spacing w:after="0" w:line="129" w:lineRule="exact"/>
        <w:rPr>
          <w:sz w:val="20"/>
          <w:szCs w:val="20"/>
          <w:color w:val="auto"/>
        </w:rPr>
      </w:pPr>
    </w:p>
    <w:p>
      <w:pPr>
        <w:ind w:right="100" w:firstLine="374"/>
        <w:spacing w:after="0" w:line="272" w:lineRule="auto"/>
        <w:rPr>
          <w:sz w:val="20"/>
          <w:szCs w:val="20"/>
          <w:color w:val="auto"/>
        </w:rPr>
      </w:pPr>
      <w:r>
        <w:rPr>
          <w:rFonts w:ascii="Times New Roman" w:cs="Times New Roman" w:eastAsia="Times New Roman" w:hAnsi="Times New Roman"/>
          <w:sz w:val="16"/>
          <w:szCs w:val="16"/>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78"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6"/>
          <w:szCs w:val="16"/>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and regulatory and legal compliance; our Compensation Committee oversees major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Commitment to Corporate Responsibility</w:t>
      </w:r>
    </w:p>
    <w:p>
      <w:pPr>
        <w:spacing w:after="0" w:line="129" w:lineRule="exact"/>
        <w:rPr>
          <w:sz w:val="20"/>
          <w:szCs w:val="20"/>
          <w:color w:val="auto"/>
        </w:rPr>
      </w:pPr>
    </w:p>
    <w:p>
      <w:pPr>
        <w:ind w:right="120" w:firstLine="374"/>
        <w:spacing w:after="0" w:line="275" w:lineRule="auto"/>
        <w:rPr>
          <w:sz w:val="20"/>
          <w:szCs w:val="20"/>
          <w:color w:val="auto"/>
        </w:rPr>
      </w:pPr>
      <w:r>
        <w:rPr>
          <w:rFonts w:ascii="Times New Roman" w:cs="Times New Roman" w:eastAsia="Times New Roman" w:hAnsi="Times New Roman"/>
          <w:sz w:val="16"/>
          <w:szCs w:val="16"/>
          <w:color w:val="auto"/>
        </w:rPr>
        <w:t>Axsome’s corporate responsibility is fundamental to our long-term success. It is also now more than ever important to our stakeholders. We have a commitment to environmental, social, and governance (“ESG”) issues. Axsome has adopted a new ESG policy and enhancements to the Company’s Code of Business Conduct and Ethics. You can learn more about our ESG practices by visiting www.axsome.com/ESG. In addition, the Nominating and Corporate Governance Committee has been tasked with responsibility for ESG oversight.</w:t>
      </w:r>
    </w:p>
    <w:p>
      <w:pPr>
        <w:spacing w:after="0" w:line="73"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6"/>
          <w:szCs w:val="16"/>
          <w:b w:val="1"/>
          <w:bCs w:val="1"/>
          <w:color w:val="auto"/>
        </w:rPr>
        <w:t>Environmental Factors</w:t>
      </w:r>
      <w:r>
        <w:rPr>
          <w:rFonts w:ascii="Times New Roman" w:cs="Times New Roman" w:eastAsia="Times New Roman" w:hAnsi="Times New Roman"/>
          <w:sz w:val="16"/>
          <w:szCs w:val="16"/>
          <w:color w:val="auto"/>
        </w:rPr>
        <w:t>: As we continue to expand our operations, we have initiated certain projects to begin tracking our environmental impact, and where feasible,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measures to increase our sustainability efforts. Some of our efforts include our commitment to reduce, reuse or recycle where possible or appropriate, and energy efficient projects to lower energy use within our office areas.</w:t>
      </w:r>
    </w:p>
    <w:p>
      <w:pPr>
        <w:spacing w:after="0" w:line="67" w:lineRule="exact"/>
        <w:rPr>
          <w:sz w:val="20"/>
          <w:szCs w:val="20"/>
          <w:color w:val="auto"/>
        </w:rPr>
      </w:pPr>
    </w:p>
    <w:p>
      <w:pPr>
        <w:ind w:right="120" w:firstLine="374"/>
        <w:spacing w:after="0" w:line="271" w:lineRule="auto"/>
        <w:rPr>
          <w:sz w:val="20"/>
          <w:szCs w:val="20"/>
          <w:color w:val="auto"/>
        </w:rPr>
      </w:pPr>
      <w:r>
        <w:rPr>
          <w:rFonts w:ascii="Times New Roman" w:cs="Times New Roman" w:eastAsia="Times New Roman" w:hAnsi="Times New Roman"/>
          <w:sz w:val="16"/>
          <w:szCs w:val="16"/>
          <w:b w:val="1"/>
          <w:bCs w:val="1"/>
          <w:color w:val="auto"/>
        </w:rPr>
        <w:t>Social Factors</w:t>
      </w:r>
      <w:r>
        <w:rPr>
          <w:rFonts w:ascii="Times New Roman" w:cs="Times New Roman" w:eastAsia="Times New Roman" w:hAnsi="Times New Roman"/>
          <w:sz w:val="16"/>
          <w:szCs w:val="16"/>
          <w:color w:val="auto"/>
        </w:rPr>
        <w:t>: Our future performance depends significantly upon the continued service of our key employees and personnel and our continued ability to attract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for our non-sales staff, potential quarterly incentive compensation for our sales staff, stock awards, a 401(k) plan which includes employer contributions, healthcare and insurance benefits, health savings and flexible spending accounts, paid time off, family leave, and flexible work schedules, among other benefits.</w:t>
      </w:r>
    </w:p>
    <w:p>
      <w:pPr>
        <w:spacing w:after="0" w:line="76" w:lineRule="exact"/>
        <w:rPr>
          <w:sz w:val="20"/>
          <w:szCs w:val="20"/>
          <w:color w:val="auto"/>
        </w:rPr>
      </w:pPr>
    </w:p>
    <w:p>
      <w:pPr>
        <w:ind w:right="20" w:firstLine="374"/>
        <w:spacing w:after="0" w:line="268" w:lineRule="auto"/>
        <w:rPr>
          <w:sz w:val="20"/>
          <w:szCs w:val="20"/>
          <w:color w:val="auto"/>
        </w:rPr>
      </w:pPr>
      <w:r>
        <w:rPr>
          <w:rFonts w:ascii="Times New Roman" w:cs="Times New Roman" w:eastAsia="Times New Roman" w:hAnsi="Times New Roman"/>
          <w:sz w:val="16"/>
          <w:szCs w:val="16"/>
          <w:b w:val="1"/>
          <w:bCs w:val="1"/>
          <w:color w:val="auto"/>
        </w:rPr>
        <w:t>Diversity and Inclusion</w:t>
      </w:r>
      <w:r>
        <w:rPr>
          <w:rFonts w:ascii="Times New Roman" w:cs="Times New Roman" w:eastAsia="Times New Roman" w:hAnsi="Times New Roman"/>
          <w:sz w:val="16"/>
          <w:szCs w:val="16"/>
          <w:color w:val="auto"/>
        </w:rPr>
        <w:t>: We strive to invest in and create ongoing opportunities for employee development to ensure a respectful, diverse and inclusive environment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which each team member plays a unique and vital role. It starts at the top, where 40% of the members of our Board identify as a member of an underrepresented racial minority group (those self-identifying as African American, Hispanic or Latino, Asian, or being two or more races or ethnicities), including our CEO. We believe that a diverse workforce not only positively impacts our performance and strengthens our culture, but it also cultivates an essential pipeline of experienced leaders for management. We are also committed to building a diverse workforce, including hiring for diversity of thought, background and experience, and diversity of personal characteristics such as gender identity, sexual orientation, race, ethnicity, faith, disability, veteran and LGBTQ+ status. As of March 27, 2024, women make up approximately 53% of our global workforce and constitute approximately 36% of management. As of March 27, 2024, employees who identify as a member of an underrepresented racial minority group make up approximately 26% of our global workforce and approximately 36% of management (4% of our employees declined to self-identify, or otherwise did not provide us with this information).</w:t>
      </w:r>
    </w:p>
    <w:p>
      <w:pPr>
        <w:spacing w:after="0" w:line="81" w:lineRule="exact"/>
        <w:rPr>
          <w:sz w:val="20"/>
          <w:szCs w:val="20"/>
          <w:color w:val="auto"/>
        </w:rPr>
      </w:pPr>
    </w:p>
    <w:p>
      <w:pPr>
        <w:ind w:right="20" w:firstLine="374"/>
        <w:spacing w:after="0" w:line="273" w:lineRule="auto"/>
        <w:rPr>
          <w:sz w:val="20"/>
          <w:szCs w:val="20"/>
          <w:color w:val="auto"/>
        </w:rPr>
      </w:pPr>
      <w:r>
        <w:rPr>
          <w:rFonts w:ascii="Times New Roman" w:cs="Times New Roman" w:eastAsia="Times New Roman" w:hAnsi="Times New Roman"/>
          <w:sz w:val="16"/>
          <w:szCs w:val="16"/>
          <w:b w:val="1"/>
          <w:bCs w:val="1"/>
          <w:color w:val="auto"/>
        </w:rPr>
        <w:t>Ethics and Corporate Governance</w:t>
      </w:r>
      <w:r>
        <w:rPr>
          <w:rFonts w:ascii="Times New Roman" w:cs="Times New Roman" w:eastAsia="Times New Roman" w:hAnsi="Times New Roman"/>
          <w:sz w:val="16"/>
          <w:szCs w:val="16"/>
          <w:color w:val="auto"/>
        </w:rPr>
        <w:t>: We aspire to maintain the highest ethical standards. All of our employees are required to adhere to our Code of Business Conduct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Ethics, which provides, among other things, that all of our employees, officers and directors must (i) act with integrity and observe the highest ethical standards of business conduct in his or her dealings with our customers, suppliers, partners, service providers, competitors, employees and anyone else with whom he or she has contact in the course of performing his or her job, and (ii) conduct relationships with colleagues and business relationships with competitors, suppliers and customers free of any discrimination, including based on race, color, creed, religion, age, gender identity, sexual orientation, national origin, marital status, veteran status, handicap or disability.</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 are committed to an ongoing focus on ESG issues during 2024 and beyond.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29"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6"/>
          <w:szCs w:val="16"/>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gender identity, sexual orientation, disability or any other basis proscribed by law.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29"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Each year, the Board of Directors determines non-employee director compensation based upon the recommendation of the Compensation Committee. In doing so, the Compensation Committee considers market data for the Company’s peer group, which is the same peer group used for the Company’s executive compensation benchmarking, as well as data for a broader market of similarly-sized companies, and input regarding market practices for director compensation from the same independent consultant that is retained by the Compensation Committee for executive compensation services.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60" w:firstLine="374"/>
        <w:spacing w:after="0" w:line="274" w:lineRule="auto"/>
        <w:rPr>
          <w:sz w:val="20"/>
          <w:szCs w:val="20"/>
          <w:color w:val="auto"/>
        </w:rPr>
      </w:pPr>
      <w:r>
        <w:rPr>
          <w:rFonts w:ascii="Times New Roman" w:cs="Times New Roman" w:eastAsia="Times New Roman" w:hAnsi="Times New Roman"/>
          <w:sz w:val="16"/>
          <w:szCs w:val="16"/>
          <w:color w:val="auto"/>
        </w:rPr>
        <w:t>Our non-employee directors receive an annual cash retainer and an annual equity retainer. A non-employee director may elect to receive, in lieu of the cash compensation, options to purchase shares of our common stock, with an exercise price per share equal to the fair market value of our common stock on the date of grant. Such options will be granted at the same time as all executive officer annual option grants. The annual equity grants to the directors will be made on the close of business on the date of the annual meeting. We also reimburse our non-employee directors for their reasonable out- of-pocket expenses incurred in attending board and committee meetings.</w:t>
      </w:r>
    </w:p>
    <w:p>
      <w:pPr>
        <w:spacing w:after="0" w:line="28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During our fiscal year ended December 31, 2023, our non-employee directors were granted an annual equity retainer of options with a grant date fair value of</w:t>
      </w:r>
    </w:p>
    <w:p>
      <w:pPr>
        <w:spacing w:after="0" w:line="2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$325,000 to purchase shares of our common stock under our Amended and Restated 2015 Omnibus Incentive Compensation Plan (the "2015 Plan"). These stock options will vest in full on the one-year anniversary of the date of the grant. In addition to the annual equity retainer, all members of the Board of Director, had the option of electing to receive options to purchase shares of our common stock in lieu of the cash fees earned in 2023, which options were granted in February 2024. The options granted in lieu of cash fees are immediately vested and exercisable upon grant. All retainers are prorated for any portion of a year to which they apply for each non-employee director.</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From January 1 to June 1, 2023, each of our non-employee directors received the following pro-rated cash compensation for board services, as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45,000</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Lead Director:</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23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Audit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Audit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r>
      <w:tr>
        <w:trPr>
          <w:trHeight w:val="23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7,500</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Compensation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15,000</w:t>
            </w:r>
          </w:p>
        </w:tc>
      </w:tr>
      <w:tr>
        <w:trPr>
          <w:trHeight w:val="23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Nominating and Corporate Governance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bl>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Beginning June 2, 2023, each of our non-employee directors received the following pro-rated cash compensation for board services, as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Lead Director:</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23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Audit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Audit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r>
      <w:tr>
        <w:trPr>
          <w:trHeight w:val="23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7,500</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Compensation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15,000</w:t>
            </w:r>
          </w:p>
        </w:tc>
      </w:tr>
      <w:tr>
        <w:trPr>
          <w:trHeight w:val="23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Nominating and Corporate Governance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bl>
    <w:p>
      <w:pPr>
        <w:spacing w:after="0" w:line="127"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6"/>
          <w:szCs w:val="16"/>
          <w:color w:val="auto"/>
        </w:rPr>
        <w:t>The table below sets forth the compensation earned by each of the Company’s independent directors during fiscal year 2023. Dr. Tabuteau, our Chief Executive Officer and Chairman of our Board of Directors, did not receive any compensation from us during our fiscal year ended December 31, 2023 for his service as a director and is not included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Fees Earned</w:t>
            </w:r>
          </w:p>
        </w:tc>
        <w:tc>
          <w:tcPr>
            <w:tcW w:w="160" w:type="dxa"/>
            <w:vAlign w:val="bottom"/>
          </w:tcPr>
          <w:p>
            <w:pPr>
              <w:spacing w:after="0"/>
              <w:rPr>
                <w:sz w:val="12"/>
                <w:szCs w:val="12"/>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400" w:type="dxa"/>
            <w:vAlign w:val="bottom"/>
          </w:tcPr>
          <w:p>
            <w:pPr>
              <w:spacing w:after="0"/>
              <w:rPr>
                <w:sz w:val="12"/>
                <w:szCs w:val="12"/>
                <w:color w:val="auto"/>
              </w:rPr>
            </w:pPr>
          </w:p>
        </w:tc>
      </w:tr>
      <w:tr>
        <w:trPr>
          <w:trHeight w:val="175"/>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5"/>
                <w:szCs w:val="15"/>
                <w:color w:val="auto"/>
              </w:rPr>
            </w:pPr>
          </w:p>
        </w:tc>
        <w:tc>
          <w:tcPr>
            <w:tcW w:w="1420" w:type="dxa"/>
            <w:vAlign w:val="bottom"/>
            <w:tcBorders>
              <w:bottom w:val="single" w:sz="8" w:color="auto"/>
            </w:tcBorders>
          </w:tcPr>
          <w:p>
            <w:pPr>
              <w:jc w:val="right"/>
              <w:ind w:right="377"/>
              <w:spacing w:after="0" w:line="175" w:lineRule="exact"/>
              <w:rPr>
                <w:sz w:val="20"/>
                <w:szCs w:val="20"/>
                <w:color w:val="auto"/>
              </w:rPr>
            </w:pPr>
            <w:r>
              <w:rPr>
                <w:rFonts w:ascii="Times New Roman" w:cs="Times New Roman" w:eastAsia="Times New Roman" w:hAnsi="Times New Roman"/>
                <w:sz w:val="13"/>
                <w:szCs w:val="13"/>
                <w:b w:val="1"/>
                <w:bCs w:val="1"/>
                <w:color w:val="auto"/>
              </w:rPr>
              <w:t>in Cash</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5"/>
                <w:szCs w:val="15"/>
                <w:color w:val="auto"/>
              </w:rPr>
            </w:pPr>
          </w:p>
        </w:tc>
        <w:tc>
          <w:tcPr>
            <w:tcW w:w="14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89"/>
              </w:rPr>
              <w:t>Awards</w:t>
            </w:r>
            <w:r>
              <w:rPr>
                <w:rFonts w:ascii="Times New Roman" w:cs="Times New Roman" w:eastAsia="Times New Roman" w:hAnsi="Times New Roman"/>
                <w:sz w:val="16"/>
                <w:szCs w:val="16"/>
                <w:b w:val="1"/>
                <w:bCs w:val="1"/>
                <w:color w:val="auto"/>
                <w:w w:val="89"/>
                <w:vertAlign w:val="superscript"/>
              </w:rPr>
              <w:t>(2)</w:t>
            </w:r>
          </w:p>
        </w:tc>
        <w:tc>
          <w:tcPr>
            <w:tcW w:w="320" w:type="dxa"/>
            <w:vAlign w:val="bottom"/>
          </w:tcPr>
          <w:p>
            <w:pPr>
              <w:spacing w:after="0"/>
              <w:rPr>
                <w:sz w:val="15"/>
                <w:szCs w:val="15"/>
                <w:color w:val="auto"/>
              </w:rPr>
            </w:pPr>
          </w:p>
        </w:tc>
        <w:tc>
          <w:tcPr>
            <w:tcW w:w="14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Coleman, M.D.</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$102,898</w:t>
            </w:r>
          </w:p>
        </w:tc>
        <w:tc>
          <w:tcPr>
            <w:tcW w:w="1900" w:type="dxa"/>
            <w:vAlign w:val="bottom"/>
            <w:gridSpan w:val="3"/>
            <w:shd w:val="clear" w:color="auto" w:fill="CFF0FC"/>
          </w:tcPr>
          <w:p>
            <w:pPr>
              <w:jc w:val="right"/>
              <w:ind w:right="60"/>
              <w:spacing w:after="0" w:line="223" w:lineRule="exact"/>
              <w:rPr>
                <w:sz w:val="20"/>
                <w:szCs w:val="20"/>
                <w:color w:val="auto"/>
              </w:rPr>
            </w:pPr>
            <w:r>
              <w:rPr>
                <w:rFonts w:ascii="Times New Roman" w:cs="Times New Roman" w:eastAsia="Times New Roman" w:hAnsi="Times New Roman"/>
                <w:sz w:val="16"/>
                <w:szCs w:val="16"/>
                <w:color w:val="auto"/>
              </w:rPr>
              <w:t xml:space="preserve">$324,943 </w:t>
            </w:r>
            <w:r>
              <w:rPr>
                <w:rFonts w:ascii="Times New Roman" w:cs="Times New Roman" w:eastAsia="Times New Roman" w:hAnsi="Times New Roman"/>
                <w:sz w:val="21"/>
                <w:szCs w:val="21"/>
                <w:color w:val="auto"/>
                <w:vertAlign w:val="superscript"/>
              </w:rPr>
              <w:t>(3)(5)</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$427,842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Roger Jeffs, Ph.D.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$75,398</w:t>
            </w:r>
          </w:p>
        </w:tc>
        <w:tc>
          <w:tcPr>
            <w:tcW w:w="1900" w:type="dxa"/>
            <w:vAlign w:val="bottom"/>
            <w:gridSpan w:val="3"/>
          </w:tcPr>
          <w:p>
            <w:pPr>
              <w:jc w:val="right"/>
              <w:ind w:right="60"/>
              <w:spacing w:after="0" w:line="230" w:lineRule="exact"/>
              <w:rPr>
                <w:sz w:val="20"/>
                <w:szCs w:val="20"/>
                <w:color w:val="auto"/>
              </w:rPr>
            </w:pPr>
            <w:r>
              <w:rPr>
                <w:rFonts w:ascii="Times New Roman" w:cs="Times New Roman" w:eastAsia="Times New Roman" w:hAnsi="Times New Roman"/>
                <w:sz w:val="16"/>
                <w:szCs w:val="16"/>
                <w:color w:val="auto"/>
              </w:rPr>
              <w:t xml:space="preserve">$324,943 </w:t>
            </w:r>
            <w:r>
              <w:rPr>
                <w:rFonts w:ascii="Times New Roman" w:cs="Times New Roman" w:eastAsia="Times New Roman" w:hAnsi="Times New Roman"/>
                <w:sz w:val="21"/>
                <w:szCs w:val="21"/>
                <w:color w:val="auto"/>
                <w:vertAlign w:val="superscript"/>
              </w:rPr>
              <w:t>(3)(6)</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$400,342</w:t>
            </w:r>
          </w:p>
        </w:tc>
      </w:tr>
      <w:tr>
        <w:trPr>
          <w:trHeight w:val="230"/>
        </w:trPr>
        <w:tc>
          <w:tcPr>
            <w:tcW w:w="63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Susan Mahony, Ph.D., M.B.A. </w:t>
            </w:r>
            <w:r>
              <w:rPr>
                <w:rFonts w:ascii="Times New Roman" w:cs="Times New Roman" w:eastAsia="Times New Roman" w:hAnsi="Times New Roman"/>
                <w:sz w:val="21"/>
                <w:szCs w:val="21"/>
                <w:color w:val="auto"/>
                <w:vertAlign w:val="superscript"/>
              </w:rPr>
              <w:t>(9)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900" w:type="dxa"/>
            <w:vAlign w:val="bottom"/>
            <w:gridSpan w:val="3"/>
            <w:shd w:val="clear" w:color="auto" w:fill="CFF0FC"/>
          </w:tcPr>
          <w:p>
            <w:pPr>
              <w:jc w:val="right"/>
              <w:ind w:right="60"/>
              <w:spacing w:after="0" w:line="230" w:lineRule="exact"/>
              <w:rPr>
                <w:sz w:val="20"/>
                <w:szCs w:val="20"/>
                <w:color w:val="auto"/>
              </w:rPr>
            </w:pPr>
            <w:r>
              <w:rPr>
                <w:rFonts w:ascii="Times New Roman" w:cs="Times New Roman" w:eastAsia="Times New Roman" w:hAnsi="Times New Roman"/>
                <w:sz w:val="16"/>
                <w:szCs w:val="16"/>
                <w:color w:val="auto"/>
              </w:rPr>
              <w:t xml:space="preserve">$406,200 </w:t>
            </w:r>
            <w:r>
              <w:rPr>
                <w:rFonts w:ascii="Times New Roman" w:cs="Times New Roman" w:eastAsia="Times New Roman" w:hAnsi="Times New Roman"/>
                <w:sz w:val="21"/>
                <w:szCs w:val="21"/>
                <w:color w:val="auto"/>
                <w:vertAlign w:val="superscript"/>
              </w:rPr>
              <w:t>(4)(7)</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$417,477</w:t>
            </w:r>
          </w:p>
        </w:tc>
      </w:tr>
      <w:tr>
        <w:trPr>
          <w:trHeight w:val="28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Saad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$80,398</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$324,943 </w:t>
            </w:r>
            <w:r>
              <w:rPr>
                <w:rFonts w:ascii="Times New Roman" w:cs="Times New Roman" w:eastAsia="Times New Roman" w:hAnsi="Times New Roman"/>
                <w:sz w:val="21"/>
                <w:szCs w:val="21"/>
                <w:color w:val="auto"/>
                <w:vertAlign w:val="superscript"/>
              </w:rPr>
              <w:t>(3)(8)</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9030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95"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members of the board of directors, other than Dr. Coleman, have elected to receive options to purchase our common stock in lieu of the fees earned in cash in 2023. The options have an exercise price equal to the fair market value on the date of the grant. These grants were made in February 2024.</w:t>
      </w:r>
    </w:p>
    <w:p>
      <w:pPr>
        <w:spacing w:after="0" w:line="11" w:lineRule="exact"/>
        <w:rPr>
          <w:rFonts w:ascii="Times New Roman" w:cs="Times New Roman" w:eastAsia="Times New Roman" w:hAnsi="Times New Roman"/>
          <w:sz w:val="13"/>
          <w:szCs w:val="13"/>
          <w:color w:val="auto"/>
        </w:rPr>
      </w:pPr>
    </w:p>
    <w:p>
      <w:pPr>
        <w:jc w:val="both"/>
        <w:ind w:left="380" w:right="20" w:hanging="372"/>
        <w:spacing w:after="0" w:line="232" w:lineRule="auto"/>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 used in the calculation of these amounts are included in Note 2 to our financial statements. These amounts do not reflect the actual economic value that will be realized by the director upon the vesting of the stock options, the exercise of the stock options, or the sale of the common stock underlying such stock options.</w:t>
      </w: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2023, Dr. Coleman, Dr. Jeffs, and Mr. Saad received a grant of 5,681 options each for service as a board member, which options vest in full on the one-year anniversary of the date of grant.</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October 2023, Dr. Mahony received grants totaling 7,375 options for service as a board member. 5,873 options vest annually over three years and 1,502 options vest in full on the one-year anniversary of the date of grant.</w:t>
      </w:r>
    </w:p>
    <w:p>
      <w:pPr>
        <w:spacing w:after="0" w:line="1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Dr. Coleman as of December 31, 2023 is 217,294.</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Dr. Jeffs as of December 31, 2023 is 66,370.</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Dr. Mahony as of December 31, 2023 is 7,375.</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Mr. Saad as of December 31, 2023 is 209,282.</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Mahony joined our board of directors on October 10, 2023.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 Arrangements</w:t>
      </w:r>
    </w:p>
    <w:p>
      <w:pPr>
        <w:spacing w:after="0" w:line="129"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6"/>
          <w:szCs w:val="16"/>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69"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us or our stockholders;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omission not in good faith or that involves intentional misconduct or a knowing violation of law;</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unlawful payments related to dividends or unlawful stock repurchases, redemptions or other distributions; or</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derived an improper personal benefit.</w:t>
      </w:r>
    </w:p>
    <w:p>
      <w:pPr>
        <w:spacing w:after="0" w:line="127" w:lineRule="exact"/>
        <w:rPr>
          <w:sz w:val="20"/>
          <w:szCs w:val="20"/>
          <w:color w:val="auto"/>
        </w:rPr>
      </w:pPr>
    </w:p>
    <w:p>
      <w:pPr>
        <w:ind w:right="40" w:firstLine="374"/>
        <w:spacing w:after="0" w:line="298" w:lineRule="auto"/>
        <w:rPr>
          <w:sz w:val="20"/>
          <w:szCs w:val="20"/>
          <w:color w:val="auto"/>
        </w:rPr>
      </w:pPr>
      <w:r>
        <w:rPr>
          <w:rFonts w:ascii="Times New Roman" w:cs="Times New Roman" w:eastAsia="Times New Roman" w:hAnsi="Times New Roman"/>
          <w:sz w:val="16"/>
          <w:szCs w:val="16"/>
          <w:color w:val="auto"/>
        </w:rPr>
        <w:t>These limitations of liability do not alter director liability under the federal securities laws and do not affect the availability of equitable remedies such as an injunction or rescission.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addition, our amended and restated bylaws provide that:</w:t>
      </w:r>
    </w:p>
    <w:p>
      <w:pPr>
        <w:spacing w:after="0" w:line="12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indemnify our directors, officers and, in the discretion of our Board of Directors, certain employees to the fullest extent permitted by the DGCL; and</w:t>
      </w:r>
    </w:p>
    <w:p>
      <w:pPr>
        <w:spacing w:after="0" w:line="126" w:lineRule="exact"/>
        <w:rPr>
          <w:rFonts w:ascii="Times New Roman" w:cs="Times New Roman" w:eastAsia="Times New Roman" w:hAnsi="Times New Roman"/>
          <w:sz w:val="16"/>
          <w:szCs w:val="16"/>
          <w:color w:val="auto"/>
        </w:rPr>
      </w:pPr>
    </w:p>
    <w:p>
      <w:pPr>
        <w:ind w:left="760" w:right="40" w:hanging="378"/>
        <w:spacing w:after="0" w:line="298" w:lineRule="auto"/>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expenses, including attorneys’ fees, to our directors and, in the discretion of our Board of Directors, to our officers and certain employees, in connection with legal proceedings, subject to limited exceptions.</w:t>
      </w:r>
    </w:p>
    <w:p>
      <w:pPr>
        <w:spacing w:after="0" w:line="56" w:lineRule="exact"/>
        <w:rPr>
          <w:sz w:val="20"/>
          <w:szCs w:val="20"/>
          <w:color w:val="auto"/>
        </w:rPr>
      </w:pPr>
    </w:p>
    <w:p>
      <w:pPr>
        <w:ind w:firstLine="374"/>
        <w:spacing w:after="0" w:line="275" w:lineRule="auto"/>
        <w:rPr>
          <w:sz w:val="20"/>
          <w:szCs w:val="20"/>
          <w:color w:val="auto"/>
        </w:rPr>
      </w:pPr>
      <w:r>
        <w:rPr>
          <w:rFonts w:ascii="Times New Roman" w:cs="Times New Roman" w:eastAsia="Times New Roman" w:hAnsi="Times New Roman"/>
          <w:sz w:val="16"/>
          <w:szCs w:val="16"/>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75"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Communications with the Board of Directors</w:t>
      </w:r>
    </w:p>
    <w:p>
      <w:pPr>
        <w:spacing w:after="0" w:line="129"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The envelope should indicate that it contains a stockholder communication. All such stockholder communications will be forwarded to the director or directors to whom the communications are addressed.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EXECUTIVE OFFICERS &amp; KEY PERSONNEL</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provides information concerning our executive officers and key personnel as of the Record Date:</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Age</w:t>
            </w:r>
          </w:p>
        </w:tc>
        <w:tc>
          <w:tcPr>
            <w:tcW w:w="6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24"/>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1340" w:type="dxa"/>
            <w:vAlign w:val="bottom"/>
            <w:shd w:val="clear" w:color="auto" w:fill="CFF0FC"/>
          </w:tcPr>
          <w:p>
            <w:pPr>
              <w:spacing w:after="0"/>
              <w:rPr>
                <w:sz w:val="19"/>
                <w:szCs w:val="19"/>
                <w:color w:val="auto"/>
              </w:rPr>
            </w:pPr>
          </w:p>
        </w:tc>
        <w:tc>
          <w:tcPr>
            <w:tcW w:w="6980" w:type="dxa"/>
            <w:vAlign w:val="bottom"/>
            <w:shd w:val="clear" w:color="auto" w:fill="CFF0FC"/>
          </w:tcPr>
          <w:p>
            <w:pPr>
              <w:spacing w:after="0"/>
              <w:rPr>
                <w:sz w:val="19"/>
                <w:szCs w:val="19"/>
                <w:color w:val="auto"/>
              </w:rPr>
            </w:pP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3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55</w:t>
            </w:r>
          </w:p>
        </w:tc>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3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6"/>
                <w:szCs w:val="16"/>
                <w:color w:val="auto"/>
              </w:rPr>
              <w:t>49</w:t>
            </w:r>
          </w:p>
        </w:tc>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3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40</w:t>
            </w:r>
          </w:p>
        </w:tc>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3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6"/>
                <w:szCs w:val="16"/>
                <w:color w:val="auto"/>
              </w:rPr>
              <w:t>44</w:t>
            </w:r>
          </w:p>
        </w:tc>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General Counsel</w:t>
            </w:r>
          </w:p>
        </w:tc>
      </w:tr>
      <w:tr>
        <w:trPr>
          <w:trHeight w:val="222"/>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Key Personnel</w:t>
            </w:r>
          </w:p>
        </w:tc>
        <w:tc>
          <w:tcPr>
            <w:tcW w:w="1340" w:type="dxa"/>
            <w:vAlign w:val="bottom"/>
          </w:tcPr>
          <w:p>
            <w:pPr>
              <w:spacing w:after="0"/>
              <w:rPr>
                <w:sz w:val="19"/>
                <w:szCs w:val="19"/>
                <w:color w:val="auto"/>
              </w:rPr>
            </w:pPr>
          </w:p>
        </w:tc>
        <w:tc>
          <w:tcPr>
            <w:tcW w:w="6980" w:type="dxa"/>
            <w:vAlign w:val="bottom"/>
          </w:tcPr>
          <w:p>
            <w:pPr>
              <w:spacing w:after="0"/>
              <w:rPr>
                <w:sz w:val="19"/>
                <w:szCs w:val="19"/>
                <w:color w:val="auto"/>
              </w:rPr>
            </w:pPr>
          </w:p>
        </w:tc>
      </w:tr>
      <w:tr>
        <w:trPr>
          <w:trHeight w:val="237"/>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Lori Englebert, M.B.A.</w:t>
            </w:r>
          </w:p>
        </w:tc>
        <w:tc>
          <w:tcPr>
            <w:tcW w:w="13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6"/>
                <w:szCs w:val="16"/>
                <w:color w:val="auto"/>
              </w:rPr>
              <w:t>46</w:t>
            </w:r>
          </w:p>
        </w:tc>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Executive Vice President, Product Strategy</w:t>
            </w: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 Maizel</w:t>
            </w:r>
          </w:p>
        </w:tc>
        <w:tc>
          <w:tcPr>
            <w:tcW w:w="13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45</w:t>
            </w:r>
          </w:p>
        </w:tc>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Executive Vice President, Head of Commercial</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 xml:space="preserve">Herriot Tabuteau, M.D. </w:t>
      </w:r>
      <w:r>
        <w:rPr>
          <w:rFonts w:ascii="Times New Roman" w:cs="Times New Roman" w:eastAsia="Times New Roman" w:hAnsi="Times New Roman"/>
          <w:sz w:val="16"/>
          <w:szCs w:val="16"/>
          <w:color w:val="auto"/>
        </w:rPr>
        <w:t>Please see Dr. Tabuteau’s biography in this proxy statement under the section entitled “Nominees for Class III Directors for a Term Expiring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w:t>
      </w:r>
    </w:p>
    <w:p>
      <w:pPr>
        <w:spacing w:after="0" w:line="117" w:lineRule="exact"/>
        <w:rPr>
          <w:sz w:val="20"/>
          <w:szCs w:val="20"/>
          <w:color w:val="auto"/>
        </w:rPr>
      </w:pPr>
    </w:p>
    <w:p>
      <w:pPr>
        <w:ind w:right="14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Nick Pizzie, C.P.A., M.B.A. </w:t>
      </w:r>
      <w:r>
        <w:rPr>
          <w:rFonts w:ascii="Times New Roman" w:cs="Times New Roman" w:eastAsia="Times New Roman" w:hAnsi="Times New Roman"/>
          <w:sz w:val="16"/>
          <w:szCs w:val="16"/>
          <w:color w:val="auto"/>
        </w:rPr>
        <w:t>Mr. Pizzie has served as our Chief Financial Officer since May 2018. Prior to joining Axsome, from May 2013 to May 2018, Mr. Pizzie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the Vice President and Chief Financial Officer of Pierre Fabre USA, the U.S. affiliate of Pierre Fabre. Previously, he was Senior Finance Director at Immucor. Prior to Immucor, he held positions of increasing responsibility in finance and accounting at Merck and Pfizer. Mr. Pizzie began his career at Arthur Andersen. He earned his Bachelor of Science in Accounting, Bachelor of Arts in Economics, and Master of Business Administration in Finance, and Supply Chain Logistics, from Rutgers University.</w:t>
      </w:r>
    </w:p>
    <w:p>
      <w:pPr>
        <w:spacing w:after="0" w:line="74" w:lineRule="exact"/>
        <w:rPr>
          <w:sz w:val="20"/>
          <w:szCs w:val="20"/>
          <w:color w:val="auto"/>
        </w:rPr>
      </w:pPr>
    </w:p>
    <w:p>
      <w:pPr>
        <w:ind w:right="8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Mark Jacobson, M.A. </w:t>
      </w:r>
      <w:r>
        <w:rPr>
          <w:rFonts w:ascii="Times New Roman" w:cs="Times New Roman" w:eastAsia="Times New Roman" w:hAnsi="Times New Roman"/>
          <w:sz w:val="16"/>
          <w:szCs w:val="16"/>
          <w:color w:val="auto"/>
        </w:rPr>
        <w:t>Mr. Jacobson has served as our Chief Operating Officer since March 2020. Prior to serving as our Chief Operating Officer, Mr. Jacobson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our Senior Vice President, Operations since September 2017 and has been a member of our company since April 2014. Prior to joining our company, Mr. Jacobson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74" w:lineRule="exact"/>
        <w:rPr>
          <w:sz w:val="20"/>
          <w:szCs w:val="20"/>
          <w:color w:val="auto"/>
        </w:rPr>
      </w:pPr>
    </w:p>
    <w:p>
      <w:pPr>
        <w:ind w:right="10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Hunter Murdock, Esq. </w:t>
      </w:r>
      <w:r>
        <w:rPr>
          <w:rFonts w:ascii="Times New Roman" w:cs="Times New Roman" w:eastAsia="Times New Roman" w:hAnsi="Times New Roman"/>
          <w:sz w:val="16"/>
          <w:szCs w:val="16"/>
          <w:color w:val="auto"/>
        </w:rPr>
        <w:t>Mr. Murdock has served as our General Counsel since June 2022. Prior to serving as our General Counsel, Mr. Murdock served as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Vice President, Legal and Compliance from December 2021. Mr. Murdock started his legal career in private practice as an associate at White &amp; Case LLP and subsequently was an associate and then partner of Kirkland &amp; Ellis LLP. Mr. Murdock then served in various in-house counsel leadership positions of progressive responsibility within the pharmaceutical industry, most recently as the Vice President, General Counsel of Aurobindo Pharma USA, Inc. and Acrotech Biopharma LLC. He earned his BBA from the University of Wisconsin-Madison and JD from Georgetown University Law Center.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Personnel</w:t>
      </w:r>
    </w:p>
    <w:p>
      <w:pPr>
        <w:spacing w:after="0" w:line="127" w:lineRule="exact"/>
        <w:rPr>
          <w:sz w:val="20"/>
          <w:szCs w:val="20"/>
          <w:color w:val="auto"/>
        </w:rPr>
      </w:pPr>
    </w:p>
    <w:p>
      <w:pPr>
        <w:ind w:right="80" w:firstLine="374"/>
        <w:spacing w:after="0" w:line="276" w:lineRule="auto"/>
        <w:rPr>
          <w:sz w:val="20"/>
          <w:szCs w:val="20"/>
          <w:color w:val="auto"/>
        </w:rPr>
      </w:pPr>
      <w:r>
        <w:rPr>
          <w:rFonts w:ascii="Times New Roman" w:cs="Times New Roman" w:eastAsia="Times New Roman" w:hAnsi="Times New Roman"/>
          <w:sz w:val="16"/>
          <w:szCs w:val="16"/>
          <w:i w:val="1"/>
          <w:iCs w:val="1"/>
          <w:color w:val="auto"/>
        </w:rPr>
        <w:t xml:space="preserve">Lori Englebert, M.B.A. </w:t>
      </w:r>
      <w:r>
        <w:rPr>
          <w:rFonts w:ascii="Times New Roman" w:cs="Times New Roman" w:eastAsia="Times New Roman" w:hAnsi="Times New Roman"/>
          <w:sz w:val="16"/>
          <w:szCs w:val="16"/>
          <w:color w:val="auto"/>
        </w:rPr>
        <w:t>Ms. Englebert has served as our Executive Vice President, Product Strategy since October 2023 and has been a member of our management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team since September 2019. Prior to joining us, Ms. Englebert spent 11 years at Amgen where she held leadership positions in commercial, corporate strategy, and business development, including responsibility for multiple commercial product launches. Before Amgen, Ms. Englebert started her career at Novartis where she held positions of increasing responsibility in corporate strategy. She earned her Bachelor of Arts and Master of Business Administration from Wake Forest University.</w:t>
      </w:r>
    </w:p>
    <w:p>
      <w:pPr>
        <w:spacing w:after="0" w:line="72"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Ari Maizel. </w:t>
      </w:r>
      <w:r>
        <w:rPr>
          <w:rFonts w:ascii="Times New Roman" w:cs="Times New Roman" w:eastAsia="Times New Roman" w:hAnsi="Times New Roman"/>
          <w:sz w:val="16"/>
          <w:szCs w:val="16"/>
          <w:color w:val="auto"/>
        </w:rPr>
        <w:t>Mr. Maizel has served as our Executive Vice President, Head of Commercial since October 2023. Prior to joining Axsome, Mr. Maizel was the Vice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President, U.S. Psychiatry at AbbVie where he oversaw sales and marketing for a multibillion-dollar franchise. Mr. Maizel held positions of increasing responsibility in sales and marketing throughout his career at AbbVie (formerly Allergan), Dendreon Corporation, and Johnson &amp; Johnson across a range of therapeutic areas, including CNS, immunology, oncology, gastroenterology, and women’s health. Mr. Maizel began his career at ArrowPath Venture Partners, an early-stage technology investment fund, and was a strategy consultant with Sg2, supporting hospitals and health systems around the world. He earned his Bachelor of Arts in Finance from the George Washington University and Master of Business Administration from Duke University.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 of Executive Compensation Program</w:t>
      </w:r>
    </w:p>
    <w:p>
      <w:pPr>
        <w:spacing w:after="0" w:line="129" w:lineRule="exact"/>
        <w:rPr>
          <w:sz w:val="20"/>
          <w:szCs w:val="20"/>
          <w:color w:val="auto"/>
        </w:rPr>
      </w:pPr>
    </w:p>
    <w:p>
      <w:pPr>
        <w:ind w:right="880" w:firstLine="374"/>
        <w:spacing w:after="0" w:line="298" w:lineRule="auto"/>
        <w:rPr>
          <w:sz w:val="20"/>
          <w:szCs w:val="20"/>
          <w:color w:val="auto"/>
        </w:rPr>
      </w:pPr>
      <w:r>
        <w:rPr>
          <w:rFonts w:ascii="Times New Roman" w:cs="Times New Roman" w:eastAsia="Times New Roman" w:hAnsi="Times New Roman"/>
          <w:sz w:val="16"/>
          <w:szCs w:val="16"/>
          <w:color w:val="auto"/>
        </w:rPr>
        <w:t>This section explains the objectives of our named executive officer (“NEO”) compensation program, the compensation decisions we made with respect to compensation for our fiscal year ended December 31, 2023, and the factors we considered in making those decisions. The NEOs for fiscal year 2023 include: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24"/>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40" w:type="dxa"/>
            <w:vAlign w:val="bottom"/>
            <w:shd w:val="clear" w:color="auto" w:fill="CFF0FC"/>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4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3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40" w:type="dxa"/>
            <w:vAlign w:val="bottom"/>
            <w:shd w:val="clear" w:color="auto" w:fill="CFF0FC"/>
          </w:tcPr>
          <w:p>
            <w:pPr>
              <w:spacing w:after="0"/>
              <w:rPr>
                <w:sz w:val="20"/>
                <w:szCs w:val="20"/>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209550</wp:posOffset>
            </wp:positionV>
            <wp:extent cx="5349240" cy="44316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Policies and Practices at a Glance</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executing our compensation program and determining executive compensation, we are guided by our executive compensation best practices:</w:t>
      </w:r>
    </w:p>
    <w:p>
      <w:pPr>
        <w:sectPr>
          <w:pgSz w:w="11900" w:h="16838" w:orient="portrait"/>
          <w:cols w:equalWidth="0" w:num="1">
            <w:col w:w="11140"/>
          </w:cols>
          <w:pgMar w:left="320" w:top="769" w:right="4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801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2" w:lineRule="exact"/>
        <w:rPr>
          <w:sz w:val="20"/>
          <w:szCs w:val="20"/>
          <w:color w:val="auto"/>
        </w:rPr>
      </w:pPr>
    </w:p>
    <w:p>
      <w:pPr>
        <w:ind w:left="180" w:right="40" w:hanging="159"/>
        <w:spacing w:after="0" w:line="285" w:lineRule="auto"/>
        <w:tabs>
          <w:tab w:leader="none" w:pos="18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Practice pay-for-performance, under which a significant percentage of our NEO compensation is at-risk and may not be realized if corporate and individual performance goals are not achieved</w:t>
      </w:r>
    </w:p>
    <w:p>
      <w:pPr>
        <w:spacing w:after="0" w:line="19" w:lineRule="exact"/>
        <w:rPr>
          <w:rFonts w:ascii="MS PGothic" w:cs="MS PGothic" w:eastAsia="MS PGothic" w:hAnsi="MS PGothic"/>
          <w:sz w:val="15"/>
          <w:szCs w:val="15"/>
          <w:color w:val="auto"/>
        </w:rPr>
      </w:pPr>
    </w:p>
    <w:p>
      <w:pPr>
        <w:ind w:left="180" w:hanging="159"/>
        <w:spacing w:after="0"/>
        <w:tabs>
          <w:tab w:leader="none" w:pos="18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Set challenging incentive plan goals</w:t>
      </w:r>
    </w:p>
    <w:p>
      <w:pPr>
        <w:spacing w:after="0" w:line="70" w:lineRule="exact"/>
        <w:rPr>
          <w:rFonts w:ascii="MS PGothic" w:cs="MS PGothic" w:eastAsia="MS PGothic" w:hAnsi="MS PGothic"/>
          <w:sz w:val="15"/>
          <w:szCs w:val="15"/>
          <w:color w:val="auto"/>
        </w:rPr>
      </w:pPr>
    </w:p>
    <w:p>
      <w:pPr>
        <w:ind w:left="180" w:hanging="159"/>
        <w:spacing w:after="0" w:line="287" w:lineRule="auto"/>
        <w:tabs>
          <w:tab w:leader="none" w:pos="18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Annually review our peer group companies and their pay practices to align our executive compensation program with the market</w:t>
      </w:r>
    </w:p>
    <w:p>
      <w:pPr>
        <w:spacing w:after="0" w:line="32" w:lineRule="exact"/>
        <w:rPr>
          <w:rFonts w:ascii="MS PGothic" w:cs="MS PGothic" w:eastAsia="MS PGothic" w:hAnsi="MS PGothic"/>
          <w:sz w:val="15"/>
          <w:szCs w:val="15"/>
          <w:color w:val="auto"/>
        </w:rPr>
      </w:pPr>
    </w:p>
    <w:p>
      <w:pPr>
        <w:ind w:left="180" w:right="400" w:hanging="159"/>
        <w:spacing w:after="0" w:line="287" w:lineRule="auto"/>
        <w:tabs>
          <w:tab w:leader="none" w:pos="18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Offer market-competitive benefits for NEOs that are consistent with the rest of our employees</w:t>
      </w:r>
    </w:p>
    <w:p>
      <w:pPr>
        <w:spacing w:after="0" w:line="19" w:lineRule="exact"/>
        <w:rPr>
          <w:rFonts w:ascii="MS PGothic" w:cs="MS PGothic" w:eastAsia="MS PGothic" w:hAnsi="MS PGothic"/>
          <w:sz w:val="15"/>
          <w:szCs w:val="15"/>
          <w:color w:val="auto"/>
        </w:rPr>
      </w:pPr>
    </w:p>
    <w:p>
      <w:pPr>
        <w:ind w:left="180" w:hanging="159"/>
        <w:spacing w:after="0"/>
        <w:tabs>
          <w:tab w:leader="none" w:pos="18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Having a pre-established grant date practice for approving executive officer’s equity pay</w:t>
      </w:r>
    </w:p>
    <w:p>
      <w:pPr>
        <w:spacing w:after="0" w:line="70" w:lineRule="exact"/>
        <w:rPr>
          <w:rFonts w:ascii="MS PGothic" w:cs="MS PGothic" w:eastAsia="MS PGothic" w:hAnsi="MS PGothic"/>
          <w:sz w:val="15"/>
          <w:szCs w:val="15"/>
          <w:color w:val="auto"/>
        </w:rPr>
      </w:pPr>
    </w:p>
    <w:p>
      <w:pPr>
        <w:ind w:left="180" w:hanging="159"/>
        <w:spacing w:after="0"/>
        <w:tabs>
          <w:tab w:leader="none" w:pos="18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an independent Compensation Committee</w:t>
      </w:r>
    </w:p>
    <w:p>
      <w:pPr>
        <w:spacing w:after="0" w:line="70" w:lineRule="exact"/>
        <w:rPr>
          <w:rFonts w:ascii="MS PGothic" w:cs="MS PGothic" w:eastAsia="MS PGothic" w:hAnsi="MS PGothic"/>
          <w:sz w:val="15"/>
          <w:szCs w:val="15"/>
          <w:color w:val="auto"/>
        </w:rPr>
      </w:pPr>
    </w:p>
    <w:p>
      <w:pPr>
        <w:ind w:left="180" w:hanging="159"/>
        <w:spacing w:after="0"/>
        <w:tabs>
          <w:tab w:leader="none" w:pos="18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Consult with an independent compensation advisor on compensation levels and practices</w:t>
      </w:r>
    </w:p>
    <w:p>
      <w:pPr>
        <w:spacing w:after="0" w:line="63" w:lineRule="exact"/>
        <w:rPr>
          <w:rFonts w:ascii="MS PGothic" w:cs="MS PGothic" w:eastAsia="MS PGothic" w:hAnsi="MS PGothic"/>
          <w:sz w:val="15"/>
          <w:szCs w:val="15"/>
          <w:color w:val="auto"/>
        </w:rPr>
      </w:pPr>
    </w:p>
    <w:p>
      <w:pPr>
        <w:ind w:left="180" w:hanging="159"/>
        <w:spacing w:after="0"/>
        <w:tabs>
          <w:tab w:leader="none" w:pos="180" w:val="left"/>
        </w:tabs>
        <w:numPr>
          <w:ilvl w:val="0"/>
          <w:numId w:val="4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clawback and forfeiture provisions on our incentive awards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Objectives and Philosophy</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NEO compensation program is designed principally to: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2" w:lineRule="exact"/>
        <w:rPr>
          <w:sz w:val="20"/>
          <w:szCs w:val="20"/>
          <w:color w:val="auto"/>
        </w:rPr>
      </w:pPr>
    </w:p>
    <w:p>
      <w:pPr>
        <w:ind w:left="140" w:hanging="137"/>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Executives are prohibited from hedging or pledging our stock</w:t>
      </w:r>
    </w:p>
    <w:p>
      <w:pPr>
        <w:spacing w:after="0" w:line="45" w:lineRule="exact"/>
        <w:rPr>
          <w:rFonts w:ascii="Times New Roman" w:cs="Times New Roman" w:eastAsia="Times New Roman" w:hAnsi="Times New Roman"/>
          <w:sz w:val="16"/>
          <w:szCs w:val="16"/>
          <w:color w:val="auto"/>
        </w:rPr>
      </w:pPr>
    </w:p>
    <w:p>
      <w:pPr>
        <w:ind w:left="140" w:right="80" w:hanging="137"/>
        <w:spacing w:after="0" w:line="290"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Committee’s independent consultant performs no other work for the Company</w:t>
      </w:r>
    </w:p>
    <w:p>
      <w:pPr>
        <w:ind w:left="140" w:hanging="137"/>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guaranteed annual bonuses or guaranteed salary increases</w:t>
      </w:r>
    </w:p>
    <w:p>
      <w:pPr>
        <w:spacing w:after="0" w:line="59" w:lineRule="exact"/>
        <w:rPr>
          <w:rFonts w:ascii="Times New Roman" w:cs="Times New Roman" w:eastAsia="Times New Roman" w:hAnsi="Times New Roman"/>
          <w:sz w:val="16"/>
          <w:szCs w:val="16"/>
          <w:color w:val="auto"/>
        </w:rPr>
      </w:pPr>
    </w:p>
    <w:p>
      <w:pPr>
        <w:ind w:left="140" w:right="340" w:hanging="137"/>
        <w:spacing w:after="0" w:line="281"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severance benefits can be triggered automatically upon a change in control (i.e. all change in control provisions are “double trigger”)</w:t>
      </w:r>
    </w:p>
    <w:p>
      <w:pPr>
        <w:spacing w:after="0" w:line="1" w:lineRule="exact"/>
        <w:rPr>
          <w:rFonts w:ascii="Times New Roman" w:cs="Times New Roman" w:eastAsia="Times New Roman" w:hAnsi="Times New Roman"/>
          <w:sz w:val="16"/>
          <w:szCs w:val="16"/>
          <w:color w:val="auto"/>
        </w:rPr>
      </w:pPr>
    </w:p>
    <w:p>
      <w:pPr>
        <w:ind w:left="140" w:hanging="137"/>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excise tax gross-ups for any change-in-control payments</w:t>
      </w:r>
    </w:p>
    <w:p>
      <w:pPr>
        <w:spacing w:after="0" w:line="59" w:lineRule="exact"/>
        <w:rPr>
          <w:rFonts w:ascii="Times New Roman" w:cs="Times New Roman" w:eastAsia="Times New Roman" w:hAnsi="Times New Roman"/>
          <w:sz w:val="16"/>
          <w:szCs w:val="16"/>
          <w:color w:val="auto"/>
        </w:rPr>
      </w:pPr>
    </w:p>
    <w:p>
      <w:pPr>
        <w:ind w:left="140" w:hanging="137"/>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Repricing of stock options is prohibited without shareholder approval</w:t>
      </w:r>
    </w:p>
    <w:p>
      <w:pPr>
        <w:spacing w:after="0" w:line="59" w:lineRule="exact"/>
        <w:rPr>
          <w:rFonts w:ascii="Times New Roman" w:cs="Times New Roman" w:eastAsia="Times New Roman" w:hAnsi="Times New Roman"/>
          <w:sz w:val="16"/>
          <w:szCs w:val="16"/>
          <w:color w:val="auto"/>
        </w:rPr>
      </w:pPr>
    </w:p>
    <w:p>
      <w:pPr>
        <w:ind w:left="140" w:right="80" w:hanging="137"/>
        <w:spacing w:after="0" w:line="281" w:lineRule="auto"/>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excessive personal perquisites, such as automobile leases, country club memberships or personal use of aircraft</w:t>
      </w:r>
    </w:p>
    <w:p>
      <w:pPr>
        <w:spacing w:after="0" w:line="1" w:lineRule="exact"/>
        <w:rPr>
          <w:rFonts w:ascii="Times New Roman" w:cs="Times New Roman" w:eastAsia="Times New Roman" w:hAnsi="Times New Roman"/>
          <w:sz w:val="16"/>
          <w:szCs w:val="16"/>
          <w:color w:val="auto"/>
        </w:rPr>
      </w:pPr>
    </w:p>
    <w:p>
      <w:pPr>
        <w:ind w:left="140" w:hanging="137"/>
        <w:spacing w:after="0"/>
        <w:tabs>
          <w:tab w:leader="none" w:pos="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supplemental executive retirement plans</w:t>
      </w:r>
    </w:p>
    <w:p>
      <w:pPr>
        <w:spacing w:after="0" w:line="963" w:lineRule="exact"/>
        <w:rPr>
          <w:sz w:val="20"/>
          <w:szCs w:val="20"/>
          <w:color w:val="auto"/>
        </w:rPr>
      </w:pPr>
    </w:p>
    <w:p>
      <w:pPr>
        <w:sectPr>
          <w:pgSz w:w="11900" w:h="16838" w:orient="portrait"/>
          <w:cols w:equalWidth="0" w:num="2">
            <w:col w:w="5940" w:space="140"/>
            <w:col w:w="5060"/>
          </w:cols>
          <w:pgMar w:left="320" w:top="769" w:right="439" w:bottom="1440" w:gutter="0" w:footer="0" w:header="0"/>
          <w:type w:val="continuous"/>
        </w:sectPr>
      </w:pPr>
    </w:p>
    <w:p>
      <w:pPr>
        <w:ind w:left="1020" w:hanging="503"/>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motivate, and retain talented and dedicated NEOs;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correlate annual cash bonuses to the achievement of operational and financial objectives; and</w:t>
      </w:r>
    </w:p>
    <w:p>
      <w:pPr>
        <w:spacing w:after="0" w:line="126" w:lineRule="exact"/>
        <w:rPr>
          <w:rFonts w:ascii="Times New Roman" w:cs="Times New Roman" w:eastAsia="Times New Roman" w:hAnsi="Times New Roman"/>
          <w:sz w:val="16"/>
          <w:szCs w:val="16"/>
          <w:color w:val="auto"/>
        </w:rPr>
      </w:pPr>
    </w:p>
    <w:p>
      <w:pPr>
        <w:ind w:left="1020" w:right="380" w:hanging="503"/>
        <w:spacing w:after="0" w:line="298"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our NEOs with appropriate long-term incentives that directly correlate to the enhancement of stockholder value, as well as facilitate executive retention.</w:t>
      </w:r>
    </w:p>
    <w:p>
      <w:pPr>
        <w:spacing w:after="0" w:line="56"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6"/>
          <w:szCs w:val="16"/>
          <w:color w:val="auto"/>
        </w:rPr>
        <w:t>To achieve these objectives, we establish (i) annual base salaries at levels that we believe are competitive with base salaries of executive officers in other comparable publicly-held biopharmaceutical companies, (ii) annual cash bonus opportunities based on the achievement of key operational, commercial, clinical strategic and other performance goals, and (iii) grant annual equity awards as a retention tool and to align the NEOs’ long-term interests with those of our stockholders. Our Compensation Committee does not have any formal policies for allocating compensation among the foregoing three components. Rather, our Compensation Committee uses its judgment to determine the appropriate level and mix of compensation on an annual basis with the goal to balance current cash compensation with equity awards to reward both short-term and long-term performance.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Roles and Responsibilities</w:t>
      </w:r>
    </w:p>
    <w:p>
      <w:pPr>
        <w:spacing w:after="0" w:line="129" w:lineRule="exact"/>
        <w:rPr>
          <w:sz w:val="20"/>
          <w:szCs w:val="20"/>
          <w:color w:val="auto"/>
        </w:rPr>
      </w:pPr>
    </w:p>
    <w:p>
      <w:pPr>
        <w:jc w:val="both"/>
        <w:ind w:right="200" w:firstLine="374"/>
        <w:spacing w:after="0" w:line="281" w:lineRule="auto"/>
        <w:rPr>
          <w:sz w:val="20"/>
          <w:szCs w:val="20"/>
          <w:color w:val="auto"/>
        </w:rPr>
      </w:pPr>
      <w:r>
        <w:rPr>
          <w:rFonts w:ascii="Times New Roman" w:cs="Times New Roman" w:eastAsia="Times New Roman" w:hAnsi="Times New Roman"/>
          <w:sz w:val="16"/>
          <w:szCs w:val="16"/>
          <w:color w:val="auto"/>
        </w:rPr>
        <w:t>The Compensation Committee has engaged Frederic W. Cook &amp; Co., Inc. (“FW Cook”) as its independent compensation consultant. The Compensation Committee, FW Cook, and our CEO participated in a collaborative process to determine the compensation that our NEOs were granted and earned in 2023 (with the exception of our CEO’s compensation, which was evaluated solely by the Compensation Committee, based upon the advice of FW Cook):</w:t>
      </w:r>
    </w:p>
    <w:p>
      <w:pPr>
        <w:spacing w:after="0" w:line="76" w:lineRule="exact"/>
        <w:rPr>
          <w:sz w:val="20"/>
          <w:szCs w:val="20"/>
          <w:color w:val="auto"/>
        </w:rPr>
      </w:pPr>
    </w:p>
    <w:p>
      <w:pPr>
        <w:ind w:left="80"/>
        <w:spacing w:after="0"/>
        <w:tabs>
          <w:tab w:leader="none" w:pos="3540" w:val="left"/>
        </w:tabs>
        <w:rPr>
          <w:sz w:val="20"/>
          <w:szCs w:val="20"/>
          <w:color w:val="auto"/>
        </w:rPr>
      </w:pPr>
      <w:r>
        <w:rPr>
          <w:rFonts w:ascii="Times New Roman" w:cs="Times New Roman" w:eastAsia="Times New Roman" w:hAnsi="Times New Roman"/>
          <w:sz w:val="13"/>
          <w:szCs w:val="13"/>
          <w:b w:val="1"/>
          <w:bCs w:val="1"/>
          <w:color w:val="auto"/>
        </w:rPr>
        <w:t>Responsible Party</w:t>
      </w:r>
      <w:r>
        <w:rPr>
          <w:sz w:val="20"/>
          <w:szCs w:val="20"/>
          <w:color w:val="auto"/>
        </w:rPr>
        <w:tab/>
      </w:r>
      <w:r>
        <w:rPr>
          <w:rFonts w:ascii="Times New Roman" w:cs="Times New Roman" w:eastAsia="Times New Roman" w:hAnsi="Times New Roman"/>
          <w:sz w:val="12"/>
          <w:szCs w:val="12"/>
          <w:b w:val="1"/>
          <w:bCs w:val="1"/>
          <w:color w:val="auto"/>
        </w:rPr>
        <w:t>Primary Role and Responsibilities Relating to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46" w:lineRule="exact"/>
        <w:rPr>
          <w:sz w:val="20"/>
          <w:szCs w:val="20"/>
          <w:color w:val="auto"/>
        </w:rPr>
      </w:pPr>
    </w:p>
    <w:p>
      <w:pPr>
        <w:ind w:left="80"/>
        <w:spacing w:after="0" w:line="278" w:lineRule="auto"/>
        <w:rPr>
          <w:sz w:val="20"/>
          <w:szCs w:val="20"/>
          <w:color w:val="auto"/>
        </w:rPr>
      </w:pPr>
      <w:r>
        <w:rPr>
          <w:rFonts w:ascii="Times New Roman" w:cs="Times New Roman" w:eastAsia="Times New Roman" w:hAnsi="Times New Roman"/>
          <w:sz w:val="16"/>
          <w:szCs w:val="16"/>
          <w:color w:val="auto"/>
        </w:rPr>
        <w:t>Compensation Committee (composed solely of independent, non-employee Directors and reports to the Board)</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340" w:right="200" w:firstLine="45"/>
        <w:spacing w:after="0" w:line="269" w:lineRule="auto"/>
        <w:rPr>
          <w:sz w:val="20"/>
          <w:szCs w:val="20"/>
          <w:color w:val="auto"/>
        </w:rPr>
      </w:pPr>
      <w:r>
        <w:rPr>
          <w:rFonts w:ascii="Times New Roman" w:cs="Times New Roman" w:eastAsia="Times New Roman" w:hAnsi="Times New Roman"/>
          <w:sz w:val="16"/>
          <w:szCs w:val="16"/>
          <w:color w:val="auto"/>
        </w:rPr>
        <w:t>Oversees the executive compensation program, policies, and practices, taking into account business goals and strategies, legal and regulatory developments, and evolving best practices;</w:t>
      </w:r>
    </w:p>
    <w:p>
      <w:pPr>
        <w:spacing w:after="0"/>
        <w:rPr>
          <w:sz w:val="20"/>
          <w:szCs w:val="20"/>
          <w:color w:val="auto"/>
        </w:rPr>
      </w:pPr>
      <w:r>
        <w:rPr>
          <w:rFonts w:ascii="Times New Roman" w:cs="Times New Roman" w:eastAsia="Times New Roman" w:hAnsi="Times New Roman"/>
          <w:sz w:val="16"/>
          <w:szCs w:val="16"/>
          <w:color w:val="auto"/>
        </w:rPr>
        <w:t>Approves performance goals for purposes of compensation decisions for the NEOs;</w:t>
      </w:r>
    </w:p>
    <w:p>
      <w:pPr>
        <w:spacing w:after="0" w:line="24" w:lineRule="exact"/>
        <w:rPr>
          <w:sz w:val="20"/>
          <w:szCs w:val="20"/>
          <w:color w:val="auto"/>
        </w:rPr>
      </w:pPr>
    </w:p>
    <w:p>
      <w:pPr>
        <w:ind w:left="340" w:right="760" w:firstLine="45"/>
        <w:spacing w:after="0" w:line="269" w:lineRule="auto"/>
        <w:rPr>
          <w:sz w:val="20"/>
          <w:szCs w:val="20"/>
          <w:color w:val="auto"/>
        </w:rPr>
      </w:pPr>
      <w:r>
        <w:rPr>
          <w:rFonts w:ascii="Times New Roman" w:cs="Times New Roman" w:eastAsia="Times New Roman" w:hAnsi="Times New Roman"/>
          <w:sz w:val="16"/>
          <w:szCs w:val="16"/>
          <w:color w:val="auto"/>
        </w:rPr>
        <w:t>Conducts an annual evaluation of the CEO’s performance in consultation with the full Board and determines his compensation;</w:t>
      </w:r>
    </w:p>
    <w:p>
      <w:pPr>
        <w:ind w:left="340" w:right="520" w:firstLine="45"/>
        <w:spacing w:after="0" w:line="267" w:lineRule="auto"/>
        <w:rPr>
          <w:sz w:val="20"/>
          <w:szCs w:val="20"/>
          <w:color w:val="auto"/>
        </w:rPr>
      </w:pPr>
      <w:r>
        <w:rPr>
          <w:rFonts w:ascii="Times New Roman" w:cs="Times New Roman" w:eastAsia="Times New Roman" w:hAnsi="Times New Roman"/>
          <w:sz w:val="16"/>
          <w:szCs w:val="16"/>
          <w:color w:val="auto"/>
        </w:rPr>
        <w:t>Reviews and approves the CEO’s recommendations for compensation for the other NEOs and senior executives, making changes when deemed appropriate;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Approves all changes to the composition of the peer group;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Reviews and makes recommendations to the Board with respect to Director compensation.</w:t>
      </w:r>
    </w:p>
    <w:p>
      <w:pPr>
        <w:spacing w:after="0" w:line="159" w:lineRule="exact"/>
        <w:rPr>
          <w:sz w:val="20"/>
          <w:szCs w:val="20"/>
          <w:color w:val="auto"/>
        </w:rPr>
      </w:pPr>
    </w:p>
    <w:p>
      <w:pPr>
        <w:sectPr>
          <w:pgSz w:w="11900" w:h="16838" w:orient="portrait"/>
          <w:cols w:equalWidth="0" w:num="2">
            <w:col w:w="3280" w:space="540"/>
            <w:col w:w="7420"/>
          </w:cols>
          <w:pgMar w:left="320" w:top="769" w:right="339" w:bottom="1440" w:gutter="0" w:footer="0" w:header="0"/>
          <w:type w:val="continuous"/>
        </w:sectPr>
      </w:pPr>
    </w:p>
    <w:p>
      <w:pPr>
        <w:ind w:left="80" w:right="100"/>
        <w:spacing w:after="0" w:line="288" w:lineRule="auto"/>
        <w:rPr>
          <w:sz w:val="20"/>
          <w:szCs w:val="20"/>
          <w:color w:val="auto"/>
        </w:rPr>
      </w:pPr>
      <w:r>
        <w:rPr>
          <w:rFonts w:ascii="Times New Roman" w:cs="Times New Roman" w:eastAsia="Times New Roman" w:hAnsi="Times New Roman"/>
          <w:sz w:val="16"/>
          <w:szCs w:val="16"/>
          <w:color w:val="auto"/>
        </w:rPr>
        <w:t>Independent Consultant to the Compensation Committee (FW Cook)</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br w:type="column"/>
      </w:r>
    </w:p>
    <w:p>
      <w:pPr>
        <w:ind w:left="340" w:right="40" w:firstLine="45"/>
        <w:spacing w:after="0" w:line="270" w:lineRule="auto"/>
        <w:rPr>
          <w:sz w:val="20"/>
          <w:szCs w:val="20"/>
          <w:color w:val="auto"/>
        </w:rPr>
      </w:pPr>
      <w:r>
        <w:rPr>
          <w:rFonts w:ascii="Times New Roman" w:cs="Times New Roman" w:eastAsia="Times New Roman" w:hAnsi="Times New Roman"/>
          <w:sz w:val="16"/>
          <w:szCs w:val="16"/>
          <w:color w:val="auto"/>
        </w:rPr>
        <w:t>Provides the Compensation Committee with analysis and advice pertaining to CEO, executive, and Director compensation program design, including industry survey analysis, explanation of current and developing best practices, and regulatory changes;</w:t>
      </w:r>
    </w:p>
    <w:p>
      <w:pPr>
        <w:ind w:left="340" w:right="200" w:firstLine="45"/>
        <w:spacing w:after="0" w:line="269" w:lineRule="auto"/>
        <w:rPr>
          <w:sz w:val="20"/>
          <w:szCs w:val="20"/>
          <w:color w:val="auto"/>
        </w:rPr>
      </w:pPr>
      <w:r>
        <w:rPr>
          <w:rFonts w:ascii="Times New Roman" w:cs="Times New Roman" w:eastAsia="Times New Roman" w:hAnsi="Times New Roman"/>
          <w:sz w:val="16"/>
          <w:szCs w:val="16"/>
          <w:color w:val="auto"/>
        </w:rPr>
        <w:t>Recommends a relevant group of peer companies and appropriate sources of survey data against which to compare the competitiveness and structure of CEO, executive, and Director compensation;</w:t>
      </w:r>
    </w:p>
    <w:p>
      <w:pPr>
        <w:ind w:left="340" w:right="60" w:firstLine="36"/>
        <w:spacing w:after="0" w:line="267" w:lineRule="auto"/>
        <w:rPr>
          <w:sz w:val="20"/>
          <w:szCs w:val="20"/>
          <w:color w:val="auto"/>
        </w:rPr>
      </w:pPr>
      <w:r>
        <w:rPr>
          <w:rFonts w:ascii="Times New Roman" w:cs="Times New Roman" w:eastAsia="Times New Roman" w:hAnsi="Times New Roman"/>
          <w:sz w:val="16"/>
          <w:szCs w:val="16"/>
          <w:color w:val="auto"/>
        </w:rPr>
        <w:t>Analyzes peer companies’ CEO, executive, and Director compensation annually to assist the Compensation Committee in determining the appropriateness and competitiveness of compensation;</w:t>
      </w:r>
    </w:p>
    <w:p>
      <w:pPr>
        <w:spacing w:after="0" w:line="1" w:lineRule="exact"/>
        <w:rPr>
          <w:sz w:val="20"/>
          <w:szCs w:val="20"/>
          <w:color w:val="auto"/>
        </w:rPr>
      </w:pPr>
    </w:p>
    <w:p>
      <w:pPr>
        <w:ind w:left="340" w:right="360" w:firstLine="45"/>
        <w:spacing w:after="0" w:line="269" w:lineRule="auto"/>
        <w:rPr>
          <w:sz w:val="20"/>
          <w:szCs w:val="20"/>
          <w:color w:val="auto"/>
        </w:rPr>
      </w:pPr>
      <w:r>
        <w:rPr>
          <w:rFonts w:ascii="Times New Roman" w:cs="Times New Roman" w:eastAsia="Times New Roman" w:hAnsi="Times New Roman"/>
          <w:sz w:val="16"/>
          <w:szCs w:val="16"/>
          <w:color w:val="auto"/>
        </w:rPr>
        <w:t>Reviews and advises on any proposed changes to CEO, executive, and Director compensation program design;</w:t>
      </w:r>
    </w:p>
    <w:p>
      <w:pPr>
        <w:spacing w:after="0"/>
        <w:rPr>
          <w:sz w:val="20"/>
          <w:szCs w:val="20"/>
          <w:color w:val="auto"/>
        </w:rPr>
      </w:pPr>
      <w:r>
        <w:rPr>
          <w:rFonts w:ascii="Times New Roman" w:cs="Times New Roman" w:eastAsia="Times New Roman" w:hAnsi="Times New Roman"/>
          <w:sz w:val="16"/>
          <w:szCs w:val="16"/>
          <w:color w:val="auto"/>
        </w:rPr>
        <w:t>Reviews and assists with compensation disclosure materials;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Provides specific analysis and advice periodically as requested by the Compensation Committee.</w:t>
      </w:r>
    </w:p>
    <w:p>
      <w:pPr>
        <w:spacing w:after="0" w:line="167" w:lineRule="exact"/>
        <w:rPr>
          <w:sz w:val="20"/>
          <w:szCs w:val="20"/>
          <w:color w:val="auto"/>
        </w:rPr>
      </w:pPr>
    </w:p>
    <w:p>
      <w:pPr>
        <w:sectPr>
          <w:pgSz w:w="11900" w:h="16838" w:orient="portrait"/>
          <w:cols w:equalWidth="0" w:num="2">
            <w:col w:w="3100" w:space="720"/>
            <w:col w:w="7420"/>
          </w:cols>
          <w:pgMar w:left="320" w:top="769" w:right="339" w:bottom="1440" w:gutter="0" w:footer="0" w:header="0"/>
          <w:type w:val="continuous"/>
        </w:sectPr>
      </w:pPr>
    </w:p>
    <w:p>
      <w:pPr>
        <w:ind w:left="80"/>
        <w:spacing w:after="0"/>
        <w:tabs>
          <w:tab w:leader="none" w:pos="4180" w:val="left"/>
        </w:tabs>
        <w:rPr>
          <w:sz w:val="20"/>
          <w:szCs w:val="20"/>
          <w:color w:val="auto"/>
        </w:rPr>
      </w:pPr>
      <w:r>
        <w:rPr>
          <w:rFonts w:ascii="Times New Roman" w:cs="Times New Roman" w:eastAsia="Times New Roman" w:hAnsi="Times New Roman"/>
          <w:sz w:val="16"/>
          <w:szCs w:val="16"/>
          <w:color w:val="auto"/>
        </w:rPr>
        <w:t>CEO</w:t>
      </w:r>
      <w:r>
        <w:rPr>
          <w:sz w:val="20"/>
          <w:szCs w:val="20"/>
          <w:color w:val="auto"/>
        </w:rPr>
        <w:tab/>
      </w:r>
      <w:r>
        <w:rPr>
          <w:rFonts w:ascii="Times New Roman" w:cs="Times New Roman" w:eastAsia="Times New Roman" w:hAnsi="Times New Roman"/>
          <w:sz w:val="16"/>
          <w:szCs w:val="16"/>
          <w:color w:val="auto"/>
        </w:rPr>
        <w:t>The CEO recommends to the Compensation Committee annual compensation for the other NEOs and senior</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executives based on his assessment of their performance; and</w:t>
      </w:r>
    </w:p>
    <w:p>
      <w:pPr>
        <w:spacing w:after="0" w:line="24" w:lineRule="exact"/>
        <w:rPr>
          <w:sz w:val="20"/>
          <w:szCs w:val="20"/>
          <w:color w:val="auto"/>
        </w:rPr>
      </w:pPr>
    </w:p>
    <w:p>
      <w:pPr>
        <w:ind w:left="3820"/>
        <w:spacing w:after="0"/>
        <w:tabs>
          <w:tab w:leader="none" w:pos="4180" w:val="left"/>
        </w:tabs>
        <w:rPr>
          <w:sz w:val="20"/>
          <w:szCs w:val="20"/>
          <w:color w:val="auto"/>
        </w:rPr>
      </w:pPr>
      <w:r>
        <w:rPr>
          <w:rFonts w:ascii="Times New Roman" w:cs="Times New Roman" w:eastAsia="Times New Roman" w:hAnsi="Times New Roman"/>
          <w:sz w:val="16"/>
          <w:szCs w:val="16"/>
          <w:color w:val="auto"/>
        </w:rPr>
        <w:t xml:space="preserve"> </w:t>
        <w:tab/>
        <w:t>The CEO works with the Compensation Committee Chair to set agendas, prepare materials for</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color w:val="auto"/>
        </w:rPr>
        <w:t>Compensation Committee meetings, and generally attends meetings, as appropriate.</w:t>
      </w:r>
    </w:p>
    <w:p>
      <w:pPr>
        <w:spacing w:after="0" w:line="227" w:lineRule="exact"/>
        <w:rPr>
          <w:sz w:val="20"/>
          <w:szCs w:val="20"/>
          <w:color w:val="auto"/>
        </w:rPr>
      </w:pPr>
    </w:p>
    <w:p>
      <w:pPr>
        <w:ind w:left="3500" w:right="60"/>
        <w:spacing w:after="0" w:line="281" w:lineRule="auto"/>
        <w:rPr>
          <w:sz w:val="20"/>
          <w:szCs w:val="20"/>
          <w:color w:val="auto"/>
        </w:rPr>
      </w:pPr>
      <w:r>
        <w:rPr>
          <w:rFonts w:ascii="Times New Roman" w:cs="Times New Roman" w:eastAsia="Times New Roman" w:hAnsi="Times New Roman"/>
          <w:sz w:val="16"/>
          <w:szCs w:val="16"/>
          <w:color w:val="auto"/>
        </w:rPr>
        <w:t>No member of management is present in Compensation Committee meetings when matters related to his or her individual compensation is under discussion, when the Compensation Committee is approving or deliberating on CEO compensation, or when the Compensation Committee otherwise meets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234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39" w:lineRule="exact"/>
        <w:rPr>
          <w:sz w:val="20"/>
          <w:szCs w:val="20"/>
          <w:color w:val="auto"/>
        </w:rPr>
      </w:pPr>
    </w:p>
    <w:p>
      <w:pPr>
        <w:ind w:left="380" w:right="300" w:hanging="372"/>
        <w:spacing w:after="0"/>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has determined that each member of our Compensation Committee is “independent” as that term is defined by applicable Nasdaq rules and is a “non-employee” director as defined under Section 16 of the Exchange Act.</w:t>
      </w:r>
    </w:p>
    <w:p>
      <w:pPr>
        <w:spacing w:after="0" w:line="11" w:lineRule="exact"/>
        <w:rPr>
          <w:rFonts w:ascii="Times New Roman" w:cs="Times New Roman" w:eastAsia="Times New Roman" w:hAnsi="Times New Roman"/>
          <w:sz w:val="13"/>
          <w:szCs w:val="13"/>
          <w:color w:val="auto"/>
        </w:rPr>
      </w:pPr>
    </w:p>
    <w:p>
      <w:pPr>
        <w:ind w:left="380" w:hanging="372"/>
        <w:spacing w:after="0" w:line="228" w:lineRule="auto"/>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2023, the Compensation Committee was assisted by its independent compensation consultant FW Cook. Other than the support that it provided to the Compensation Committee, FW Cook provided no other services to the Company or management and only received fees from the Company for the services provided to the Compensation Committee. The Compensation Committee conducted an evaluation of the independence of FW Cook considering the relevant regulations of the SEC and the Nasdaq listing standards. The Compensation Committee concluded that FW Cook was independent of management and the services performed by FW Cook and the individual compensation advisors employed by FW Cook raised no conflicts of interest.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Peer and Industry Data</w:t>
      </w:r>
    </w:p>
    <w:p>
      <w:pPr>
        <w:spacing w:after="0" w:line="129"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The Compensation Committee believes that market data, including compensation data from a peer group of comparable companies, is essential to determining compensation targets and the actual awards for executives in an effort to attract and retain highly talented senior executives. Market data are used to assess the competitiveness of our compensation packages relative to similar companies and to ensure that our compensation program is consistent with our compensation philosophy. Annually, the Compensation Committee requests that FW Cook conduct a market benchmarking study for our executive officers and key personnel, including our CEO and our other NEOs. The Compensation Committee’s objective is to provide executives with target total direct compensation that generally corresponds with the market median.</w:t>
      </w:r>
    </w:p>
    <w:p>
      <w:pPr>
        <w:spacing w:after="0" w:line="78"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For purposes of compensation setting for 2023, our Compensation Committee, with the advice of FW Cook, examined our prior peer group in light of our continued growth, the stage of development of our clinical programs, and changes in our market capitalization. Based on its discussions with FW Cook, the Compensation Committee identified the following 16 peer companies that were selected from among publicly-held U.S. pharmaceutical and biotechnology companies with comparable operations based on the following criteria: number, stage and indication of development programs, number of employees, therapeutic area, and market capitalization:</w:t>
      </w:r>
    </w:p>
    <w:p>
      <w:pPr>
        <w:sectPr>
          <w:pgSz w:w="11900" w:h="16838" w:orient="portrait"/>
          <w:cols w:equalWidth="0" w:num="1">
            <w:col w:w="11200"/>
          </w:cols>
          <w:pgMar w:left="320" w:top="769" w:right="379" w:bottom="1440" w:gutter="0" w:footer="0" w:header="0"/>
        </w:sectPr>
      </w:pP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ACADIA Pharmaceuticals, Inc.</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6"/>
          <w:szCs w:val="16"/>
          <w:color w:val="auto"/>
        </w:rPr>
        <w:t>Intra-Cellular Therapies, Inc.</w:t>
      </w:r>
    </w:p>
    <w:p>
      <w:pPr>
        <w:spacing w:after="0" w:line="46" w:lineRule="exact"/>
        <w:rPr>
          <w:sz w:val="20"/>
          <w:szCs w:val="20"/>
          <w:color w:val="auto"/>
        </w:rPr>
      </w:pPr>
    </w:p>
    <w:p>
      <w:pPr>
        <w:sectPr>
          <w:pgSz w:w="11900" w:h="16838" w:orient="portrait"/>
          <w:cols w:equalWidth="0" w:num="2">
            <w:col w:w="5140" w:space="720"/>
            <w:col w:w="5340"/>
          </w:cols>
          <w:pgMar w:left="320" w:top="76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5"/>
          <w:szCs w:val="15"/>
          <w:color w:val="auto"/>
        </w:rPr>
        <w:t>Alector,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Karuna Therapeutics, Inc.</w:t>
      </w:r>
    </w:p>
    <w:p>
      <w:pPr>
        <w:spacing w:after="0" w:line="46" w:lineRule="exact"/>
        <w:rPr>
          <w:sz w:val="20"/>
          <w:szCs w:val="20"/>
          <w:color w:val="auto"/>
        </w:rPr>
      </w:pPr>
    </w:p>
    <w:p>
      <w:pPr>
        <w:sectPr>
          <w:pgSz w:w="11900" w:h="16838" w:orient="portrait"/>
          <w:cols w:equalWidth="0" w:num="2">
            <w:col w:w="5140" w:space="720"/>
            <w:col w:w="5340"/>
          </w:cols>
          <w:pgMar w:left="320" w:top="76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Allogene Therapeutics, Inc.</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Times New Roman" w:cs="Times New Roman" w:eastAsia="Times New Roman" w:hAnsi="Times New Roman"/>
          <w:sz w:val="16"/>
          <w:szCs w:val="16"/>
          <w:color w:val="auto"/>
        </w:rPr>
        <w:t>Nektar Therapeutics</w:t>
      </w:r>
    </w:p>
    <w:p>
      <w:pPr>
        <w:spacing w:after="0" w:line="46" w:lineRule="exact"/>
        <w:rPr>
          <w:sz w:val="20"/>
          <w:szCs w:val="20"/>
          <w:color w:val="auto"/>
        </w:rPr>
      </w:pPr>
    </w:p>
    <w:p>
      <w:pPr>
        <w:sectPr>
          <w:pgSz w:w="11900" w:h="16838" w:orient="portrait"/>
          <w:cols w:equalWidth="0" w:num="2">
            <w:col w:w="5140" w:space="720"/>
            <w:col w:w="5340"/>
          </w:cols>
          <w:pgMar w:left="320" w:top="76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Amicus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Revance Therapeutics, Inc.</w:t>
      </w:r>
    </w:p>
    <w:p>
      <w:pPr>
        <w:spacing w:after="0" w:line="46" w:lineRule="exact"/>
        <w:rPr>
          <w:sz w:val="20"/>
          <w:szCs w:val="20"/>
          <w:color w:val="auto"/>
        </w:rPr>
      </w:pPr>
    </w:p>
    <w:p>
      <w:pPr>
        <w:sectPr>
          <w:pgSz w:w="11900" w:h="16838" w:orient="portrait"/>
          <w:cols w:equalWidth="0" w:num="2">
            <w:col w:w="5140" w:space="720"/>
            <w:col w:w="5340"/>
          </w:cols>
          <w:pgMar w:left="320" w:top="76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Denali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Sage Therapeutics, Inc.</w:t>
      </w:r>
    </w:p>
    <w:p>
      <w:pPr>
        <w:spacing w:after="0" w:line="46" w:lineRule="exact"/>
        <w:rPr>
          <w:sz w:val="20"/>
          <w:szCs w:val="20"/>
          <w:color w:val="auto"/>
        </w:rPr>
      </w:pPr>
    </w:p>
    <w:p>
      <w:pPr>
        <w:sectPr>
          <w:pgSz w:w="11900" w:h="16838" w:orient="portrait"/>
          <w:cols w:equalWidth="0" w:num="2">
            <w:col w:w="5140" w:space="720"/>
            <w:col w:w="5340"/>
          </w:cols>
          <w:pgMar w:left="320" w:top="76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Harmony Biosciences Holdings, Inc.</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Times New Roman" w:cs="Times New Roman" w:eastAsia="Times New Roman" w:hAnsi="Times New Roman"/>
          <w:sz w:val="16"/>
          <w:szCs w:val="16"/>
          <w:color w:val="auto"/>
        </w:rPr>
        <w:t>Supernus Pharmaceuticals, Inc.</w:t>
      </w:r>
    </w:p>
    <w:p>
      <w:pPr>
        <w:spacing w:after="0" w:line="46" w:lineRule="exact"/>
        <w:rPr>
          <w:sz w:val="20"/>
          <w:szCs w:val="20"/>
          <w:color w:val="auto"/>
        </w:rPr>
      </w:pPr>
    </w:p>
    <w:p>
      <w:pPr>
        <w:sectPr>
          <w:pgSz w:w="11900" w:h="16838" w:orient="portrait"/>
          <w:cols w:equalWidth="0" w:num="2">
            <w:col w:w="5140" w:space="720"/>
            <w:col w:w="5340"/>
          </w:cols>
          <w:pgMar w:left="320" w:top="76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Insmed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Ultragenyx Pharmaceutical, Inc.</w:t>
      </w:r>
    </w:p>
    <w:p>
      <w:pPr>
        <w:spacing w:after="0" w:line="46" w:lineRule="exact"/>
        <w:rPr>
          <w:sz w:val="20"/>
          <w:szCs w:val="20"/>
          <w:color w:val="auto"/>
        </w:rPr>
      </w:pPr>
    </w:p>
    <w:p>
      <w:pPr>
        <w:sectPr>
          <w:pgSz w:w="11900" w:h="16838" w:orient="portrait"/>
          <w:cols w:equalWidth="0" w:num="2">
            <w:col w:w="5140" w:space="720"/>
            <w:col w:w="5340"/>
          </w:cols>
          <w:pgMar w:left="320" w:top="769"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Intercept Pharmaceuticals, Inc.</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Times New Roman" w:cs="Times New Roman" w:eastAsia="Times New Roman" w:hAnsi="Times New Roman"/>
          <w:sz w:val="16"/>
          <w:szCs w:val="16"/>
          <w:color w:val="auto"/>
        </w:rPr>
        <w:t>Vanda Pharmaceuticals Inc.</w:t>
      </w:r>
    </w:p>
    <w:p>
      <w:pPr>
        <w:spacing w:after="0" w:line="140" w:lineRule="exact"/>
        <w:rPr>
          <w:sz w:val="20"/>
          <w:szCs w:val="20"/>
          <w:color w:val="auto"/>
        </w:rPr>
      </w:pPr>
    </w:p>
    <w:p>
      <w:pPr>
        <w:sectPr>
          <w:pgSz w:w="11900" w:h="16838" w:orient="portrait"/>
          <w:cols w:equalWidth="0" w:num="2">
            <w:col w:w="5140" w:space="720"/>
            <w:col w:w="5340"/>
          </w:cols>
          <w:pgMar w:left="320" w:top="769" w:right="379" w:bottom="1440" w:gutter="0" w:footer="0" w:header="0"/>
          <w:type w:val="continuous"/>
        </w:sect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Companies that were removed from the prior peer group include Biohaven Pharmaceutical Hld. Co. and Zogenix, Inc. because of mergers and acquisitions activity involving them. Bluebird bio, Inc. and uniQure N.V. were also removed due to their size and business focus. Finally, Harmony Biosciences Holdings, Inc., Karuna Therapeutics, Inc., Revance Therapeutics, Inc., and Vanda Pharmaceuticals Inc. all represent new additions to the 2023 peer group owing to their size and relevant business focus as commercial biotech companies.</w:t>
      </w:r>
    </w:p>
    <w:p>
      <w:pPr>
        <w:spacing w:after="0" w:line="75" w:lineRule="exact"/>
        <w:rPr>
          <w:sz w:val="20"/>
          <w:szCs w:val="20"/>
          <w:color w:val="auto"/>
        </w:rPr>
      </w:pPr>
    </w:p>
    <w:p>
      <w:pPr>
        <w:ind w:right="340" w:firstLine="374"/>
        <w:spacing w:after="0" w:line="298" w:lineRule="auto"/>
        <w:rPr>
          <w:sz w:val="20"/>
          <w:szCs w:val="20"/>
          <w:color w:val="auto"/>
        </w:rPr>
      </w:pPr>
      <w:r>
        <w:rPr>
          <w:rFonts w:ascii="Times New Roman" w:cs="Times New Roman" w:eastAsia="Times New Roman" w:hAnsi="Times New Roman"/>
          <w:sz w:val="16"/>
          <w:szCs w:val="16"/>
          <w:color w:val="auto"/>
        </w:rPr>
        <w:t>The Compensation Committee intends to maintain its practice of reviewing the peer group on an annual basis to ensure it continues to appropriately represent our competitive market for executive talent.</w:t>
      </w:r>
    </w:p>
    <w:p>
      <w:pPr>
        <w:spacing w:after="0" w:line="56" w:lineRule="exact"/>
        <w:rPr>
          <w:sz w:val="20"/>
          <w:szCs w:val="20"/>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Axsome ranked at the 43rd percentile of current market cap and at the 18th percentile of trailing four quarters revenue of the above-reference peer group of companies as of August 2022, which is when this peer group was selected by the Compensation Committee.</w:t>
      </w:r>
    </w:p>
    <w:p>
      <w:pPr>
        <w:spacing w:after="0" w:line="56" w:lineRule="exact"/>
        <w:rPr>
          <w:sz w:val="20"/>
          <w:szCs w:val="20"/>
          <w:color w:val="auto"/>
        </w:rPr>
      </w:pPr>
    </w:p>
    <w:p>
      <w:pPr>
        <w:ind w:right="80" w:firstLine="374"/>
        <w:spacing w:after="0" w:line="272" w:lineRule="auto"/>
        <w:rPr>
          <w:sz w:val="20"/>
          <w:szCs w:val="20"/>
          <w:color w:val="auto"/>
        </w:rPr>
      </w:pPr>
      <w:r>
        <w:rPr>
          <w:rFonts w:ascii="Times New Roman" w:cs="Times New Roman" w:eastAsia="Times New Roman" w:hAnsi="Times New Roman"/>
          <w:sz w:val="16"/>
          <w:szCs w:val="16"/>
          <w:color w:val="auto"/>
        </w:rPr>
        <w:t>In addition to peer group data, the Compensation Committee also considers general market data as another means of evaluating and establishing executive pay. In instances where an executive officer is believed to be especially suited to our Company or important to our success, the Compensation Committee may establish or recommend compensation that deviates from industry averages or other specific benchmarks. Upward or downward variations in total cash compensation and long-term incentives may also occur as a result of the individual’s experience level, the nature and level of the individual’s specific job responsibilities, the balance of the individual’s different elements of compensation, market factors and other strategic considerations.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Elements of NEO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Base Salary</w:t>
      </w:r>
    </w:p>
    <w:p>
      <w:pPr>
        <w:spacing w:after="0" w:line="129"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We provide our NEOs with base salary to compensate them for services rendered during the year. Generally, the base salaries reflect the experience, skills, knowledge and responsibilities required of each executive officer, and reflect our executive officers’ overall performance and contributions to our business. We set NEO salaries to be competitive in the context of the tight labor market for biotech employees in New York City.</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During its annual review of base salaries for executives, the Compensation Committee primarily considers</w:t>
      </w:r>
    </w:p>
    <w:p>
      <w:pPr>
        <w:spacing w:after="0" w:line="127"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internal review of the NEO’s compensation, both individually and relative to other NEOs;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salaries paid by comparable companies in the biopharmaceutical industry that have a similar business and financial profile.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240" w:firstLine="374"/>
        <w:spacing w:after="0" w:line="275" w:lineRule="auto"/>
        <w:rPr>
          <w:sz w:val="20"/>
          <w:szCs w:val="20"/>
          <w:color w:val="auto"/>
        </w:rPr>
      </w:pPr>
      <w:r>
        <w:rPr>
          <w:rFonts w:ascii="Times New Roman" w:cs="Times New Roman" w:eastAsia="Times New Roman" w:hAnsi="Times New Roman"/>
          <w:sz w:val="16"/>
          <w:szCs w:val="16"/>
          <w:color w:val="auto"/>
        </w:rPr>
        <w:t>Salary levels are considered annually as part of our Company’s performance review process. Merit-based increases to salaries are based on individual performance assessments, the recommendations made by the Chief Executive Officer to the Compensation Committee, and the comparative compensation at peer companies. Accordingly, the Compensation Committee increased the salaries of our NEOs, where applicable, as compared to 2022 to both be more in line with the median salaries at peer companies and to reflect, where applicable, increased responsibilities and duties.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base salary for each of our NEOs for our fiscal year ended December 31, 2023, is listed in the table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 Base Salary ($)</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2022 Base Salary ($)</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24"/>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6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6"/>
                <w:szCs w:val="16"/>
                <w:color w:val="auto"/>
              </w:rPr>
              <w:t>750,000</w:t>
            </w:r>
          </w:p>
        </w:tc>
        <w:tc>
          <w:tcPr>
            <w:tcW w:w="15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685,000</w:t>
            </w:r>
          </w:p>
        </w:tc>
        <w:tc>
          <w:tcPr>
            <w:tcW w:w="16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+9.5%</w:t>
            </w:r>
          </w:p>
        </w:tc>
      </w:tr>
      <w:tr>
        <w:trPr>
          <w:trHeight w:val="22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62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485,000</w:t>
            </w:r>
          </w:p>
        </w:tc>
        <w:tc>
          <w:tcPr>
            <w:tcW w:w="15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451,000</w:t>
            </w:r>
          </w:p>
        </w:tc>
        <w:tc>
          <w:tcPr>
            <w:tcW w:w="160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+7.5%</w:t>
            </w:r>
          </w:p>
        </w:tc>
      </w:tr>
      <w:tr>
        <w:trPr>
          <w:trHeight w:val="239"/>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62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6"/>
                <w:szCs w:val="16"/>
                <w:color w:val="auto"/>
              </w:rPr>
              <w:t>530,000</w:t>
            </w:r>
          </w:p>
        </w:tc>
        <w:tc>
          <w:tcPr>
            <w:tcW w:w="15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483,000</w:t>
            </w:r>
          </w:p>
        </w:tc>
        <w:tc>
          <w:tcPr>
            <w:tcW w:w="16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+9.7%</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62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485,000</w:t>
            </w:r>
          </w:p>
        </w:tc>
        <w:tc>
          <w:tcPr>
            <w:tcW w:w="15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450,000</w:t>
            </w:r>
          </w:p>
        </w:tc>
        <w:tc>
          <w:tcPr>
            <w:tcW w:w="160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+7.8%</w:t>
            </w:r>
          </w:p>
        </w:tc>
      </w:tr>
    </w:tbl>
    <w:p>
      <w:pPr>
        <w:spacing w:after="0" w:line="113"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6"/>
          <w:szCs w:val="16"/>
          <w:color w:val="auto"/>
        </w:rPr>
        <w:t>As mentioned above, the salary increases for NEOs are in part attributable to the fact that the Compensation Committee increases salaries of our NEOs as compared to 2022 to be more in line with the median salaries at peer companies. As also described above, for 2023, there were eight company changes (four removals and four additions) to the peer group that served as the basis for competitive analysis. Our NEOs’ 2023 base salaries are positioned below the median for the 2023 peer group.</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Cash Incentive Bonuses</w:t>
      </w:r>
    </w:p>
    <w:p>
      <w:pPr>
        <w:spacing w:after="0" w:line="129"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We provide an opportunity for each of our NEOs to receive an annual cash incentive bonus based on the satisfaction of individual and corporate objectives established by our Board of Directors. For any given year, these objectives may include individualized goals or corporate goals that relate to operational, strategic, or financial factors such as progress in developing our product candidates, achieving certain manufacturing, intellectual property, clinical and regulatory objectives, and raising certain levels of capital. All awards to our NEOs and the Company’s Executive Vice Presidents are subject to the Clawback Policy described below.</w:t>
      </w:r>
    </w:p>
    <w:p>
      <w:pPr>
        <w:spacing w:after="0" w:line="75"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While the Board of Directors or the Compensation Committee adopts corporate objectives, it is typically the Compensation Committee that evaluates and approves the achievement level of corporate objectives, and subsequently reviews and approves the annual cash bonuses for NEOs as part of its final compensation deliberations. The Compensation Committee, or where appropriate, our Board of Directors may approve bonuses based on the foregoing determinations or, after considering market conditions, our financial position or other factors, may, in its sole discretion, determine not to award any bonuses or to award larger or smaller bonuses.</w:t>
      </w:r>
    </w:p>
    <w:p>
      <w:pPr>
        <w:spacing w:after="0" w:line="75" w:lineRule="exact"/>
        <w:rPr>
          <w:sz w:val="20"/>
          <w:szCs w:val="20"/>
          <w:color w:val="auto"/>
        </w:rPr>
      </w:pPr>
    </w:p>
    <w:p>
      <w:pPr>
        <w:ind w:right="420" w:firstLine="374"/>
        <w:spacing w:after="0" w:line="298" w:lineRule="auto"/>
        <w:rPr>
          <w:sz w:val="20"/>
          <w:szCs w:val="20"/>
          <w:color w:val="auto"/>
        </w:rPr>
      </w:pPr>
      <w:r>
        <w:rPr>
          <w:rFonts w:ascii="Times New Roman" w:cs="Times New Roman" w:eastAsia="Times New Roman" w:hAnsi="Times New Roman"/>
          <w:sz w:val="16"/>
          <w:szCs w:val="16"/>
          <w:color w:val="auto"/>
        </w:rPr>
        <w:t>The Compensation Committee, in consultation with management, establishes corporate goals for each fiscal year for purposes of, among other things, making its recommendations regarding its annual bonus awards (and equity grants) for NEOs and all employees.</w:t>
      </w:r>
    </w:p>
    <w:p>
      <w:pPr>
        <w:spacing w:after="0" w:line="56"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At the beginning of 2023, the Compensation Committee adopted corporate goals for the determination of cash bonuses to be paid for the 2023 fiscal year. Under the plan adopted by our Board of Directors, cash bonuses, if any, are paid to qualified participating officers and employees based upon (i) the achievement of corporate goals and (ii) a review of personal performance. The corporate goals, and the weight assigned to each of the goals, applies to all officers and employees, including our NEOs. The corporate goals and objectives for the 2023 calendar year were based on meeting certain goals with respect to our operational performance as follows:</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Approved Performance Measure</w:t>
            </w: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Weight</w:t>
            </w:r>
          </w:p>
        </w:tc>
      </w:tr>
      <w:tr>
        <w:trPr>
          <w:trHeight w:val="224"/>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Our Pipeline</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30%</w:t>
            </w:r>
          </w:p>
        </w:tc>
      </w:tr>
      <w:tr>
        <w:trPr>
          <w:trHeight w:val="22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Drive Business Performance</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30%</w:t>
            </w:r>
          </w:p>
        </w:tc>
      </w:tr>
      <w:tr>
        <w:trPr>
          <w:trHeight w:val="23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Drive Business Expansion</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Awareness of Our Science, Business, and Products</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firstLine="415"/>
        <w:spacing w:after="0" w:line="272" w:lineRule="auto"/>
        <w:rPr>
          <w:sz w:val="20"/>
          <w:szCs w:val="20"/>
          <w:color w:val="auto"/>
        </w:rPr>
      </w:pPr>
      <w:r>
        <w:rPr>
          <w:rFonts w:ascii="Times New Roman" w:cs="Times New Roman" w:eastAsia="Times New Roman" w:hAnsi="Times New Roman"/>
          <w:sz w:val="16"/>
          <w:szCs w:val="16"/>
          <w:color w:val="auto"/>
        </w:rPr>
        <w:t>Based on its review of the Company’s performance and thoughtful deliberation around the efforts that drove that performance, the Compensation Committee approved payouts at 125% of target. The payout reflected the Company’s significant value-enhancing accomplishments in 2023. Areas of overachievement included “Advance Our Pipeline” (e.g., launch new target indications for solriamfetol, completion of development milestones for AXS-05, 07, 12, and 14), “Drive Business Performance” (e.g., growth in product sales and improvement in cash runway), “Drive Business Expansion” (e.g., EU licensing agreement for Sunosi and expansion of field sales team), and Increase Awareness of Our Science, Business, and Products (expanded presence at major conferences and expansion of medical education programs).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1240" w:type="dxa"/>
            <w:vAlign w:val="bottom"/>
            <w:gridSpan w:val="2"/>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 Bonus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6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1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 Base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Realization /</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365"/>
              <w:spacing w:after="0" w:line="135" w:lineRule="exact"/>
              <w:rPr>
                <w:sz w:val="20"/>
                <w:szCs w:val="20"/>
                <w:color w:val="auto"/>
              </w:rPr>
            </w:pPr>
            <w:r>
              <w:rPr>
                <w:rFonts w:ascii="Times New Roman" w:cs="Times New Roman" w:eastAsia="Times New Roman" w:hAnsi="Times New Roman"/>
                <w:sz w:val="13"/>
                <w:szCs w:val="13"/>
                <w:b w:val="1"/>
                <w:bCs w:val="1"/>
                <w:color w:val="auto"/>
              </w:rPr>
              <w:t>Actual 2023</w:t>
            </w:r>
          </w:p>
        </w:tc>
      </w:tr>
      <w:tr>
        <w:trPr>
          <w:trHeight w:val="167"/>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3"/>
              </w:rPr>
              <w:t>Salary)</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6"/>
              </w:rPr>
              <w:t>Payout (%)</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Bonus ($)</w:t>
            </w:r>
          </w:p>
        </w:tc>
      </w:tr>
      <w:tr>
        <w:trPr>
          <w:trHeight w:val="224"/>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60 %</w:t>
            </w:r>
          </w:p>
        </w:tc>
        <w:tc>
          <w:tcPr>
            <w:tcW w:w="10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125 %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562,500</w:t>
            </w:r>
          </w:p>
        </w:tc>
      </w:tr>
      <w:tr>
        <w:trPr>
          <w:trHeight w:val="22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40 %</w:t>
            </w:r>
          </w:p>
        </w:tc>
        <w:tc>
          <w:tcPr>
            <w:tcW w:w="10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243,000</w:t>
            </w:r>
          </w:p>
        </w:tc>
      </w:tr>
      <w:tr>
        <w:trPr>
          <w:trHeight w:val="239"/>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40 %</w:t>
            </w:r>
          </w:p>
        </w:tc>
        <w:tc>
          <w:tcPr>
            <w:tcW w:w="10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125 %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265,000</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40 %</w:t>
            </w:r>
          </w:p>
        </w:tc>
        <w:tc>
          <w:tcPr>
            <w:tcW w:w="10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243,000</w:t>
            </w:r>
          </w:p>
        </w:tc>
      </w:tr>
    </w:tbl>
    <w:p>
      <w:pPr>
        <w:spacing w:after="0" w:line="113" w:lineRule="exact"/>
        <w:rPr>
          <w:sz w:val="20"/>
          <w:szCs w:val="20"/>
          <w:color w:val="auto"/>
        </w:rPr>
      </w:pPr>
    </w:p>
    <w:p>
      <w:pPr>
        <w:jc w:val="both"/>
        <w:ind w:firstLine="374"/>
        <w:spacing w:after="0" w:line="298" w:lineRule="auto"/>
        <w:rPr>
          <w:sz w:val="20"/>
          <w:szCs w:val="20"/>
          <w:color w:val="auto"/>
        </w:rPr>
      </w:pPr>
      <w:r>
        <w:rPr>
          <w:rFonts w:ascii="Times New Roman" w:cs="Times New Roman" w:eastAsia="Times New Roman" w:hAnsi="Times New Roman"/>
          <w:sz w:val="16"/>
          <w:szCs w:val="16"/>
          <w:color w:val="auto"/>
        </w:rPr>
        <w:t>There were no changes to the 2023 target bonus as a percentage of base salary as compared to 2022. Additionally, in 2023, as percentage of target bonus, the maximum realization/payout attainable by our NEOs was 200%.</w:t>
      </w:r>
    </w:p>
    <w:p>
      <w:pPr>
        <w:spacing w:after="0" w:line="56" w:lineRule="exact"/>
        <w:rPr>
          <w:sz w:val="20"/>
          <w:szCs w:val="20"/>
          <w:color w:val="auto"/>
        </w:rPr>
      </w:pPr>
    </w:p>
    <w:p>
      <w:pPr>
        <w:ind w:right="100" w:firstLine="374"/>
        <w:spacing w:after="0" w:line="298" w:lineRule="auto"/>
        <w:rPr>
          <w:sz w:val="20"/>
          <w:szCs w:val="20"/>
          <w:color w:val="auto"/>
        </w:rPr>
      </w:pPr>
      <w:r>
        <w:rPr>
          <w:rFonts w:ascii="Times New Roman" w:cs="Times New Roman" w:eastAsia="Times New Roman" w:hAnsi="Times New Roman"/>
          <w:sz w:val="16"/>
          <w:szCs w:val="16"/>
          <w:color w:val="auto"/>
        </w:rPr>
        <w:t>The Compensation Committee decided to utilize the same performance measures for the 2024 annual incentive plan, and to only slightly modify the weightings of the measures as follows:</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Approved Performance Measure</w:t>
            </w: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Weight</w:t>
            </w:r>
          </w:p>
        </w:tc>
      </w:tr>
      <w:tr>
        <w:trPr>
          <w:trHeight w:val="224"/>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Our Pipeline</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35%</w:t>
            </w:r>
          </w:p>
        </w:tc>
      </w:tr>
      <w:tr>
        <w:trPr>
          <w:trHeight w:val="22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Drive Business Performance</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35%</w:t>
            </w:r>
          </w:p>
        </w:tc>
      </w:tr>
      <w:tr>
        <w:trPr>
          <w:trHeight w:val="23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Drive Business Expansion</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Awareness of Our Science, Business, and Products</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bl>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For 2024, we are maintaining the same 200% maximum bonus realization/payout attainable by our NEOs as was in place in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Compensation</w:t>
      </w:r>
    </w:p>
    <w:p>
      <w:pPr>
        <w:spacing w:after="0" w:line="129"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We believe that successful long-term corporate performance is more likely to be achieved with a corporate culture that encourages a long-term focus by our NEOs and other employees through the use of equity awards, the value of which depends on our stock performance. We established the 2015 Plan to provide all of our employees, including our NEOs, with incentives to help align our employees’ interests with the interests of our stockholders and to enable them to participate in the long-term appreciation of our stockholder value.</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Additionally, equity awards provide an important retention tool for all employees, as the awards generally vest over four years following the grant date.</w:t>
      </w:r>
    </w:p>
    <w:p>
      <w:pPr>
        <w:spacing w:after="0" w:line="127" w:lineRule="exact"/>
        <w:rPr>
          <w:sz w:val="20"/>
          <w:szCs w:val="20"/>
          <w:color w:val="auto"/>
        </w:rPr>
      </w:pPr>
    </w:p>
    <w:p>
      <w:pPr>
        <w:ind w:right="40" w:firstLine="374"/>
        <w:spacing w:after="0" w:line="298" w:lineRule="auto"/>
        <w:rPr>
          <w:sz w:val="20"/>
          <w:szCs w:val="20"/>
          <w:color w:val="auto"/>
        </w:rPr>
      </w:pPr>
      <w:r>
        <w:rPr>
          <w:rFonts w:ascii="Times New Roman" w:cs="Times New Roman" w:eastAsia="Times New Roman" w:hAnsi="Times New Roman"/>
          <w:sz w:val="16"/>
          <w:szCs w:val="16"/>
          <w:color w:val="auto"/>
        </w:rPr>
        <w:t>Typically, we grant equity awards upon an employee’s hire. In addition, equity awards may also be granted on an annual or more frequent basis depending on position, performance, and tenure at the Company.</w:t>
      </w:r>
    </w:p>
    <w:p>
      <w:pPr>
        <w:spacing w:after="0" w:line="56" w:lineRule="exact"/>
        <w:rPr>
          <w:sz w:val="20"/>
          <w:szCs w:val="20"/>
          <w:color w:val="auto"/>
        </w:rPr>
      </w:pPr>
    </w:p>
    <w:p>
      <w:pPr>
        <w:ind w:right="40" w:firstLine="374"/>
        <w:spacing w:after="0" w:line="271" w:lineRule="auto"/>
        <w:rPr>
          <w:sz w:val="20"/>
          <w:szCs w:val="20"/>
          <w:color w:val="auto"/>
        </w:rPr>
      </w:pPr>
      <w:r>
        <w:rPr>
          <w:rFonts w:ascii="Times New Roman" w:cs="Times New Roman" w:eastAsia="Times New Roman" w:hAnsi="Times New Roman"/>
          <w:sz w:val="16"/>
          <w:szCs w:val="16"/>
          <w:color w:val="auto"/>
        </w:rPr>
        <w:t>The determination of whether to grant equity, as well as the size of such grants, to our NEOs involves subjective assessments by the Compensation Committee and our Board of Directors and, with respect to NEOs other than himself, our CEO. Generally, annual equity awards are driven by our desire to retain and motivate our NEOs, and we consider individual performance and contributions during the preceding year to the extent the Compensation Committee and our Board of Directors believe such factors are relevant. As with base salary and cash bonuses, in evaluating and determining equity grants to our NEOs, the Compensation Committee and our Board of Directors also consider publicly available data prepared by FW Cook at the request of the Compensation Committee from other similar companies identified by the Compensation Committee.</w:t>
      </w:r>
    </w:p>
    <w:p>
      <w:pPr>
        <w:spacing w:after="0" w:line="76" w:lineRule="exact"/>
        <w:rPr>
          <w:sz w:val="20"/>
          <w:szCs w:val="20"/>
          <w:color w:val="auto"/>
        </w:rPr>
      </w:pPr>
    </w:p>
    <w:p>
      <w:pPr>
        <w:ind w:right="60" w:firstLine="374"/>
        <w:spacing w:after="0" w:line="269" w:lineRule="auto"/>
        <w:rPr>
          <w:sz w:val="20"/>
          <w:szCs w:val="20"/>
          <w:color w:val="auto"/>
        </w:rPr>
      </w:pPr>
      <w:r>
        <w:rPr>
          <w:rFonts w:ascii="Times New Roman" w:cs="Times New Roman" w:eastAsia="Times New Roman" w:hAnsi="Times New Roman"/>
          <w:sz w:val="16"/>
          <w:szCs w:val="16"/>
          <w:color w:val="auto"/>
        </w:rPr>
        <w:t>We have no program, practice, or plan to grant equity awards in coordination with the release of material nonpublic information. We also have not timed the release of material nonpublic information for the purpose of affecting the value of equity awards or other compensation, and we have no plan to do so. Generally, the Compensation Committee approves the grant of annual equity awards to our NEOs on the third trading day following the filing of our Annual Report on Form 10-K. Additionally, our option and restricted stock unit (“RSU”) awards are subject to adjustment or recovery in connection with any breach of any restrictive covenant agreement between the recipient and the Company or if the participant otherwise engages in activities that constitute “cause” either while employed by, or providing service to, the Company or within a specified period of time thereafter. All equity awards are also subject to our Insider Trading Policy (as defined below) and Clawback Policy (as defined below) and shall also be subject to any additional share trading, clawback or recoupment, or other policies that may be implemented by the Board from time to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00" w:firstLine="374"/>
        <w:spacing w:after="0" w:line="267" w:lineRule="auto"/>
        <w:rPr>
          <w:sz w:val="20"/>
          <w:szCs w:val="20"/>
          <w:color w:val="auto"/>
        </w:rPr>
      </w:pPr>
      <w:r>
        <w:rPr>
          <w:rFonts w:ascii="Times New Roman" w:cs="Times New Roman" w:eastAsia="Times New Roman" w:hAnsi="Times New Roman"/>
          <w:sz w:val="16"/>
          <w:szCs w:val="16"/>
          <w:color w:val="auto"/>
        </w:rPr>
        <w:t>For 2023, the Compensation Committee approved annual equity awards to NEOs. To promote retention and provide a balanced portfolio of equity vehicles, as well as to better align with practices of companies with similar market capitalizations to our size as of the time of approval, the Compensation Committee determined to award a portion of the annual equity awards in the form of RSUs as well as stock options. The NEOs’ annual equity grants were comprised of approximately 33% RSUs and 67% stock options, based on their grant date fair values. Axsome views RSUs and stock options as performance linked and variable. The value of the RSUs is based entirely on total shareholder return, and the value of the stock options is based on stock price appreciation and provides value only if our stock price increases. Both RSUs and stock options motivate executives to build long-term shareholder value and help to retain talent. The RSUs vest in four even annual increments beginning on the first anniversary of grant. Additionally, the vested RSUs are subject to a post-vest holding period whereby the vested shares are delivered seven years after the date of grant. The stock options vest in 16 even quarterly increments over four years and have a ten-year term. These equity awards were granted on the second trading day following the filing of our Annual Report on Form 10-K, which was filed with the SEC on February 28, 2023. As such, the exercise price of $65.32 per share of the options was the closing price of our common stock on March 2,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40" w:type="dxa"/>
            <w:vAlign w:val="bottom"/>
          </w:tcPr>
          <w:p>
            <w:pPr>
              <w:spacing w:after="0"/>
              <w:rPr>
                <w:sz w:val="12"/>
                <w:szCs w:val="12"/>
                <w:color w:val="auto"/>
              </w:rPr>
            </w:pPr>
          </w:p>
        </w:tc>
        <w:tc>
          <w:tcPr>
            <w:tcW w:w="126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RSUs</w:t>
            </w:r>
          </w:p>
        </w:tc>
        <w:tc>
          <w:tcPr>
            <w:tcW w:w="120" w:type="dxa"/>
            <w:vAlign w:val="bottom"/>
          </w:tcPr>
          <w:p>
            <w:pPr>
              <w:spacing w:after="0"/>
              <w:rPr>
                <w:sz w:val="12"/>
                <w:szCs w:val="12"/>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Grant Date Fair</w:t>
            </w:r>
          </w:p>
        </w:tc>
      </w:tr>
      <w:tr>
        <w:trPr>
          <w:trHeight w:val="167"/>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40" w:type="dxa"/>
            <w:vAlign w:val="bottom"/>
          </w:tcPr>
          <w:p>
            <w:pPr>
              <w:spacing w:after="0"/>
              <w:rPr>
                <w:sz w:val="14"/>
                <w:szCs w:val="14"/>
                <w:color w:val="auto"/>
              </w:rPr>
            </w:pPr>
          </w:p>
        </w:tc>
        <w:tc>
          <w:tcPr>
            <w:tcW w:w="12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20" w:type="dxa"/>
            <w:vAlign w:val="bottom"/>
          </w:tcPr>
          <w:p>
            <w:pPr>
              <w:spacing w:after="0"/>
              <w:rPr>
                <w:sz w:val="14"/>
                <w:szCs w:val="14"/>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224"/>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110,032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62,400</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$8,501,168</w:t>
            </w: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3/2/2023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w w:val="99"/>
              </w:rPr>
              <w:t>$2,800,334</w:t>
            </w:r>
          </w:p>
        </w:tc>
      </w:tr>
      <w:tr>
        <w:trPr>
          <w:trHeight w:val="23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41,424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23,491</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$3,200,413</w:t>
            </w:r>
          </w:p>
        </w:tc>
      </w:tr>
      <w:tr>
        <w:trPr>
          <w:trHeight w:val="25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3/2/2023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29,773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16,883</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w w:val="99"/>
              </w:rPr>
              <w:t>$2,300,218</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Aspects of Our Compensation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Plans, Perquisites and Other Personal Benefits</w:t>
      </w:r>
    </w:p>
    <w:p>
      <w:pPr>
        <w:spacing w:after="0" w:line="129" w:lineRule="exact"/>
        <w:rPr>
          <w:sz w:val="20"/>
          <w:szCs w:val="20"/>
          <w:color w:val="auto"/>
        </w:rPr>
      </w:pPr>
    </w:p>
    <w:p>
      <w:pPr>
        <w:ind w:right="500" w:firstLine="374"/>
        <w:spacing w:after="0" w:line="298" w:lineRule="auto"/>
        <w:rPr>
          <w:sz w:val="20"/>
          <w:szCs w:val="20"/>
          <w:color w:val="auto"/>
        </w:rPr>
      </w:pPr>
      <w:r>
        <w:rPr>
          <w:rFonts w:ascii="Times New Roman" w:cs="Times New Roman" w:eastAsia="Times New Roman" w:hAnsi="Times New Roman"/>
          <w:sz w:val="16"/>
          <w:szCs w:val="16"/>
          <w:color w:val="auto"/>
        </w:rPr>
        <w:t>Our NEOs are eligible to participate in the employee benefit plans on the same terms and conditions as they are available to our other regular employees. These benefits include medical, dental, vision, disability and life insurance, flexible spending accounts, and a 401(k) plan.</w:t>
      </w:r>
    </w:p>
    <w:p>
      <w:pPr>
        <w:spacing w:after="0" w:line="56" w:lineRule="exact"/>
        <w:rPr>
          <w:sz w:val="20"/>
          <w:szCs w:val="20"/>
          <w:color w:val="auto"/>
        </w:rPr>
      </w:pPr>
    </w:p>
    <w:p>
      <w:pPr>
        <w:ind w:right="180" w:firstLine="374"/>
        <w:spacing w:after="0" w:line="275" w:lineRule="auto"/>
        <w:rPr>
          <w:sz w:val="20"/>
          <w:szCs w:val="20"/>
          <w:color w:val="auto"/>
        </w:rPr>
      </w:pPr>
      <w:r>
        <w:rPr>
          <w:rFonts w:ascii="Times New Roman" w:cs="Times New Roman" w:eastAsia="Times New Roman" w:hAnsi="Times New Roman"/>
          <w:sz w:val="16"/>
          <w:szCs w:val="16"/>
          <w:color w:val="auto"/>
        </w:rPr>
        <w:t>Under the tax-qualified employee savings and retirement plan, our 401(k) plan, all eligible U.S. employees, including our NEOs, may elect to defer a percentage of their eligible compensation, subject to the annual IRS limit. We match 50% of a participant's contributions to the 401(k) plan of the first 6% of their eligible compensation up to an annual maximum of $5,000. Other than the 401(k) plan, we do not sponsor or maintain any pension benefits, nonqualified defined contribution or other nonqualified deferred compensation plans for our NEOs.</w:t>
      </w:r>
    </w:p>
    <w:p>
      <w:pPr>
        <w:spacing w:after="0" w:line="75" w:lineRule="exact"/>
        <w:rPr>
          <w:sz w:val="20"/>
          <w:szCs w:val="20"/>
          <w:color w:val="auto"/>
        </w:rPr>
      </w:pPr>
    </w:p>
    <w:p>
      <w:pPr>
        <w:ind w:right="280" w:firstLine="374"/>
        <w:spacing w:after="0" w:line="298" w:lineRule="auto"/>
        <w:rPr>
          <w:sz w:val="20"/>
          <w:szCs w:val="20"/>
          <w:color w:val="auto"/>
        </w:rPr>
      </w:pPr>
      <w:r>
        <w:rPr>
          <w:rFonts w:ascii="Times New Roman" w:cs="Times New Roman" w:eastAsia="Times New Roman" w:hAnsi="Times New Roman"/>
          <w:sz w:val="16"/>
          <w:szCs w:val="16"/>
          <w:color w:val="auto"/>
        </w:rPr>
        <w:t>We do not provide perquisites or other personal benefits to our NEOs other than those that we provide to our employees. We do not provide any tax reimbursement payments (including “gross-ups”) on any personal benefits, except in the case of certain relocation benefits.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Employment and Severance Agreements</w:t>
      </w:r>
    </w:p>
    <w:p>
      <w:pPr>
        <w:spacing w:after="0" w:line="129"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6"/>
          <w:szCs w:val="16"/>
          <w:color w:val="auto"/>
        </w:rPr>
        <w:t>We have entered into an employment agreement with our Chief Financial Officer, Nick Pizzie. Mr. Pizzie’s employment agreement includes a severance provision that in the event we terminate his employment without “cause” within 12 months following a “change in control” of the Company, he will be eligible to receive severance payments equal to six months of his then existing base salary. Our other NEOs are not party to employment agreements with the Company.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29" w:lineRule="exact"/>
        <w:rPr>
          <w:sz w:val="20"/>
          <w:szCs w:val="20"/>
          <w:color w:val="auto"/>
        </w:rPr>
      </w:pPr>
    </w:p>
    <w:p>
      <w:pPr>
        <w:jc w:val="both"/>
        <w:ind w:firstLine="374"/>
        <w:spacing w:after="0" w:line="275" w:lineRule="auto"/>
        <w:rPr>
          <w:sz w:val="20"/>
          <w:szCs w:val="20"/>
          <w:color w:val="auto"/>
        </w:rPr>
      </w:pPr>
      <w:r>
        <w:rPr>
          <w:rFonts w:ascii="Times New Roman" w:cs="Times New Roman" w:eastAsia="Times New Roman" w:hAnsi="Times New Roman"/>
          <w:sz w:val="16"/>
          <w:szCs w:val="16"/>
          <w:color w:val="auto"/>
        </w:rPr>
        <w:t>We have adopted an insider trading policy (the “Insider Trading Policy”), which governs the purchase, sale, and/or other dispositions of our securities by our directors, officers, and employees, their immediate family members and entities owned or controlled by them as well as consultants that have access to material nonpublic information. The Insider Trading Policy is designed to promote compliance with insider trading laws, rules, and regulations as well as the listing standards of Nasdaq applicable to us. The Insider Trading Policy was filed as Exhibit 19.1 to our Annual Report on Form 10-K filed with the SEC on February 23, 2024.</w:t>
      </w:r>
    </w:p>
    <w:p>
      <w:pPr>
        <w:spacing w:after="0" w:line="75" w:lineRule="exact"/>
        <w:rPr>
          <w:sz w:val="20"/>
          <w:szCs w:val="20"/>
          <w:color w:val="auto"/>
        </w:rPr>
      </w:pPr>
    </w:p>
    <w:p>
      <w:pPr>
        <w:ind w:right="200" w:firstLine="374"/>
        <w:spacing w:after="0" w:line="271" w:lineRule="auto"/>
        <w:rPr>
          <w:sz w:val="20"/>
          <w:szCs w:val="20"/>
          <w:color w:val="auto"/>
        </w:rPr>
      </w:pPr>
      <w:r>
        <w:rPr>
          <w:rFonts w:ascii="Times New Roman" w:cs="Times New Roman" w:eastAsia="Times New Roman" w:hAnsi="Times New Roman"/>
          <w:sz w:val="16"/>
          <w:szCs w:val="16"/>
          <w:color w:val="auto"/>
        </w:rPr>
        <w:t>Our insider trading policy prohibits short sales and derivative transactions of our stock by our NEOs, directors and all of our employees, including short sales of our securities and short sales “against the box”; purchases or sales of puts, calls, or other derivative securities of the Company or any derivative securities that provide the economic equivalent of ownership of any of our securities or an opportunity, direct or indirect, to profit from any change in the value of our securities; or other hedging or monetization transactions accomplished through the use of prepaid variable forwards, equity swaps, collars, and exchange funds. In addition, our insider trading policy prohibits our NEOs, directors, and all of our employees from purchasing our securities on margin, borrowing against Company securities held in a margin account, or pledging our securities as collateral for a loan.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Clawback and Forfeiture</w:t>
      </w:r>
    </w:p>
    <w:p>
      <w:pPr>
        <w:spacing w:after="0" w:line="12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6"/>
          <w:szCs w:val="16"/>
          <w:color w:val="auto"/>
        </w:rPr>
        <w:t>Our equity awards provide that if a plan participant breaches any restrictive covenant agreement with the Company or otherwise engages in activities that constitute “cause” (as defined in the agreements) either while employed or within two years after employment, the applicable award will terminate, and the Company may rescind any stock option exercise or vesting or settlement of shares subject to other awards, on such terms as the Committee determines, including the right to require that in the event of any such rescission, the participant return to the Company the shares received upon the exercise or settlement, or pay to the Company the amount of any gain realized or payment received as a result of any sale or other disposition of the shares, net of the price originally paid by the participant for the shares. Our equity awards are also subject to any future clawback or recoupment policies that may be implemented by the Board from time to time. Additionally, we are subject to the clawback provisions of Section 304 of the Sarbanes-Oxley Act and Section 954 of the Dodd-Frank Wall Street Reform and Consumer Protection Act and any rules or regulations promulgated thereunder. On November 17, 2023, we approved and adopted a policy related to the recovery of erroneously awarded incentive-based compensation received by certain executive officers of the Company on or after October 2, 2023 (the “Clawback Policy”). We enacted the Clawback Policy in order to comply with a recently enacted Nasdaq listing standard regarding the implementation of Exchange Act Rule 10D-1, which requires public companies to implement “clawback” policies providing for the recovery of incentive-based compensation in the event such company is required to prepare an accounting restatement due to the material noncompliance of such company with any financial reporting requirement under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29" w:lineRule="exact"/>
        <w:rPr>
          <w:sz w:val="20"/>
          <w:szCs w:val="20"/>
          <w:color w:val="auto"/>
        </w:rPr>
      </w:pPr>
    </w:p>
    <w:p>
      <w:pPr>
        <w:jc w:val="both"/>
        <w:ind w:right="180" w:firstLine="374"/>
        <w:spacing w:after="0" w:line="281" w:lineRule="auto"/>
        <w:rPr>
          <w:sz w:val="20"/>
          <w:szCs w:val="20"/>
          <w:color w:val="auto"/>
        </w:rPr>
      </w:pPr>
      <w:r>
        <w:rPr>
          <w:rFonts w:ascii="Times New Roman" w:cs="Times New Roman" w:eastAsia="Times New Roman" w:hAnsi="Times New Roman"/>
          <w:sz w:val="16"/>
          <w:szCs w:val="16"/>
          <w:color w:val="auto"/>
        </w:rPr>
        <w:t>During 2023, no member of the Compensation Committee served as one of our officers, former officers, or employees. During 2023, none of our NEOs served as a member of the Compensation Committee of any other entity, one of whose executive officers served as a member of our Board of Directors or Compensation Committee, and none of our NEOs served as a member of the Board of Directors of any other entity.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129" w:lineRule="exact"/>
        <w:rPr>
          <w:sz w:val="20"/>
          <w:szCs w:val="20"/>
          <w:color w:val="auto"/>
        </w:rPr>
      </w:pPr>
    </w:p>
    <w:p>
      <w:pPr>
        <w:ind w:right="920" w:firstLine="373"/>
        <w:spacing w:after="0" w:line="281" w:lineRule="auto"/>
        <w:rPr>
          <w:sz w:val="20"/>
          <w:szCs w:val="20"/>
          <w:color w:val="auto"/>
        </w:rPr>
      </w:pPr>
      <w:r>
        <w:rPr>
          <w:rFonts w:ascii="Times New Roman" w:cs="Times New Roman" w:eastAsia="Times New Roman" w:hAnsi="Times New Roman"/>
          <w:sz w:val="16"/>
          <w:szCs w:val="16"/>
          <w:color w:val="auto"/>
        </w:rPr>
        <w:t>The Compensation Committee of our Board of Directors has reviewed and discussed with management the section captioned “Compensation Discussion and Analysis” and based on such review and discussions, the Compensation Committee recommended to our Board of Directors that this “Compensation Discussion and Analysis” be included in this 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Submitted by the Compensation Committee of the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Coleman, M.D. (Chair)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Roger Jeffs, Ph.D.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Susan Mahony, Ph.D., M.B.A.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Saad</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29" w:lineRule="exact"/>
        <w:rPr>
          <w:sz w:val="20"/>
          <w:szCs w:val="20"/>
          <w:color w:val="auto"/>
        </w:rPr>
      </w:pPr>
    </w:p>
    <w:p>
      <w:pPr>
        <w:ind w:right="420" w:firstLine="374"/>
        <w:spacing w:after="0" w:line="298" w:lineRule="auto"/>
        <w:rPr>
          <w:sz w:val="20"/>
          <w:szCs w:val="20"/>
          <w:color w:val="auto"/>
        </w:rPr>
      </w:pPr>
      <w:r>
        <w:rPr>
          <w:rFonts w:ascii="Times New Roman" w:cs="Times New Roman" w:eastAsia="Times New Roman" w:hAnsi="Times New Roman"/>
          <w:sz w:val="16"/>
          <w:szCs w:val="16"/>
          <w:color w:val="auto"/>
        </w:rPr>
        <w:t>The following table provides information concerning the compensation paid to our Chief Executive Officer, Chief Financial Officer, Chief Operating Officer and General Counsel for the fiscal years ended December 31, 2023, 2022 and 2021. We refer to these individuals as our NEOs.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Change in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Pension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and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Non-Equity</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Nonqualified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4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177"/>
              <w:spacing w:after="0" w:line="128" w:lineRule="exact"/>
              <w:rPr>
                <w:sz w:val="20"/>
                <w:szCs w:val="20"/>
                <w:color w:val="auto"/>
              </w:rPr>
            </w:pPr>
            <w:r>
              <w:rPr>
                <w:rFonts w:ascii="Times New Roman" w:cs="Times New Roman" w:eastAsia="Times New Roman" w:hAnsi="Times New Roman"/>
                <w:sz w:val="13"/>
                <w:szCs w:val="13"/>
                <w:b w:val="1"/>
                <w:bCs w:val="1"/>
                <w:color w:val="auto"/>
              </w:rPr>
              <w:t>Salary</w:t>
            </w:r>
          </w:p>
        </w:tc>
        <w:tc>
          <w:tcPr>
            <w:tcW w:w="300" w:type="dxa"/>
            <w:vAlign w:val="bottom"/>
          </w:tcPr>
          <w:p>
            <w:pPr>
              <w:spacing w:after="0"/>
              <w:rPr>
                <w:sz w:val="11"/>
                <w:szCs w:val="11"/>
                <w:color w:val="auto"/>
              </w:rPr>
            </w:pPr>
          </w:p>
        </w:tc>
        <w:tc>
          <w:tcPr>
            <w:tcW w:w="8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b w:val="1"/>
                <w:bCs w:val="1"/>
                <w:color w:val="auto"/>
              </w:rPr>
              <w:t>Bonus</w:t>
            </w:r>
          </w:p>
        </w:tc>
        <w:tc>
          <w:tcPr>
            <w:tcW w:w="14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240" w:type="dxa"/>
            <w:vAlign w:val="bottom"/>
          </w:tcPr>
          <w:p>
            <w:pPr>
              <w:spacing w:after="0"/>
              <w:rPr>
                <w:sz w:val="11"/>
                <w:szCs w:val="11"/>
                <w:color w:val="auto"/>
              </w:rPr>
            </w:pPr>
          </w:p>
        </w:tc>
        <w:tc>
          <w:tcPr>
            <w:tcW w:w="10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92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5"/>
                <w:szCs w:val="15"/>
                <w:color w:val="auto"/>
              </w:rPr>
            </w:pPr>
          </w:p>
        </w:tc>
        <w:tc>
          <w:tcPr>
            <w:tcW w:w="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w w:val="96"/>
                <w:vertAlign w:val="subscript"/>
              </w:rPr>
              <w:t>($)</w:t>
            </w:r>
            <w:r>
              <w:rPr>
                <w:rFonts w:ascii="Times New Roman" w:cs="Times New Roman" w:eastAsia="Times New Roman" w:hAnsi="Times New Roman"/>
                <w:sz w:val="8"/>
                <w:szCs w:val="8"/>
                <w:b w:val="1"/>
                <w:bCs w:val="1"/>
                <w:color w:val="auto"/>
                <w:w w:val="96"/>
              </w:rPr>
              <w:t>(2)</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w w:val="96"/>
                <w:vertAlign w:val="subscript"/>
              </w:rPr>
              <w:t>($)</w:t>
            </w:r>
            <w:r>
              <w:rPr>
                <w:rFonts w:ascii="Times New Roman" w:cs="Times New Roman" w:eastAsia="Times New Roman" w:hAnsi="Times New Roman"/>
                <w:sz w:val="8"/>
                <w:szCs w:val="8"/>
                <w:b w:val="1"/>
                <w:bCs w:val="1"/>
                <w:color w:val="auto"/>
                <w:w w:val="96"/>
              </w:rPr>
              <w:t>(1)</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Earnings ($)</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(3)</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7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2,834,520</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5,666,648</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562,500</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82,961</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9,896,629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685,000</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2,311,451</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4,689,982</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616,500</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19,468</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8,322,402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and Chairman of the</w:t>
            </w:r>
          </w:p>
        </w:tc>
        <w:tc>
          <w:tcPr>
            <w:tcW w:w="120" w:type="dxa"/>
            <w:vAlign w:val="bottom"/>
            <w:shd w:val="clear" w:color="auto" w:fill="CFF0FC"/>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Board</w:t>
            </w:r>
          </w:p>
        </w:tc>
        <w:tc>
          <w:tcPr>
            <w:tcW w:w="120" w:type="dxa"/>
            <w:vAlign w:val="bottom"/>
            <w:shd w:val="clear" w:color="auto" w:fill="CFF0FC"/>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685,000</w:t>
            </w:r>
          </w:p>
        </w:tc>
        <w:tc>
          <w:tcPr>
            <w:tcW w:w="300" w:type="dxa"/>
            <w:vAlign w:val="bottom"/>
          </w:tcPr>
          <w:p>
            <w:pPr>
              <w:spacing w:after="0"/>
              <w:rPr>
                <w:sz w:val="20"/>
                <w:szCs w:val="20"/>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2,333,251</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4,666,355</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349,350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20,675</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w w:val="86"/>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200" w:type="dxa"/>
            <w:vAlign w:val="bottom"/>
            <w:vMerge w:val="continue"/>
          </w:tcPr>
          <w:p>
            <w:pPr>
              <w:spacing w:after="0"/>
              <w:rPr>
                <w:sz w:val="12"/>
                <w:szCs w:val="12"/>
                <w:color w:val="auto"/>
              </w:rPr>
            </w:pPr>
          </w:p>
        </w:tc>
        <w:tc>
          <w:tcPr>
            <w:tcW w:w="7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300" w:type="dxa"/>
            <w:vAlign w:val="bottom"/>
          </w:tcPr>
          <w:p>
            <w:pPr>
              <w:spacing w:after="0"/>
              <w:rPr>
                <w:sz w:val="12"/>
                <w:szCs w:val="12"/>
                <w:color w:val="auto"/>
              </w:rPr>
            </w:pPr>
          </w:p>
        </w:tc>
        <w:tc>
          <w:tcPr>
            <w:tcW w:w="82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933,665</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1,866,669</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37,483</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3,565,817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7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2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w w:val="86"/>
              </w:rPr>
              <w:t>(4</w:t>
            </w: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200" w:type="dxa"/>
            <w:vAlign w:val="bottom"/>
            <w:vMerge w:val="continue"/>
          </w:tcPr>
          <w:p>
            <w:pPr>
              <w:spacing w:after="0"/>
              <w:rPr>
                <w:sz w:val="18"/>
                <w:szCs w:val="18"/>
                <w:color w:val="auto"/>
              </w:rPr>
            </w:pP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451,000</w:t>
            </w:r>
          </w:p>
        </w:tc>
        <w:tc>
          <w:tcPr>
            <w:tcW w:w="3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858,520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1,741,997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11,341</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00" w:type="dxa"/>
            <w:vAlign w:val="bottom"/>
          </w:tcPr>
          <w:p>
            <w:pPr>
              <w:spacing w:after="0"/>
              <w:rPr>
                <w:sz w:val="21"/>
                <w:szCs w:val="21"/>
                <w:color w:val="auto"/>
              </w:rPr>
            </w:pP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409,000</w:t>
            </w:r>
          </w:p>
        </w:tc>
        <w:tc>
          <w:tcPr>
            <w:tcW w:w="300" w:type="dxa"/>
            <w:vAlign w:val="bottom"/>
          </w:tcPr>
          <w:p>
            <w:pPr>
              <w:spacing w:after="0"/>
              <w:rPr>
                <w:sz w:val="21"/>
                <w:szCs w:val="21"/>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866,617</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2,808,123</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139,060</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w w:val="86"/>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4,228,710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200" w:type="dxa"/>
            <w:vAlign w:val="bottom"/>
            <w:vMerge w:val="continue"/>
            <w:shd w:val="clear" w:color="auto" w:fill="CFF0FC"/>
          </w:tcPr>
          <w:p>
            <w:pPr>
              <w:spacing w:after="0"/>
              <w:rPr>
                <w:sz w:val="12"/>
                <w:szCs w:val="12"/>
                <w:color w:val="auto"/>
              </w:rPr>
            </w:pPr>
          </w:p>
        </w:tc>
        <w:tc>
          <w:tcPr>
            <w:tcW w:w="7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300" w:type="dxa"/>
            <w:vAlign w:val="bottom"/>
          </w:tcPr>
          <w:p>
            <w:pPr>
              <w:spacing w:after="0"/>
              <w:rPr>
                <w:sz w:val="12"/>
                <w:szCs w:val="12"/>
                <w:color w:val="auto"/>
              </w:rPr>
            </w:pPr>
          </w:p>
        </w:tc>
        <w:tc>
          <w:tcPr>
            <w:tcW w:w="82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1,067,077</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2,133,336</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40,837</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4,036,250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200" w:type="dxa"/>
            <w:vAlign w:val="bottom"/>
            <w:shd w:val="clear" w:color="auto" w:fill="CFF0FC"/>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20" w:type="dxa"/>
            <w:vAlign w:val="bottom"/>
          </w:tcPr>
          <w:p>
            <w:pPr>
              <w:ind w:left="120"/>
              <w:spacing w:after="0" w:line="102" w:lineRule="exact"/>
              <w:rPr>
                <w:sz w:val="20"/>
                <w:szCs w:val="20"/>
                <w:color w:val="auto"/>
              </w:rPr>
            </w:pPr>
            <w:r>
              <w:rPr>
                <w:rFonts w:ascii="Times New Roman" w:cs="Times New Roman" w:eastAsia="Times New Roman" w:hAnsi="Times New Roman"/>
                <w:sz w:val="11"/>
                <w:szCs w:val="11"/>
                <w:color w:val="auto"/>
                <w:w w:val="86"/>
              </w:rPr>
              <w:t>(4</w:t>
            </w: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00" w:type="dxa"/>
            <w:vAlign w:val="bottom"/>
            <w:tcBorders>
              <w:top w:val="single" w:sz="8" w:color="CFF0FC"/>
            </w:tcBorders>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120" w:type="dxa"/>
            <w:vAlign w:val="bottom"/>
            <w:tcBorders>
              <w:top w:val="single" w:sz="8" w:color="CFF0FC"/>
            </w:tcBorders>
            <w:shd w:val="clear" w:color="auto" w:fill="CFF0FC"/>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483,000</w:t>
            </w:r>
          </w:p>
        </w:tc>
        <w:tc>
          <w:tcPr>
            <w:tcW w:w="300" w:type="dxa"/>
            <w:vAlign w:val="bottom"/>
          </w:tcPr>
          <w:p>
            <w:pPr>
              <w:spacing w:after="0"/>
              <w:rPr>
                <w:sz w:val="12"/>
                <w:szCs w:val="12"/>
                <w:color w:val="auto"/>
              </w:rPr>
            </w:pPr>
          </w:p>
        </w:tc>
        <w:tc>
          <w:tcPr>
            <w:tcW w:w="82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1,000,591</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1,999,990</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289,800</w:t>
            </w: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11,861</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3,785,242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2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vMerge w:val="restart"/>
          </w:tcPr>
          <w:p>
            <w:pPr>
              <w:ind w:left="120"/>
              <w:spacing w:after="0" w:line="122" w:lineRule="exact"/>
              <w:rPr>
                <w:sz w:val="20"/>
                <w:szCs w:val="20"/>
                <w:color w:val="auto"/>
              </w:rPr>
            </w:pPr>
            <w:r>
              <w:rPr>
                <w:rFonts w:ascii="Times New Roman" w:cs="Times New Roman" w:eastAsia="Times New Roman" w:hAnsi="Times New Roman"/>
                <w:sz w:val="11"/>
                <w:szCs w:val="11"/>
                <w:color w:val="auto"/>
                <w:w w:val="86"/>
              </w:rPr>
              <w:t>(4</w:t>
            </w: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2021</w:t>
            </w:r>
          </w:p>
        </w:tc>
        <w:tc>
          <w:tcPr>
            <w:tcW w:w="9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409,000</w:t>
            </w:r>
          </w:p>
        </w:tc>
        <w:tc>
          <w:tcPr>
            <w:tcW w:w="300" w:type="dxa"/>
            <w:vAlign w:val="bottom"/>
          </w:tcPr>
          <w:p>
            <w:pPr>
              <w:spacing w:after="0"/>
              <w:rPr>
                <w:sz w:val="14"/>
                <w:szCs w:val="14"/>
                <w:color w:val="auto"/>
              </w:rPr>
            </w:pPr>
          </w:p>
        </w:tc>
        <w:tc>
          <w:tcPr>
            <w:tcW w:w="820" w:type="dxa"/>
            <w:vAlign w:val="bottom"/>
          </w:tcPr>
          <w:p>
            <w:pPr>
              <w:ind w:left="660"/>
              <w:spacing w:after="0" w:line="163" w:lineRule="exact"/>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999,938</w:t>
            </w:r>
          </w:p>
        </w:tc>
        <w:tc>
          <w:tcPr>
            <w:tcW w:w="26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3,240,166</w:t>
            </w:r>
          </w:p>
        </w:tc>
        <w:tc>
          <w:tcPr>
            <w:tcW w:w="24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139,060</w:t>
            </w:r>
          </w:p>
        </w:tc>
        <w:tc>
          <w:tcPr>
            <w:tcW w:w="280" w:type="dxa"/>
            <w:vAlign w:val="bottom"/>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6,660</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4,794,824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vMerge w:val="restart"/>
          </w:tcPr>
          <w:p>
            <w:pPr>
              <w:ind w:left="120"/>
              <w:spacing w:after="0" w:line="107" w:lineRule="exact"/>
              <w:rPr>
                <w:sz w:val="20"/>
                <w:szCs w:val="20"/>
                <w:color w:val="auto"/>
              </w:rPr>
            </w:pPr>
            <w:r>
              <w:rPr>
                <w:rFonts w:ascii="Times New Roman" w:cs="Times New Roman" w:eastAsia="Times New Roman" w:hAnsi="Times New Roman"/>
                <w:sz w:val="11"/>
                <w:szCs w:val="11"/>
                <w:color w:val="auto"/>
                <w:w w:val="86"/>
              </w:rPr>
              <w:t>(4</w:t>
            </w: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200" w:type="dxa"/>
            <w:vAlign w:val="bottom"/>
            <w:vMerge w:val="continue"/>
          </w:tcPr>
          <w:p>
            <w:pPr>
              <w:spacing w:after="0"/>
              <w:rPr>
                <w:sz w:val="12"/>
                <w:szCs w:val="12"/>
                <w:color w:val="auto"/>
              </w:rPr>
            </w:pPr>
          </w:p>
        </w:tc>
        <w:tc>
          <w:tcPr>
            <w:tcW w:w="7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300" w:type="dxa"/>
            <w:vAlign w:val="bottom"/>
          </w:tcPr>
          <w:p>
            <w:pPr>
              <w:spacing w:after="0"/>
              <w:rPr>
                <w:sz w:val="12"/>
                <w:szCs w:val="12"/>
                <w:color w:val="auto"/>
              </w:rPr>
            </w:pPr>
          </w:p>
        </w:tc>
        <w:tc>
          <w:tcPr>
            <w:tcW w:w="82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766,909</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1,533,310</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29,312</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3,057,530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General Counsel</w:t>
            </w:r>
          </w:p>
        </w:tc>
        <w:tc>
          <w:tcPr>
            <w:tcW w:w="7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2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w w:val="86"/>
              </w:rPr>
              <w:t>(4</w:t>
            </w: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7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300" w:type="dxa"/>
            <w:vAlign w:val="bottom"/>
          </w:tcPr>
          <w:p>
            <w:pPr>
              <w:spacing w:after="0"/>
              <w:rPr>
                <w:sz w:val="14"/>
                <w:szCs w:val="14"/>
                <w:color w:val="auto"/>
              </w:rPr>
            </w:pPr>
          </w:p>
        </w:tc>
        <w:tc>
          <w:tcPr>
            <w:tcW w:w="82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577,503</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(5</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1,171,808</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(5</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15,388</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2,484,699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200" w:type="dxa"/>
            <w:vAlign w:val="bottom"/>
          </w:tcPr>
          <w:p>
            <w:pPr>
              <w:spacing w:after="0"/>
              <w:rPr>
                <w:sz w:val="24"/>
                <w:szCs w:val="24"/>
                <w:color w:val="auto"/>
              </w:rPr>
            </w:pP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12,810</w:t>
            </w: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5,206  </w:t>
            </w:r>
            <w:r>
              <w:rPr>
                <w:rFonts w:ascii="Times New Roman" w:cs="Times New Roman" w:eastAsia="Times New Roman" w:hAnsi="Times New Roman"/>
                <w:sz w:val="21"/>
                <w:szCs w:val="21"/>
                <w:color w:val="auto"/>
                <w:vertAlign w:val="superscript"/>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-1826260</wp:posOffset>
            </wp:positionV>
            <wp:extent cx="5666105"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610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-1063625</wp:posOffset>
            </wp:positionV>
            <wp:extent cx="7132320" cy="514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19030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5"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incentive payments made under our annual incentive plans, paid in March following completion of the applicable performance year.</w:t>
      </w:r>
    </w:p>
    <w:p>
      <w:pPr>
        <w:spacing w:after="0" w:line="26" w:lineRule="exact"/>
        <w:rPr>
          <w:rFonts w:ascii="Times New Roman" w:cs="Times New Roman" w:eastAsia="Times New Roman" w:hAnsi="Times New Roman"/>
          <w:sz w:val="13"/>
          <w:szCs w:val="13"/>
          <w:color w:val="auto"/>
        </w:rPr>
      </w:pPr>
    </w:p>
    <w:p>
      <w:pPr>
        <w:ind w:left="380" w:right="20" w:hanging="372"/>
        <w:spacing w:after="0" w:line="251" w:lineRule="auto"/>
        <w:tabs>
          <w:tab w:leader="none" w:pos="3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SEC rules, this column reflects the aggregate grant date fair value of the RSU / option awards granted computed in accordance with Financial Accounting Standard Board Accounting Codification Topic 718 for stock-based compensation transactions (ASC 718), as applicable. Assumptions used in the calculation of these amounts are included in Note 2 to our financial statements.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NEO's portion of FICA tax payments paid by the Company on behalf of the NEO due to delayed settlement of corresponding RSUs.</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company contributions under the 401(k) match program described for the NEO consistent with those provided to all of our employees.</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Murdock was hired in December 2021, and therefore, he did not receive a full year salary and non-equity incentive plan compensation and full year value of stock and option awards with the Company.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2023 Grants of Plan-Based Awards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2023, we granted the following non-equity incentive awards, stock options and RSUs to our NEOs under our 2015 Plan: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Grant Date</w:t>
            </w: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4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1"/>
                <w:szCs w:val="11"/>
                <w:color w:val="auto"/>
              </w:rPr>
            </w:pPr>
          </w:p>
        </w:tc>
        <w:tc>
          <w:tcPr>
            <w:tcW w:w="70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22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 of</w:t>
            </w:r>
          </w:p>
        </w:tc>
        <w:tc>
          <w:tcPr>
            <w:tcW w:w="24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20" w:type="dxa"/>
            <w:vAlign w:val="bottom"/>
          </w:tcPr>
          <w:p>
            <w:pPr>
              <w:spacing w:after="0"/>
              <w:rPr>
                <w:sz w:val="11"/>
                <w:szCs w:val="11"/>
                <w:color w:val="auto"/>
              </w:rPr>
            </w:pPr>
          </w:p>
        </w:tc>
        <w:tc>
          <w:tcPr>
            <w:tcW w:w="70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22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2"/>
          </w:tcPr>
          <w:p>
            <w:pPr>
              <w:jc w:val="center"/>
              <w:ind w:left="608"/>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20" w:type="dxa"/>
            <w:vAlign w:val="bottom"/>
          </w:tcPr>
          <w:p>
            <w:pPr>
              <w:spacing w:after="0"/>
              <w:rPr>
                <w:sz w:val="11"/>
                <w:szCs w:val="11"/>
                <w:color w:val="auto"/>
              </w:rPr>
            </w:pPr>
          </w:p>
        </w:tc>
        <w:tc>
          <w:tcPr>
            <w:tcW w:w="70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and</w:t>
            </w:r>
          </w:p>
        </w:tc>
      </w:tr>
      <w:tr>
        <w:trPr>
          <w:trHeight w:val="128"/>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jc w:val="center"/>
              <w:ind w:right="106"/>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Under Non-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or Units (#)</w:t>
            </w:r>
          </w:p>
        </w:tc>
        <w:tc>
          <w:tcPr>
            <w:tcW w:w="240" w:type="dxa"/>
            <w:vAlign w:val="bottom"/>
          </w:tcPr>
          <w:p>
            <w:pPr>
              <w:spacing w:after="0"/>
              <w:rPr>
                <w:sz w:val="11"/>
                <w:szCs w:val="11"/>
                <w:color w:val="auto"/>
              </w:rPr>
            </w:pPr>
          </w:p>
        </w:tc>
        <w:tc>
          <w:tcPr>
            <w:tcW w:w="11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20" w:type="dxa"/>
            <w:vAlign w:val="bottom"/>
          </w:tcPr>
          <w:p>
            <w:pPr>
              <w:spacing w:after="0"/>
              <w:rPr>
                <w:sz w:val="11"/>
                <w:szCs w:val="11"/>
                <w:color w:val="auto"/>
              </w:rPr>
            </w:pPr>
          </w:p>
        </w:tc>
        <w:tc>
          <w:tcPr>
            <w:tcW w:w="700" w:type="dxa"/>
            <w:vAlign w:val="bottom"/>
          </w:tcPr>
          <w:p>
            <w:pPr>
              <w:jc w:val="center"/>
              <w:ind w:right="51"/>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9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2"/>
              </w:rPr>
              <w:t>Option</w:t>
            </w:r>
          </w:p>
        </w:tc>
      </w:tr>
      <w:tr>
        <w:trPr>
          <w:trHeight w:val="176"/>
        </w:trPr>
        <w:tc>
          <w:tcPr>
            <w:tcW w:w="2620" w:type="dxa"/>
            <w:vAlign w:val="bottom"/>
          </w:tcPr>
          <w:p>
            <w:pPr>
              <w:ind w:left="11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3"/>
          </w:tcPr>
          <w:p>
            <w:pPr>
              <w:jc w:val="center"/>
              <w:ind w:right="44"/>
              <w:spacing w:after="0" w:line="175" w:lineRule="exact"/>
              <w:rPr>
                <w:sz w:val="20"/>
                <w:szCs w:val="20"/>
                <w:color w:val="auto"/>
              </w:rPr>
            </w:pPr>
            <w:r>
              <w:rPr>
                <w:rFonts w:ascii="Times New Roman" w:cs="Times New Roman" w:eastAsia="Times New Roman" w:hAnsi="Times New Roman"/>
                <w:sz w:val="13"/>
                <w:szCs w:val="13"/>
                <w:b w:val="1"/>
                <w:bCs w:val="1"/>
                <w:color w:val="auto"/>
                <w:w w:val="95"/>
              </w:rPr>
              <w:t>Equity Incentive Plan Awards ($)</w:t>
            </w:r>
            <w:r>
              <w:rPr>
                <w:rFonts w:ascii="Times New Roman" w:cs="Times New Roman" w:eastAsia="Times New Roman" w:hAnsi="Times New Roman"/>
                <w:sz w:val="16"/>
                <w:szCs w:val="16"/>
                <w:b w:val="1"/>
                <w:bCs w:val="1"/>
                <w:color w:val="auto"/>
                <w:w w:val="95"/>
                <w:vertAlign w:val="superscript"/>
              </w:rPr>
              <w:t>*</w:t>
            </w:r>
          </w:p>
        </w:tc>
        <w:tc>
          <w:tcPr>
            <w:tcW w:w="220" w:type="dxa"/>
            <w:vAlign w:val="bottom"/>
          </w:tcPr>
          <w:p>
            <w:pPr>
              <w:spacing w:after="0"/>
              <w:rPr>
                <w:sz w:val="15"/>
                <w:szCs w:val="15"/>
                <w:color w:val="auto"/>
              </w:rPr>
            </w:pP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1"/>
              </w:rPr>
              <w:t>(RSUs)</w:t>
            </w:r>
            <w:r>
              <w:rPr>
                <w:rFonts w:ascii="Times New Roman" w:cs="Times New Roman" w:eastAsia="Times New Roman" w:hAnsi="Times New Roman"/>
                <w:sz w:val="16"/>
                <w:szCs w:val="16"/>
                <w:b w:val="1"/>
                <w:bCs w:val="1"/>
                <w:color w:val="auto"/>
                <w:w w:val="91"/>
                <w:vertAlign w:val="superscript"/>
              </w:rPr>
              <w:t>(1)</w:t>
            </w:r>
          </w:p>
        </w:tc>
        <w:tc>
          <w:tcPr>
            <w:tcW w:w="240" w:type="dxa"/>
            <w:vAlign w:val="bottom"/>
          </w:tcPr>
          <w:p>
            <w:pPr>
              <w:spacing w:after="0"/>
              <w:rPr>
                <w:sz w:val="15"/>
                <w:szCs w:val="15"/>
                <w:color w:val="auto"/>
              </w:rPr>
            </w:pP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($/Share)</w:t>
            </w:r>
          </w:p>
        </w:tc>
        <w:tc>
          <w:tcPr>
            <w:tcW w:w="220" w:type="dxa"/>
            <w:vAlign w:val="bottom"/>
          </w:tcPr>
          <w:p>
            <w:pPr>
              <w:spacing w:after="0"/>
              <w:rPr>
                <w:sz w:val="15"/>
                <w:szCs w:val="15"/>
                <w:color w:val="auto"/>
              </w:rPr>
            </w:pPr>
          </w:p>
        </w:tc>
        <w:tc>
          <w:tcPr>
            <w:tcW w:w="94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3"/>
                <w:szCs w:val="13"/>
                <w:b w:val="1"/>
                <w:bCs w:val="1"/>
                <w:color w:val="auto"/>
                <w:w w:val="91"/>
              </w:rPr>
              <w:t>Awards ($)</w:t>
            </w:r>
            <w:r>
              <w:rPr>
                <w:rFonts w:ascii="Times New Roman" w:cs="Times New Roman" w:eastAsia="Times New Roman" w:hAnsi="Times New Roman"/>
                <w:sz w:val="16"/>
                <w:szCs w:val="16"/>
                <w:b w:val="1"/>
                <w:bCs w:val="1"/>
                <w:color w:val="auto"/>
                <w:w w:val="91"/>
                <w:vertAlign w:val="superscript"/>
              </w:rPr>
              <w:t>(3)</w:t>
            </w:r>
          </w:p>
        </w:tc>
      </w:tr>
      <w:tr>
        <w:trPr>
          <w:trHeight w:val="156"/>
        </w:trPr>
        <w:tc>
          <w:tcPr>
            <w:tcW w:w="2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220" w:type="dxa"/>
            <w:vAlign w:val="bottom"/>
            <w:tcBorders>
              <w:top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7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49"/>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tcBorders>
              <w:bottom w:val="single" w:sz="8" w:color="CFF0FC"/>
            </w:tcBorders>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86"/>
              <w:spacing w:after="0"/>
              <w:rPr>
                <w:sz w:val="20"/>
                <w:szCs w:val="20"/>
                <w:color w:val="auto"/>
              </w:rPr>
            </w:pPr>
            <w:r>
              <w:rPr>
                <w:rFonts w:ascii="Times New Roman" w:cs="Times New Roman" w:eastAsia="Times New Roman" w:hAnsi="Times New Roman"/>
                <w:sz w:val="16"/>
                <w:szCs w:val="16"/>
                <w:color w:val="auto"/>
              </w:rPr>
              <w:t>$   450,000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900,000</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(4</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2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86"/>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62,400</w:t>
            </w: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$ 2,834,520</w:t>
            </w:r>
          </w:p>
        </w:tc>
        <w:tc>
          <w:tcPr>
            <w:tcW w:w="100" w:type="dxa"/>
            <w:vAlign w:val="bottom"/>
          </w:tcPr>
          <w:p>
            <w:pPr>
              <w:spacing w:after="0"/>
              <w:rPr>
                <w:sz w:val="19"/>
                <w:szCs w:val="19"/>
                <w:color w:val="auto"/>
              </w:rPr>
            </w:pPr>
          </w:p>
        </w:tc>
      </w:tr>
      <w:tr>
        <w:trPr>
          <w:trHeight w:val="239"/>
        </w:trPr>
        <w:tc>
          <w:tcPr>
            <w:tcW w:w="2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3/2/2023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line="239" w:lineRule="exact"/>
              <w:rPr>
                <w:sz w:val="20"/>
                <w:szCs w:val="20"/>
                <w:color w:val="auto"/>
              </w:rPr>
            </w:pPr>
            <w:r>
              <w:rPr>
                <w:rFonts w:ascii="Times New Roman" w:cs="Times New Roman" w:eastAsia="Times New Roman" w:hAnsi="Times New Roman"/>
                <w:sz w:val="16"/>
                <w:szCs w:val="16"/>
                <w:color w:val="auto"/>
              </w:rPr>
              <w:t xml:space="preserve">110,032  </w:t>
            </w:r>
            <w:r>
              <w:rPr>
                <w:rFonts w:ascii="Times New Roman" w:cs="Times New Roman" w:eastAsia="Times New Roman" w:hAnsi="Times New Roman"/>
                <w:sz w:val="21"/>
                <w:szCs w:val="21"/>
                <w:color w:val="auto"/>
                <w:vertAlign w:val="superscript"/>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$ 5,666,648</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316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tbl>
      <w:tblPr>
        <w:tblLayout w:type="fixed"/>
        <w:tblInd w:w="20" w:type="dxa"/>
        <w:tblCellMar>
          <w:top w:w="0" w:type="dxa"/>
          <w:left w:w="0" w:type="dxa"/>
          <w:bottom w:w="0" w:type="dxa"/>
          <w:right w:w="0" w:type="dxa"/>
        </w:tblCellMar>
      </w:tblPr>
      <w:tr>
        <w:trPr>
          <w:trHeight w:val="26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194,000</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388,000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1"/>
              </w:rPr>
              <w:t>(4</w:t>
            </w:r>
          </w:p>
        </w:tc>
      </w:tr>
      <w:tr>
        <w:trPr>
          <w:trHeight w:val="211"/>
        </w:trPr>
        <w:tc>
          <w:tcPr>
            <w:tcW w:w="2360" w:type="dxa"/>
            <w:vAlign w:val="bottom"/>
          </w:tcPr>
          <w:p>
            <w:pPr>
              <w:spacing w:after="0"/>
              <w:rPr>
                <w:sz w:val="18"/>
                <w:szCs w:val="18"/>
                <w:color w:val="auto"/>
              </w:rPr>
            </w:pPr>
          </w:p>
        </w:tc>
        <w:tc>
          <w:tcPr>
            <w:tcW w:w="17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3/2/2023</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20,554</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229"/>
        </w:trPr>
        <w:tc>
          <w:tcPr>
            <w:tcW w:w="2360" w:type="dxa"/>
            <w:vAlign w:val="bottom"/>
          </w:tcPr>
          <w:p>
            <w:pPr>
              <w:spacing w:after="0"/>
              <w:rPr>
                <w:sz w:val="19"/>
                <w:szCs w:val="19"/>
                <w:color w:val="auto"/>
              </w:rPr>
            </w:pPr>
          </w:p>
        </w:tc>
        <w:tc>
          <w:tcPr>
            <w:tcW w:w="17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3/2/2023</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80"/>
        <w:spacing w:after="0"/>
        <w:tabs>
          <w:tab w:leader="none" w:pos="1380" w:val="left"/>
          <w:tab w:leader="none" w:pos="2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  933,665</w:t>
      </w:r>
    </w:p>
    <w:p>
      <w:pPr>
        <w:spacing w:after="0" w:line="20" w:lineRule="exact"/>
        <w:rPr>
          <w:sz w:val="20"/>
          <w:szCs w:val="20"/>
          <w:color w:val="auto"/>
        </w:rPr>
      </w:pPr>
    </w:p>
    <w:p>
      <w:pPr>
        <w:spacing w:after="0"/>
        <w:tabs>
          <w:tab w:leader="none" w:pos="560" w:val="left"/>
          <w:tab w:leader="none" w:pos="1180" w:val="left"/>
          <w:tab w:leader="none" w:pos="1800" w:val="left"/>
        </w:tabs>
        <w:rPr>
          <w:sz w:val="20"/>
          <w:szCs w:val="20"/>
          <w:color w:val="auto"/>
        </w:rPr>
      </w:pPr>
      <w:r>
        <w:rPr>
          <w:rFonts w:ascii="Times New Roman" w:cs="Times New Roman" w:eastAsia="Times New Roman" w:hAnsi="Times New Roman"/>
          <w:sz w:val="16"/>
          <w:szCs w:val="16"/>
          <w:color w:val="auto"/>
        </w:rPr>
        <w:t>36,246</w:t>
      </w:r>
      <w:r>
        <w:rPr>
          <w:sz w:val="20"/>
          <w:szCs w:val="20"/>
          <w:color w:val="auto"/>
        </w:rPr>
        <w:tab/>
      </w:r>
      <w:r>
        <w:rPr>
          <w:rFonts w:ascii="Times New Roman" w:cs="Times New Roman" w:eastAsia="Times New Roman" w:hAnsi="Times New Roman"/>
          <w:sz w:val="22"/>
          <w:szCs w:val="22"/>
          <w:color w:val="auto"/>
          <w:vertAlign w:val="superscript"/>
        </w:rPr>
        <w:t xml:space="preserve">(5)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65.32</w:t>
      </w:r>
      <w:r>
        <w:rPr>
          <w:sz w:val="20"/>
          <w:szCs w:val="20"/>
          <w:color w:val="auto"/>
        </w:rPr>
        <w:tab/>
      </w:r>
      <w:r>
        <w:rPr>
          <w:rFonts w:ascii="Times New Roman" w:cs="Times New Roman" w:eastAsia="Times New Roman" w:hAnsi="Times New Roman"/>
          <w:sz w:val="16"/>
          <w:szCs w:val="16"/>
          <w:color w:val="auto"/>
        </w:rPr>
        <w:t>$ 1,866,669</w:t>
      </w:r>
    </w:p>
    <w:p>
      <w:pPr>
        <w:spacing w:after="0" w:line="20" w:lineRule="exact"/>
        <w:rPr>
          <w:sz w:val="20"/>
          <w:szCs w:val="20"/>
          <w:color w:val="auto"/>
        </w:rPr>
      </w:pPr>
    </w:p>
    <w:p>
      <w:pPr>
        <w:sectPr>
          <w:pgSz w:w="11900" w:h="16838" w:orient="portrait"/>
          <w:cols w:equalWidth="0" w:num="2">
            <w:col w:w="8040" w:space="460"/>
            <w:col w:w="274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0" w:type="dxa"/>
            <w:vAlign w:val="bottom"/>
            <w:tcBorders>
              <w:bottom w:val="single" w:sz="8" w:color="CFF0FC"/>
            </w:tcBorders>
          </w:tcPr>
          <w:p>
            <w:pPr>
              <w:spacing w:after="0"/>
              <w:rPr>
                <w:sz w:val="20"/>
                <w:szCs w:val="20"/>
                <w:color w:val="auto"/>
              </w:rPr>
            </w:pP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212,000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424,000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2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3/2/2023</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23,491</w:t>
            </w:r>
          </w:p>
        </w:tc>
        <w:tc>
          <w:tcPr>
            <w:tcW w:w="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$ 1,067,077</w:t>
            </w:r>
          </w:p>
        </w:tc>
      </w:tr>
      <w:tr>
        <w:trPr>
          <w:trHeight w:val="239"/>
        </w:trPr>
        <w:tc>
          <w:tcPr>
            <w:tcW w:w="2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3/2/2023</w:t>
            </w:r>
          </w:p>
        </w:tc>
        <w:tc>
          <w:tcPr>
            <w:tcW w:w="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41,424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65.32</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$ 2,133,336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-316865</wp:posOffset>
            </wp:positionV>
            <wp:extent cx="546925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69255" cy="17145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tbl>
      <w:tblPr>
        <w:tblLayout w:type="fixed"/>
        <w:tblInd w:w="20" w:type="dxa"/>
        <w:tblCellMar>
          <w:top w:w="0" w:type="dxa"/>
          <w:left w:w="0" w:type="dxa"/>
          <w:bottom w:w="0" w:type="dxa"/>
          <w:right w:w="0" w:type="dxa"/>
        </w:tblCellMar>
      </w:tblPr>
      <w:tr>
        <w:trPr>
          <w:trHeight w:val="26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1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194,000</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388,000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1"/>
              </w:rPr>
              <w:t>(4</w:t>
            </w:r>
          </w:p>
        </w:tc>
      </w:tr>
      <w:tr>
        <w:trPr>
          <w:trHeight w:val="211"/>
        </w:trPr>
        <w:tc>
          <w:tcPr>
            <w:tcW w:w="21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3/2/2023</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16,883</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229"/>
        </w:trPr>
        <w:tc>
          <w:tcPr>
            <w:tcW w:w="2180" w:type="dxa"/>
            <w:vAlign w:val="bottom"/>
          </w:tcPr>
          <w:p>
            <w:pPr>
              <w:spacing w:after="0"/>
              <w:rPr>
                <w:sz w:val="19"/>
                <w:szCs w:val="19"/>
                <w:color w:val="auto"/>
              </w:rPr>
            </w:pPr>
          </w:p>
        </w:tc>
        <w:tc>
          <w:tcPr>
            <w:tcW w:w="19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3/2/2023</w:t>
            </w: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9030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0" w:lineRule="exact"/>
        <w:rPr>
          <w:sz w:val="20"/>
          <w:szCs w:val="20"/>
          <w:color w:val="auto"/>
        </w:rPr>
      </w:pPr>
    </w:p>
    <w:p>
      <w:pPr>
        <w:ind w:left="320" w:hanging="281"/>
        <w:spacing w:after="0"/>
        <w:tabs>
          <w:tab w:leader="none" w:pos="3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amounts set forth in the summary compensation table set forth above.</w:t>
      </w:r>
    </w:p>
    <w:p>
      <w:pPr>
        <w:spacing w:after="0" w:line="26"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common stock, each of which vest over time.</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our common stock underlying options awarded, each of which vest over time.</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fair value of each equity award on the date of grant, as computed in accordance with FASB ASC 718.</w:t>
      </w:r>
    </w:p>
    <w:p>
      <w:pPr>
        <w:spacing w:after="0" w:line="20" w:lineRule="exact"/>
        <w:rPr>
          <w:sz w:val="20"/>
          <w:szCs w:val="20"/>
          <w:color w:val="auto"/>
        </w:rPr>
      </w:pPr>
      <w:r>
        <w:rPr>
          <w:sz w:val="20"/>
          <w:szCs w:val="20"/>
          <w:color w:val="auto"/>
        </w:rPr>
        <w:br w:type="column"/>
      </w:r>
    </w:p>
    <w:p>
      <w:pPr>
        <w:jc w:val="both"/>
        <w:ind w:left="280"/>
        <w:spacing w:after="0"/>
        <w:tabs>
          <w:tab w:leader="none" w:pos="1380" w:val="left"/>
          <w:tab w:leader="none" w:pos="2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  766,909</w:t>
      </w:r>
    </w:p>
    <w:p>
      <w:pPr>
        <w:spacing w:after="0" w:line="45" w:lineRule="exact"/>
        <w:rPr>
          <w:sz w:val="20"/>
          <w:szCs w:val="20"/>
          <w:color w:val="auto"/>
        </w:rPr>
      </w:pPr>
    </w:p>
    <w:p>
      <w:pPr>
        <w:spacing w:after="0"/>
        <w:tabs>
          <w:tab w:leader="none" w:pos="560" w:val="left"/>
          <w:tab w:leader="none" w:pos="1180" w:val="left"/>
          <w:tab w:leader="none" w:pos="1800" w:val="left"/>
        </w:tabs>
        <w:rPr>
          <w:sz w:val="20"/>
          <w:szCs w:val="20"/>
          <w:color w:val="auto"/>
        </w:rPr>
      </w:pPr>
      <w:r>
        <w:rPr>
          <w:rFonts w:ascii="Times New Roman" w:cs="Times New Roman" w:eastAsia="Times New Roman" w:hAnsi="Times New Roman"/>
          <w:sz w:val="16"/>
          <w:szCs w:val="16"/>
          <w:color w:val="auto"/>
        </w:rPr>
        <w:t>29,773</w:t>
      </w:r>
      <w:r>
        <w:rPr>
          <w:sz w:val="20"/>
          <w:szCs w:val="20"/>
          <w:color w:val="auto"/>
        </w:rPr>
        <w:tab/>
      </w:r>
      <w:r>
        <w:rPr>
          <w:rFonts w:ascii="Times New Roman" w:cs="Times New Roman" w:eastAsia="Times New Roman" w:hAnsi="Times New Roman"/>
          <w:sz w:val="22"/>
          <w:szCs w:val="22"/>
          <w:color w:val="auto"/>
          <w:vertAlign w:val="superscript"/>
        </w:rPr>
        <w:t xml:space="preserve">(5)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65.32</w:t>
      </w:r>
      <w:r>
        <w:rPr>
          <w:sz w:val="20"/>
          <w:szCs w:val="20"/>
          <w:color w:val="auto"/>
        </w:rPr>
        <w:tab/>
      </w:r>
      <w:r>
        <w:rPr>
          <w:rFonts w:ascii="Times New Roman" w:cs="Times New Roman" w:eastAsia="Times New Roman" w:hAnsi="Times New Roman"/>
          <w:sz w:val="16"/>
          <w:szCs w:val="16"/>
          <w:color w:val="auto"/>
        </w:rPr>
        <w:t>$ 1,533,310</w:t>
      </w:r>
    </w:p>
    <w:p>
      <w:pPr>
        <w:spacing w:after="0" w:line="836" w:lineRule="exact"/>
        <w:rPr>
          <w:sz w:val="20"/>
          <w:szCs w:val="20"/>
          <w:color w:val="auto"/>
        </w:rPr>
      </w:pPr>
    </w:p>
    <w:p>
      <w:pPr>
        <w:sectPr>
          <w:pgSz w:w="11900" w:h="16838" w:orient="portrait"/>
          <w:cols w:equalWidth="0" w:num="2">
            <w:col w:w="8040" w:space="460"/>
            <w:col w:w="2740"/>
          </w:cols>
          <w:pgMar w:left="320" w:top="769" w:right="339" w:bottom="1440" w:gutter="0" w:footer="0" w:header="0"/>
          <w:type w:val="continuous"/>
        </w:sectPr>
      </w:pPr>
    </w:p>
    <w:p>
      <w:pPr>
        <w:ind w:left="380" w:right="60" w:hanging="372"/>
        <w:spacing w:after="0" w:line="232" w:lineRule="auto"/>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 awards vest in 4 equal annual installments over four years such that they will be fully vested on March 2, 2027. Vested shares will be delivered to the reporting person upon the earlier of (i) the closing of a Change in Control (as defined in the 2015 Plan), (ii) the reporting person’s separation of service from Axsome (including termination with or without Cause (as defined in the 2015 Plan) or termination due to death or disability), or (iii) seven (7) years from the date of grant.</w:t>
      </w:r>
    </w:p>
    <w:p>
      <w:pPr>
        <w:ind w:left="380" w:hanging="372"/>
        <w:spacing w:after="0"/>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awards vest in 16 equal quarterly installments over four years such that the options will be fully vested on March 2, 2027.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as of December 31, 2023</w:t>
      </w:r>
    </w:p>
    <w:p>
      <w:pPr>
        <w:spacing w:after="0" w:line="75" w:lineRule="exact"/>
        <w:rPr>
          <w:sz w:val="20"/>
          <w:szCs w:val="20"/>
          <w:color w:val="auto"/>
        </w:rPr>
      </w:pPr>
    </w:p>
    <w:p>
      <w:pPr>
        <w:ind w:right="400" w:firstLine="374"/>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regarding each outstanding and unexercised option and RSU held by each of our NEOs as of December 31, 2023. The number of shares subject to each award and, where applicable, the exercise price per share, reflect all changes as a result of our capitalization adjustments.</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vesting and exercisability schedule applicable to each outstanding award is described in the footnotes to the table below.</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23"/>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57"/>
              <w:spacing w:after="0" w:line="123"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00" w:type="dxa"/>
            <w:vAlign w:val="bottom"/>
          </w:tcPr>
          <w:p>
            <w:pPr>
              <w:spacing w:after="0"/>
              <w:rPr>
                <w:sz w:val="11"/>
                <w:szCs w:val="11"/>
                <w:color w:val="auto"/>
              </w:rPr>
            </w:pPr>
          </w:p>
        </w:tc>
        <w:tc>
          <w:tcPr>
            <w:tcW w:w="84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that have</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Unexercisabl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0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not</w:t>
            </w:r>
          </w:p>
        </w:tc>
        <w:tc>
          <w:tcPr>
            <w:tcW w:w="0" w:type="dxa"/>
            <w:vAlign w:val="bottom"/>
          </w:tcPr>
          <w:p>
            <w:pPr>
              <w:spacing w:after="0"/>
              <w:rPr>
                <w:sz w:val="1"/>
                <w:szCs w:val="1"/>
                <w:color w:val="auto"/>
              </w:rPr>
            </w:pPr>
          </w:p>
        </w:tc>
      </w:tr>
      <w:tr>
        <w:trPr>
          <w:trHeight w:val="167"/>
        </w:trPr>
        <w:tc>
          <w:tcPr>
            <w:tcW w:w="36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e (#)</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Price ($)</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0" w:type="dxa"/>
            <w:vAlign w:val="bottom"/>
          </w:tcPr>
          <w:p>
            <w:pPr>
              <w:spacing w:after="0"/>
              <w:rPr>
                <w:sz w:val="1"/>
                <w:szCs w:val="1"/>
                <w:color w:val="auto"/>
              </w:rPr>
            </w:pPr>
          </w:p>
        </w:tc>
      </w:tr>
      <w:tr>
        <w:trPr>
          <w:trHeight w:val="15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Herriot Tabuteau, M.D.</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5/27/2016</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5/27/2026</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3/15/2017</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3/15/2027</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3/12/2018</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187,628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3/12/2028</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3/19/2019</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319,212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3/19/2029</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10/10/2019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10/10/2029</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158,228</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10,548</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45.14</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3/17/2030</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6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740" w:type="dxa"/>
            <w:vAlign w:val="bottom"/>
            <w:tcBorders>
              <w:top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12,922</w:t>
            </w:r>
          </w:p>
        </w:tc>
        <w:tc>
          <w:tcPr>
            <w:tcW w:w="100" w:type="dxa"/>
            <w:vAlign w:val="bottom"/>
          </w:tcPr>
          <w:p>
            <w:pPr>
              <w:spacing w:after="0" w:line="52" w:lineRule="exact"/>
              <w:rPr>
                <w:sz w:val="20"/>
                <w:szCs w:val="20"/>
                <w:color w:val="auto"/>
              </w:rPr>
            </w:pPr>
            <w:r>
              <w:rPr>
                <w:rFonts w:ascii="Times New Roman" w:cs="Times New Roman" w:eastAsia="Times New Roman" w:hAnsi="Times New Roman"/>
                <w:sz w:val="6"/>
                <w:szCs w:val="6"/>
                <w:color w:val="auto"/>
              </w:rPr>
              <w:t>(4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1,028,462</w:t>
            </w:r>
          </w:p>
        </w:tc>
        <w:tc>
          <w:tcPr>
            <w:tcW w:w="0" w:type="dxa"/>
            <w:vAlign w:val="bottom"/>
          </w:tcPr>
          <w:p>
            <w:pPr>
              <w:spacing w:after="0"/>
              <w:rPr>
                <w:sz w:val="1"/>
                <w:szCs w:val="1"/>
                <w:color w:val="auto"/>
              </w:rPr>
            </w:pPr>
          </w:p>
        </w:tc>
      </w:tr>
      <w:tr>
        <w:trPr>
          <w:trHeight w:val="163"/>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3/5/2021</w:t>
            </w:r>
          </w:p>
        </w:tc>
        <w:tc>
          <w:tcPr>
            <w:tcW w:w="120" w:type="dxa"/>
            <w:vAlign w:val="bottom"/>
            <w:shd w:val="clear" w:color="auto" w:fill="CFF0FC"/>
          </w:tcPr>
          <w:p>
            <w:pPr>
              <w:spacing w:after="0"/>
              <w:rPr>
                <w:sz w:val="4"/>
                <w:szCs w:val="4"/>
                <w:color w:val="auto"/>
              </w:rPr>
            </w:pP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66,795</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30,360</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3/5/2031</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continue"/>
            <w:shd w:val="clear" w:color="auto" w:fill="CFF0FC"/>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6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00" w:type="dxa"/>
            <w:vAlign w:val="bottom"/>
            <w:gridSpan w:val="2"/>
            <w:vMerge w:val="continue"/>
            <w:shd w:val="clear" w:color="auto" w:fill="CFF0FC"/>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line="89" w:lineRule="exact"/>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3/5/2021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25,857</w:t>
            </w: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2,057,959</w:t>
            </w:r>
          </w:p>
        </w:tc>
        <w:tc>
          <w:tcPr>
            <w:tcW w:w="0" w:type="dxa"/>
            <w:vAlign w:val="bottom"/>
          </w:tcPr>
          <w:p>
            <w:pPr>
              <w:spacing w:after="0"/>
              <w:rPr>
                <w:sz w:val="1"/>
                <w:szCs w:val="1"/>
                <w:color w:val="auto"/>
              </w:rPr>
            </w:pPr>
          </w:p>
        </w:tc>
      </w:tr>
      <w:tr>
        <w:trPr>
          <w:trHeight w:val="107"/>
        </w:trPr>
        <w:tc>
          <w:tcPr>
            <w:tcW w:w="3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91,725</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117,930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3/4/2032</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00" w:type="dxa"/>
            <w:vAlign w:val="bottom"/>
            <w:gridSpan w:val="2"/>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83,145</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6,617,510</w:t>
            </w:r>
          </w:p>
        </w:tc>
        <w:tc>
          <w:tcPr>
            <w:tcW w:w="0" w:type="dxa"/>
            <w:vAlign w:val="bottom"/>
          </w:tcPr>
          <w:p>
            <w:pPr>
              <w:spacing w:after="0"/>
              <w:rPr>
                <w:sz w:val="1"/>
                <w:szCs w:val="1"/>
                <w:color w:val="auto"/>
              </w:rPr>
            </w:pPr>
          </w:p>
        </w:tc>
      </w:tr>
      <w:tr>
        <w:trPr>
          <w:trHeight w:val="163"/>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3/2/2023</w:t>
            </w:r>
          </w:p>
        </w:tc>
        <w:tc>
          <w:tcPr>
            <w:tcW w:w="120" w:type="dxa"/>
            <w:vAlign w:val="bottom"/>
            <w:shd w:val="clear" w:color="auto" w:fill="CFF0FC"/>
          </w:tcPr>
          <w:p>
            <w:pPr>
              <w:spacing w:after="0"/>
              <w:rPr>
                <w:sz w:val="4"/>
                <w:szCs w:val="4"/>
                <w:color w:val="auto"/>
              </w:rPr>
            </w:pP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20,631</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89,401</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65.32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3/2/2033</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00" w:type="dxa"/>
            <w:vAlign w:val="bottom"/>
            <w:gridSpan w:val="2"/>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60" w:type="dxa"/>
            <w:vAlign w:val="bottom"/>
            <w:gridSpan w:val="2"/>
            <w:vMerge w:val="continue"/>
            <w:shd w:val="clear" w:color="auto" w:fill="CFF0FC"/>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3/2/2023</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62,400</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4,966,416</w:t>
            </w:r>
          </w:p>
        </w:tc>
        <w:tc>
          <w:tcPr>
            <w:tcW w:w="0" w:type="dxa"/>
            <w:vAlign w:val="bottom"/>
          </w:tcPr>
          <w:p>
            <w:pPr>
              <w:spacing w:after="0"/>
              <w:rPr>
                <w:sz w:val="1"/>
                <w:szCs w:val="1"/>
                <w:color w:val="auto"/>
              </w:rPr>
            </w:pPr>
          </w:p>
        </w:tc>
      </w:tr>
      <w:tr>
        <w:trPr>
          <w:trHeight w:val="164"/>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Nick Pizzie, C.P.A., M.B.A.</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5/16/2018</w:t>
            </w:r>
          </w:p>
        </w:tc>
        <w:tc>
          <w:tcPr>
            <w:tcW w:w="1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3/19/2019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75,102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3/19/2029</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10/10/2019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25,813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10/10/2029</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45,223</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45.14</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3/17/2030</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3,691</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293,767</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3/5/2021</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24,810</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11,276</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3/5/2031</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3/5/2021</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9,604</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764,382</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11/12/2021</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18,043</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18,043</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11/12/2031</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34,069</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43,803</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3/4/2032</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30,882</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2,457,898</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3/2/2023</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6,797</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29,449</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65.32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3/2/2033</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3/2/2023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20,554</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1,635,893</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6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Mark Jacobson, M.A.</w:t>
            </w:r>
          </w:p>
        </w:tc>
        <w:tc>
          <w:tcPr>
            <w:tcW w:w="8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auto"/>
              </w:rPr>
              <w:t>4/3/2014</w:t>
            </w:r>
          </w:p>
        </w:tc>
        <w:tc>
          <w:tcPr>
            <w:tcW w:w="82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auto"/>
              </w:rPr>
              <w:t>24,662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color w:val="auto"/>
              </w:rPr>
              <w:t>1.30</w:t>
            </w:r>
          </w:p>
        </w:tc>
        <w:tc>
          <w:tcPr>
            <w:tcW w:w="94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auto"/>
              </w:rPr>
              <w:t>4/3/2024</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660" w:type="dxa"/>
            <w:vAlign w:val="bottom"/>
            <w:tcBorders>
              <w:bottom w:val="single" w:sz="8" w:color="CFF0FC"/>
            </w:tcBorders>
            <w:shd w:val="clear" w:color="auto" w:fill="CFF0FC"/>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gridSpan w:val="2"/>
          </w:tcPr>
          <w:p>
            <w:pPr>
              <w:jc w:val="right"/>
              <w:spacing w:after="0" w:line="70" w:lineRule="exact"/>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6/18/2014</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13,693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32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9"/>
                <w:szCs w:val="19"/>
                <w:color w:val="auto"/>
                <w:vertAlign w:val="sub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6/18/2024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12/29/2014</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47,739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12/29/2024</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9/15/2015</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40,673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9/15/2025</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5/27/2016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5/27/2026</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3/15/2017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3/15/2027</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9/13/2017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9/13/2027</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3/12/2018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45,378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3/12/2028</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3/19/2019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119,704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3/19/2029</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10/10/2019</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25,813</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10/10/2029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45,223</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100" w:type="dxa"/>
            <w:vAlign w:val="bottom"/>
            <w:shd w:val="clear" w:color="auto" w:fill="CFF0FC"/>
          </w:tcPr>
          <w:p>
            <w:pPr>
              <w:spacing w:after="0"/>
              <w:rPr>
                <w:sz w:val="9"/>
                <w:szCs w:val="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45.14</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3/17/2030</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4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3,691</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293,767</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Borders>
              <w:bottom w:val="single" w:sz="8" w:color="CFF0FC"/>
            </w:tcBorders>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3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3/5/2021</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28,627</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13,011</w:t>
            </w:r>
          </w:p>
        </w:tc>
        <w:tc>
          <w:tcPr>
            <w:tcW w:w="100" w:type="dxa"/>
            <w:vAlign w:val="bottom"/>
            <w:shd w:val="clear" w:color="auto" w:fill="CFF0FC"/>
          </w:tcPr>
          <w:p>
            <w:pPr>
              <w:spacing w:after="0"/>
              <w:rPr>
                <w:sz w:val="9"/>
                <w:szCs w:val="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3/5/2031</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00" w:type="dxa"/>
            <w:vAlign w:val="bottom"/>
            <w:gridSpan w:val="2"/>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60" w:type="dxa"/>
            <w:vAlign w:val="bottom"/>
            <w:gridSpan w:val="2"/>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3/5/2021</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11,081</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881,937</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vMerge w:val="continue"/>
            <w:shd w:val="clear" w:color="auto" w:fill="CFF0FC"/>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gridSpan w:val="2"/>
            <w:vMerge w:val="continue"/>
          </w:tcPr>
          <w:p>
            <w:pPr>
              <w:spacing w:after="0"/>
              <w:rPr>
                <w:sz w:val="17"/>
                <w:szCs w:val="17"/>
                <w:color w:val="auto"/>
              </w:rPr>
            </w:pPr>
          </w:p>
        </w:tc>
        <w:tc>
          <w:tcPr>
            <w:tcW w:w="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FF0FC"/>
            </w:tcBorders>
            <w:vMerge w:val="continue"/>
          </w:tcPr>
          <w:p>
            <w:pPr>
              <w:spacing w:after="0"/>
              <w:rPr>
                <w:sz w:val="17"/>
                <w:szCs w:val="17"/>
                <w:color w:val="auto"/>
              </w:rPr>
            </w:pPr>
          </w:p>
        </w:tc>
        <w:tc>
          <w:tcPr>
            <w:tcW w:w="760" w:type="dxa"/>
            <w:vAlign w:val="bottom"/>
            <w:tcBorders>
              <w:bottom w:val="single" w:sz="8" w:color="CFF0FC"/>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11/12/2021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20,819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20,819</w:t>
            </w:r>
          </w:p>
        </w:tc>
        <w:tc>
          <w:tcPr>
            <w:tcW w:w="100" w:type="dxa"/>
            <w:vAlign w:val="bottom"/>
            <w:shd w:val="clear" w:color="auto" w:fill="CFF0FC"/>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39.26</w:t>
            </w:r>
          </w:p>
        </w:tc>
        <w:tc>
          <w:tcPr>
            <w:tcW w:w="940" w:type="dxa"/>
            <w:vAlign w:val="bottom"/>
            <w:gridSpan w:val="3"/>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11/12/2031</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6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740" w:type="dxa"/>
            <w:vAlign w:val="bottom"/>
            <w:tcBorders>
              <w:top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1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580" w:type="dxa"/>
            <w:vAlign w:val="bottom"/>
            <w:tcBorders>
              <w:top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39,115</w:t>
            </w:r>
          </w:p>
        </w:tc>
        <w:tc>
          <w:tcPr>
            <w:tcW w:w="1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40" w:type="dxa"/>
            <w:vAlign w:val="bottom"/>
            <w:tcBorders>
              <w:top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50,290</w:t>
            </w: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Pr>
          <w:p>
            <w:pPr>
              <w:ind w:left="20"/>
              <w:spacing w:after="0" w:line="52" w:lineRule="exact"/>
              <w:rPr>
                <w:sz w:val="20"/>
                <w:szCs w:val="20"/>
                <w:color w:val="auto"/>
              </w:rPr>
            </w:pPr>
            <w:r>
              <w:rPr>
                <w:rFonts w:ascii="Times New Roman" w:cs="Times New Roman" w:eastAsia="Times New Roman" w:hAnsi="Times New Roman"/>
                <w:sz w:val="6"/>
                <w:szCs w:val="6"/>
                <w:color w:val="auto"/>
              </w:rPr>
              <w:t>(1</w:t>
            </w:r>
          </w:p>
        </w:tc>
        <w:tc>
          <w:tcPr>
            <w:tcW w:w="100" w:type="dxa"/>
            <w:vAlign w:val="bottom"/>
            <w:tcBorders>
              <w:top w:val="single" w:sz="8" w:color="CFF0FC"/>
            </w:tcBorders>
            <w:shd w:val="clear" w:color="auto" w:fill="CFF0FC"/>
          </w:tcPr>
          <w:p>
            <w:pPr>
              <w:spacing w:after="0"/>
              <w:rPr>
                <w:sz w:val="4"/>
                <w:szCs w:val="4"/>
                <w:color w:val="auto"/>
              </w:rPr>
            </w:pPr>
          </w:p>
        </w:tc>
        <w:tc>
          <w:tcPr>
            <w:tcW w:w="660" w:type="dxa"/>
            <w:vAlign w:val="bottom"/>
            <w:tcBorders>
              <w:top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CFF0FC"/>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940" w:type="dxa"/>
            <w:vAlign w:val="bottom"/>
            <w:tcBorders>
              <w:top w:val="single" w:sz="8" w:color="CFF0FC"/>
            </w:tcBorders>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3/4/2032</w:t>
            </w:r>
          </w:p>
        </w:tc>
        <w:tc>
          <w:tcPr>
            <w:tcW w:w="100" w:type="dxa"/>
            <w:vAlign w:val="bottom"/>
            <w:tcBorders>
              <w:top w:val="single" w:sz="8" w:color="CFF0FC"/>
            </w:tcBorders>
          </w:tcPr>
          <w:p>
            <w:pPr>
              <w:spacing w:after="0"/>
              <w:rPr>
                <w:sz w:val="4"/>
                <w:szCs w:val="4"/>
                <w:color w:val="auto"/>
              </w:rPr>
            </w:pPr>
          </w:p>
        </w:tc>
        <w:tc>
          <w:tcPr>
            <w:tcW w:w="880" w:type="dxa"/>
            <w:vAlign w:val="bottom"/>
            <w:tcBorders>
              <w:top w:val="single" w:sz="8" w:color="CFF0FC"/>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80" w:type="dxa"/>
            <w:vAlign w:val="bottom"/>
            <w:tcBorders>
              <w:top w:val="single" w:sz="8" w:color="CFF0FC"/>
            </w:tcBorders>
          </w:tcPr>
          <w:p>
            <w:pPr>
              <w:spacing w:after="0"/>
              <w:rPr>
                <w:sz w:val="4"/>
                <w:szCs w:val="4"/>
                <w:color w:val="auto"/>
              </w:rPr>
            </w:pPr>
          </w:p>
        </w:tc>
        <w:tc>
          <w:tcPr>
            <w:tcW w:w="760" w:type="dxa"/>
            <w:vAlign w:val="bottom"/>
            <w:tcBorders>
              <w:top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4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6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35,992</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2,864,603</w:t>
            </w:r>
          </w:p>
        </w:tc>
        <w:tc>
          <w:tcPr>
            <w:tcW w:w="0" w:type="dxa"/>
            <w:vAlign w:val="bottom"/>
          </w:tcPr>
          <w:p>
            <w:pPr>
              <w:spacing w:after="0"/>
              <w:rPr>
                <w:sz w:val="1"/>
                <w:szCs w:val="1"/>
                <w:color w:val="auto"/>
              </w:rPr>
            </w:pPr>
          </w:p>
        </w:tc>
      </w:tr>
      <w:tr>
        <w:trPr>
          <w:trHeight w:val="163"/>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3/2/2023</w:t>
            </w:r>
          </w:p>
        </w:tc>
        <w:tc>
          <w:tcPr>
            <w:tcW w:w="120" w:type="dxa"/>
            <w:vAlign w:val="bottom"/>
            <w:shd w:val="clear" w:color="auto" w:fill="CFF0FC"/>
          </w:tcPr>
          <w:p>
            <w:pPr>
              <w:spacing w:after="0"/>
              <w:rPr>
                <w:sz w:val="4"/>
                <w:szCs w:val="4"/>
                <w:color w:val="auto"/>
              </w:rPr>
            </w:pP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7,767</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33,657</w:t>
            </w:r>
          </w:p>
        </w:tc>
        <w:tc>
          <w:tcPr>
            <w:tcW w:w="100" w:type="dxa"/>
            <w:vAlign w:val="bottom"/>
            <w:shd w:val="clear" w:color="auto" w:fill="CFF0FC"/>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3/2/2033</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600" w:type="dxa"/>
            <w:vAlign w:val="bottom"/>
            <w:vMerge w:val="continue"/>
            <w:shd w:val="clear" w:color="auto" w:fill="CFF0FC"/>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00" w:type="dxa"/>
            <w:vAlign w:val="bottom"/>
            <w:gridSpan w:val="2"/>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60" w:type="dxa"/>
            <w:vAlign w:val="bottom"/>
            <w:gridSpan w:val="2"/>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6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00" w:type="dxa"/>
            <w:vAlign w:val="bottom"/>
            <w:vMerge w:val="continue"/>
            <w:shd w:val="clear" w:color="auto" w:fill="CFF0FC"/>
          </w:tcPr>
          <w:p>
            <w:pPr>
              <w:spacing w:after="0"/>
              <w:rPr>
                <w:sz w:val="4"/>
                <w:szCs w:val="4"/>
                <w:color w:val="auto"/>
              </w:rPr>
            </w:pPr>
          </w:p>
        </w:tc>
        <w:tc>
          <w:tcPr>
            <w:tcW w:w="600" w:type="dxa"/>
            <w:vAlign w:val="bottom"/>
            <w:vMerge w:val="continue"/>
            <w:shd w:val="clear" w:color="auto" w:fill="CFF0FC"/>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3/2/2023</w:t>
            </w: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23,491</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1,869,649</w:t>
            </w:r>
          </w:p>
        </w:tc>
        <w:tc>
          <w:tcPr>
            <w:tcW w:w="0" w:type="dxa"/>
            <w:vAlign w:val="bottom"/>
          </w:tcPr>
          <w:p>
            <w:pPr>
              <w:spacing w:after="0"/>
              <w:rPr>
                <w:sz w:val="1"/>
                <w:szCs w:val="1"/>
                <w:color w:val="auto"/>
              </w:rPr>
            </w:pPr>
          </w:p>
        </w:tc>
      </w:tr>
      <w:tr>
        <w:trPr>
          <w:trHeight w:val="164"/>
        </w:trPr>
        <w:tc>
          <w:tcPr>
            <w:tcW w:w="3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Hunter Murdock, Esq.</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12/13/2021</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32.55</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12/13/2031</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366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36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12/13/2021</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11,127</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885,598</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22,918</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29,465</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3/4/2032</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6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20,773</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1,653,323</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3/2/2023</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5,583</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24,190</w:t>
            </w: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65.32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3/2/2033</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8"/>
                <w:szCs w:val="8"/>
                <w:color w:val="auto"/>
              </w:rPr>
              <w:t>(4</w:t>
            </w: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3/2/2023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16,883</w:t>
            </w: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1,343,718</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-5861050</wp:posOffset>
            </wp:positionV>
            <wp:extent cx="4105910" cy="12001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05910" cy="12001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-3117850</wp:posOffset>
            </wp:positionV>
            <wp:extent cx="705485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54850" cy="24003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-2157730</wp:posOffset>
            </wp:positionV>
            <wp:extent cx="3429000" cy="13373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00" cy="13373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19030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3"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in equal quarterly installments over four years provided that the executive continues to provide services to us through the applicable dates.</w:t>
      </w:r>
    </w:p>
    <w:p>
      <w:pPr>
        <w:spacing w:after="0" w:line="26" w:lineRule="exact"/>
        <w:rPr>
          <w:rFonts w:ascii="Times New Roman" w:cs="Times New Roman" w:eastAsia="Times New Roman" w:hAnsi="Times New Roman"/>
          <w:sz w:val="13"/>
          <w:szCs w:val="13"/>
          <w:color w:val="auto"/>
        </w:rPr>
      </w:pPr>
    </w:p>
    <w:p>
      <w:pPr>
        <w:ind w:left="380" w:right="360" w:hanging="372"/>
        <w:spacing w:after="0"/>
        <w:tabs>
          <w:tab w:leader="none" w:pos="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over a four-year period as follows: 25% of the options will vest on the first anniversary of the grant date and the remaining 75% of the options will vest in equal increments thereafter during each quarter of the remaining three-year period, provided that the executive continues to provide services to us through the applicable dates.</w:t>
      </w:r>
    </w:p>
    <w:p>
      <w:pPr>
        <w:ind w:left="380" w:hanging="372"/>
        <w:spacing w:after="0"/>
        <w:tabs>
          <w:tab w:leader="none" w:pos="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a performance-based equity award based on a clinical development milestone that has not yet been earned.</w:t>
      </w:r>
    </w:p>
    <w:p>
      <w:pPr>
        <w:spacing w:after="0" w:line="23" w:lineRule="exact"/>
        <w:rPr>
          <w:rFonts w:ascii="Times New Roman" w:cs="Times New Roman" w:eastAsia="Times New Roman" w:hAnsi="Times New Roman"/>
          <w:sz w:val="13"/>
          <w:szCs w:val="13"/>
          <w:color w:val="auto"/>
        </w:rPr>
      </w:pPr>
    </w:p>
    <w:p>
      <w:pPr>
        <w:ind w:left="380" w:hanging="372"/>
        <w:spacing w:after="0" w:line="232" w:lineRule="auto"/>
        <w:tabs>
          <w:tab w:leader="none" w:pos="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 award vests in equal annual installments over four years. Vested shares will be delivered to the reporting person upon the earlier of (i) the closing of a Change in Control (as defined in the 2015 Plan), (ii) the reporting person’s separation of service from Axsome (including termination with or without Cause (as defined in the 2015 Plan), or termination due to death or disability), or (iii) seven (7) years from the date of grant.</w:t>
      </w:r>
    </w:p>
    <w:p>
      <w:pPr>
        <w:sectPr>
          <w:pgSz w:w="11900" w:h="16838" w:orient="portrait"/>
          <w:cols w:equalWidth="0" w:num="1">
            <w:col w:w="11200"/>
          </w:cols>
          <w:pgMar w:left="320" w:top="769" w:right="379" w:bottom="52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528"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2023 Option Exercises and Stock Vested</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contains information for our NEOs concerning the option awards that were exercised and RSUs that were vested during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29"/>
              <w:spacing w:after="0" w:line="123"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9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Value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71"/>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Acquired on</w:t>
            </w: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Realized on</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Acquired 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91"/>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Realized on</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68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Exercise ($)</w:t>
            </w:r>
          </w:p>
        </w:tc>
        <w:tc>
          <w:tcPr>
            <w:tcW w:w="320" w:type="dxa"/>
            <w:vAlign w:val="bottom"/>
            <w:tcBorders>
              <w:bottom w:val="single" w:sz="8" w:color="auto"/>
            </w:tcBorders>
          </w:tcPr>
          <w:p>
            <w:pPr>
              <w:spacing w:after="0"/>
              <w:rPr>
                <w:sz w:val="14"/>
                <w:szCs w:val="14"/>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(1</w:t>
            </w:r>
          </w:p>
        </w:tc>
        <w:tc>
          <w:tcPr>
            <w:tcW w:w="12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2"/>
              </w:rPr>
              <w:t>Vesting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5820" w:type="dxa"/>
            <w:vAlign w:val="bottom"/>
            <w:gridSpan w:val="2"/>
            <w:vMerge w:val="continue"/>
          </w:tcPr>
          <w:p>
            <w:pPr>
              <w:spacing w:after="0"/>
              <w:rPr>
                <w:sz w:val="12"/>
                <w:szCs w:val="12"/>
                <w:color w:val="auto"/>
              </w:rPr>
            </w:pPr>
          </w:p>
        </w:tc>
        <w:tc>
          <w:tcPr>
            <w:tcW w:w="1200" w:type="dxa"/>
            <w:vAlign w:val="bottom"/>
            <w:vMerge w:val="restart"/>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737"/>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vMerge w:val="restart"/>
          </w:tcPr>
          <w:p>
            <w:pPr>
              <w:jc w:val="right"/>
              <w:ind w:right="49"/>
              <w:spacing w:after="0"/>
              <w:rPr>
                <w:sz w:val="20"/>
                <w:szCs w:val="20"/>
                <w:color w:val="auto"/>
              </w:rPr>
            </w:pPr>
            <w:r>
              <w:rPr>
                <w:rFonts w:ascii="Times New Roman" w:cs="Times New Roman" w:eastAsia="Times New Roman" w:hAnsi="Times New Roman"/>
                <w:sz w:val="16"/>
                <w:szCs w:val="16"/>
                <w:color w:val="auto"/>
              </w:rPr>
              <w:t>53,568</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62"/>
        </w:trPr>
        <w:tc>
          <w:tcPr>
            <w:tcW w:w="5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40" w:type="dxa"/>
            <w:vAlign w:val="bottom"/>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2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820" w:type="dxa"/>
            <w:vAlign w:val="bottom"/>
            <w:gridSpan w:val="2"/>
            <w:vMerge w:val="continue"/>
          </w:tcPr>
          <w:p>
            <w:pPr>
              <w:spacing w:after="0"/>
              <w:rPr>
                <w:sz w:val="12"/>
                <w:szCs w:val="12"/>
                <w:color w:val="auto"/>
              </w:rPr>
            </w:pPr>
          </w:p>
        </w:tc>
        <w:tc>
          <w:tcPr>
            <w:tcW w:w="1200" w:type="dxa"/>
            <w:vAlign w:val="bottom"/>
            <w:vMerge w:val="restart"/>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737"/>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vMerge w:val="restart"/>
          </w:tcPr>
          <w:p>
            <w:pPr>
              <w:jc w:val="right"/>
              <w:ind w:right="49"/>
              <w:spacing w:after="0"/>
              <w:rPr>
                <w:sz w:val="20"/>
                <w:szCs w:val="20"/>
                <w:color w:val="auto"/>
              </w:rPr>
            </w:pPr>
            <w:r>
              <w:rPr>
                <w:rFonts w:ascii="Times New Roman" w:cs="Times New Roman" w:eastAsia="Times New Roman" w:hAnsi="Times New Roman"/>
                <w:sz w:val="16"/>
                <w:szCs w:val="16"/>
                <w:color w:val="auto"/>
              </w:rPr>
              <w:t>18,788</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(3)</w:t>
            </w:r>
          </w:p>
        </w:tc>
        <w:tc>
          <w:tcPr>
            <w:tcW w:w="0" w:type="dxa"/>
            <w:vAlign w:val="bottom"/>
          </w:tcPr>
          <w:p>
            <w:pPr>
              <w:spacing w:after="0"/>
              <w:rPr>
                <w:sz w:val="1"/>
                <w:szCs w:val="1"/>
                <w:color w:val="auto"/>
              </w:rPr>
            </w:pPr>
          </w:p>
        </w:tc>
      </w:tr>
      <w:tr>
        <w:trPr>
          <w:trHeight w:val="62"/>
        </w:trPr>
        <w:tc>
          <w:tcPr>
            <w:tcW w:w="5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40" w:type="dxa"/>
            <w:vAlign w:val="bottom"/>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2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820" w:type="dxa"/>
            <w:vAlign w:val="bottom"/>
            <w:gridSpan w:val="2"/>
            <w:vMerge w:val="continue"/>
          </w:tcPr>
          <w:p>
            <w:pPr>
              <w:spacing w:after="0"/>
              <w:rPr>
                <w:sz w:val="12"/>
                <w:szCs w:val="12"/>
                <w:color w:val="auto"/>
              </w:rPr>
            </w:pPr>
          </w:p>
        </w:tc>
        <w:tc>
          <w:tcPr>
            <w:tcW w:w="1200" w:type="dxa"/>
            <w:vAlign w:val="bottom"/>
            <w:vMerge w:val="restart"/>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737"/>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vMerge w:val="restart"/>
          </w:tcPr>
          <w:p>
            <w:pPr>
              <w:jc w:val="right"/>
              <w:ind w:right="49"/>
              <w:spacing w:after="0"/>
              <w:rPr>
                <w:sz w:val="20"/>
                <w:szCs w:val="20"/>
                <w:color w:val="auto"/>
              </w:rPr>
            </w:pPr>
            <w:r>
              <w:rPr>
                <w:rFonts w:ascii="Times New Roman" w:cs="Times New Roman" w:eastAsia="Times New Roman" w:hAnsi="Times New Roman"/>
                <w:sz w:val="16"/>
                <w:szCs w:val="16"/>
                <w:color w:val="auto"/>
              </w:rPr>
              <w:t>21,231</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(4)</w:t>
            </w:r>
          </w:p>
        </w:tc>
        <w:tc>
          <w:tcPr>
            <w:tcW w:w="0" w:type="dxa"/>
            <w:vAlign w:val="bottom"/>
          </w:tcPr>
          <w:p>
            <w:pPr>
              <w:spacing w:after="0"/>
              <w:rPr>
                <w:sz w:val="1"/>
                <w:szCs w:val="1"/>
                <w:color w:val="auto"/>
              </w:rPr>
            </w:pPr>
          </w:p>
        </w:tc>
      </w:tr>
      <w:tr>
        <w:trPr>
          <w:trHeight w:val="62"/>
        </w:trPr>
        <w:tc>
          <w:tcPr>
            <w:tcW w:w="5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40" w:type="dxa"/>
            <w:vAlign w:val="bottom"/>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2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5820" w:type="dxa"/>
            <w:vAlign w:val="bottom"/>
            <w:gridSpan w:val="2"/>
            <w:vMerge w:val="continue"/>
          </w:tcPr>
          <w:p>
            <w:pPr>
              <w:spacing w:after="0"/>
              <w:rPr>
                <w:sz w:val="24"/>
                <w:szCs w:val="24"/>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737"/>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12,488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1"/>
                <w:szCs w:val="11"/>
                <w:color w:val="auto"/>
              </w:rPr>
              <w:t xml:space="preserve">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-802640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19030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380" w:hanging="372"/>
        <w:spacing w:after="0"/>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options were exercised during the year ended December 31, 2023.</w:t>
      </w:r>
    </w:p>
    <w:p>
      <w:pPr>
        <w:spacing w:after="0" w:line="12" w:lineRule="exact"/>
        <w:rPr>
          <w:rFonts w:ascii="Times New Roman" w:cs="Times New Roman" w:eastAsia="Times New Roman" w:hAnsi="Times New Roman"/>
          <w:sz w:val="13"/>
          <w:szCs w:val="13"/>
          <w:color w:val="auto"/>
        </w:rPr>
      </w:pPr>
    </w:p>
    <w:p>
      <w:pPr>
        <w:ind w:left="380" w:right="80" w:hanging="372"/>
        <w:spacing w:after="0"/>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Tabuteau's stock awards were valued at $3,464,095 as of the vesting dates on March 4, 2023, March 5, 2023, and March 17, 2023. However, the shares are subject to a post-vesting holding period, and therefore, the actual realized value may be higher or lower.</w:t>
      </w:r>
    </w:p>
    <w:p>
      <w:pPr>
        <w:ind w:left="380" w:right="40" w:hanging="372"/>
        <w:spacing w:after="0" w:line="238" w:lineRule="auto"/>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Pizzie's stock awards were valued at $1,217,103 as of the vesting dates on March 4, 2023, March 5, 2023, and March 17, 2023. However, the shares are subject to a post-vesting holding period, and therefore, the actual realized value may be higher or lower.</w:t>
      </w:r>
    </w:p>
    <w:p>
      <w:pPr>
        <w:spacing w:after="0" w:line="11" w:lineRule="exact"/>
        <w:rPr>
          <w:rFonts w:ascii="Times New Roman" w:cs="Times New Roman" w:eastAsia="Times New Roman" w:hAnsi="Times New Roman"/>
          <w:sz w:val="13"/>
          <w:szCs w:val="13"/>
          <w:color w:val="auto"/>
        </w:rPr>
      </w:pPr>
    </w:p>
    <w:p>
      <w:pPr>
        <w:ind w:left="380" w:right="60" w:hanging="372"/>
        <w:spacing w:after="0"/>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Jacobson's stock awards were valued at $1,376,582 as of the vesting dates on March 4, 2023, March 5, 2023, and March 17, 2023. However, the shares are subject to a post-vesting holding period, and therefore, the actual realized value may be higher or lower.</w:t>
      </w:r>
    </w:p>
    <w:p>
      <w:pPr>
        <w:spacing w:after="0" w:line="11" w:lineRule="exact"/>
        <w:rPr>
          <w:rFonts w:ascii="Times New Roman" w:cs="Times New Roman" w:eastAsia="Times New Roman" w:hAnsi="Times New Roman"/>
          <w:sz w:val="13"/>
          <w:szCs w:val="13"/>
          <w:color w:val="auto"/>
        </w:rPr>
      </w:pPr>
    </w:p>
    <w:p>
      <w:pPr>
        <w:ind w:left="380" w:right="340" w:hanging="372"/>
        <w:spacing w:after="0"/>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Murdock's stock awards were valued at $866,174 as of the vesting date on March 4, 2023 and December 13, 2023. However, the shares are subject to a post-vesting holding period, and therefore, the actual realized value may be higher or lower.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Termination/Change of Control and Employment Agreements</w:t>
      </w:r>
    </w:p>
    <w:p>
      <w:pPr>
        <w:spacing w:after="0" w:line="129"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The following table sets forth information regarding payments that would have been made to our NEOs if they suffered an involuntary termination without cause, including a termination in connection with a change of control, and such termination payments were triggered on December 31, 2023. The calculations use the closing price per share of our common stock on Nasdaq on December 29, 2023, which was $79.59. As described above, only Mr. Pizzie has entered into an employment agreement with the Company which provides for severance payments.</w:t>
      </w:r>
    </w:p>
    <w:p>
      <w:pPr>
        <w:spacing w:after="0" w:line="6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4"/>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w w:val="95"/>
              </w:rPr>
              <w:t>Termination Without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4"/>
          </w:tcPr>
          <w:p>
            <w:pPr>
              <w:jc w:val="center"/>
              <w:ind w:right="22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Cause in Connection with</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7"/>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w w:val="96"/>
              </w:rPr>
              <w:t>Change in Control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Termination Without Cause</w:t>
            </w:r>
          </w:p>
        </w:tc>
        <w:tc>
          <w:tcPr>
            <w:tcW w:w="200" w:type="dxa"/>
            <w:vAlign w:val="bottom"/>
          </w:tcPr>
          <w:p>
            <w:pPr>
              <w:spacing w:after="0"/>
              <w:rPr>
                <w:sz w:val="14"/>
                <w:szCs w:val="14"/>
                <w:color w:val="auto"/>
              </w:rPr>
            </w:pPr>
          </w:p>
        </w:tc>
      </w:tr>
      <w:tr>
        <w:trPr>
          <w:trHeight w:val="123"/>
        </w:trPr>
        <w:tc>
          <w:tcPr>
            <w:tcW w:w="5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250"/>
              <w:spacing w:after="0" w:line="123" w:lineRule="exact"/>
              <w:rPr>
                <w:sz w:val="20"/>
                <w:szCs w:val="20"/>
                <w:color w:val="auto"/>
              </w:rPr>
            </w:pPr>
            <w:r>
              <w:rPr>
                <w:rFonts w:ascii="Times New Roman" w:cs="Times New Roman" w:eastAsia="Times New Roman" w:hAnsi="Times New Roman"/>
                <w:sz w:val="13"/>
                <w:szCs w:val="13"/>
                <w:b w:val="1"/>
                <w:bCs w:val="1"/>
                <w:color w:val="auto"/>
                <w:w w:val="99"/>
              </w:rPr>
              <w:t>Salary</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187"/>
              <w:spacing w:after="0" w:line="123"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208"/>
              <w:spacing w:after="0" w:line="123" w:lineRule="exact"/>
              <w:rPr>
                <w:sz w:val="20"/>
                <w:szCs w:val="20"/>
                <w:color w:val="auto"/>
              </w:rPr>
            </w:pPr>
            <w:r>
              <w:rPr>
                <w:rFonts w:ascii="Times New Roman" w:cs="Times New Roman" w:eastAsia="Times New Roman" w:hAnsi="Times New Roman"/>
                <w:sz w:val="13"/>
                <w:szCs w:val="13"/>
                <w:b w:val="1"/>
                <w:bCs w:val="1"/>
                <w:color w:val="auto"/>
                <w:w w:val="94"/>
              </w:rPr>
              <w:t>Salary</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187"/>
              <w:spacing w:after="0" w:line="123"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0"/>
                <w:szCs w:val="10"/>
                <w:color w:val="auto"/>
              </w:rPr>
            </w:pPr>
          </w:p>
        </w:tc>
      </w:tr>
      <w:tr>
        <w:trPr>
          <w:trHeight w:val="138"/>
        </w:trPr>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250"/>
              <w:spacing w:after="0" w:line="138" w:lineRule="exact"/>
              <w:rPr>
                <w:sz w:val="20"/>
                <w:szCs w:val="20"/>
                <w:color w:val="auto"/>
              </w:rPr>
            </w:pPr>
            <w:r>
              <w:rPr>
                <w:rFonts w:ascii="Times New Roman" w:cs="Times New Roman" w:eastAsia="Times New Roman" w:hAnsi="Times New Roman"/>
                <w:sz w:val="13"/>
                <w:szCs w:val="13"/>
                <w:b w:val="1"/>
                <w:bCs w:val="1"/>
                <w:color w:val="auto"/>
                <w:w w:val="95"/>
              </w:rPr>
              <w:t>and Bonus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207"/>
              <w:spacing w:after="0" w:line="138" w:lineRule="exact"/>
              <w:rPr>
                <w:sz w:val="20"/>
                <w:szCs w:val="20"/>
                <w:color w:val="auto"/>
              </w:rPr>
            </w:pPr>
            <w:r>
              <w:rPr>
                <w:rFonts w:ascii="Times New Roman" w:cs="Times New Roman" w:eastAsia="Times New Roman" w:hAnsi="Times New Roman"/>
                <w:sz w:val="13"/>
                <w:szCs w:val="13"/>
                <w:b w:val="1"/>
                <w:bCs w:val="1"/>
                <w:color w:val="auto"/>
                <w:w w:val="97"/>
              </w:rPr>
              <w:t>Acceleration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208"/>
              <w:spacing w:after="0" w:line="138" w:lineRule="exact"/>
              <w:rPr>
                <w:sz w:val="20"/>
                <w:szCs w:val="20"/>
                <w:color w:val="auto"/>
              </w:rPr>
            </w:pPr>
            <w:r>
              <w:rPr>
                <w:rFonts w:ascii="Times New Roman" w:cs="Times New Roman" w:eastAsia="Times New Roman" w:hAnsi="Times New Roman"/>
                <w:sz w:val="13"/>
                <w:szCs w:val="13"/>
                <w:b w:val="1"/>
                <w:bCs w:val="1"/>
                <w:color w:val="auto"/>
                <w:w w:val="98"/>
              </w:rPr>
              <w:t>and Bonus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207"/>
              <w:spacing w:after="0" w:line="138" w:lineRule="exact"/>
              <w:rPr>
                <w:sz w:val="20"/>
                <w:szCs w:val="20"/>
                <w:color w:val="auto"/>
              </w:rPr>
            </w:pPr>
            <w:r>
              <w:rPr>
                <w:rFonts w:ascii="Times New Roman" w:cs="Times New Roman" w:eastAsia="Times New Roman" w:hAnsi="Times New Roman"/>
                <w:sz w:val="13"/>
                <w:szCs w:val="13"/>
                <w:b w:val="1"/>
                <w:bCs w:val="1"/>
                <w:color w:val="auto"/>
                <w:w w:val="97"/>
              </w:rPr>
              <w:t>Acceleration</w:t>
            </w:r>
          </w:p>
        </w:tc>
        <w:tc>
          <w:tcPr>
            <w:tcW w:w="200" w:type="dxa"/>
            <w:vAlign w:val="bottom"/>
          </w:tcPr>
          <w:p>
            <w:pPr>
              <w:spacing w:after="0"/>
              <w:rPr>
                <w:sz w:val="11"/>
                <w:szCs w:val="11"/>
                <w:color w:val="auto"/>
              </w:rPr>
            </w:pPr>
          </w:p>
        </w:tc>
      </w:tr>
      <w:tr>
        <w:trPr>
          <w:trHeight w:val="193"/>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6"/>
                <w:szCs w:val="16"/>
                <w:color w:val="auto"/>
              </w:rPr>
            </w:pPr>
          </w:p>
        </w:tc>
      </w:tr>
      <w:tr>
        <w:trPr>
          <w:trHeight w:val="223"/>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22,610,584</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r>
        <w:trPr>
          <w:trHeight w:val="220"/>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6"/>
                <w:szCs w:val="16"/>
                <w:color w:val="auto"/>
              </w:rPr>
              <w:t>242,500</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8,744,108</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r>
        <w:trPr>
          <w:trHeight w:val="23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10,504,651</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6,632,451</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9030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0" w:lineRule="exact"/>
        <w:rPr>
          <w:sz w:val="20"/>
          <w:szCs w:val="20"/>
          <w:color w:val="auto"/>
        </w:rPr>
      </w:pPr>
    </w:p>
    <w:p>
      <w:pPr>
        <w:ind w:left="360" w:hanging="307"/>
        <w:spacing w:after="0"/>
        <w:tabs>
          <w:tab w:leader="none" w:pos="36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2015 Plan, any acceleration of the equity awards granted to non-exempt employees upon the employee’s death, disability or retirement would be at the discretion of the Compensation Committee.</w:t>
      </w:r>
    </w:p>
    <w:p>
      <w:pPr>
        <w:ind w:left="360" w:hanging="339"/>
        <w:spacing w:after="0" w:line="187" w:lineRule="auto"/>
        <w:tabs>
          <w:tab w:leader="none" w:pos="36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Dr. Tabuteau, Mr. Jacobson, and Mr. Murdock will not receive any severance payments upon an involuntary termination without cause, including a termination in connection with a change of control.</w:t>
      </w:r>
    </w:p>
    <w:p>
      <w:pPr>
        <w:spacing w:after="0" w:line="38" w:lineRule="exact"/>
        <w:rPr>
          <w:rFonts w:ascii="Times New Roman" w:cs="Times New Roman" w:eastAsia="Times New Roman" w:hAnsi="Times New Roman"/>
          <w:sz w:val="24"/>
          <w:szCs w:val="24"/>
          <w:color w:val="auto"/>
          <w:vertAlign w:val="superscript"/>
        </w:rPr>
      </w:pPr>
    </w:p>
    <w:p>
      <w:pPr>
        <w:ind w:left="360" w:right="60" w:hanging="339"/>
        <w:spacing w:after="0" w:line="182" w:lineRule="auto"/>
        <w:tabs>
          <w:tab w:leader="none" w:pos="36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The 2015 Plan includes a double-trigger provision, whereby the unvested portion of each NEO's outstanding equity awards shall become immediately vested and exercisable upon such NEO’s termination without cause in connection with a Change in Control (as defined in the 2015 Plan). The 2015 Plan does not otherwise provide for acceleration of equity in connection with a termination for any other reason or a termination without cause not in connection with a Change in Control.</w:t>
      </w:r>
    </w:p>
    <w:p>
      <w:pPr>
        <w:spacing w:after="0" w:line="26" w:lineRule="exact"/>
        <w:rPr>
          <w:rFonts w:ascii="Times New Roman" w:cs="Times New Roman" w:eastAsia="Times New Roman" w:hAnsi="Times New Roman"/>
          <w:sz w:val="24"/>
          <w:szCs w:val="24"/>
          <w:color w:val="auto"/>
          <w:vertAlign w:val="superscript"/>
        </w:rPr>
      </w:pPr>
    </w:p>
    <w:p>
      <w:pPr>
        <w:ind w:left="360" w:right="120" w:hanging="339"/>
        <w:spacing w:after="0" w:line="189" w:lineRule="auto"/>
        <w:tabs>
          <w:tab w:leader="none" w:pos="36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Mr. Pizzie’s employment agreement includes a double-trigger provision, whereby Mr. Pizzie will receive a severance payment equal to six months of his then-base salary for termination without cause in connection with a Change in Control. His employment agreement does not provide for severance payments in connection with a termination without cause not in connection with a change in control.</w:t>
      </w:r>
    </w:p>
    <w:p>
      <w:pPr>
        <w:spacing w:after="0" w:line="25" w:lineRule="exact"/>
        <w:rPr>
          <w:rFonts w:ascii="Times New Roman" w:cs="Times New Roman" w:eastAsia="Times New Roman" w:hAnsi="Times New Roman"/>
          <w:sz w:val="22"/>
          <w:szCs w:val="22"/>
          <w:color w:val="auto"/>
          <w:vertAlign w:val="superscript"/>
        </w:rPr>
      </w:pPr>
    </w:p>
    <w:p>
      <w:pPr>
        <w:ind w:left="360" w:right="240" w:hanging="339"/>
        <w:spacing w:after="0"/>
        <w:tabs>
          <w:tab w:leader="none" w:pos="36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In prior year Proxy Statements, the Company erroneously included vested equity awards in this calculation. These amounts are not comparable to the amounts set forth in prior year Proxy Statements as they now exclude vested equity awards.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Executive Officer Pay Ratio</w:t>
      </w:r>
    </w:p>
    <w:p>
      <w:pPr>
        <w:spacing w:after="0" w:line="129" w:lineRule="exact"/>
        <w:rPr>
          <w:sz w:val="20"/>
          <w:szCs w:val="20"/>
          <w:color w:val="auto"/>
        </w:rPr>
      </w:pPr>
    </w:p>
    <w:p>
      <w:pPr>
        <w:ind w:right="100" w:firstLine="374"/>
        <w:spacing w:after="0" w:line="275" w:lineRule="auto"/>
        <w:rPr>
          <w:sz w:val="20"/>
          <w:szCs w:val="20"/>
          <w:color w:val="auto"/>
        </w:rPr>
      </w:pPr>
      <w:r>
        <w:rPr>
          <w:rFonts w:ascii="Times New Roman" w:cs="Times New Roman" w:eastAsia="Times New Roman" w:hAnsi="Times New Roman"/>
          <w:sz w:val="16"/>
          <w:szCs w:val="16"/>
          <w:color w:val="auto"/>
        </w:rPr>
        <w:t>We are providing the following information about the relationship of the annual total compensation of our employees and the annual total compensation of our CEO. Based on the information for fiscal year 2023, we reasonably estimate that the ratio of our CEO’s annual total compensation to the annual total compensation of our median employee was 38:1. Our pay ratio estimate has been calculated in a manner consistent with Item 402(u) of Regulation S-K using the data and assumptions summarized below.</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 utilized annual base pay as our consistently applied compensation measure and December 31, 2023 as our determination date in order to identify the median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(by assessing our entire employee population as of such date, other than Dr. Tabuteau). We did not annualize compensation for any employees who were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employed for less than the full fiscal year. Once the median employee was identified, we calculated the median employee's total annual compensation using the same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methodology as our CEO in the Summary Compensation Table. Once we calculated the median employee’s total annual compensation, we compared it to Dr. Tabuteau’s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compensation in accordance with the requirements of the Summary Compensation Table. The total annual compensation of the median employee for 2023 was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$258,091. The total annual compensation for our CEO for 2023 was $9,896,629. Therefore, the ratio of CEO total annual compensation to the median employee total annual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for 2023 was approximately 38 to 1.</w:t>
      </w:r>
    </w:p>
    <w:p>
      <w:pPr>
        <w:spacing w:after="0" w:line="119" w:lineRule="exact"/>
        <w:rPr>
          <w:sz w:val="20"/>
          <w:szCs w:val="20"/>
          <w:color w:val="auto"/>
        </w:rPr>
      </w:pPr>
    </w:p>
    <w:p>
      <w:pPr>
        <w:ind w:right="160" w:firstLine="374"/>
        <w:spacing w:after="0" w:line="272" w:lineRule="auto"/>
        <w:rPr>
          <w:sz w:val="20"/>
          <w:szCs w:val="20"/>
          <w:color w:val="auto"/>
        </w:rPr>
      </w:pPr>
      <w:r>
        <w:rPr>
          <w:rFonts w:ascii="Times New Roman" w:cs="Times New Roman" w:eastAsia="Times New Roman" w:hAnsi="Times New Roman"/>
          <w:sz w:val="16"/>
          <w:szCs w:val="16"/>
          <w:color w:val="auto"/>
        </w:rPr>
        <w:t>SEC rules for identifying the median employee and calculating the pay ratio allow companies to adopt a variety of methodologies, to apply certain exclusions and to make reasonable estimates and assumptions that reflect their employee populations and compensation practices. As a result, the pay ratio reported above may not be comparable to the pay ratio reported by other companies, as other companies may have utilized different methodologies and have different employment and compensation practices. The pay ratio above is a reasonable estimate calculated in a manner consistent with SEC rules. This information is being provided for compliance purposes only. Neither the Compensation Committee nor management of Axsome uses the pay ratio measure in making compensation decisions.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75" w:lineRule="exact"/>
        <w:rPr>
          <w:sz w:val="20"/>
          <w:szCs w:val="20"/>
          <w:color w:val="auto"/>
        </w:rPr>
      </w:pPr>
    </w:p>
    <w:p>
      <w:pPr>
        <w:ind w:right="20" w:firstLine="374"/>
        <w:spacing w:after="0" w:line="275" w:lineRule="auto"/>
        <w:rPr>
          <w:sz w:val="20"/>
          <w:szCs w:val="20"/>
          <w:color w:val="auto"/>
        </w:rPr>
      </w:pPr>
      <w:r>
        <w:rPr>
          <w:rFonts w:ascii="Times New Roman" w:cs="Times New Roman" w:eastAsia="Times New Roman" w:hAnsi="Times New Roman"/>
          <w:sz w:val="16"/>
          <w:szCs w:val="16"/>
          <w:color w:val="auto"/>
        </w:rPr>
        <w:t>The following table sets forth compensation information for our Chief Executive Officer, referred to below as our PEO, and our other NEOs for purposes of comparing their compensation to the value of our shareholders’ investments and our results of operations, calculated in accordance with SEC regulations, for fiscal years 2023, 2022, 2021 and 2020. In accordance with transitional relief under the SEC rules, only four years of information is required as this is the Company’s second year of disclosure under Item 402(v) of Regulation S-K.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5"/>
              </w:rPr>
              <w:t>(1) (2)</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(1)(2)</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100" w:type="dxa"/>
            <w:vAlign w:val="bottom"/>
          </w:tcPr>
          <w:p>
            <w:pPr>
              <w:spacing w:after="0"/>
              <w:rPr>
                <w:sz w:val="14"/>
                <w:szCs w:val="14"/>
                <w:color w:val="auto"/>
              </w:rPr>
            </w:pPr>
          </w:p>
        </w:tc>
      </w:tr>
      <w:tr>
        <w:trPr>
          <w:trHeight w:val="123"/>
        </w:trPr>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48"/>
              <w:spacing w:after="0" w:line="123"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260" w:type="dxa"/>
            <w:vAlign w:val="bottom"/>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73"/>
              </w:rPr>
              <w:t>initial</w:t>
            </w:r>
          </w:p>
        </w:tc>
        <w:tc>
          <w:tcPr>
            <w:tcW w:w="90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fixed $100</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6"/>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7"/>
              </w:rPr>
              <w:t>investment based 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50"/>
              <w:spacing w:after="0" w:line="124"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88"/>
              <w:spacing w:after="0" w:line="124" w:lineRule="exact"/>
              <w:rPr>
                <w:sz w:val="20"/>
                <w:szCs w:val="20"/>
                <w:color w:val="auto"/>
              </w:rPr>
            </w:pPr>
            <w:r>
              <w:rPr>
                <w:rFonts w:ascii="Times New Roman" w:cs="Times New Roman" w:eastAsia="Times New Roman" w:hAnsi="Times New Roman"/>
                <w:sz w:val="13"/>
                <w:szCs w:val="13"/>
                <w:b w:val="1"/>
                <w:bCs w:val="1"/>
                <w:color w:val="auto"/>
                <w:w w:val="98"/>
              </w:rPr>
              <w:t>NASDAQ</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Biotechnology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0" w:type="dxa"/>
            <w:vAlign w:val="bottom"/>
          </w:tcPr>
          <w:p>
            <w:pPr>
              <w:spacing w:after="0"/>
              <w:rPr>
                <w:sz w:val="11"/>
                <w:szCs w:val="11"/>
                <w:color w:val="auto"/>
              </w:rPr>
            </w:pPr>
          </w:p>
        </w:tc>
        <w:tc>
          <w:tcPr>
            <w:tcW w:w="104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Index</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r>
      <w:tr>
        <w:trPr>
          <w:trHeight w:val="135"/>
        </w:trPr>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w w:val="97"/>
              </w:rPr>
              <w:t>table total for</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 to</w:t>
            </w:r>
          </w:p>
        </w:tc>
        <w:tc>
          <w:tcPr>
            <w:tcW w:w="140" w:type="dxa"/>
            <w:vAlign w:val="bottom"/>
          </w:tcPr>
          <w:p>
            <w:pPr>
              <w:spacing w:after="0"/>
              <w:rPr>
                <w:sz w:val="11"/>
                <w:szCs w:val="11"/>
                <w:color w:val="auto"/>
              </w:rPr>
            </w:pPr>
          </w:p>
        </w:tc>
        <w:tc>
          <w:tcPr>
            <w:tcW w:w="104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table total for</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 to</w:t>
            </w:r>
          </w:p>
        </w:tc>
        <w:tc>
          <w:tcPr>
            <w:tcW w:w="120" w:type="dxa"/>
            <w:vAlign w:val="bottom"/>
          </w:tcPr>
          <w:p>
            <w:pPr>
              <w:spacing w:after="0"/>
              <w:rPr>
                <w:sz w:val="11"/>
                <w:szCs w:val="11"/>
                <w:color w:val="auto"/>
              </w:rPr>
            </w:pPr>
          </w:p>
        </w:tc>
        <w:tc>
          <w:tcPr>
            <w:tcW w:w="7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 share-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 share-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Net Loss</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selected</w:t>
            </w:r>
          </w:p>
        </w:tc>
      </w:tr>
      <w:tr>
        <w:trPr>
          <w:trHeight w:val="167"/>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holder return</w:t>
            </w:r>
          </w:p>
        </w:tc>
        <w:tc>
          <w:tcPr>
            <w:tcW w:w="2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holder return</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7"/>
              </w:rPr>
              <w:t>measure</w:t>
            </w:r>
          </w:p>
        </w:tc>
        <w:tc>
          <w:tcPr>
            <w:tcW w:w="100" w:type="dxa"/>
            <w:vAlign w:val="bottom"/>
          </w:tcPr>
          <w:p>
            <w:pPr>
              <w:spacing w:after="0"/>
              <w:rPr>
                <w:sz w:val="14"/>
                <w:szCs w:val="14"/>
                <w:color w:val="auto"/>
              </w:rPr>
            </w:pPr>
          </w:p>
        </w:tc>
      </w:tr>
      <w:tr>
        <w:trPr>
          <w:trHeight w:val="224"/>
        </w:trPr>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9,896,629</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9,643,777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w w:val="99"/>
              </w:rPr>
              <w:t>3,553,199</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3,429,516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(239,238 )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8,322,402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28,012,845</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9"/>
              </w:rPr>
              <w:t>3,201,133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10,647,212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(187,134 )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8,054,631</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(11,115,528 )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w w:val="96"/>
              </w:rPr>
              <w:t>4,511,767</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(2,163,524 )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(130,403 )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7,304,689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1,832,118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9"/>
              </w:rPr>
              <w:t>2,395,052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850,394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(102,901 )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9030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0" w:lineRule="exact"/>
        <w:rPr>
          <w:sz w:val="20"/>
          <w:szCs w:val="20"/>
          <w:color w:val="auto"/>
        </w:rPr>
      </w:pPr>
    </w:p>
    <w:p>
      <w:pPr>
        <w:ind w:left="380" w:right="100" w:hanging="372"/>
        <w:spacing w:after="0"/>
        <w:tabs>
          <w:tab w:leader="none" w:pos="380" w:val="left"/>
        </w:tabs>
        <w:numPr>
          <w:ilvl w:val="0"/>
          <w:numId w:val="5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each fiscal year, represents amount reported for our PEOs and average amount reported for our NEOs, in each case in the Total column of the Summary of Compensation Table. Our PEOs and NEOs for each of these fiscal years are shown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CEO</w:t>
            </w:r>
          </w:p>
        </w:tc>
        <w:tc>
          <w:tcPr>
            <w:tcW w:w="7960" w:type="dxa"/>
            <w:vAlign w:val="bottom"/>
          </w:tcPr>
          <w:p>
            <w:pPr>
              <w:ind w:left="1140"/>
              <w:spacing w:after="0"/>
              <w:rPr>
                <w:sz w:val="20"/>
                <w:szCs w:val="20"/>
                <w:color w:val="auto"/>
              </w:rPr>
            </w:pPr>
            <w:r>
              <w:rPr>
                <w:rFonts w:ascii="Times New Roman" w:cs="Times New Roman" w:eastAsia="Times New Roman" w:hAnsi="Times New Roman"/>
                <w:sz w:val="13"/>
                <w:szCs w:val="13"/>
                <w:b w:val="1"/>
                <w:bCs w:val="1"/>
                <w:color w:val="auto"/>
              </w:rPr>
              <w:t>Non-CEO NEOs</w:t>
            </w:r>
          </w:p>
        </w:tc>
      </w:tr>
      <w:tr>
        <w:trPr>
          <w:trHeight w:val="30"/>
        </w:trPr>
        <w:tc>
          <w:tcPr>
            <w:tcW w:w="5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r>
      <w:tr>
        <w:trPr>
          <w:trHeight w:val="206"/>
        </w:trPr>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Hunter Murdock, Esq.</w:t>
            </w:r>
          </w:p>
        </w:tc>
      </w:tr>
      <w:tr>
        <w:trPr>
          <w:trHeight w:val="227"/>
        </w:trPr>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Hunter Murdock, Esq.</w:t>
            </w:r>
          </w:p>
        </w:tc>
      </w:tr>
      <w:tr>
        <w:trPr>
          <w:trHeight w:val="230"/>
        </w:trPr>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w:t>
            </w:r>
          </w:p>
        </w:tc>
      </w:tr>
      <w:tr>
        <w:trPr>
          <w:trHeight w:val="243"/>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David Marek</w:t>
            </w:r>
          </w:p>
        </w:tc>
      </w:tr>
    </w:tbl>
    <w:p>
      <w:pPr>
        <w:spacing w:after="0" w:line="63" w:lineRule="exact"/>
        <w:rPr>
          <w:sz w:val="20"/>
          <w:szCs w:val="20"/>
          <w:color w:val="auto"/>
        </w:rPr>
      </w:pPr>
    </w:p>
    <w:p>
      <w:pPr>
        <w:ind w:left="380" w:right="20" w:hanging="372"/>
        <w:spacing w:after="0" w:line="246" w:lineRule="auto"/>
        <w:tabs>
          <w:tab w:leader="none" w:pos="380" w:val="left"/>
        </w:tabs>
        <w:numPr>
          <w:ilvl w:val="0"/>
          <w:numId w:val="60"/>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Amounts represent Compensation Actually Paid to our PEO and the average Compensation Actually Paid to our non-CEO NEOs for the relevant fiscal year. Compensation Actually Paid represents the amount reported in the Total column of the Summary Compensation Table for the applicable fiscal year, adjusted as shown below. Fair value or change in fair value, as applicable, of equity awards in the Compensation Actually Paid columns was determined as follows: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Equity values are calculated in accordance with ASC 718.</w:t>
      </w:r>
    </w:p>
    <w:p>
      <w:pPr>
        <w:spacing w:after="0" w:line="8" w:lineRule="exact"/>
        <w:rPr>
          <w:rFonts w:ascii="Times New Roman" w:cs="Times New Roman" w:eastAsia="Times New Roman" w:hAnsi="Times New Roman"/>
          <w:sz w:val="12"/>
          <w:szCs w:val="12"/>
          <w:color w:val="231F20"/>
        </w:rPr>
      </w:pPr>
    </w:p>
    <w:p>
      <w:pPr>
        <w:ind w:left="380" w:hanging="372"/>
        <w:spacing w:after="0"/>
        <w:tabs>
          <w:tab w:leader="none" w:pos="380" w:val="left"/>
        </w:tabs>
        <w:numPr>
          <w:ilvl w:val="0"/>
          <w:numId w:val="6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Total Shareholder Return illustrates the value, as of the last day of the indicated fiscal year, of an investment of $100 in the Company’s common stock on December 31, 2019.</w:t>
      </w:r>
    </w:p>
    <w:p>
      <w:pPr>
        <w:spacing w:after="0" w:line="14" w:lineRule="exact"/>
        <w:rPr>
          <w:rFonts w:ascii="Times New Roman" w:cs="Times New Roman" w:eastAsia="Times New Roman" w:hAnsi="Times New Roman"/>
          <w:sz w:val="13"/>
          <w:szCs w:val="13"/>
          <w:color w:val="231F20"/>
        </w:rPr>
      </w:pPr>
    </w:p>
    <w:p>
      <w:pPr>
        <w:ind w:left="380" w:hanging="372"/>
        <w:spacing w:after="0"/>
        <w:tabs>
          <w:tab w:leader="none" w:pos="380" w:val="left"/>
        </w:tabs>
        <w:numPr>
          <w:ilvl w:val="0"/>
          <w:numId w:val="6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NASDAQ Biotechnology Index total shareholder return.</w:t>
      </w:r>
    </w:p>
    <w:p>
      <w:pPr>
        <w:spacing w:after="0" w:line="23" w:lineRule="exact"/>
        <w:rPr>
          <w:rFonts w:ascii="Times New Roman" w:cs="Times New Roman" w:eastAsia="Times New Roman" w:hAnsi="Times New Roman"/>
          <w:sz w:val="13"/>
          <w:szCs w:val="13"/>
          <w:color w:val="231F20"/>
        </w:rPr>
      </w:pPr>
    </w:p>
    <w:p>
      <w:pPr>
        <w:ind w:left="380" w:right="320" w:hanging="372"/>
        <w:spacing w:after="0" w:line="232" w:lineRule="auto"/>
        <w:tabs>
          <w:tab w:leader="none" w:pos="380" w:val="left"/>
        </w:tabs>
        <w:numPr>
          <w:ilvl w:val="0"/>
          <w:numId w:val="6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much of the Company’s history, Axsome was a research and development company without revenue, and therefore, we did not have any specific financial performance measures linked to executive compensation. However, our Compensation Committee approved robust operational, commercial, clinical, strategic, and other performance goals discussed further below. In the future, this may change, and the Compensation Committee may adopt certain financial measures as one or more corporate goals and objectives.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80" w:firstLine="374"/>
        <w:spacing w:after="0" w:line="298" w:lineRule="auto"/>
        <w:rPr>
          <w:sz w:val="20"/>
          <w:szCs w:val="20"/>
          <w:color w:val="auto"/>
        </w:rPr>
      </w:pPr>
      <w:r>
        <w:rPr>
          <w:rFonts w:ascii="Times New Roman" w:cs="Times New Roman" w:eastAsia="Times New Roman" w:hAnsi="Times New Roman"/>
          <w:sz w:val="16"/>
          <w:szCs w:val="16"/>
          <w:color w:val="auto"/>
        </w:rPr>
        <w:t>The following two tables represent the adjustments made during each year in the Pay versus Performance (“PvP”) table to determine the "compensation actually paid" to our Principal Executive Officer during each year.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260" w:type="dxa"/>
            <w:vAlign w:val="bottom"/>
          </w:tcPr>
          <w:p>
            <w:pPr>
              <w:spacing w:after="0"/>
              <w:rPr>
                <w:sz w:val="14"/>
                <w:szCs w:val="14"/>
                <w:color w:val="auto"/>
              </w:rPr>
            </w:pPr>
          </w:p>
        </w:tc>
        <w:tc>
          <w:tcPr>
            <w:tcW w:w="222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(b)</w:t>
            </w: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1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tcPr>
          <w:p>
            <w:pPr>
              <w:jc w:val="center"/>
              <w:ind w:right="228"/>
              <w:spacing w:after="0" w:line="123" w:lineRule="exact"/>
              <w:rPr>
                <w:sz w:val="20"/>
                <w:szCs w:val="20"/>
                <w:color w:val="auto"/>
              </w:rPr>
            </w:pPr>
            <w:r>
              <w:rPr>
                <w:rFonts w:ascii="Times New Roman" w:cs="Times New Roman" w:eastAsia="Times New Roman" w:hAnsi="Times New Roman"/>
                <w:sz w:val="13"/>
                <w:szCs w:val="13"/>
                <w:b w:val="1"/>
                <w:bCs w:val="1"/>
                <w:color w:val="auto"/>
                <w:w w:val="96"/>
              </w:rPr>
              <w:t>Reported Summary</w:t>
            </w:r>
          </w:p>
        </w:tc>
        <w:tc>
          <w:tcPr>
            <w:tcW w:w="3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60" w:type="dxa"/>
            <w:vAlign w:val="bottom"/>
            <w:gridSpan w:val="2"/>
          </w:tcPr>
          <w:p>
            <w:pPr>
              <w:jc w:val="center"/>
              <w:ind w:right="6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Reported Value of</w:t>
            </w:r>
          </w:p>
        </w:tc>
        <w:tc>
          <w:tcPr>
            <w:tcW w:w="260" w:type="dxa"/>
            <w:vAlign w:val="bottom"/>
          </w:tcPr>
          <w:p>
            <w:pPr>
              <w:spacing w:after="0"/>
              <w:rPr>
                <w:sz w:val="11"/>
                <w:szCs w:val="11"/>
                <w:color w:val="auto"/>
              </w:rPr>
            </w:pPr>
          </w:p>
        </w:tc>
        <w:tc>
          <w:tcPr>
            <w:tcW w:w="2220" w:type="dxa"/>
            <w:vAlign w:val="bottom"/>
            <w:gridSpan w:val="2"/>
          </w:tcPr>
          <w:p>
            <w:pPr>
              <w:jc w:val="center"/>
              <w:ind w:right="5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 Equity</w:t>
            </w:r>
          </w:p>
        </w:tc>
        <w:tc>
          <w:tcPr>
            <w:tcW w:w="380" w:type="dxa"/>
            <w:vAlign w:val="bottom"/>
          </w:tcPr>
          <w:p>
            <w:pPr>
              <w:spacing w:after="0"/>
              <w:rPr>
                <w:sz w:val="11"/>
                <w:szCs w:val="11"/>
                <w:color w:val="auto"/>
              </w:rPr>
            </w:pPr>
          </w:p>
        </w:tc>
        <w:tc>
          <w:tcPr>
            <w:tcW w:w="190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 for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for</w:t>
            </w:r>
          </w:p>
        </w:tc>
        <w:tc>
          <w:tcPr>
            <w:tcW w:w="260" w:type="dxa"/>
            <w:vAlign w:val="bottom"/>
          </w:tcPr>
          <w:p>
            <w:pPr>
              <w:spacing w:after="0"/>
              <w:rPr>
                <w:sz w:val="11"/>
                <w:szCs w:val="11"/>
                <w:color w:val="auto"/>
              </w:rPr>
            </w:pPr>
          </w:p>
        </w:tc>
        <w:tc>
          <w:tcPr>
            <w:tcW w:w="2220" w:type="dxa"/>
            <w:vAlign w:val="bottom"/>
            <w:gridSpan w:val="2"/>
          </w:tcPr>
          <w:p>
            <w:pPr>
              <w:jc w:val="center"/>
              <w:ind w:right="5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 Adjustments for</w:t>
            </w:r>
          </w:p>
        </w:tc>
        <w:tc>
          <w:tcPr>
            <w:tcW w:w="380" w:type="dxa"/>
            <w:vAlign w:val="bottom"/>
          </w:tcPr>
          <w:p>
            <w:pPr>
              <w:spacing w:after="0"/>
              <w:rPr>
                <w:sz w:val="11"/>
                <w:szCs w:val="11"/>
                <w:color w:val="auto"/>
              </w:rPr>
            </w:pPr>
          </w:p>
        </w:tc>
        <w:tc>
          <w:tcPr>
            <w:tcW w:w="190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r>
      <w:tr>
        <w:trPr>
          <w:trHeight w:val="167"/>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3"/>
              </w:rPr>
              <w:t>Dr. Tabuteau</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w w:val="93"/>
              </w:rPr>
              <w:t>Dr. Tabuteau</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307"/>
              <w:spacing w:after="0"/>
              <w:rPr>
                <w:sz w:val="20"/>
                <w:szCs w:val="20"/>
                <w:color w:val="auto"/>
              </w:rPr>
            </w:pPr>
            <w:r>
              <w:rPr>
                <w:rFonts w:ascii="Times New Roman" w:cs="Times New Roman" w:eastAsia="Times New Roman" w:hAnsi="Times New Roman"/>
                <w:sz w:val="13"/>
                <w:szCs w:val="13"/>
                <w:b w:val="1"/>
                <w:bCs w:val="1"/>
                <w:color w:val="auto"/>
                <w:w w:val="93"/>
              </w:rPr>
              <w:t>Dr. Tabuteau</w:t>
            </w:r>
          </w:p>
        </w:tc>
        <w:tc>
          <w:tcPr>
            <w:tcW w:w="100" w:type="dxa"/>
            <w:vAlign w:val="bottom"/>
          </w:tcPr>
          <w:p>
            <w:pPr>
              <w:spacing w:after="0"/>
              <w:rPr>
                <w:sz w:val="14"/>
                <w:szCs w:val="14"/>
                <w:color w:val="auto"/>
              </w:rPr>
            </w:pPr>
          </w:p>
        </w:tc>
      </w:tr>
      <w:tr>
        <w:trPr>
          <w:trHeight w:val="224"/>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9,896,629</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(8,501,168 )</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8,248,316</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9,643,777</w:t>
            </w:r>
          </w:p>
        </w:tc>
        <w:tc>
          <w:tcPr>
            <w:tcW w:w="100" w:type="dxa"/>
            <w:vAlign w:val="bottom"/>
            <w:shd w:val="clear" w:color="auto" w:fill="CFF0FC"/>
          </w:tcPr>
          <w:p>
            <w:pPr>
              <w:spacing w:after="0"/>
              <w:rPr>
                <w:sz w:val="19"/>
                <w:szCs w:val="19"/>
                <w:color w:val="auto"/>
              </w:rPr>
            </w:pPr>
          </w:p>
        </w:tc>
      </w:tr>
      <w:tr>
        <w:trPr>
          <w:trHeight w:val="220"/>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8,322,402</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(7,001,434 )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26,691,877</w:t>
            </w:r>
          </w:p>
        </w:tc>
        <w:tc>
          <w:tcPr>
            <w:tcW w:w="3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28,012,845</w:t>
            </w:r>
          </w:p>
        </w:tc>
        <w:tc>
          <w:tcPr>
            <w:tcW w:w="100" w:type="dxa"/>
            <w:vAlign w:val="bottom"/>
          </w:tcPr>
          <w:p>
            <w:pPr>
              <w:spacing w:after="0"/>
              <w:rPr>
                <w:sz w:val="19"/>
                <w:szCs w:val="19"/>
                <w:color w:val="auto"/>
              </w:rPr>
            </w:pPr>
          </w:p>
        </w:tc>
      </w:tr>
      <w:tr>
        <w:trPr>
          <w:trHeight w:val="239"/>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8,054,631</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(6,999,606 )</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2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(12,170,553 )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(11,115,528 )</w:t>
            </w: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7,304,689</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(6,281,189 )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808,618</w:t>
            </w:r>
          </w:p>
        </w:tc>
        <w:tc>
          <w:tcPr>
            <w:tcW w:w="3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1,832,118</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903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0"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the reported value of equity awards as reported in the "Stock Awards" and "Option Awards" columns in the Summary Compensation Table for the applicable year.</w:t>
      </w:r>
    </w:p>
    <w:p>
      <w:pPr>
        <w:spacing w:after="0" w:line="26" w:lineRule="exact"/>
        <w:rPr>
          <w:rFonts w:ascii="Times New Roman" w:cs="Times New Roman" w:eastAsia="Times New Roman" w:hAnsi="Times New Roman"/>
          <w:sz w:val="13"/>
          <w:szCs w:val="13"/>
          <w:color w:val="231F20"/>
        </w:rPr>
      </w:pPr>
    </w:p>
    <w:p>
      <w:pPr>
        <w:ind w:left="380" w:right="260" w:hanging="372"/>
        <w:spacing w:after="0"/>
        <w:tabs>
          <w:tab w:leader="none" w:pos="380" w:val="left"/>
        </w:tabs>
        <w:numPr>
          <w:ilvl w:val="0"/>
          <w:numId w:val="6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valuation assumptions used to calculate fair values did not materially differ from those disclosed at the time of grant besides the difference in grant price and ending applicable year share price.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48895</wp:posOffset>
            </wp:positionV>
            <wp:extent cx="102235" cy="10883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235" cy="1088390"/>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48895</wp:posOffset>
            </wp:positionV>
            <wp:extent cx="102235" cy="10883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235" cy="108839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48895</wp:posOffset>
            </wp:positionV>
            <wp:extent cx="102235" cy="10883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235" cy="108839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48895</wp:posOffset>
            </wp:positionV>
            <wp:extent cx="102870" cy="10883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108839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48895</wp:posOffset>
            </wp:positionV>
            <wp:extent cx="102870" cy="10883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1088390"/>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48895</wp:posOffset>
            </wp:positionV>
            <wp:extent cx="93980" cy="10883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10883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48895</wp:posOffset>
            </wp:positionV>
            <wp:extent cx="93980" cy="10883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108839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48895</wp:posOffset>
            </wp:positionV>
            <wp:extent cx="93980" cy="10883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0883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Dollar Value of any</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 or Other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Earnings Paid 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or Option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During Year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Year-End Fair Value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Fair Value at Last Day</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Prior to the Vesting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260" w:type="dxa"/>
            <w:vAlign w:val="bottom"/>
          </w:tcPr>
          <w:p>
            <w:pPr>
              <w:spacing w:after="0"/>
              <w:rPr>
                <w:sz w:val="11"/>
                <w:szCs w:val="11"/>
                <w:color w:val="auto"/>
              </w:rPr>
            </w:pPr>
          </w:p>
        </w:tc>
        <w:tc>
          <w:tcPr>
            <w:tcW w:w="15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Vesting-Date Fair</w:t>
            </w:r>
          </w:p>
        </w:tc>
        <w:tc>
          <w:tcPr>
            <w:tcW w:w="24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from Last Day of Prior</w:t>
            </w:r>
          </w:p>
        </w:tc>
        <w:tc>
          <w:tcPr>
            <w:tcW w:w="10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 Prior Year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Date that are not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During Year</w:t>
            </w:r>
          </w:p>
        </w:tc>
        <w:tc>
          <w:tcPr>
            <w:tcW w:w="260" w:type="dxa"/>
            <w:vAlign w:val="bottom"/>
          </w:tcPr>
          <w:p>
            <w:pPr>
              <w:spacing w:after="0"/>
              <w:rPr>
                <w:sz w:val="11"/>
                <w:szCs w:val="11"/>
                <w:color w:val="auto"/>
              </w:rPr>
            </w:pPr>
          </w:p>
        </w:tc>
        <w:tc>
          <w:tcPr>
            <w:tcW w:w="15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from Last Day of Prior</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24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 to Vesting Date of</w:t>
            </w:r>
          </w:p>
        </w:tc>
        <w:tc>
          <w:tcPr>
            <w:tcW w:w="1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Equity Awards Failed</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otherwise included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That Remained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to Last Day of</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Granted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 Equity</w:t>
            </w:r>
          </w:p>
        </w:tc>
        <w:tc>
          <w:tcPr>
            <w:tcW w:w="10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Meet Vesting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the 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Unvested as of Last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of Unvested</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that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that Vested</w:t>
            </w:r>
          </w:p>
        </w:tc>
        <w:tc>
          <w:tcPr>
            <w:tcW w:w="10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During</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During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4"/>
              </w:rPr>
              <w:t>Day of Year for</w:t>
            </w:r>
          </w:p>
        </w:tc>
        <w:tc>
          <w:tcPr>
            <w:tcW w:w="26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Equity Awards for Dr.</w:t>
            </w:r>
          </w:p>
        </w:tc>
        <w:tc>
          <w:tcPr>
            <w:tcW w:w="1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Vested During Year for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for</w:t>
            </w:r>
          </w:p>
        </w:tc>
        <w:tc>
          <w:tcPr>
            <w:tcW w:w="10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2"/>
              </w:rPr>
              <w:t>Year for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w w:val="92"/>
              </w:rPr>
              <w:t>Year for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Equity</w:t>
            </w:r>
          </w:p>
        </w:tc>
      </w:tr>
      <w:tr>
        <w:trPr>
          <w:trHeight w:val="167"/>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3"/>
              </w:rPr>
              <w:t>Dr. Tabuteau</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3"/>
              </w:rPr>
              <w:t>Tabuteau</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3"/>
              </w:rPr>
              <w:t>Dr. Tabuteau</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3"/>
              </w:rPr>
              <w:t>Dr. Tabuteau</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3"/>
              </w:rPr>
              <w:t>Dr. Tabuteau</w:t>
            </w:r>
          </w:p>
        </w:tc>
        <w:tc>
          <w:tcPr>
            <w:tcW w:w="22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Awards Adjustment</w:t>
            </w:r>
          </w:p>
        </w:tc>
        <w:tc>
          <w:tcPr>
            <w:tcW w:w="100" w:type="dxa"/>
            <w:vAlign w:val="bottom"/>
          </w:tcPr>
          <w:p>
            <w:pPr>
              <w:spacing w:after="0"/>
              <w:rPr>
                <w:sz w:val="14"/>
                <w:szCs w:val="14"/>
                <w:color w:val="auto"/>
              </w:rPr>
            </w:pPr>
          </w:p>
        </w:tc>
      </w:tr>
      <w:tr>
        <w:trPr>
          <w:trHeight w:val="224"/>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9,047,580</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(45,740 )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1,145,283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(1,898,807 )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8,248,316</w:t>
            </w:r>
          </w:p>
        </w:tc>
        <w:tc>
          <w:tcPr>
            <w:tcW w:w="100" w:type="dxa"/>
            <w:vAlign w:val="bottom"/>
            <w:shd w:val="clear" w:color="auto" w:fill="CFF0FC"/>
          </w:tcPr>
          <w:p>
            <w:pPr>
              <w:spacing w:after="0"/>
              <w:rPr>
                <w:sz w:val="19"/>
                <w:szCs w:val="19"/>
                <w:color w:val="auto"/>
              </w:rPr>
            </w:pPr>
          </w:p>
        </w:tc>
      </w:tr>
      <w:tr>
        <w:trPr>
          <w:trHeight w:val="220"/>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17,258,108</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6,410,202</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1,795,203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1,228,364</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26,691,877</w:t>
            </w:r>
          </w:p>
        </w:tc>
        <w:tc>
          <w:tcPr>
            <w:tcW w:w="100" w:type="dxa"/>
            <w:vAlign w:val="bottom"/>
          </w:tcPr>
          <w:p>
            <w:pPr>
              <w:spacing w:after="0"/>
              <w:rPr>
                <w:sz w:val="19"/>
                <w:szCs w:val="19"/>
                <w:color w:val="auto"/>
              </w:rPr>
            </w:pPr>
          </w:p>
        </w:tc>
      </w:tr>
      <w:tr>
        <w:trPr>
          <w:trHeight w:val="239"/>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3,465,249</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(10,256,116 )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499,935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(5,879,621 )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(12,170,553 )</w:t>
            </w:r>
          </w:p>
        </w:tc>
      </w:tr>
      <w:tr>
        <w:trPr>
          <w:trHeight w:val="210"/>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11,837,825</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(6,095,467 )</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1,950,492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(6,884,232 )</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808,618</w:t>
            </w:r>
          </w:p>
        </w:tc>
        <w:tc>
          <w:tcPr>
            <w:tcW w:w="100" w:type="dxa"/>
            <w:vAlign w:val="bottom"/>
          </w:tcPr>
          <w:p>
            <w:pPr>
              <w:spacing w:after="0"/>
              <w:rPr>
                <w:sz w:val="18"/>
                <w:szCs w:val="18"/>
                <w:color w:val="auto"/>
              </w:rPr>
            </w:pPr>
          </w:p>
        </w:tc>
      </w:tr>
    </w:tbl>
    <w:p>
      <w:pPr>
        <w:spacing w:after="0" w:line="113" w:lineRule="exact"/>
        <w:rPr>
          <w:sz w:val="20"/>
          <w:szCs w:val="20"/>
          <w:color w:val="auto"/>
        </w:rPr>
      </w:pPr>
    </w:p>
    <w:p>
      <w:pPr>
        <w:ind w:right="420" w:firstLine="374"/>
        <w:spacing w:after="0" w:line="298" w:lineRule="auto"/>
        <w:rPr>
          <w:sz w:val="20"/>
          <w:szCs w:val="20"/>
          <w:color w:val="auto"/>
        </w:rPr>
      </w:pPr>
      <w:r>
        <w:rPr>
          <w:rFonts w:ascii="Times New Roman" w:cs="Times New Roman" w:eastAsia="Times New Roman" w:hAnsi="Times New Roman"/>
          <w:sz w:val="16"/>
          <w:szCs w:val="16"/>
          <w:color w:val="auto"/>
        </w:rPr>
        <w:t>The following two tables represent the adjustments made during each year in the PvP table to determine the "compensation actually paid" to our non-CEO NEOs during each year.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w:t>
            </w: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12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4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8"/>
              </w:rPr>
              <w:t>Reported Summary</w:t>
            </w:r>
          </w:p>
        </w:tc>
        <w:tc>
          <w:tcPr>
            <w:tcW w:w="280" w:type="dxa"/>
            <w:vAlign w:val="bottom"/>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280" w:type="dxa"/>
            <w:vAlign w:val="bottom"/>
          </w:tcPr>
          <w:p>
            <w:pPr>
              <w:spacing w:after="0"/>
              <w:rPr>
                <w:sz w:val="11"/>
                <w:szCs w:val="11"/>
                <w:color w:val="auto"/>
              </w:rPr>
            </w:pPr>
          </w:p>
        </w:tc>
        <w:tc>
          <w:tcPr>
            <w:tcW w:w="25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Reported Value of</w:t>
            </w:r>
          </w:p>
        </w:tc>
        <w:tc>
          <w:tcPr>
            <w:tcW w:w="24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 Equity</w:t>
            </w:r>
          </w:p>
        </w:tc>
        <w:tc>
          <w:tcPr>
            <w:tcW w:w="2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280" w:type="dxa"/>
            <w:vAlign w:val="bottom"/>
          </w:tcPr>
          <w:p>
            <w:pPr>
              <w:spacing w:after="0"/>
              <w:rPr>
                <w:sz w:val="11"/>
                <w:szCs w:val="11"/>
                <w:color w:val="auto"/>
              </w:rPr>
            </w:pPr>
          </w:p>
        </w:tc>
        <w:tc>
          <w:tcPr>
            <w:tcW w:w="25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for</w:t>
            </w:r>
          </w:p>
        </w:tc>
        <w:tc>
          <w:tcPr>
            <w:tcW w:w="24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 Adjustments for</w:t>
            </w:r>
          </w:p>
        </w:tc>
        <w:tc>
          <w:tcPr>
            <w:tcW w:w="23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Actually Paid to</w:t>
            </w:r>
          </w:p>
        </w:tc>
      </w:tr>
      <w:tr>
        <w:trPr>
          <w:trHeight w:val="167"/>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8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non-PEO NEOs</w:t>
            </w:r>
          </w:p>
        </w:tc>
        <w:tc>
          <w:tcPr>
            <w:tcW w:w="28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6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6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100" w:type="dxa"/>
            <w:vAlign w:val="bottom"/>
          </w:tcPr>
          <w:p>
            <w:pPr>
              <w:spacing w:after="0"/>
              <w:rPr>
                <w:sz w:val="14"/>
                <w:szCs w:val="14"/>
                <w:color w:val="auto"/>
              </w:rPr>
            </w:pPr>
          </w:p>
        </w:tc>
      </w:tr>
      <w:tr>
        <w:trPr>
          <w:trHeight w:val="224"/>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2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3,553,199</w:t>
            </w:r>
          </w:p>
        </w:tc>
        <w:tc>
          <w:tcPr>
            <w:tcW w:w="2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(2,766,988 )</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2,643,305</w:t>
            </w:r>
          </w:p>
        </w:tc>
        <w:tc>
          <w:tcPr>
            <w:tcW w:w="26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3,429,516</w:t>
            </w:r>
          </w:p>
        </w:tc>
        <w:tc>
          <w:tcPr>
            <w:tcW w:w="100" w:type="dxa"/>
            <w:vAlign w:val="bottom"/>
            <w:shd w:val="clear" w:color="auto" w:fill="CFF0FC"/>
          </w:tcPr>
          <w:p>
            <w:pPr>
              <w:spacing w:after="0"/>
              <w:rPr>
                <w:sz w:val="19"/>
                <w:szCs w:val="19"/>
                <w:color w:val="auto"/>
              </w:rPr>
            </w:pPr>
          </w:p>
        </w:tc>
      </w:tr>
      <w:tr>
        <w:trPr>
          <w:trHeight w:val="220"/>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3,201,133</w:t>
            </w:r>
          </w:p>
        </w:tc>
        <w:tc>
          <w:tcPr>
            <w:tcW w:w="2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(2,450,136 )</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9,896,215</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10,647,212</w:t>
            </w:r>
          </w:p>
        </w:tc>
        <w:tc>
          <w:tcPr>
            <w:tcW w:w="100" w:type="dxa"/>
            <w:vAlign w:val="bottom"/>
          </w:tcPr>
          <w:p>
            <w:pPr>
              <w:spacing w:after="0"/>
              <w:rPr>
                <w:sz w:val="19"/>
                <w:szCs w:val="19"/>
                <w:color w:val="auto"/>
              </w:rPr>
            </w:pPr>
          </w:p>
        </w:tc>
      </w:tr>
      <w:tr>
        <w:trPr>
          <w:trHeight w:val="239"/>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2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4,511,767</w:t>
            </w:r>
          </w:p>
        </w:tc>
        <w:tc>
          <w:tcPr>
            <w:tcW w:w="2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(3,957,422 )</w:t>
            </w:r>
          </w:p>
        </w:tc>
        <w:tc>
          <w:tcPr>
            <w:tcW w:w="2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(2,717,869 )</w:t>
            </w: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(2,163,524 )</w:t>
            </w:r>
          </w:p>
        </w:tc>
      </w:tr>
      <w:tr>
        <w:trPr>
          <w:trHeight w:val="210"/>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2,395,052</w:t>
            </w:r>
          </w:p>
        </w:tc>
        <w:tc>
          <w:tcPr>
            <w:tcW w:w="2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(1,705,261 )</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160,602</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850,394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9030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0"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the reported value of equity awards as reported in the "Stock Awards" and "Option Awards" columns in the Summary Compensation Table for the applicable year.</w:t>
      </w:r>
    </w:p>
    <w:p>
      <w:pPr>
        <w:spacing w:after="0" w:line="14" w:lineRule="exact"/>
        <w:rPr>
          <w:rFonts w:ascii="Times New Roman" w:cs="Times New Roman" w:eastAsia="Times New Roman" w:hAnsi="Times New Roman"/>
          <w:sz w:val="13"/>
          <w:szCs w:val="13"/>
          <w:color w:val="231F20"/>
        </w:rPr>
      </w:pPr>
    </w:p>
    <w:p>
      <w:pPr>
        <w:ind w:left="380" w:right="260" w:hanging="372"/>
        <w:spacing w:after="0" w:line="238" w:lineRule="auto"/>
        <w:tabs>
          <w:tab w:leader="none" w:pos="380" w:val="left"/>
        </w:tabs>
        <w:numPr>
          <w:ilvl w:val="0"/>
          <w:numId w:val="6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valuation assumptions used to calculate fair values did not materially differ from those disclosed at the time of grant besides the difference in grant price and ending applicable year share price.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57785</wp:posOffset>
            </wp:positionV>
            <wp:extent cx="102235" cy="10883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235" cy="1088390"/>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57785</wp:posOffset>
            </wp:positionV>
            <wp:extent cx="102235" cy="10883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235" cy="108839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57785</wp:posOffset>
            </wp:positionV>
            <wp:extent cx="102235" cy="10883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235" cy="108839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57785</wp:posOffset>
            </wp:positionV>
            <wp:extent cx="102870" cy="10883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108839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57785</wp:posOffset>
            </wp:positionV>
            <wp:extent cx="102870" cy="10883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1088390"/>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57785</wp:posOffset>
            </wp:positionV>
            <wp:extent cx="93980" cy="10883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0883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57785</wp:posOffset>
            </wp:positionV>
            <wp:extent cx="93980" cy="10883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08839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wp:posOffset>
            </wp:positionV>
            <wp:extent cx="93980" cy="10883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0883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Dollar Value of any</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 or Other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Earnings Paid 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or Option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During Year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Year-End Fair Value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Fair Value at Last Day</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Prior to the Vesting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260" w:type="dxa"/>
            <w:vAlign w:val="bottom"/>
          </w:tcPr>
          <w:p>
            <w:pPr>
              <w:spacing w:after="0"/>
              <w:rPr>
                <w:sz w:val="11"/>
                <w:szCs w:val="11"/>
                <w:color w:val="auto"/>
              </w:rPr>
            </w:pPr>
          </w:p>
        </w:tc>
        <w:tc>
          <w:tcPr>
            <w:tcW w:w="15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 Value</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Vesting-Date Fair</w:t>
            </w:r>
          </w:p>
        </w:tc>
        <w:tc>
          <w:tcPr>
            <w:tcW w:w="24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from Last Day of Prior</w:t>
            </w:r>
          </w:p>
        </w:tc>
        <w:tc>
          <w:tcPr>
            <w:tcW w:w="10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 Prior Year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Date that are not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During Year</w:t>
            </w:r>
          </w:p>
        </w:tc>
        <w:tc>
          <w:tcPr>
            <w:tcW w:w="26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from Last Day of Prior</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24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 to Vesting Date of</w:t>
            </w:r>
          </w:p>
        </w:tc>
        <w:tc>
          <w:tcPr>
            <w:tcW w:w="1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Equity Awards Failed</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otherwise included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That Remained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to Last Day of</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Granted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 Equity</w:t>
            </w:r>
          </w:p>
        </w:tc>
        <w:tc>
          <w:tcPr>
            <w:tcW w:w="10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Meet Vesting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the 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Unvested as of Last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of Unvested</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that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that Vested</w:t>
            </w:r>
          </w:p>
        </w:tc>
        <w:tc>
          <w:tcPr>
            <w:tcW w:w="10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During</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During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Day of Year for Non-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for</w:t>
            </w:r>
          </w:p>
        </w:tc>
        <w:tc>
          <w:tcPr>
            <w:tcW w:w="1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Vested During Year for</w:t>
            </w:r>
          </w:p>
        </w:tc>
        <w:tc>
          <w:tcPr>
            <w:tcW w:w="24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for Non-</w:t>
            </w:r>
          </w:p>
        </w:tc>
        <w:tc>
          <w:tcPr>
            <w:tcW w:w="10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for Non-PEO</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for Non-PEO</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Equity</w:t>
            </w:r>
          </w:p>
        </w:tc>
      </w:tr>
      <w:tr>
        <w:trPr>
          <w:trHeight w:val="167"/>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8"/>
              </w:rPr>
              <w:t>PEO NEOs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4"/>
              </w:rPr>
              <w:t>PEO NEOs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22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Awards Adjustment</w:t>
            </w:r>
          </w:p>
        </w:tc>
        <w:tc>
          <w:tcPr>
            <w:tcW w:w="100" w:type="dxa"/>
            <w:vAlign w:val="bottom"/>
          </w:tcPr>
          <w:p>
            <w:pPr>
              <w:spacing w:after="0"/>
              <w:rPr>
                <w:sz w:val="14"/>
                <w:szCs w:val="14"/>
                <w:color w:val="auto"/>
              </w:rPr>
            </w:pPr>
          </w:p>
        </w:tc>
      </w:tr>
      <w:tr>
        <w:trPr>
          <w:trHeight w:val="224"/>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2,944,798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(43,134 )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372,802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(631,161 )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2,643,305</w:t>
            </w:r>
          </w:p>
        </w:tc>
        <w:tc>
          <w:tcPr>
            <w:tcW w:w="100" w:type="dxa"/>
            <w:vAlign w:val="bottom"/>
            <w:shd w:val="clear" w:color="auto" w:fill="CFF0FC"/>
          </w:tcPr>
          <w:p>
            <w:pPr>
              <w:spacing w:after="0"/>
              <w:rPr>
                <w:sz w:val="19"/>
                <w:szCs w:val="19"/>
                <w:color w:val="auto"/>
              </w:rPr>
            </w:pPr>
          </w:p>
        </w:tc>
      </w:tr>
      <w:tr>
        <w:trPr>
          <w:trHeight w:val="220"/>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6,039,799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2,701,764</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626,942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527,710</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9,896,215</w:t>
            </w:r>
          </w:p>
        </w:tc>
        <w:tc>
          <w:tcPr>
            <w:tcW w:w="100" w:type="dxa"/>
            <w:vAlign w:val="bottom"/>
          </w:tcPr>
          <w:p>
            <w:pPr>
              <w:spacing w:after="0"/>
              <w:rPr>
                <w:sz w:val="19"/>
                <w:szCs w:val="19"/>
                <w:color w:val="auto"/>
              </w:rPr>
            </w:pPr>
          </w:p>
        </w:tc>
      </w:tr>
      <w:tr>
        <w:trPr>
          <w:trHeight w:val="239"/>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2,495,052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(3,349,097 )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199,967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(2,063,791 )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(2,717,869 )</w:t>
            </w:r>
          </w:p>
        </w:tc>
      </w:tr>
      <w:tr>
        <w:trPr>
          <w:trHeight w:val="210"/>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3,382,929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(2,193,686 )</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(1,586,109 )</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160,602</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Relationship Between NEO Compensation Actually Paid and Company Total Shareholder Return (“TSR”)</w:t>
      </w:r>
    </w:p>
    <w:p>
      <w:pPr>
        <w:spacing w:after="0" w:line="129" w:lineRule="exact"/>
        <w:rPr>
          <w:sz w:val="20"/>
          <w:szCs w:val="20"/>
          <w:color w:val="auto"/>
        </w:rPr>
      </w:pPr>
    </w:p>
    <w:p>
      <w:pPr>
        <w:ind w:right="280" w:firstLine="374"/>
        <w:spacing w:after="0" w:line="298" w:lineRule="auto"/>
        <w:rPr>
          <w:sz w:val="20"/>
          <w:szCs w:val="20"/>
          <w:color w:val="auto"/>
        </w:rPr>
      </w:pPr>
      <w:r>
        <w:rPr>
          <w:rFonts w:ascii="Times New Roman" w:cs="Times New Roman" w:eastAsia="Times New Roman" w:hAnsi="Times New Roman"/>
          <w:sz w:val="16"/>
          <w:szCs w:val="16"/>
          <w:color w:val="auto"/>
        </w:rPr>
        <w:t>Below are graphs showing the relationship of “compensation actually paid” to our CEOs and other non-CEO NEOs in 2023, 2022, 2021 and 2020 to (1) Company total shareholder return (“TSR”) of both Axsome and the NASDAQ Biotechnology Index and (2) Axsome’s net loss.</w:t>
      </w:r>
      <w:r>
        <w:rPr>
          <w:rFonts w:ascii="Times New Roman" w:cs="Times New Roman" w:eastAsia="Times New Roman" w:hAnsi="Times New Roman"/>
          <w:sz w:val="16"/>
          <w:szCs w:val="16"/>
          <w:color w:val="FFFFFF"/>
        </w:rPr>
        <w:t>CAP vs. TSR FY20 - FY22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113030</wp:posOffset>
            </wp:positionV>
            <wp:extent cx="6377940" cy="25031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7794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At this time, we do not use any specific financial measures for purposes of determining “compensation actually paid.” As a result, we are not able to, as stipulated by Section 953(a) of the Dodd-Frank Wall Street Reform and Consumer Protection Act and Item 402(v) of Regulation S-K, provide three financial performance measures that in our assessment represent the most important performance measures we use to link “compensation actually paid” to our named executive officers to company performance for 2023. For a discussion of how our Compensation Committee assessed our performance and our named executive officers’ pay each year, see “Compensation Discussion and Analysis” in this proxy statement.</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sets forth certain information with respect to the beneficial ownership of our common stock as of the Record Date for:</w:t>
      </w:r>
    </w:p>
    <w:p>
      <w:pPr>
        <w:spacing w:after="0" w:line="127"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NEOs;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executive officers and directors as a group;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persons known by us to beneficially own more than 5% of our common stock.</w:t>
      </w:r>
    </w:p>
    <w:p>
      <w:pPr>
        <w:spacing w:after="0" w:line="127" w:lineRule="exact"/>
        <w:rPr>
          <w:sz w:val="20"/>
          <w:szCs w:val="20"/>
          <w:color w:val="auto"/>
        </w:rPr>
      </w:pPr>
    </w:p>
    <w:p>
      <w:pPr>
        <w:ind w:right="240" w:firstLine="374"/>
        <w:spacing w:after="0" w:line="281"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69" w:lineRule="exact"/>
        <w:rPr>
          <w:sz w:val="20"/>
          <w:szCs w:val="20"/>
          <w:color w:val="auto"/>
        </w:rPr>
      </w:pPr>
    </w:p>
    <w:p>
      <w:pPr>
        <w:ind w:right="100" w:firstLine="374"/>
        <w:spacing w:after="0" w:line="275" w:lineRule="auto"/>
        <w:rPr>
          <w:sz w:val="20"/>
          <w:szCs w:val="20"/>
          <w:color w:val="auto"/>
        </w:rPr>
      </w:pPr>
      <w:r>
        <w:rPr>
          <w:rFonts w:ascii="Times New Roman" w:cs="Times New Roman" w:eastAsia="Times New Roman" w:hAnsi="Times New Roman"/>
          <w:sz w:val="16"/>
          <w:szCs w:val="16"/>
          <w:color w:val="auto"/>
        </w:rPr>
        <w:t>Applicable percentage ownership is based on 47,493,320 shares of common stock outstanding on the Record Date.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the Record Date. We did not deem these shares outstanding, however, for the purpose of computing the percentage ownership of any other person. Unless otherwise indicated, the address of each beneficial owner listed in the table below is c/o Axsome Therapeutics, Inc., One World Trade Center, 22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color w:val="auto"/>
        </w:rPr>
        <w:t xml:space="preserve"> Floor, New York, New York 10007.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2"/>
                <w:szCs w:val="12"/>
                <w:color w:val="auto"/>
              </w:rPr>
            </w:pPr>
          </w:p>
        </w:tc>
        <w:tc>
          <w:tcPr>
            <w:tcW w:w="17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0" w:type="dxa"/>
            <w:vAlign w:val="bottom"/>
          </w:tcPr>
          <w:p>
            <w:pPr>
              <w:spacing w:after="0"/>
              <w:rPr>
                <w:sz w:val="1"/>
                <w:szCs w:val="1"/>
                <w:color w:val="auto"/>
              </w:rPr>
            </w:pPr>
          </w:p>
        </w:tc>
      </w:tr>
      <w:tr>
        <w:trPr>
          <w:trHeight w:val="135"/>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of Beneficial Owner</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Beneficially</w:t>
            </w:r>
          </w:p>
        </w:tc>
        <w:tc>
          <w:tcPr>
            <w:tcW w:w="220" w:type="dxa"/>
            <w:vAlign w:val="bottom"/>
          </w:tcPr>
          <w:p>
            <w:pPr>
              <w:spacing w:after="0"/>
              <w:rPr>
                <w:sz w:val="11"/>
                <w:szCs w:val="11"/>
                <w:color w:val="auto"/>
              </w:rPr>
            </w:pPr>
          </w:p>
        </w:tc>
        <w:tc>
          <w:tcPr>
            <w:tcW w:w="17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Beneficially</w:t>
            </w:r>
          </w:p>
        </w:tc>
        <w:tc>
          <w:tcPr>
            <w:tcW w:w="0" w:type="dxa"/>
            <w:vAlign w:val="bottom"/>
          </w:tcPr>
          <w:p>
            <w:pPr>
              <w:spacing w:after="0"/>
              <w:rPr>
                <w:sz w:val="1"/>
                <w:szCs w:val="1"/>
                <w:color w:val="auto"/>
              </w:rPr>
            </w:pPr>
          </w:p>
        </w:tc>
      </w:tr>
      <w:tr>
        <w:trPr>
          <w:trHeight w:val="169"/>
        </w:trPr>
        <w:tc>
          <w:tcPr>
            <w:tcW w:w="7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220" w:type="dxa"/>
            <w:vAlign w:val="bottom"/>
          </w:tcPr>
          <w:p>
            <w:pPr>
              <w:spacing w:after="0"/>
              <w:rPr>
                <w:sz w:val="14"/>
                <w:szCs w:val="14"/>
                <w:color w:val="auto"/>
              </w:rPr>
            </w:pPr>
          </w:p>
        </w:tc>
        <w:tc>
          <w:tcPr>
            <w:tcW w:w="17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0" w:type="dxa"/>
            <w:vAlign w:val="bottom"/>
          </w:tcPr>
          <w:p>
            <w:pPr>
              <w:spacing w:after="0"/>
              <w:rPr>
                <w:sz w:val="1"/>
                <w:szCs w:val="1"/>
                <w:color w:val="auto"/>
              </w:rPr>
            </w:pPr>
          </w:p>
        </w:tc>
      </w:tr>
      <w:tr>
        <w:trPr>
          <w:trHeight w:val="223"/>
        </w:trPr>
        <w:tc>
          <w:tcPr>
            <w:tcW w:w="75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5% or Greater Stockholders</w:t>
            </w:r>
          </w:p>
        </w:tc>
        <w:tc>
          <w:tcPr>
            <w:tcW w:w="140" w:type="dxa"/>
            <w:vAlign w:val="bottom"/>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auto"/>
              </w:rPr>
              <w:t>Antecip Capital LLC</w:t>
            </w:r>
            <w:r>
              <w:rPr>
                <w:rFonts w:ascii="Times New Roman" w:cs="Times New Roman" w:eastAsia="Times New Roman" w:hAnsi="Times New Roman"/>
                <w:sz w:val="21"/>
                <w:szCs w:val="21"/>
                <w:color w:val="auto"/>
                <w:vertAlign w:val="superscript"/>
              </w:rPr>
              <w:t>(2)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7,344,500</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The Vanguard Group, Inc.</w:t>
            </w:r>
            <w:r>
              <w:rPr>
                <w:rFonts w:ascii="Times New Roman" w:cs="Times New Roman" w:eastAsia="Times New Roman" w:hAnsi="Times New Roman"/>
                <w:sz w:val="21"/>
                <w:szCs w:val="21"/>
                <w:color w:val="auto"/>
                <w:vertAlign w:val="superscript"/>
              </w:rPr>
              <w:t>(3)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3,696,766</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RTW Investments, LP</w:t>
            </w:r>
            <w:r>
              <w:rPr>
                <w:rFonts w:ascii="Times New Roman" w:cs="Times New Roman" w:eastAsia="Times New Roman" w:hAnsi="Times New Roman"/>
                <w:sz w:val="21"/>
                <w:szCs w:val="21"/>
                <w:color w:val="auto"/>
                <w:vertAlign w:val="superscript"/>
              </w:rPr>
              <w:t>(4)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4,489,596</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57"/>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1"/>
                <w:szCs w:val="21"/>
                <w:color w:val="auto"/>
                <w:vertAlign w:val="superscript"/>
              </w:rPr>
              <w:t>(5)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3,239,746</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0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Herriot Tabuteau, M.D.</w:t>
            </w:r>
            <w:r>
              <w:rPr>
                <w:rFonts w:ascii="Times New Roman" w:cs="Times New Roman" w:eastAsia="Times New Roman" w:hAnsi="Times New Roman"/>
                <w:sz w:val="21"/>
                <w:szCs w:val="21"/>
                <w:color w:val="auto"/>
                <w:vertAlign w:val="superscript"/>
              </w:rPr>
              <w:t>(6)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9,167,396</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Nick Pizzie, C.P.A., M.B.A.</w:t>
            </w:r>
            <w:r>
              <w:rPr>
                <w:rFonts w:ascii="Times New Roman" w:cs="Times New Roman" w:eastAsia="Times New Roman" w:hAnsi="Times New Roman"/>
                <w:sz w:val="21"/>
                <w:szCs w:val="21"/>
                <w:color w:val="auto"/>
                <w:vertAlign w:val="superscript"/>
              </w:rPr>
              <w:t>(7)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487,129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Mark Jacobson, M.A.</w:t>
            </w:r>
            <w:r>
              <w:rPr>
                <w:rFonts w:ascii="Times New Roman" w:cs="Times New Roman" w:eastAsia="Times New Roman" w:hAnsi="Times New Roman"/>
                <w:sz w:val="21"/>
                <w:szCs w:val="21"/>
                <w:color w:val="auto"/>
                <w:vertAlign w:val="superscript"/>
              </w:rPr>
              <w:t>(8)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592,638</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Hunter Murdock, Esq.</w:t>
            </w:r>
            <w:r>
              <w:rPr>
                <w:rFonts w:ascii="Times New Roman" w:cs="Times New Roman" w:eastAsia="Times New Roman" w:hAnsi="Times New Roman"/>
                <w:sz w:val="21"/>
                <w:szCs w:val="21"/>
                <w:color w:val="auto"/>
                <w:vertAlign w:val="superscript"/>
              </w:rPr>
              <w:t>(9)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Mark Coleman, M.D.</w:t>
            </w:r>
            <w:r>
              <w:rPr>
                <w:rFonts w:ascii="Times New Roman" w:cs="Times New Roman" w:eastAsia="Times New Roman" w:hAnsi="Times New Roman"/>
                <w:sz w:val="21"/>
                <w:szCs w:val="21"/>
                <w:color w:val="auto"/>
                <w:vertAlign w:val="superscript"/>
              </w:rPr>
              <w:t>(10)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646,247</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57"/>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Roger Jeffs, Ph.D.</w:t>
            </w:r>
            <w:r>
              <w:rPr>
                <w:rFonts w:ascii="Times New Roman" w:cs="Times New Roman" w:eastAsia="Times New Roman" w:hAnsi="Times New Roman"/>
                <w:sz w:val="21"/>
                <w:szCs w:val="21"/>
                <w:color w:val="auto"/>
                <w:vertAlign w:val="superscript"/>
              </w:rPr>
              <w:t>(11)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203,140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Susan Mahony, Ph.D., M.B.A.</w:t>
            </w:r>
            <w:r>
              <w:rPr>
                <w:rFonts w:ascii="Times New Roman" w:cs="Times New Roman" w:eastAsia="Times New Roman" w:hAnsi="Times New Roman"/>
                <w:sz w:val="21"/>
                <w:szCs w:val="21"/>
                <w:color w:val="auto"/>
                <w:vertAlign w:val="superscript"/>
              </w:rPr>
              <w:t>(12)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Mark Saad</w:t>
            </w:r>
            <w:r>
              <w:rPr>
                <w:rFonts w:ascii="Times New Roman" w:cs="Times New Roman" w:eastAsia="Times New Roman" w:hAnsi="Times New Roman"/>
                <w:sz w:val="21"/>
                <w:szCs w:val="21"/>
                <w:color w:val="auto"/>
                <w:vertAlign w:val="superscript"/>
              </w:rPr>
              <w:t>(13)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221,103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directors, and executive officers as a group (8 persons)**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11,412,287</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-1881505</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-1590040</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-1298575</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-1007110</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-715645</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1903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0" w:lineRule="exact"/>
        <w:rPr>
          <w:sz w:val="20"/>
          <w:szCs w:val="20"/>
          <w:color w:val="auto"/>
        </w:rPr>
      </w:pPr>
    </w:p>
    <w:p>
      <w:pPr>
        <w:ind w:left="400" w:hanging="379"/>
        <w:spacing w:after="0"/>
        <w:tabs>
          <w:tab w:leader="none" w:pos="4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beneficial ownership of less than 1% of the outstanding shares of our common stock.</w:t>
      </w:r>
    </w:p>
    <w:p>
      <w:pPr>
        <w:spacing w:after="0" w:line="53" w:lineRule="exact"/>
        <w:rPr>
          <w:sz w:val="20"/>
          <w:szCs w:val="20"/>
          <w:color w:val="auto"/>
        </w:rPr>
      </w:pPr>
    </w:p>
    <w:p>
      <w:pPr>
        <w:ind w:left="400" w:hanging="379"/>
        <w:spacing w:after="0"/>
        <w:tabs>
          <w:tab w:leader="none" w:pos="4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all of our current executive officers as of the record date who served during 2023 until the record date.</w:t>
      </w:r>
    </w:p>
    <w:p>
      <w:pPr>
        <w:spacing w:after="0" w:line="40" w:lineRule="exact"/>
        <w:rPr>
          <w:sz w:val="20"/>
          <w:szCs w:val="20"/>
          <w:color w:val="auto"/>
        </w:rPr>
      </w:pPr>
    </w:p>
    <w:p>
      <w:pPr>
        <w:ind w:left="380" w:right="140" w:hanging="372"/>
        <w:spacing w:after="0" w:line="232"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ind w:left="380" w:right="220" w:hanging="372"/>
        <w:spacing w:after="0" w:line="238"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address of Antecip Capital LLC is 630 5th Avenue, Suite 2000, New York, NY 10111. Dr. Tabuteau is the managing member of Antecip Capital LLC and exercises sole dispositive and voting power over these shares.</w:t>
      </w:r>
    </w:p>
    <w:p>
      <w:pPr>
        <w:spacing w:after="0" w:line="11" w:lineRule="exact"/>
        <w:rPr>
          <w:rFonts w:ascii="Times New Roman" w:cs="Times New Roman" w:eastAsia="Times New Roman" w:hAnsi="Times New Roman"/>
          <w:sz w:val="13"/>
          <w:szCs w:val="13"/>
          <w:color w:val="auto"/>
        </w:rPr>
      </w:pPr>
    </w:p>
    <w:p>
      <w:pPr>
        <w:ind w:left="380" w:right="300" w:hanging="372"/>
        <w:spacing w:after="0" w:line="232"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13G/A filed with the SEC on February 13, 2024 by Vanguard Group Inc. (“Vanguard”), according to which Vanguard beneficially owns 3,696,766 shares of our common stock, with shared voting power over 64,820 shares, sole dispositive power over 3,595,865 shares, and shared dispositive power over 100,901 shares. The principal address of Vanguard is 100 Vanguard Blvd., Malvern, PA 19355.</w:t>
      </w:r>
    </w:p>
    <w:p>
      <w:pPr>
        <w:spacing w:after="0" w:line="11" w:lineRule="exact"/>
        <w:rPr>
          <w:rFonts w:ascii="Times New Roman" w:cs="Times New Roman" w:eastAsia="Times New Roman" w:hAnsi="Times New Roman"/>
          <w:sz w:val="13"/>
          <w:szCs w:val="13"/>
          <w:color w:val="auto"/>
        </w:rPr>
      </w:pPr>
    </w:p>
    <w:p>
      <w:pPr>
        <w:ind w:left="380" w:right="180" w:hanging="372"/>
        <w:spacing w:after="0"/>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 filed with the SEC on February 14, 2024 by RTW Investments, LP (“RTW”), according to which RTW beneficially owns 4,489,596 shares of our common stock, with shared voting power over 4,489,596 and shared dispositive power over 4,489,596 shares. The principal address of RTW is 40 10th Avenue, Floor 7, New York, New York 10014.</w:t>
      </w:r>
    </w:p>
    <w:p>
      <w:pPr>
        <w:ind w:left="380" w:right="180" w:hanging="372"/>
        <w:spacing w:after="0" w:line="238"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13G/A filed with the SEC on January 26, 2024 by BlackRock, Inc. (“BlackRock”), according to which BlackRock beneficially owns 3,239,746 shares of our common stock, with sole voting power over 3,189,731 shares and sole dispositive power over 3,239,746 shares. The principal address of BlackRock is 55 East 52nd Street, New York, NY 10055.</w:t>
      </w:r>
    </w:p>
    <w:p>
      <w:pPr>
        <w:spacing w:after="0" w:line="11" w:lineRule="exact"/>
        <w:rPr>
          <w:rFonts w:ascii="Times New Roman" w:cs="Times New Roman" w:eastAsia="Times New Roman" w:hAnsi="Times New Roman"/>
          <w:sz w:val="13"/>
          <w:szCs w:val="13"/>
          <w:color w:val="auto"/>
        </w:rPr>
      </w:pPr>
    </w:p>
    <w:p>
      <w:pPr>
        <w:ind w:left="380" w:right="140" w:hanging="372"/>
        <w:spacing w:after="0" w:line="232"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7,229 shares of common stock owned by Dr. Tabuteau; (b) 1,815,667 shares of common stock that Dr. Tabuteau has the right to acquire from us within 60 days of the Record Date and (c) 7,344,500 shares of common stock held by an affiliate, Antecip Capital LLC. Dr. Tabuteau is the managing member of Antecip Capital LLC and so may be deemed to beneficially own such shares of common stock. Does not include 161,509 shares of common stock whose issuance is deferred upon vesting of restricted stock units.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9"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80" w:hanging="372"/>
        <w:spacing w:after="0" w:line="226" w:lineRule="auto"/>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41,789 shares of common stock owned by Mr. Pizzie; (b) 201 shares of common stock that may be deemed to be indirectly beneficially owned by Mr. Pizzie as custodian for his son’s Uniform Transfers to Minors Act (UTMA) account; (c) 145 shares of common stock that may be deemed to be indirectly beneficially owned by Mr. Pizzie as custodian for his daughter’s UTMA account; (d) 142 shares of common stock that may be deemed to be indirectly beneficially owned by Mr. Pizzie as custodian for his other son’s UTMA account and (e) 444,852 shares of common stock that Mr. Pizzie has the right to acquire from us within 60 days of the Record Date. Mr. Pizzie disclaims beneficial ownership of the 488 shares of common stock held in his children's UTMA accounts. Does not include 54,900 shares of common stock whose issuance is deferred upon vesting of restricted stock units.</w:t>
      </w:r>
    </w:p>
    <w:p>
      <w:pPr>
        <w:spacing w:after="0" w:line="11" w:lineRule="exact"/>
        <w:rPr>
          <w:rFonts w:ascii="Times New Roman" w:cs="Times New Roman" w:eastAsia="Times New Roman" w:hAnsi="Times New Roman"/>
          <w:sz w:val="13"/>
          <w:szCs w:val="13"/>
          <w:color w:val="auto"/>
        </w:rPr>
      </w:pPr>
    </w:p>
    <w:p>
      <w:pPr>
        <w:ind w:left="380" w:right="180" w:hanging="372"/>
        <w:spacing w:after="0"/>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592,638 shares of common stock that Mr. Jacobson has the right to acquire from us within 60 days of the Record Date. Does not include 61,258 shares of common stock whose issuance is deferred upon vesting of restricted stock units.</w:t>
      </w:r>
    </w:p>
    <w:p>
      <w:pPr>
        <w:ind w:left="380" w:right="240" w:hanging="372"/>
        <w:spacing w:after="0" w:line="238" w:lineRule="auto"/>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94,443 shares of common stock that Mr. Murdock has the right to acquire from us within 60 days of the Record Date. Does not include 29,197 shares of common stock whose issuance is deferred upon vesting of restricted stock units.</w:t>
      </w:r>
    </w:p>
    <w:p>
      <w:pPr>
        <w:spacing w:after="0" w:line="11" w:lineRule="exact"/>
        <w:rPr>
          <w:rFonts w:ascii="Times New Roman" w:cs="Times New Roman" w:eastAsia="Times New Roman" w:hAnsi="Times New Roman"/>
          <w:sz w:val="13"/>
          <w:szCs w:val="13"/>
          <w:color w:val="auto"/>
        </w:rPr>
      </w:pPr>
    </w:p>
    <w:p>
      <w:pPr>
        <w:ind w:left="380" w:right="160" w:hanging="372"/>
        <w:spacing w:after="0"/>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25,097 shares of common stock owned by Dr. Coleman, (b) 403,856 shares of common stock owned by entities of which Dr. Coleman has sole voting and dispositive power and (c) 217,294 shares of common stock that Dr. Coleman has the right to acquire from us within 60 days of the Record Date.</w:t>
      </w:r>
    </w:p>
    <w:p>
      <w:pPr>
        <w:spacing w:after="0" w:line="1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167,668 shares of common stock owned by Dr. Jeffs and (b) 35,472 shares of common stock that Dr. Jeffs has the right to acquire from us within 60 days of the Record Date.</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191 shares of common stock that Dr. Mahony has the right to acquire from us within 60 days of the Record Date.</w:t>
      </w:r>
    </w:p>
    <w:p>
      <w:pPr>
        <w:spacing w:after="0" w:line="23" w:lineRule="exact"/>
        <w:rPr>
          <w:rFonts w:ascii="Times New Roman" w:cs="Times New Roman" w:eastAsia="Times New Roman" w:hAnsi="Times New Roman"/>
          <w:sz w:val="13"/>
          <w:szCs w:val="13"/>
          <w:color w:val="auto"/>
        </w:rPr>
      </w:pPr>
    </w:p>
    <w:p>
      <w:pPr>
        <w:ind w:left="380" w:hanging="372"/>
        <w:spacing w:after="0" w:line="228" w:lineRule="auto"/>
        <w:tabs>
          <w:tab w:leader="none" w:pos="3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10,002 shares of common stock owned by Mr. Saad; (b) 100 shares of common stock that may be deemed to be indirectly beneficially owned by Mr. Saad as custodian for his child’s UTMA account; (c) 100 shares of common stock that may be deemed to be indirectly beneficially owned by Mr. Saad as custodian for his second child’s UTMA account; (d) 100 shares of common stock that may be deemed to be indirectly beneficially owned by Mr. Saad as custodian for his third child’s UTMA account and (e) 210,801 shares of common stock that Mr. Saad has the right to acquire from us within 60 days of the Record Date. Mr. Saad disclaims beneficial ownership of the 300 shares of common stock held in his children's UTMA accounts.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contains information about our equity compensation plans as of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r>
      <w:tr>
        <w:trPr>
          <w:trHeight w:val="135"/>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w:t>
            </w:r>
          </w:p>
        </w:tc>
      </w:tr>
      <w:tr>
        <w:trPr>
          <w:trHeight w:val="135"/>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35"/>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securities to be</w:t>
            </w:r>
          </w:p>
        </w:tc>
        <w:tc>
          <w:tcPr>
            <w:tcW w:w="1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available for</w:t>
            </w:r>
          </w:p>
        </w:tc>
      </w:tr>
      <w:tr>
        <w:trPr>
          <w:trHeight w:val="135"/>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issued upon</w:t>
            </w:r>
          </w:p>
        </w:tc>
        <w:tc>
          <w:tcPr>
            <w:tcW w:w="1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future issuance</w:t>
            </w:r>
          </w:p>
        </w:tc>
      </w:tr>
      <w:tr>
        <w:trPr>
          <w:trHeight w:val="135"/>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of</w:t>
            </w:r>
          </w:p>
        </w:tc>
        <w:tc>
          <w:tcPr>
            <w:tcW w:w="1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 equity</w:t>
            </w:r>
          </w:p>
        </w:tc>
      </w:tr>
      <w:tr>
        <w:trPr>
          <w:trHeight w:val="135"/>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outstanding</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compensation</w:t>
            </w:r>
          </w:p>
        </w:tc>
      </w:tr>
      <w:tr>
        <w:trPr>
          <w:trHeight w:val="135"/>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plans (excluding</w:t>
            </w:r>
          </w:p>
        </w:tc>
      </w:tr>
      <w:tr>
        <w:trPr>
          <w:trHeight w:val="135"/>
        </w:trPr>
        <w:tc>
          <w:tcPr>
            <w:tcW w:w="30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warrants, and</w:t>
            </w:r>
          </w:p>
        </w:tc>
        <w:tc>
          <w:tcPr>
            <w:tcW w:w="16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warrants, and</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reflected</w:t>
            </w:r>
          </w:p>
        </w:tc>
      </w:tr>
      <w:tr>
        <w:trPr>
          <w:trHeight w:val="16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6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rights</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column (a))</w:t>
            </w:r>
          </w:p>
        </w:tc>
      </w:tr>
      <w:tr>
        <w:trPr>
          <w:trHeight w:val="157"/>
        </w:trPr>
        <w:tc>
          <w:tcPr>
            <w:tcW w:w="300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3"/>
                <w:szCs w:val="13"/>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40" w:type="dxa"/>
            <w:vAlign w:val="bottom"/>
          </w:tcPr>
          <w:p>
            <w:pPr>
              <w:spacing w:after="0"/>
              <w:rPr>
                <w:sz w:val="13"/>
                <w:szCs w:val="13"/>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r>
      <w:tr>
        <w:trPr>
          <w:trHeight w:val="229"/>
        </w:trPr>
        <w:tc>
          <w:tcPr>
            <w:tcW w:w="6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820" w:type="dxa"/>
            <w:vAlign w:val="bottom"/>
            <w:gridSpan w:val="3"/>
            <w:shd w:val="clear" w:color="auto" w:fill="CFF0FC"/>
          </w:tcPr>
          <w:p>
            <w:pPr>
              <w:jc w:val="right"/>
              <w:ind w:right="100"/>
              <w:spacing w:after="0" w:line="230" w:lineRule="exact"/>
              <w:rPr>
                <w:sz w:val="20"/>
                <w:szCs w:val="20"/>
                <w:color w:val="auto"/>
              </w:rPr>
            </w:pPr>
            <w:r>
              <w:rPr>
                <w:rFonts w:ascii="Times New Roman" w:cs="Times New Roman" w:eastAsia="Times New Roman" w:hAnsi="Times New Roman"/>
                <w:sz w:val="16"/>
                <w:szCs w:val="16"/>
                <w:color w:val="auto"/>
              </w:rPr>
              <w:t xml:space="preserve">9,266,444 </w:t>
            </w:r>
            <w:r>
              <w:rPr>
                <w:rFonts w:ascii="Times New Roman" w:cs="Times New Roman" w:eastAsia="Times New Roman" w:hAnsi="Times New Roman"/>
                <w:sz w:val="21"/>
                <w:szCs w:val="21"/>
                <w:color w:val="auto"/>
                <w:vertAlign w:val="superscript"/>
              </w:rPr>
              <w:t>(1)</w:t>
            </w:r>
          </w:p>
        </w:tc>
        <w:tc>
          <w:tcPr>
            <w:tcW w:w="1660" w:type="dxa"/>
            <w:vAlign w:val="bottom"/>
            <w:gridSpan w:val="2"/>
            <w:shd w:val="clear" w:color="auto" w:fill="CFF0FC"/>
          </w:tcPr>
          <w:p>
            <w:pPr>
              <w:jc w:val="right"/>
              <w:ind w:right="100"/>
              <w:spacing w:after="0" w:line="230" w:lineRule="exact"/>
              <w:rPr>
                <w:sz w:val="20"/>
                <w:szCs w:val="20"/>
                <w:color w:val="auto"/>
              </w:rPr>
            </w:pPr>
            <w:r>
              <w:rPr>
                <w:rFonts w:ascii="Times New Roman" w:cs="Times New Roman" w:eastAsia="Times New Roman" w:hAnsi="Times New Roman"/>
                <w:sz w:val="16"/>
                <w:szCs w:val="16"/>
                <w:color w:val="auto"/>
              </w:rPr>
              <w:t xml:space="preserve">$41.48 </w:t>
            </w:r>
            <w:r>
              <w:rPr>
                <w:rFonts w:ascii="Times New Roman" w:cs="Times New Roman" w:eastAsia="Times New Roman" w:hAnsi="Times New Roman"/>
                <w:sz w:val="21"/>
                <w:szCs w:val="21"/>
                <w:color w:val="auto"/>
                <w:vertAlign w:val="superscript"/>
              </w:rPr>
              <w:t>(2)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2,168,858</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6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gridSpan w:val="3"/>
            <w:shd w:val="clear" w:color="auto" w:fill="CFF0FC"/>
          </w:tcPr>
          <w:p>
            <w:pPr>
              <w:jc w:val="right"/>
              <w:ind w:right="100"/>
              <w:spacing w:after="0" w:line="230" w:lineRule="exact"/>
              <w:rPr>
                <w:sz w:val="20"/>
                <w:szCs w:val="20"/>
                <w:color w:val="auto"/>
              </w:rPr>
            </w:pPr>
            <w:r>
              <w:rPr>
                <w:rFonts w:ascii="Times New Roman" w:cs="Times New Roman" w:eastAsia="Times New Roman" w:hAnsi="Times New Roman"/>
                <w:sz w:val="16"/>
                <w:szCs w:val="16"/>
                <w:color w:val="auto"/>
              </w:rPr>
              <w:t xml:space="preserve">9,266,444 </w:t>
            </w:r>
            <w:r>
              <w:rPr>
                <w:rFonts w:ascii="Times New Roman" w:cs="Times New Roman" w:eastAsia="Times New Roman" w:hAnsi="Times New Roman"/>
                <w:sz w:val="21"/>
                <w:szCs w:val="21"/>
                <w:color w:val="auto"/>
                <w:vertAlign w:val="superscript"/>
              </w:rPr>
              <w:t>(1)</w:t>
            </w:r>
          </w:p>
        </w:tc>
        <w:tc>
          <w:tcPr>
            <w:tcW w:w="1660" w:type="dxa"/>
            <w:vAlign w:val="bottom"/>
            <w:gridSpan w:val="2"/>
            <w:shd w:val="clear" w:color="auto" w:fill="CFF0FC"/>
          </w:tcPr>
          <w:p>
            <w:pPr>
              <w:jc w:val="right"/>
              <w:ind w:right="100"/>
              <w:spacing w:after="0" w:line="230" w:lineRule="exact"/>
              <w:rPr>
                <w:sz w:val="20"/>
                <w:szCs w:val="20"/>
                <w:color w:val="auto"/>
              </w:rPr>
            </w:pPr>
            <w:r>
              <w:rPr>
                <w:rFonts w:ascii="Times New Roman" w:cs="Times New Roman" w:eastAsia="Times New Roman" w:hAnsi="Times New Roman"/>
                <w:sz w:val="16"/>
                <w:szCs w:val="16"/>
                <w:color w:val="auto"/>
              </w:rPr>
              <w:t xml:space="preserve">$41.48 </w:t>
            </w:r>
            <w:r>
              <w:rPr>
                <w:rFonts w:ascii="Times New Roman" w:cs="Times New Roman" w:eastAsia="Times New Roman" w:hAnsi="Times New Roman"/>
                <w:sz w:val="21"/>
                <w:szCs w:val="21"/>
                <w:color w:val="auto"/>
                <w:vertAlign w:val="superscript"/>
              </w:rPr>
              <w:t>(2)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2,168,858</w:t>
            </w:r>
          </w:p>
        </w:tc>
      </w:tr>
      <w:tr>
        <w:trPr>
          <w:trHeight w:val="116"/>
        </w:trPr>
        <w:tc>
          <w:tcPr>
            <w:tcW w:w="3000" w:type="dxa"/>
            <w:vAlign w:val="bottom"/>
            <w:tcBorders>
              <w:top w:val="single" w:sz="8" w:color="CFF0FC"/>
              <w:bottom w:val="single" w:sz="8" w:color="auto"/>
            </w:tcBorders>
          </w:tcPr>
          <w:p>
            <w:pPr>
              <w:spacing w:after="0"/>
              <w:rPr>
                <w:sz w:val="10"/>
                <w:szCs w:val="10"/>
                <w:color w:val="auto"/>
              </w:rPr>
            </w:pPr>
          </w:p>
        </w:tc>
        <w:tc>
          <w:tcPr>
            <w:tcW w:w="336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-119380</wp:posOffset>
            </wp:positionV>
            <wp:extent cx="154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-102235</wp:posOffset>
            </wp:positionV>
            <wp:extent cx="1543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-119380</wp:posOffset>
            </wp:positionV>
            <wp:extent cx="1543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-102235</wp:posOffset>
            </wp:positionV>
            <wp:extent cx="1543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804,150 RSUs outstanding as of December 31, 2023.</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weighted-average exercise price does not account for outstanding RSUs.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29" w:lineRule="exact"/>
        <w:rPr>
          <w:sz w:val="20"/>
          <w:szCs w:val="20"/>
          <w:color w:val="auto"/>
        </w:rPr>
      </w:pPr>
    </w:p>
    <w:p>
      <w:pPr>
        <w:ind w:right="120" w:firstLine="374"/>
        <w:spacing w:after="0" w:line="272" w:lineRule="auto"/>
        <w:rPr>
          <w:sz w:val="20"/>
          <w:szCs w:val="20"/>
          <w:color w:val="auto"/>
        </w:rPr>
      </w:pPr>
      <w:r>
        <w:rPr>
          <w:rFonts w:ascii="Times New Roman" w:cs="Times New Roman" w:eastAsia="Times New Roman" w:hAnsi="Times New Roman"/>
          <w:sz w:val="16"/>
          <w:szCs w:val="16"/>
          <w:color w:val="auto"/>
        </w:rPr>
        <w:t>The following is a description of transactions since January 1, 2023, in which we were a party and the amount involved exceeded or will exceed $120,000, and in which any of our executive officers, directors, or holders of more than 5% of any class of our voting securities, or an affiliate or immediate family member thereof, had or will have a direct or indirect material interest, other than compensation arrangements which are described under “Compensation Discussion and Analysis.”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Agreements</w:t>
      </w:r>
    </w:p>
    <w:p>
      <w:pPr>
        <w:spacing w:after="0" w:line="131" w:lineRule="exact"/>
        <w:rPr>
          <w:sz w:val="20"/>
          <w:szCs w:val="20"/>
          <w:color w:val="auto"/>
        </w:rPr>
      </w:pPr>
    </w:p>
    <w:p>
      <w:pPr>
        <w:ind w:firstLine="374"/>
        <w:spacing w:after="0" w:line="267"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(“Antecip”), an entity owned by our Chief Executive Officer and Chairman of the Board, Herriot Tabuteau, M.D., in which we were granted exclusive licenses to develop, manufacture, and commercialize Antecip’s patents and applications related to the development of AXS-05 (the active component of our Auvelity product)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 exclusive license. If Antecip terminates any of the agreements for cause, or if we exercise our right to terminate any of the agreements for convenience, the rights granted to us under such terminated agreement will revert to Antecip. Due to sales of Auvelity in the fourth quarter of 2022, the Company began recording an accrual for royalty payments to Antecip equal to 3.0% of net sales.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29" w:lineRule="exact"/>
        <w:rPr>
          <w:sz w:val="20"/>
          <w:szCs w:val="20"/>
          <w:color w:val="auto"/>
        </w:rPr>
      </w:pPr>
    </w:p>
    <w:p>
      <w:pPr>
        <w:jc w:val="both"/>
        <w:ind w:right="20" w:firstLine="374"/>
        <w:spacing w:after="0" w:line="275"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and Approval of Related Party Transactions</w:t>
      </w:r>
    </w:p>
    <w:p>
      <w:pPr>
        <w:spacing w:after="0" w:line="129" w:lineRule="exact"/>
        <w:rPr>
          <w:sz w:val="20"/>
          <w:szCs w:val="20"/>
          <w:color w:val="auto"/>
        </w:rPr>
      </w:pPr>
    </w:p>
    <w:p>
      <w:pPr>
        <w:ind w:right="220" w:firstLine="374"/>
        <w:spacing w:after="0" w:line="275" w:lineRule="auto"/>
        <w:rPr>
          <w:sz w:val="20"/>
          <w:szCs w:val="20"/>
          <w:color w:val="auto"/>
        </w:rPr>
      </w:pPr>
      <w:r>
        <w:rPr>
          <w:rFonts w:ascii="Times New Roman" w:cs="Times New Roman" w:eastAsia="Times New Roman" w:hAnsi="Times New Roman"/>
          <w:sz w:val="16"/>
          <w:szCs w:val="16"/>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spacing w:after="0" w:line="75" w:lineRule="exact"/>
        <w:rPr>
          <w:sz w:val="20"/>
          <w:szCs w:val="20"/>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56"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party’s interest in the transaction;</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transaction;</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was undertaken in the ordinary course of our business;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terms of the transaction are no less favorable to us than terms that we could have reached with an unrelated third party;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and potential benefit to us of the transaction.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129"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69"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6"/>
          <w:szCs w:val="16"/>
          <w:color w:val="auto"/>
        </w:rPr>
        <w:t>SEC regulations require us to identify in this proxy statement anyone who filed a required report late during the most recent fiscal year. Based on our review of forms we received, or written representations from reporting persons, we believe that during the year ended December 31, 2023, all Section 16(a) filing requirements were satisfied in a timely manner.</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AUDIT COMMITTEE REPORT</w:t>
      </w:r>
    </w:p>
    <w:p>
      <w:pPr>
        <w:spacing w:after="0" w:line="127" w:lineRule="exact"/>
        <w:rPr>
          <w:sz w:val="20"/>
          <w:szCs w:val="20"/>
          <w:color w:val="auto"/>
        </w:rPr>
      </w:pPr>
    </w:p>
    <w:p>
      <w:pPr>
        <w:jc w:val="both"/>
        <w:ind w:right="140" w:firstLine="374"/>
        <w:spacing w:after="0" w:line="282" w:lineRule="auto"/>
        <w:rPr>
          <w:sz w:val="20"/>
          <w:szCs w:val="20"/>
          <w:color w:val="auto"/>
        </w:rPr>
      </w:pPr>
      <w:r>
        <w:rPr>
          <w:rFonts w:ascii="Times New Roman" w:cs="Times New Roman" w:eastAsia="Times New Roman" w:hAnsi="Times New Roman"/>
          <w:sz w:val="16"/>
          <w:szCs w:val="16"/>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 of the Audit Committee</w:t>
      </w:r>
    </w:p>
    <w:p>
      <w:pPr>
        <w:spacing w:after="0" w:line="129" w:lineRule="exact"/>
        <w:rPr>
          <w:sz w:val="20"/>
          <w:szCs w:val="20"/>
          <w:color w:val="auto"/>
        </w:rPr>
      </w:pPr>
    </w:p>
    <w:p>
      <w:pPr>
        <w:ind w:right="60" w:firstLine="374"/>
        <w:spacing w:after="0" w:line="267" w:lineRule="auto"/>
        <w:rPr>
          <w:sz w:val="20"/>
          <w:szCs w:val="20"/>
          <w:color w:val="auto"/>
        </w:rPr>
      </w:pPr>
      <w:r>
        <w:rPr>
          <w:rFonts w:ascii="Times New Roman" w:cs="Times New Roman" w:eastAsia="Times New Roman" w:hAnsi="Times New Roman"/>
          <w:sz w:val="16"/>
          <w:szCs w:val="16"/>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86" w:lineRule="exact"/>
        <w:rPr>
          <w:sz w:val="20"/>
          <w:szCs w:val="20"/>
          <w:color w:val="auto"/>
        </w:rPr>
      </w:pPr>
    </w:p>
    <w:p>
      <w:pPr>
        <w:ind w:right="160" w:firstLine="374"/>
        <w:spacing w:after="0" w:line="275" w:lineRule="auto"/>
        <w:rPr>
          <w:sz w:val="20"/>
          <w:szCs w:val="20"/>
          <w:color w:val="auto"/>
        </w:rPr>
      </w:pPr>
      <w:r>
        <w:rPr>
          <w:rFonts w:ascii="Times New Roman" w:cs="Times New Roman" w:eastAsia="Times New Roman" w:hAnsi="Times New Roman"/>
          <w:sz w:val="16"/>
          <w:szCs w:val="16"/>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of Audited Financial Statements for the Year Ended December 31, 2023</w:t>
      </w:r>
    </w:p>
    <w:p>
      <w:pPr>
        <w:spacing w:after="0" w:line="129" w:lineRule="exact"/>
        <w:rPr>
          <w:sz w:val="20"/>
          <w:szCs w:val="20"/>
          <w:color w:val="auto"/>
        </w:rPr>
      </w:pPr>
    </w:p>
    <w:p>
      <w:pPr>
        <w:ind w:right="180" w:firstLine="374"/>
        <w:spacing w:after="0" w:line="275" w:lineRule="auto"/>
        <w:rPr>
          <w:sz w:val="20"/>
          <w:szCs w:val="20"/>
          <w:color w:val="auto"/>
        </w:rPr>
      </w:pPr>
      <w:r>
        <w:rPr>
          <w:rFonts w:ascii="Times New Roman" w:cs="Times New Roman" w:eastAsia="Times New Roman" w:hAnsi="Times New Roman"/>
          <w:sz w:val="16"/>
          <w:szCs w:val="16"/>
          <w:color w:val="auto"/>
        </w:rPr>
        <w:t>The Audit Committee has reviewed and discussed with Axsome’s management and Deloitte &amp; Touche LLP the audited consolidated financial statements of Axsome Therapeutics, Inc. for the year ended December 31, 2023. The Audit Committee has also discussed with Deloitte &amp; Touche LLP the matters required to be discussed by applicable requirements of the Public Company Accounting Oversight Board regarding communications between our independent registered public accounting firm and Audit Committee.</w:t>
      </w:r>
    </w:p>
    <w:p>
      <w:pPr>
        <w:spacing w:after="0" w:line="75"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6"/>
          <w:szCs w:val="16"/>
          <w:color w:val="auto"/>
        </w:rPr>
        <w:t>The Audit Committee has received and reviewed the written disclosures and the letter from Deloitte &amp; Touche LLP required by applicable requirements of the Public Company Accounting Oversight Board regarding the independent accountant’s communications with the Audit Committee concerning independence, and has discussed with Deloitte &amp; Touche LLP its independence from us.</w:t>
      </w:r>
    </w:p>
    <w:p>
      <w:pPr>
        <w:spacing w:after="0" w:line="69" w:lineRule="exact"/>
        <w:rPr>
          <w:sz w:val="20"/>
          <w:szCs w:val="20"/>
          <w:color w:val="auto"/>
        </w:rPr>
      </w:pPr>
    </w:p>
    <w:p>
      <w:pPr>
        <w:ind w:right="100" w:firstLine="374"/>
        <w:spacing w:after="0" w:line="298" w:lineRule="auto"/>
        <w:rPr>
          <w:sz w:val="20"/>
          <w:szCs w:val="20"/>
          <w:color w:val="auto"/>
        </w:rPr>
      </w:pPr>
      <w:r>
        <w:rPr>
          <w:rFonts w:ascii="Times New Roman" w:cs="Times New Roman" w:eastAsia="Times New Roman" w:hAnsi="Times New Roman"/>
          <w:sz w:val="16"/>
          <w:szCs w:val="16"/>
          <w:color w:val="auto"/>
        </w:rPr>
        <w:t>Based on the review and discussions referred to above, the Audit Committee recommended to the Board of Directors that the audited financial statements be included in Axsome’s Annual Report on Form 10-K for the year ended December 31, 2023 for filing with the Securities and Exchange Commission.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Submitted by the Audit Committee of the Board of Directors: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Mark Saad (Chair)</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Mark Coleman, M.D.</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Roger Jeffs, Ph.D.</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Susan Mahony, Ph.D., M.B.A.</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129" w:lineRule="exact"/>
        <w:rPr>
          <w:sz w:val="20"/>
          <w:szCs w:val="20"/>
          <w:color w:val="auto"/>
        </w:rPr>
      </w:pPr>
    </w:p>
    <w:p>
      <w:pPr>
        <w:ind w:right="180" w:firstLine="374"/>
        <w:spacing w:after="0" w:line="298" w:lineRule="auto"/>
        <w:rPr>
          <w:sz w:val="20"/>
          <w:szCs w:val="20"/>
          <w:color w:val="auto"/>
        </w:rPr>
      </w:pPr>
      <w:r>
        <w:rPr>
          <w:rFonts w:ascii="Times New Roman" w:cs="Times New Roman" w:eastAsia="Times New Roman" w:hAnsi="Times New Roman"/>
          <w:sz w:val="16"/>
          <w:szCs w:val="16"/>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56"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26, 2024</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8235315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6223635" cy="73209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23635" cy="732091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8235315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6223635" cy="73209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23635" cy="732091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8235315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6223635" cy="73209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23635" cy="732091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8235315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6223635" cy="73209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23635" cy="732091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upperLetter"/>
      <w:start w:val="1"/>
    </w:lvl>
  </w:abstractNum>
  <w:abstractNum w:abstractNumId="6">
    <w:nsid w:val="5C482A97"/>
    <w:multiLevelType w:val="hybridMultilevel"/>
    <w:lvl w:ilvl="0">
      <w:lvlJc w:val="left"/>
      <w:lvlText w:val="%1:"/>
      <w:numFmt w:val="upperLetter"/>
      <w:start w:val="1"/>
    </w:lvl>
  </w:abstractNum>
  <w:abstractNum w:abstractNumId="7">
    <w:nsid w:val="2463B9EA"/>
    <w:multiLevelType w:val="hybridMultilevel"/>
    <w:lvl w:ilvl="0">
      <w:lvlJc w:val="left"/>
      <w:lvlText w:val="%1:"/>
      <w:numFmt w:val="upperLetter"/>
      <w:start w:val="1"/>
    </w:lvl>
  </w:abstractNum>
  <w:abstractNum w:abstractNumId="8">
    <w:nsid w:val="5E884ADC"/>
    <w:multiLevelType w:val="hybridMultilevel"/>
    <w:lvl w:ilvl="0">
      <w:lvlJc w:val="left"/>
      <w:lvlText w:val="%1:"/>
      <w:numFmt w:val="upperLetter"/>
      <w:start w:val="1"/>
    </w:lvl>
    <w:lvl w:ilvl="1">
      <w:lvlJc w:val="left"/>
      <w:lvlText w:val="•"/>
      <w:numFmt w:val="bullet"/>
      <w:start w:val="1"/>
    </w:lvl>
  </w:abstractNum>
  <w:abstractNum w:abstractNumId="9">
    <w:nsid w:val="51EAD36B"/>
    <w:multiLevelType w:val="hybridMultilevel"/>
    <w:lvl w:ilvl="0">
      <w:lvlJc w:val="left"/>
      <w:lvlText w:val="%1:"/>
      <w:numFmt w:val="upperLetter"/>
      <w:start w:val="1"/>
    </w:lvl>
  </w:abstractNum>
  <w:abstractNum w:abstractNumId="10">
    <w:nsid w:val="2D517796"/>
    <w:multiLevelType w:val="hybridMultilevel"/>
    <w:lvl w:ilvl="0">
      <w:lvlJc w:val="left"/>
      <w:lvlText w:val="%1:"/>
      <w:numFmt w:val="upperLetter"/>
      <w:start w:val="1"/>
    </w:lvl>
  </w:abstractNum>
  <w:abstractNum w:abstractNumId="11">
    <w:nsid w:val="580BD78F"/>
    <w:multiLevelType w:val="hybridMultilevel"/>
    <w:lvl w:ilvl="0">
      <w:lvlJc w:val="left"/>
      <w:lvlText w:val="%1:"/>
      <w:numFmt w:val="upperLetter"/>
      <w:start w:val="1"/>
    </w:lvl>
  </w:abstractNum>
  <w:abstractNum w:abstractNumId="12">
    <w:nsid w:val="153EA438"/>
    <w:multiLevelType w:val="hybridMultilevel"/>
    <w:lvl w:ilvl="0">
      <w:lvlJc w:val="left"/>
      <w:lvlText w:val="%1:"/>
      <w:numFmt w:val="upperLetter"/>
      <w:start w:val="1"/>
    </w:lvl>
  </w:abstractNum>
  <w:abstractNum w:abstractNumId="13">
    <w:nsid w:val="3855585C"/>
    <w:multiLevelType w:val="hybridMultilevel"/>
    <w:lvl w:ilvl="0">
      <w:lvlJc w:val="left"/>
      <w:lvlText w:val="%1:"/>
      <w:numFmt w:val="upperLetter"/>
      <w:start w:val="1"/>
    </w:lvl>
  </w:abstractNum>
  <w:abstractNum w:abstractNumId="14">
    <w:nsid w:val="70A64E2A"/>
    <w:multiLevelType w:val="hybridMultilevel"/>
    <w:lvl w:ilvl="0">
      <w:lvlJc w:val="left"/>
      <w:lvlText w:val="%1:"/>
      <w:numFmt w:val="upperLetter"/>
      <w:start w:val="1"/>
    </w:lvl>
  </w:abstractNum>
  <w:abstractNum w:abstractNumId="15">
    <w:nsid w:val="6A2342EC"/>
    <w:multiLevelType w:val="hybridMultilevel"/>
    <w:lvl w:ilvl="0">
      <w:lvlJc w:val="left"/>
      <w:lvlText w:val="%1:"/>
      <w:numFmt w:val="upperLetter"/>
      <w:start w:val="1"/>
    </w:lvl>
  </w:abstractNum>
  <w:abstractNum w:abstractNumId="16">
    <w:nsid w:val="2A487CB0"/>
    <w:multiLevelType w:val="hybridMultilevel"/>
    <w:lvl w:ilvl="0">
      <w:lvlJc w:val="left"/>
      <w:lvlText w:val="%1:"/>
      <w:numFmt w:val="upperLetter"/>
      <w:start w:val="1"/>
    </w:lvl>
    <w:lvl w:ilvl="1">
      <w:lvlJc w:val="left"/>
      <w:lvlText w:val="•"/>
      <w:numFmt w:val="bullet"/>
      <w:start w:val="1"/>
    </w:lvl>
  </w:abstractNum>
  <w:abstractNum w:abstractNumId="17">
    <w:nsid w:val="1D4ED43B"/>
    <w:multiLevelType w:val="hybridMultilevel"/>
    <w:lvl w:ilvl="0">
      <w:lvlJc w:val="left"/>
      <w:lvlText w:val="%1:"/>
      <w:numFmt w:val="upperLetter"/>
      <w:start w:val="1"/>
    </w:lvl>
  </w:abstractNum>
  <w:abstractNum w:abstractNumId="18">
    <w:nsid w:val="725A06FB"/>
    <w:multiLevelType w:val="hybridMultilevel"/>
    <w:lvl w:ilvl="0">
      <w:lvlJc w:val="left"/>
      <w:lvlText w:val="%1:"/>
      <w:numFmt w:val="upperLetter"/>
      <w:start w:val="1"/>
    </w:lvl>
    <w:lvl w:ilvl="1">
      <w:lvlJc w:val="left"/>
      <w:lvlText w:val="(%2)"/>
      <w:numFmt w:val="decimal"/>
      <w:start w:val="1"/>
    </w:lvl>
  </w:abstractNum>
  <w:abstractNum w:abstractNumId="19">
    <w:nsid w:val="2CD89A32"/>
    <w:multiLevelType w:val="hybridMultilevel"/>
    <w:lvl w:ilvl="0">
      <w:lvlJc w:val="left"/>
      <w:lvlText w:val="%1:"/>
      <w:numFmt w:val="upperLetter"/>
      <w:start w:val="1"/>
    </w:lvl>
  </w:abstractNum>
  <w:abstractNum w:abstractNumId="20">
    <w:nsid w:val="57E4CCAF"/>
    <w:multiLevelType w:val="hybridMultilevel"/>
    <w:lvl w:ilvl="0">
      <w:lvlJc w:val="left"/>
      <w:lvlText w:val="%1:"/>
      <w:numFmt w:val="upperLetter"/>
      <w:start w:val="1"/>
    </w:lvl>
    <w:lvl w:ilvl="1">
      <w:lvlJc w:val="left"/>
      <w:lvlText w:val="•"/>
      <w:numFmt w:val="bullet"/>
      <w:start w:val="1"/>
    </w:lvl>
  </w:abstractNum>
  <w:abstractNum w:abstractNumId="21">
    <w:nsid w:val="7A6D8D3C"/>
    <w:multiLevelType w:val="hybridMultilevel"/>
    <w:lvl w:ilvl="0">
      <w:lvlJc w:val="left"/>
      <w:lvlText w:val="%1:"/>
      <w:numFmt w:val="upperLetter"/>
      <w:start w:val="1"/>
    </w:lvl>
    <w:lvl w:ilvl="1">
      <w:lvlJc w:val="left"/>
      <w:lvlText w:val="•"/>
      <w:numFmt w:val="bullet"/>
      <w:start w:val="1"/>
    </w:lvl>
  </w:abstractNum>
  <w:abstractNum w:abstractNumId="22">
    <w:nsid w:val="4B588F54"/>
    <w:multiLevelType w:val="hybridMultilevel"/>
    <w:lvl w:ilvl="0">
      <w:lvlJc w:val="left"/>
      <w:lvlText w:val="%1:"/>
      <w:numFmt w:val="upperLetter"/>
      <w:start w:val="1"/>
    </w:lvl>
  </w:abstractNum>
  <w:abstractNum w:abstractNumId="23">
    <w:nsid w:val="542289EC"/>
    <w:multiLevelType w:val="hybridMultilevel"/>
    <w:lvl w:ilvl="0">
      <w:lvlJc w:val="left"/>
      <w:lvlText w:val="%1:"/>
      <w:numFmt w:val="upperLetter"/>
      <w:start w:val="1"/>
    </w:lvl>
  </w:abstractNum>
  <w:abstractNum w:abstractNumId="24">
    <w:nsid w:val="6DE91B18"/>
    <w:multiLevelType w:val="hybridMultilevel"/>
    <w:lvl w:ilvl="0">
      <w:lvlJc w:val="left"/>
      <w:lvlText w:val="%1:"/>
      <w:numFmt w:val="upperLetter"/>
      <w:start w:val="1"/>
    </w:lvl>
  </w:abstractNum>
  <w:abstractNum w:abstractNumId="25">
    <w:nsid w:val="38437FDB"/>
    <w:multiLevelType w:val="hybridMultilevel"/>
    <w:lvl w:ilvl="0">
      <w:lvlJc w:val="left"/>
      <w:lvlText w:val="%1:"/>
      <w:numFmt w:val="upperLetter"/>
      <w:start w:val="1"/>
    </w:lvl>
  </w:abstractNum>
  <w:abstractNum w:abstractNumId="26">
    <w:nsid w:val="7644A45C"/>
    <w:multiLevelType w:val="hybridMultilevel"/>
    <w:lvl w:ilvl="0">
      <w:lvlJc w:val="left"/>
      <w:lvlText w:val="%1:"/>
      <w:numFmt w:val="upperLetter"/>
      <w:start w:val="1"/>
    </w:lvl>
  </w:abstractNum>
  <w:abstractNum w:abstractNumId="27">
    <w:nsid w:val="32FFF902"/>
    <w:multiLevelType w:val="hybridMultilevel"/>
    <w:lvl w:ilvl="0">
      <w:lvlJc w:val="left"/>
      <w:lvlText w:val="%1:"/>
      <w:numFmt w:val="upperLetter"/>
      <w:start w:val="1"/>
    </w:lvl>
  </w:abstractNum>
  <w:abstractNum w:abstractNumId="28">
    <w:nsid w:val="684A481A"/>
    <w:multiLevelType w:val="hybridMultilevel"/>
    <w:lvl w:ilvl="0">
      <w:lvlJc w:val="left"/>
      <w:lvlText w:val="%1:"/>
      <w:numFmt w:val="upperLetter"/>
      <w:start w:val="1"/>
    </w:lvl>
  </w:abstractNum>
  <w:abstractNum w:abstractNumId="29">
    <w:nsid w:val="579478FE"/>
    <w:multiLevelType w:val="hybridMultilevel"/>
    <w:lvl w:ilvl="0">
      <w:lvlJc w:val="left"/>
      <w:lvlText w:val="%1:"/>
      <w:numFmt w:val="upperLetter"/>
      <w:start w:val="1"/>
    </w:lvl>
  </w:abstractNum>
  <w:abstractNum w:abstractNumId="30">
    <w:nsid w:val="749ABB43"/>
    <w:multiLevelType w:val="hybridMultilevel"/>
    <w:lvl w:ilvl="0">
      <w:lvlJc w:val="left"/>
      <w:lvlText w:val="%1:"/>
      <w:numFmt w:val="upperLetter"/>
      <w:start w:val="1"/>
    </w:lvl>
  </w:abstractNum>
  <w:abstractNum w:abstractNumId="31">
    <w:nsid w:val="3DC240FB"/>
    <w:multiLevelType w:val="hybridMultilevel"/>
    <w:lvl w:ilvl="0">
      <w:lvlJc w:val="left"/>
      <w:lvlText w:val="%1:"/>
      <w:numFmt w:val="upperLetter"/>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
      <w:numFmt w:val="bullet"/>
      <w:start w:val="1"/>
    </w:lvl>
  </w:abstractNum>
  <w:abstractNum w:abstractNumId="45">
    <w:nsid w:val="180115BE"/>
    <w:multiLevelType w:val="hybridMultilevel"/>
    <w:lvl w:ilvl="0">
      <w:lvlJc w:val="left"/>
      <w:lvlText w:val=" "/>
      <w:numFmt w:val="bullet"/>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emdash "/>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emdash "/>
      <w:numFmt w:val="bullet"/>
      <w:start w:val="1"/>
    </w:lvl>
  </w:abstractNum>
  <w:abstractNum w:abstractNumId="53">
    <w:nsid w:val="3F6AB60F"/>
    <w:multiLevelType w:val="hybridMultilevel"/>
    <w:lvl w:ilvl="0">
      <w:lvlJc w:val="left"/>
      <w:lvlText w:val="(%1)"/>
      <w:numFmt w:val="decimal"/>
      <w:start w:val="4"/>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2"/>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7"/>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2024-04-26T15:59:16Z</dcterms:created>
  <dcterms:modified xsi:type="dcterms:W3CDTF">2024-04-26T15:59:16Z</dcterms:modified>
</cp:coreProperties>
</file>