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169545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1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001-37635</w:t>
      </w:r>
    </w:p>
    <w:p>
      <w:pPr>
        <w:spacing w:after="0" w:line="16"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w:t>
      </w:r>
    </w:p>
    <w:p>
      <w:pPr>
        <w:spacing w:after="0" w:line="19"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45-4241907</w:t>
      </w:r>
    </w:p>
    <w:p>
      <w:pPr>
        <w:spacing w:after="0" w:line="11"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4"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22 Cortlandt Street, 16</w:t>
      </w:r>
      <w:r>
        <w:rPr>
          <w:rFonts w:ascii="Arial" w:cs="Arial" w:eastAsia="Arial" w:hAnsi="Arial"/>
          <w:sz w:val="13"/>
          <w:szCs w:val="13"/>
          <w:b w:val="1"/>
          <w:bCs w:val="1"/>
          <w:color w:val="auto"/>
        </w:rPr>
        <w:t>th</w:t>
      </w:r>
      <w:r>
        <w:rPr>
          <w:rFonts w:ascii="Arial" w:cs="Arial" w:eastAsia="Arial" w:hAnsi="Arial"/>
          <w:sz w:val="18"/>
          <w:szCs w:val="18"/>
          <w:b w:val="1"/>
          <w:bCs w:val="1"/>
          <w:color w:val="auto"/>
        </w:rPr>
        <w:t xml:space="preserve"> Floor</w:t>
      </w:r>
    </w:p>
    <w:p>
      <w:pPr>
        <w:spacing w:after="0" w:line="19" w:lineRule="exact"/>
        <w:rPr>
          <w:sz w:val="24"/>
          <w:szCs w:val="24"/>
          <w:color w:val="auto"/>
        </w:rPr>
      </w:pPr>
    </w:p>
    <w:p>
      <w:pPr>
        <w:ind w:left="1640"/>
        <w:spacing w:after="0"/>
        <w:tabs>
          <w:tab w:leader="none" w:pos="7260" w:val="left"/>
        </w:tabs>
        <w:rPr>
          <w:sz w:val="20"/>
          <w:szCs w:val="20"/>
          <w:color w:val="auto"/>
        </w:rPr>
      </w:pPr>
      <w:r>
        <w:rPr>
          <w:rFonts w:ascii="Arial" w:cs="Arial" w:eastAsia="Arial" w:hAnsi="Arial"/>
          <w:sz w:val="18"/>
          <w:szCs w:val="18"/>
          <w:b w:val="1"/>
          <w:bCs w:val="1"/>
          <w:color w:val="auto"/>
        </w:rPr>
        <w:t>New York, New York</w:t>
      </w:r>
      <w:r>
        <w:rPr>
          <w:sz w:val="20"/>
          <w:szCs w:val="20"/>
          <w:color w:val="auto"/>
        </w:rPr>
        <w:tab/>
      </w:r>
      <w:r>
        <w:rPr>
          <w:rFonts w:ascii="Arial" w:cs="Arial" w:eastAsia="Arial" w:hAnsi="Arial"/>
          <w:sz w:val="15"/>
          <w:szCs w:val="15"/>
          <w:b w:val="1"/>
          <w:bCs w:val="1"/>
          <w:color w:val="auto"/>
        </w:rPr>
        <w:t>10007</w:t>
      </w:r>
    </w:p>
    <w:p>
      <w:pPr>
        <w:ind w:left="102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500" w:type="dxa"/>
        <w:tblCellMar>
          <w:top w:w="0" w:type="dxa"/>
          <w:left w:w="0" w:type="dxa"/>
          <w:bottom w:w="0" w:type="dxa"/>
          <w:right w:w="0" w:type="dxa"/>
        </w:tblCellMar>
      </w:tblPr>
      <w:tr>
        <w:trPr>
          <w:trHeight w:val="185"/>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132715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6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16" w:lineRule="exact"/>
        <w:rPr>
          <w:sz w:val="20"/>
          <w:szCs w:val="20"/>
          <w:color w:val="auto"/>
        </w:rPr>
      </w:pPr>
    </w:p>
    <w:p>
      <w:pPr>
        <w:jc w:val="both"/>
        <w:ind w:right="140" w:firstLine="648"/>
        <w:spacing w:after="0" w:line="270" w:lineRule="auto"/>
        <w:rPr>
          <w:sz w:val="20"/>
          <w:szCs w:val="20"/>
          <w:color w:val="auto"/>
        </w:rPr>
      </w:pPr>
      <w:r>
        <w:rPr>
          <w:rFonts w:ascii="Arial" w:cs="Arial" w:eastAsia="Arial" w:hAnsi="Arial"/>
          <w:sz w:val="17"/>
          <w:szCs w:val="17"/>
          <w:color w:val="auto"/>
        </w:rPr>
        <w:t>On December 31, 2020, Axsome Therapeutics, Inc. (the “Company”) issued a press release announcing the efficacy and safety results from the Company’s MOVEMENT trial of AXS-07 in the acute treatment of migraine (the “MOVEMENT Press Release”). The full text of the MOVEMENT press release is filed as Exhibit 99.1 hereto, and is incorporated herein by reference.</w:t>
      </w:r>
    </w:p>
    <w:p>
      <w:pPr>
        <w:spacing w:after="0" w:line="150"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Additionally, on December 31, 2020, the Company issued a press release announcing the initiation of the Company’s ACCORD (Assessing Clinical Outcomes in Alzheimer’s Disease Agitation) Phase 3 trial of AXS-05 (dextromethorphan- bupropion modulated delivery tablet) in Alzheimer’s disease agitation (the “ACCORD Press Release”). The full text of the ACCORD press release is filed as Exhibit 99.2 hereto,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16"/>
                <w:szCs w:val="16"/>
                <w:color w:val="auto"/>
              </w:rPr>
            </w:pPr>
          </w:p>
        </w:tc>
        <w:tc>
          <w:tcPr>
            <w:tcW w:w="8620" w:type="dxa"/>
            <w:vAlign w:val="bottom"/>
            <w:tcBorders>
              <w:bottom w:val="single" w:sz="8" w:color="auto"/>
            </w:tcBorders>
          </w:tcPr>
          <w:p>
            <w:pPr>
              <w:ind w:left="3960"/>
              <w:spacing w:after="0"/>
              <w:rPr>
                <w:sz w:val="20"/>
                <w:szCs w:val="20"/>
                <w:color w:val="auto"/>
              </w:rPr>
            </w:pPr>
            <w:r>
              <w:rPr>
                <w:rFonts w:ascii="Arial" w:cs="Arial" w:eastAsia="Arial" w:hAnsi="Arial"/>
                <w:sz w:val="14"/>
                <w:szCs w:val="14"/>
                <w:b w:val="1"/>
                <w:bCs w:val="1"/>
                <w:color w:val="auto"/>
              </w:rPr>
              <w:t>Description</w:t>
            </w:r>
          </w:p>
        </w:tc>
      </w:tr>
      <w:tr>
        <w:trPr>
          <w:trHeight w:val="384"/>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8920" w:type="dxa"/>
            <w:vAlign w:val="bottom"/>
            <w:gridSpan w:val="2"/>
          </w:tcPr>
          <w:p>
            <w:pPr>
              <w:ind w:left="30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MOVEMENT Press Release</w:t>
              </w:r>
              <w:r>
                <w:rPr>
                  <w:rFonts w:ascii="Arial" w:cs="Arial" w:eastAsia="Arial" w:hAnsi="Arial"/>
                  <w:sz w:val="18"/>
                  <w:szCs w:val="18"/>
                  <w:color w:val="0000EE"/>
                </w:rPr>
                <w:t>.</w:t>
              </w:r>
            </w:hyperlink>
          </w:p>
        </w:tc>
      </w:tr>
      <w:tr>
        <w:trPr>
          <w:trHeight w:val="218"/>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8920" w:type="dxa"/>
            <w:vAlign w:val="bottom"/>
            <w:gridSpan w:val="2"/>
          </w:tcPr>
          <w:p>
            <w:pPr>
              <w:ind w:left="3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ACCORD Press Release.</w:t>
              </w:r>
            </w:hyperlink>
          </w:p>
        </w:tc>
      </w:tr>
    </w:tbl>
    <w:p>
      <w:pPr>
        <w:ind w:left="1300" w:hanging="129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92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6460" w:type="dxa"/>
            <w:vAlign w:val="bottom"/>
            <w:gridSpan w:val="3"/>
          </w:tcPr>
          <w:p>
            <w:pPr>
              <w:ind w:left="1520"/>
              <w:spacing w:after="0"/>
              <w:rPr>
                <w:sz w:val="20"/>
                <w:szCs w:val="20"/>
                <w:color w:val="auto"/>
              </w:rPr>
            </w:pPr>
            <w:r>
              <w:rPr>
                <w:rFonts w:ascii="Arial" w:cs="Arial" w:eastAsia="Arial" w:hAnsi="Arial"/>
                <w:sz w:val="18"/>
                <w:szCs w:val="18"/>
                <w:b w:val="1"/>
                <w:bCs w:val="1"/>
                <w:color w:val="auto"/>
              </w:rPr>
              <w:t>Axsome Therapeutics, Inc.</w:t>
            </w:r>
          </w:p>
        </w:tc>
      </w:tr>
      <w:tr>
        <w:trPr>
          <w:trHeight w:val="594"/>
        </w:trPr>
        <w:tc>
          <w:tcPr>
            <w:tcW w:w="3460" w:type="dxa"/>
            <w:vAlign w:val="bottom"/>
          </w:tcPr>
          <w:p>
            <w:pPr>
              <w:spacing w:after="0"/>
              <w:rPr>
                <w:sz w:val="20"/>
                <w:szCs w:val="20"/>
                <w:color w:val="auto"/>
              </w:rPr>
            </w:pPr>
            <w:r>
              <w:rPr>
                <w:rFonts w:ascii="Arial" w:cs="Arial" w:eastAsia="Arial" w:hAnsi="Arial"/>
                <w:sz w:val="18"/>
                <w:szCs w:val="18"/>
                <w:color w:val="auto"/>
              </w:rPr>
              <w:t>Dated: December 31, 2020</w:t>
            </w: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Herriot Tabuteau, M.D.</w:t>
            </w:r>
          </w:p>
        </w:tc>
      </w:tr>
      <w:tr>
        <w:trPr>
          <w:trHeight w:val="182"/>
        </w:trPr>
        <w:tc>
          <w:tcPr>
            <w:tcW w:w="3460" w:type="dxa"/>
            <w:vAlign w:val="bottom"/>
          </w:tcPr>
          <w:p>
            <w:pPr>
              <w:spacing w:after="0"/>
              <w:rPr>
                <w:sz w:val="15"/>
                <w:szCs w:val="15"/>
                <w:color w:val="auto"/>
              </w:rPr>
            </w:pPr>
          </w:p>
        </w:tc>
        <w:tc>
          <w:tcPr>
            <w:tcW w:w="1900" w:type="dxa"/>
            <w:vAlign w:val="bottom"/>
          </w:tcPr>
          <w:p>
            <w:pPr>
              <w:ind w:left="1520"/>
              <w:spacing w:after="0" w:line="182" w:lineRule="exact"/>
              <w:rPr>
                <w:sz w:val="20"/>
                <w:szCs w:val="20"/>
                <w:color w:val="auto"/>
              </w:rPr>
            </w:pPr>
            <w:r>
              <w:rPr>
                <w:rFonts w:ascii="Arial" w:cs="Arial" w:eastAsia="Arial" w:hAnsi="Arial"/>
                <w:sz w:val="17"/>
                <w:szCs w:val="17"/>
                <w:color w:val="auto"/>
                <w:w w:val="71"/>
              </w:rPr>
              <w:t>Name:</w:t>
            </w:r>
          </w:p>
        </w:tc>
        <w:tc>
          <w:tcPr>
            <w:tcW w:w="4560" w:type="dxa"/>
            <w:vAlign w:val="bottom"/>
            <w:tcBorders>
              <w:top w:val="single" w:sz="8" w:color="auto"/>
            </w:tcBorders>
            <w:gridSpan w:val="2"/>
          </w:tcPr>
          <w:p>
            <w:pPr>
              <w:ind w:left="200"/>
              <w:spacing w:after="0" w:line="182" w:lineRule="exact"/>
              <w:rPr>
                <w:sz w:val="20"/>
                <w:szCs w:val="20"/>
                <w:color w:val="auto"/>
              </w:rPr>
            </w:pPr>
            <w:r>
              <w:rPr>
                <w:rFonts w:ascii="Arial" w:cs="Arial" w:eastAsia="Arial" w:hAnsi="Arial"/>
                <w:sz w:val="18"/>
                <w:szCs w:val="18"/>
                <w:color w:val="auto"/>
              </w:rPr>
              <w:t>Herriot Tabuteau, M.D.</w:t>
            </w:r>
          </w:p>
        </w:tc>
      </w:tr>
      <w:tr>
        <w:trPr>
          <w:trHeight w:val="230"/>
        </w:trPr>
        <w:tc>
          <w:tcPr>
            <w:tcW w:w="3460" w:type="dxa"/>
            <w:vAlign w:val="bottom"/>
          </w:tcPr>
          <w:p>
            <w:pPr>
              <w:spacing w:after="0"/>
              <w:rPr>
                <w:sz w:val="20"/>
                <w:szCs w:val="20"/>
                <w:color w:val="auto"/>
              </w:rPr>
            </w:pPr>
          </w:p>
        </w:tc>
        <w:tc>
          <w:tcPr>
            <w:tcW w:w="1920" w:type="dxa"/>
            <w:vAlign w:val="bottom"/>
            <w:gridSpan w:val="2"/>
          </w:tcPr>
          <w:p>
            <w:pPr>
              <w:ind w:left="1520"/>
              <w:spacing w:after="0"/>
              <w:rPr>
                <w:sz w:val="20"/>
                <w:szCs w:val="20"/>
                <w:color w:val="auto"/>
              </w:rPr>
            </w:pPr>
            <w:r>
              <w:rPr>
                <w:rFonts w:ascii="Arial" w:cs="Arial" w:eastAsia="Arial" w:hAnsi="Arial"/>
                <w:sz w:val="18"/>
                <w:szCs w:val="18"/>
                <w:color w:val="auto"/>
                <w:w w:val="97"/>
              </w:rPr>
              <w:t>Title:</w:t>
            </w:r>
          </w:p>
        </w:tc>
        <w:tc>
          <w:tcPr>
            <w:tcW w:w="45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4018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Axsome Therapeutics Announces Positive Efficacy and Safety Results from the Phase 3 MOVEMENT Long-Term Trial of AXS-07 in the Acute Treatment of Migraine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Over 21,000 migraine attacks treated with AXS-07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Achieved migraine pain relief in approximately 70% of patients, and pain freedom in approximately 40% of patients, at 2 hours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durable relief, with approximately 85% of patients free from rescue medication use over 48 hours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Long-term safety profile consistent with previously completed controlled trials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on track for submission in 1Q 2021</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NEW YORK, December 31, 2020 (Globe Newswire) – Axsome Therapeutics, Inc. (NASDAQ: AXSM), a biopharmaceutical company developing novel therapies for the management of central nervous system (CNS) disorders, today announced positive results from the long-term, open-label Phase 3 MOVEMENT trial of AXS-07, Axsome’s novel, oral, multi-mechanistic investigational medicine in the acute treatment of migraine. Treatment with AXS-07, rapidly, substantially, and durably relieved migraine pain and associated symptoms in this trial. AXS-07 was well tolerated over long-term treatment with a safety profile consistent with that observed in the previously reported controlled trials. Axsome remains on track to submit an NDA for AXS-07 in the acute treatment of migraine in the first quarter of 2021.</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results of the open-label, Phase 3 MOVEMENT trial confirm in a real-world setting the strong efficacy of AXS-07 observed in our previous controlled trials, and demonstrate a favorable long-term safety profile,” said Herriot Tabuteau, MD, Chief Executive Officer of Axsome. “The rapid and substantial efficacy of AXS-07 now observed in three separate trials indicates that AXS-07 may provide unique benefits to patients with migraine and help address the current unmet need for more effective treatments. These data further support our planned NDA filing of AXS-07 in the acute treatment of migraine in the first quarter.”</w:t>
      </w:r>
    </w:p>
    <w:p>
      <w:pPr>
        <w:spacing w:after="0" w:line="19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MOVEMENT (Multimechanistic Treatment over Time of Migraine Symptoms) trial evaluated the long-term safety of AXS-07 (20 mg MoSEIC™ meloxicam/10 mg rizatriptan), dosed for up to 12 months, in patients with migraine attacks. The study enrolled patients who had completed the previous pivotal studies of AXS-07: the MOMENTUM and INTERCEPT trials. Enrolled patients were allowed to treat up to 10 migraine attacks per month during the up to 12-month period, with one dose of AXS-07 for each migraine that occurred. The safety and efficacy of AXS-07 was assessed during the trial. A total of 706 patients were enrolled. The trial was concluded once at least 300 patients had treated at least 2 migraines a month for 6 months, and approximately 100 patients had treated at least 2 migraines a month for 12 months, as pre-specified. At the time of study conclusion, 515 patients had reached at least 6 months, and 155 patients had reached at least 12 months of treatment. Over 21,000 migraine attacks were treated with AXS-07 during the trial.</w:t>
      </w:r>
    </w:p>
    <w:p>
      <w:pPr>
        <w:spacing w:after="0" w:line="18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In the MOVEMENT trial, administration of AXS-07 resulted in rapid, and substantial relief of migraine pain and associated symptoms. Within 1 hour after dosing, 39% (range: 37-41%) of patients achieved relief of migraine pain, demonstrating the rapid onset of AXS-07. Two hours after administration of AXS-07, relief of migraine pain was achieved by 68% (range: 65-71%) of patients and pain freedom by 38% (range: 37-40%) of patients. Freedom from most bothersome symptom (photophobia, phonophobia, nausea) was achieved by 47% (range: 46-49%) of patients within 2 hours after dosing.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AXS-07 durably relieved migraine pain with 85% (range: 84-86%) of patients free from rescue medication use through 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hours, and 83% (range: 82-85%) of patients free from rescue medication use through 48 hours after a single administration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AXS-07. Rates of sustained pain relief from 2 to 24 hours and from 2 to 48 hours were 60% (range: 59-62%) and 59% (58-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 respectively. Rates of sustained pain freedom from 2 to 24 hours and from 2 to 48 hours were 33% (range: 33-35%)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32% (range: 32-34%), respectively.</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AXS-07 was well tolerated with long-term dosing. The safety profile of AXS-07 over the 12-month treatment period was consistent with that previously reported in short-term controlled trials. The most commonly reported adverse events (≥3%) were nausea, dizziness, and vomiting. During the 12-month trial, 1.6% of patients discontinued due to adverse events.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4" w:name="page5"/>
    <w:bookmarkEnd w:id="4"/>
    <w:p>
      <w:pPr>
        <w:ind w:right="160"/>
        <w:spacing w:after="0" w:line="273" w:lineRule="auto"/>
        <w:rPr>
          <w:sz w:val="20"/>
          <w:szCs w:val="20"/>
          <w:color w:val="auto"/>
        </w:rPr>
      </w:pPr>
      <w:r>
        <w:rPr>
          <w:rFonts w:ascii="Arial" w:cs="Arial" w:eastAsia="Arial" w:hAnsi="Arial"/>
          <w:sz w:val="17"/>
          <w:szCs w:val="17"/>
          <w:color w:val="auto"/>
        </w:rPr>
        <w:t>AXS-07 is a novel, oral, rapidly absorbed, multi-mechanistic investigational medicine for the acute treatment of migraine, consisting of MoSEIC™ meloxicam and rizatriptan. AXS-07 is thought to act by inhibiting CGRP release, reversing CGRP-mediated vasodilation, and inhibiting neuro-inflammation, pain signal transmission, and central sensitization. Axsome’s MoSEIC™ technology significantly increases the speed of absorption of the meloxicam component after oral administration while maintaining a long plasma half-life. AXS-07 is covered by more than 80 issued U.S. and international patents providing protection out to 2036, and Axsome maintains worldwide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MOVEMENT Trial</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MOVEMENT (Multimechanistic Treatment over Time of Migraine Symptoms) was a Phase 3, open-label trial to evaluate the long-term safety of AXS-07 (20 mg MoSEIC™ meloxicam/10 mg rizatriptan), dosed for up to 12 months, in patients with migraine attacks. The study enrolled patients who had completed the previous pivotal studies of AXS-07: the MOMENTUM and INTERCEPT trials. Enrolled patients were allowed to treat up to 10 migraine attacks per month during the up to 12-month period, with one dose of AXS-07 for each migraine that occurred. The safety and efficacy of AXS-07 was assessed during the trial. Efficacy measures included relief of migraine pain and most bothersome symptom (photophobia, phonophobia, nausea), and use of rescue medication.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 [1]. Published surveys of migraine sufferers indicate that more than 70% are not fully satisfied with their current treatment, that nearly 80% would try a new therapy, and that they desire treatments that work faster, more consistently, and result in less symptom recurrence [2,3].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AXS-07 is a novel, oral, rapidly absorbed, multi-mechanistic investigational medicine for the acute treatment of migraine, consisting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5-HT1B/1D agonist. AXS-07 is designed to provide rapid, enhanced and consistent relief of migraine, with reduced symptom recurrence. AXS-07 is covered by more than 80 issued U.S. and international patents which provide protection out to 2036. AXS-07 is not approved by the FDA.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0"/>
          </w:cols>
          <w:pgMar w:left="1320" w:top="1097" w:right="1339" w:bottom="1440" w:gutter="0" w:footer="0" w:header="0"/>
        </w:sectPr>
      </w:pPr>
    </w:p>
    <w:bookmarkStart w:id="5" w:name="page6"/>
    <w:bookmarkEnd w:id="5"/>
    <w:p>
      <w:pPr>
        <w:ind w:left="1"/>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461" w:right="40" w:hanging="461"/>
        <w:spacing w:after="0" w:line="277" w:lineRule="auto"/>
        <w:tabs>
          <w:tab w:leader="none" w:pos="461"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183" w:lineRule="exact"/>
        <w:rPr>
          <w:rFonts w:ascii="Arial" w:cs="Arial" w:eastAsia="Arial" w:hAnsi="Arial"/>
          <w:sz w:val="18"/>
          <w:szCs w:val="18"/>
          <w:color w:val="auto"/>
        </w:rPr>
      </w:pPr>
    </w:p>
    <w:p>
      <w:pPr>
        <w:jc w:val="both"/>
        <w:ind w:left="461" w:right="80" w:hanging="461"/>
        <w:spacing w:after="0" w:line="263" w:lineRule="auto"/>
        <w:tabs>
          <w:tab w:leader="none" w:pos="461" w:val="left"/>
        </w:tabs>
        <w:numPr>
          <w:ilvl w:val="0"/>
          <w:numId w:val="3"/>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183" w:lineRule="exact"/>
        <w:rPr>
          <w:rFonts w:ascii="Arial" w:cs="Arial" w:eastAsia="Arial" w:hAnsi="Arial"/>
          <w:sz w:val="18"/>
          <w:szCs w:val="18"/>
          <w:color w:val="auto"/>
        </w:rPr>
      </w:pPr>
    </w:p>
    <w:p>
      <w:pPr>
        <w:ind w:left="461" w:right="80" w:hanging="461"/>
        <w:spacing w:after="0" w:line="277" w:lineRule="auto"/>
        <w:tabs>
          <w:tab w:leader="none" w:pos="461" w:val="left"/>
        </w:tabs>
        <w:numPr>
          <w:ilvl w:val="0"/>
          <w:numId w:val="3"/>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1"/>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Axsome Therapeutics, Inc.</w:t>
      </w:r>
    </w:p>
    <w:p>
      <w:pPr>
        <w:ind w:left="1"/>
        <w:spacing w:after="0" w:line="181"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ind w:left="1"/>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588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21"/>
          </w:cols>
          <w:pgMar w:left="1319" w:top="877" w:right="13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40180"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ACCORD Phase 3 Trial of AXS-05 in Alzheimer’s Disease Agitation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ACCORD is the second pivotal trial of AXS-05 in Alzheimer’s disease agitation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 treatments are currently approved for Alzheimer’s disease agitation</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NEW YORK, December 31, 2020 (Globe Newswire) – Axsome Therapeutics, Inc. (NASDAQ: AXSM), a biopharmaceutical company developing novel therapies for the management of central nervous system (CNS) disorders, announced the initiation of the ACCORD (Assessing Clinical Outcomes in Alzheimer’s Disease Agitation) study, a Phase 3, randomized, double-blind, placebo-controlled trial to evaluate the efficacy and safety of AXS-05 in the treatment of Alzheimer’s disease (AD) agitation. AXS-05 (45 mg dextromethorphan-105 mg bupropion modulated delivery tablet) is a novel, oral, investigational NMDA receptor antagonist with multimodal activity. There is currently no approved treatment for AD agitation.</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ACCORD is being conducted using a randomized-withdrawal design, in which all patients are first treated with open-label AXS-05, with the patients experiencing a treatment response being subsequently randomized in a double-blind fashion to continued treatment with AXS-05 or to switch to placebo. Patients completing the ACCORD trial will be eligible to enter an open-label safety extension trial. Initiation of the safety extension trial is expected imminently. Topline results from the ACCORD trial are anticipated in the second half of 2022.</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“Initiation of the ACCORD Phase 3 trial in Alzheimer’s disease agitation continues the expedited clinical development of AXS-05 for this serious condition. The potential for AXS-05, with its unique pharmacological profile, in this indication is supported by the positive results in our completed pivotal ADVANCE trial,” said Herriot Tabuteau, MD, Chief Executive Officer of Axsome. “Alzheimer’s disease agitation is a prevalent and debilitating condition that is associated with earlier nursing home placement, accelerated progression to severe dementia, and increased risk of death. There are currently no approved treatments for Alzheimer’s disease agitation. If successfully developed, AXS-05 has the potential to address this high unmet need and significantly improve the lives of patients and their caregivers.”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Initiation of the ACCORD Phase 3 trial follows a Breakthrough Therapy meeting with the U.S. Food and Drug Administration (FDA), announced in August, to discuss the development plan for AXS-05 in AD agitation. Results of the meeting confirmed the pivotal status of the previously completed ADVANCE trial of AXS-05 in AD agitation. The meeting followed the receipt in June of Breakthrough Therapy designation from the FDA for AXS-05 for the treatment of AD agitation, the second Breakthrough Therapy designation received by Axsome for AXS-05. The designation was supported by the positive results of the ADVANCE trial.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ACCORD Trial</w:t>
      </w:r>
    </w:p>
    <w:p>
      <w:pPr>
        <w:spacing w:after="0" w:line="24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ACCORD (Assessing Clinical Outcomes in Alzheimer’s Disease Agitation) is a Phase 3, randomized, double-blind, multicenter, placebo-controlled, trial to evaluate the efficacy and safety of AXS-05 in patients with Alzheimer’s disease (AD) agitation. Enrolled patients will first enter a 9-week, open-label stabilization period, during which they will be treated with AXS-05 and monitored for a treatment response based on the Cohen-Mansfield Agitation Inventory (CMAI). Patients who experience a treatment response during the stabilization period will then be randomized into the double-blind treatment period, in a 1:1 ratio, to continue treatment with AXS-05 or to switch to placebo, for up to 26 weeks or until a relapse of agitation occurs. The primary endpoint will be the time from randomization to relapse. Assessments will include the CMAI, clinician-and caregiver-rated scales, and safety parameters.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7" w:name="page8"/>
    <w:bookmarkEnd w:id="7"/>
    <w:p>
      <w:pPr>
        <w:ind w:left="1"/>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229" w:lineRule="exact"/>
        <w:rPr>
          <w:sz w:val="20"/>
          <w:szCs w:val="20"/>
          <w:color w:val="auto"/>
        </w:rPr>
      </w:pPr>
    </w:p>
    <w:p>
      <w:pPr>
        <w:ind w:left="1"/>
        <w:spacing w:after="0" w:line="272" w:lineRule="auto"/>
        <w:rPr>
          <w:sz w:val="20"/>
          <w:szCs w:val="20"/>
          <w:color w:val="auto"/>
        </w:rPr>
      </w:pPr>
      <w:r>
        <w:rPr>
          <w:rFonts w:ascii="Arial" w:cs="Arial" w:eastAsia="Arial" w:hAnsi="Arial"/>
          <w:sz w:val="17"/>
          <w:szCs w:val="17"/>
          <w:color w:val="auto"/>
        </w:rPr>
        <w:t>Alzheimer’s disease (AD) is a progressive neurodegenerative disorder characterized by cognitive decline, and behavioral and psychological symptoms including agitation. AD is the most common form of dementia and afflicts an estimated 6 million individuals in the United States, a number that is anticipated to increase to approximately 14 million by 2050 [1]. Agitation is reported in up to 70% of patients with AD and is characterized by emotional distress, aggressive behaviors, disruptive irritability, and disinhibition [2]. Agitation in patients with AD has been associated with increased caregiver burden, decreased functioning, accelerated cognitive decline, earlier nursing home placement, and increased mortality [2-4]. There are currently no therapies approved by the FDA for the treatment of agitation in patients with AD.</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left="1" w:right="20"/>
        <w:spacing w:after="0" w:line="287" w:lineRule="auto"/>
        <w:rPr>
          <w:sz w:val="20"/>
          <w:szCs w:val="20"/>
          <w:color w:val="auto"/>
        </w:rPr>
      </w:pPr>
      <w:r>
        <w:rPr>
          <w:rFonts w:ascii="Arial" w:cs="Arial" w:eastAsia="Arial" w:hAnsi="Arial"/>
          <w:sz w:val="16"/>
          <w:szCs w:val="16"/>
          <w:color w:val="auto"/>
        </w:rPr>
        <w:t>AXS-05 (dextromethorphan-bupropion modulated delivery tablet)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93 issued U.S. and international patents which provide protection out to 2040. AXS-05 has been granted U.S. Food and Drug Administration Breakthrough Therapy and Fast Track designations for Alzheimer’s disease agitation. AXS-05 is not approved by the FDA.</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left="1" w:right="40"/>
        <w:spacing w:after="0" w:line="270"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321" w:hanging="321"/>
        <w:spacing w:after="0"/>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Alzheimer’s Association. 2020 Alzheimer’s Disease Facts and Figures. Alzheimers Dement 2020;16(3):391+.</w:t>
      </w:r>
    </w:p>
    <w:p>
      <w:pPr>
        <w:spacing w:after="0" w:line="225" w:lineRule="exact"/>
        <w:rPr>
          <w:rFonts w:ascii="Arial" w:cs="Arial" w:eastAsia="Arial" w:hAnsi="Arial"/>
          <w:sz w:val="18"/>
          <w:szCs w:val="18"/>
          <w:color w:val="auto"/>
        </w:rPr>
      </w:pPr>
    </w:p>
    <w:p>
      <w:pPr>
        <w:ind w:left="321" w:hanging="321"/>
        <w:spacing w:after="0" w:line="277" w:lineRule="auto"/>
        <w:tabs>
          <w:tab w:leader="none" w:pos="4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Tractenberg RE, Weiner MF, Thal LJ. Estimating the prevalence of agitation in community-dwelling persons with Alzheimer’s disease. J Neuropsychiatry Clin Neurosci. 2002;14:11-18.</w:t>
      </w:r>
    </w:p>
    <w:p>
      <w:pPr>
        <w:spacing w:after="0" w:line="170" w:lineRule="exact"/>
        <w:rPr>
          <w:rFonts w:ascii="Arial" w:cs="Arial" w:eastAsia="Arial" w:hAnsi="Arial"/>
          <w:sz w:val="18"/>
          <w:szCs w:val="18"/>
          <w:color w:val="auto"/>
        </w:rPr>
      </w:pPr>
    </w:p>
    <w:p>
      <w:pPr>
        <w:ind w:left="321" w:hanging="321"/>
        <w:spacing w:after="0" w:line="277"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Porsteinsson AP, Antonsdottir IM. An update on the advancements in the treatment of agitation in Alzheimer’s disease. Expert Opin Pharmacother. 2017;18:611-620.</w:t>
      </w:r>
    </w:p>
    <w:p>
      <w:pPr>
        <w:spacing w:after="0" w:line="183" w:lineRule="exact"/>
        <w:rPr>
          <w:rFonts w:ascii="Arial" w:cs="Arial" w:eastAsia="Arial" w:hAnsi="Arial"/>
          <w:sz w:val="18"/>
          <w:szCs w:val="18"/>
          <w:color w:val="auto"/>
        </w:rPr>
      </w:pPr>
    </w:p>
    <w:p>
      <w:pPr>
        <w:ind w:left="321" w:hanging="321"/>
        <w:spacing w:after="0" w:line="308"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Rabins PV, Schwartz S, Black BS, Corcoran C, Fauth E, Mielke M, Christensen J, Lyketsos C, Tschanz J. Predictors of progression to severe Alzheimer's disease in an incidence sample. Alzheimers Dement. 2013;9:204-207.</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588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p>
      <w:pPr>
        <w:sectPr>
          <w:pgSz w:w="11900" w:h="16838" w:orient="portrait"/>
          <w:cols w:equalWidth="0" w:num="1">
            <w:col w:w="9241"/>
          </w:cols>
          <w:pgMar w:left="1319" w:top="877" w:right="1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1"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220"/>
      </w:cols>
      <w:pgMar w:left="1320" w:top="877"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2020-12-31T06:08:13Z</dcterms:created>
  <dcterms:modified xsi:type="dcterms:W3CDTF">2020-12-31T06:08:13Z</dcterms:modified>
</cp:coreProperties>
</file>