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0001579428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2012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Axsome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45 ROCKEFELLER PLAZA, SUITE 2000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10111</w:t>
      </w:r>
      <w:r>
        <w:rPr>
          <w:sz w:val="20"/>
          <w:szCs w:val="20"/>
          <w:color w:val="auto"/>
        </w:rPr>
        <w:tab/>
      </w:r>
      <w:r>
        <w:rPr>
          <w:rFonts w:ascii="Arial" w:cs="Arial" w:eastAsia="Arial" w:hAnsi="Arial"/>
          <w:sz w:val="22"/>
          <w:szCs w:val="22"/>
          <w:color w:val="auto"/>
        </w:rPr>
        <w:t>212-203-5072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Tabuteau</w:t>
            </w:r>
          </w:p>
        </w:tc>
        <w:tc>
          <w:tcPr>
            <w:tcW w:w="3240" w:type="dxa"/>
            <w:vAlign w:val="bottom"/>
          </w:tcPr>
          <w:p>
            <w:pPr>
              <w:ind w:left="300"/>
              <w:spacing w:after="0"/>
              <w:rPr>
                <w:sz w:val="20"/>
                <w:szCs w:val="20"/>
                <w:color w:val="auto"/>
              </w:rPr>
            </w:pPr>
            <w:r>
              <w:rPr>
                <w:rFonts w:ascii="Arial" w:cs="Arial" w:eastAsia="Arial" w:hAnsi="Arial"/>
                <w:sz w:val="22"/>
                <w:szCs w:val="22"/>
                <w:color w:val="auto"/>
              </w:rPr>
              <w:t>Herriot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3240" w:type="dxa"/>
            <w:vAlign w:val="bottom"/>
          </w:tcPr>
          <w:p>
            <w:pPr>
              <w:jc w:val="center"/>
              <w:ind w:left="61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w w:val="97"/>
              </w:rPr>
              <w:t>45 Rockefeller Plaza, Suite 2000</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60" w:type="dxa"/>
            <w:vAlign w:val="bottom"/>
          </w:tcPr>
          <w:p>
            <w:pPr>
              <w:jc w:val="center"/>
              <w:ind w:left="17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tcPr>
          <w:p>
            <w:pPr>
              <w:jc w:val="center"/>
              <w:ind w:left="59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1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240" w:type="dxa"/>
            <w:vAlign w:val="bottom"/>
          </w:tcPr>
          <w:p>
            <w:pPr>
              <w:ind w:left="300"/>
              <w:spacing w:after="0"/>
              <w:rPr>
                <w:sz w:val="20"/>
                <w:szCs w:val="20"/>
                <w:color w:val="auto"/>
              </w:rPr>
            </w:pPr>
            <w:r>
              <w:rPr>
                <w:rFonts w:ascii="Arial" w:cs="Arial" w:eastAsia="Arial" w:hAnsi="Arial"/>
                <w:sz w:val="22"/>
                <w:szCs w:val="22"/>
                <w:color w:val="auto"/>
              </w:rPr>
              <w:t>NEW YORK</w:t>
            </w:r>
          </w:p>
        </w:tc>
        <w:tc>
          <w:tcPr>
            <w:tcW w:w="5020" w:type="dxa"/>
            <w:vAlign w:val="bottom"/>
          </w:tcPr>
          <w:p>
            <w:pPr>
              <w:ind w:left="460"/>
              <w:spacing w:after="0"/>
              <w:rPr>
                <w:sz w:val="20"/>
                <w:szCs w:val="20"/>
                <w:color w:val="auto"/>
              </w:rPr>
            </w:pPr>
            <w:r>
              <w:rPr>
                <w:rFonts w:ascii="Arial" w:cs="Arial" w:eastAsia="Arial" w:hAnsi="Arial"/>
                <w:sz w:val="22"/>
                <w:szCs w:val="22"/>
                <w:color w:val="auto"/>
              </w:rPr>
              <w:t>10111</w:t>
            </w:r>
          </w:p>
        </w:tc>
        <w:tc>
          <w:tcPr>
            <w:tcW w:w="0" w:type="dxa"/>
            <w:vAlign w:val="bottom"/>
          </w:tcPr>
          <w:p>
            <w:pPr>
              <w:spacing w:after="0"/>
              <w:rPr>
                <w:sz w:val="1"/>
                <w:szCs w:val="1"/>
                <w:color w:val="auto"/>
              </w:rPr>
            </w:pPr>
          </w:p>
        </w:tc>
      </w:tr>
      <w:tr>
        <w:trPr>
          <w:trHeight w:val="324"/>
        </w:trPr>
        <w:tc>
          <w:tcPr>
            <w:tcW w:w="640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9A9A9A"/>
            </w:tcBorders>
          </w:tcPr>
          <w:p>
            <w:pPr>
              <w:spacing w:after="0"/>
              <w:rPr>
                <w:sz w:val="18"/>
                <w:szCs w:val="18"/>
                <w:color w:val="auto"/>
              </w:rPr>
            </w:pPr>
          </w:p>
        </w:tc>
        <w:tc>
          <w:tcPr>
            <w:tcW w:w="324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4. Industry Group</w:t>
            </w:r>
          </w:p>
        </w:tc>
        <w:tc>
          <w:tcPr>
            <w:tcW w:w="32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16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40" w:type="dxa"/>
            <w:vAlign w:val="bottom"/>
          </w:tcPr>
          <w:p>
            <w:pPr>
              <w:ind w:left="7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16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40" w:type="dxa"/>
            <w:vAlign w:val="bottom"/>
          </w:tcPr>
          <w:p>
            <w:pPr>
              <w:ind w:left="98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4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vMerge w:val="continue"/>
          </w:tcPr>
          <w:p>
            <w:pPr>
              <w:spacing w:after="0"/>
              <w:rPr>
                <w:sz w:val="18"/>
                <w:szCs w:val="18"/>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4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160" w:type="dxa"/>
            <w:vAlign w:val="bottom"/>
            <w:vMerge w:val="continue"/>
          </w:tcPr>
          <w:p>
            <w:pPr>
              <w:spacing w:after="0"/>
              <w:rPr>
                <w:sz w:val="15"/>
                <w:szCs w:val="15"/>
                <w:color w:val="auto"/>
              </w:rPr>
            </w:pPr>
          </w:p>
        </w:tc>
        <w:tc>
          <w:tcPr>
            <w:tcW w:w="3240" w:type="dxa"/>
            <w:vAlign w:val="bottom"/>
            <w:vMerge w:val="restart"/>
          </w:tcPr>
          <w:p>
            <w:pPr>
              <w:ind w:left="98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16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4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vMerge w:val="continue"/>
          </w:tcPr>
          <w:p>
            <w:pPr>
              <w:spacing w:after="0"/>
              <w:rPr>
                <w:sz w:val="11"/>
                <w:szCs w:val="11"/>
                <w:color w:val="auto"/>
              </w:rPr>
            </w:pPr>
          </w:p>
        </w:tc>
        <w:tc>
          <w:tcPr>
            <w:tcW w:w="3240" w:type="dxa"/>
            <w:vAlign w:val="bottom"/>
            <w:vMerge w:val="restart"/>
          </w:tcPr>
          <w:p>
            <w:pPr>
              <w:ind w:left="820"/>
              <w:spacing w:after="0"/>
              <w:rPr>
                <w:sz w:val="20"/>
                <w:szCs w:val="20"/>
                <w:color w:val="auto"/>
              </w:rPr>
            </w:pPr>
            <w:r>
              <w:rPr>
                <w:rFonts w:ascii="Arial" w:cs="Arial" w:eastAsia="Arial" w:hAnsi="Arial"/>
                <w:sz w:val="22"/>
                <w:szCs w:val="22"/>
                <w:color w:val="auto"/>
              </w:rPr>
              <w:t>X 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16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4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40" w:type="dxa"/>
            <w:vAlign w:val="bottom"/>
          </w:tcPr>
          <w:p>
            <w:pPr>
              <w:ind w:left="98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Rule 504(b)(1) (not (i), (ii) or (iii))</w:t>
            </w:r>
          </w:p>
        </w:tc>
        <w:tc>
          <w:tcPr>
            <w:tcW w:w="24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1720" w:type="dxa"/>
            <w:vAlign w:val="bottom"/>
          </w:tcPr>
          <w:p>
            <w:pPr>
              <w:spacing w:after="0"/>
              <w:rPr>
                <w:sz w:val="23"/>
                <w:szCs w:val="23"/>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w:t>
            </w:r>
          </w:p>
        </w:tc>
        <w:tc>
          <w:tcPr>
            <w:tcW w:w="24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1720" w:type="dxa"/>
            <w:vAlign w:val="bottom"/>
          </w:tcPr>
          <w:p>
            <w:pPr>
              <w:spacing w:after="0"/>
              <w:rPr>
                <w:sz w:val="24"/>
                <w:szCs w:val="24"/>
                <w:color w:val="auto"/>
              </w:rPr>
            </w:pP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rPr>
              <w:t>Securities Act Section 4(5)</w:t>
            </w:r>
          </w:p>
        </w:tc>
      </w:tr>
      <w:tr>
        <w:trPr>
          <w:trHeight w:val="297"/>
        </w:trPr>
        <w:tc>
          <w:tcPr>
            <w:tcW w:w="1060" w:type="dxa"/>
            <w:vAlign w:val="bottom"/>
          </w:tcPr>
          <w:p>
            <w:pPr>
              <w:ind w:left="260"/>
              <w:spacing w:after="0"/>
              <w:rPr>
                <w:sz w:val="20"/>
                <w:szCs w:val="20"/>
                <w:color w:val="auto"/>
              </w:rPr>
            </w:pPr>
            <w:r>
              <w:rPr>
                <w:rFonts w:ascii="Arial" w:cs="Arial" w:eastAsia="Arial" w:hAnsi="Arial"/>
                <w:sz w:val="22"/>
                <w:szCs w:val="22"/>
                <w:color w:val="auto"/>
                <w:w w:val="88"/>
              </w:rPr>
              <w:t>Rule 504</w:t>
            </w:r>
          </w:p>
        </w:tc>
        <w:tc>
          <w:tcPr>
            <w:tcW w:w="3120" w:type="dxa"/>
            <w:vAlign w:val="bottom"/>
          </w:tcPr>
          <w:p>
            <w:pPr>
              <w:ind w:left="40"/>
              <w:spacing w:after="0"/>
              <w:rPr>
                <w:sz w:val="20"/>
                <w:szCs w:val="20"/>
                <w:color w:val="auto"/>
              </w:rPr>
            </w:pPr>
            <w:r>
              <w:rPr>
                <w:rFonts w:ascii="Arial" w:cs="Arial" w:eastAsia="Arial" w:hAnsi="Arial"/>
                <w:sz w:val="22"/>
                <w:szCs w:val="22"/>
                <w:color w:val="auto"/>
              </w:rPr>
              <w:t>(b)(1)(iii)</w:t>
            </w:r>
          </w:p>
        </w:tc>
        <w:tc>
          <w:tcPr>
            <w:tcW w:w="4120" w:type="dxa"/>
            <w:vAlign w:val="bottom"/>
            <w:gridSpan w:val="2"/>
          </w:tcPr>
          <w:p>
            <w:pPr>
              <w:ind w:left="44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3(c)(1)</w:t>
            </w:r>
          </w:p>
        </w:tc>
        <w:tc>
          <w:tcPr>
            <w:tcW w:w="1720" w:type="dxa"/>
            <w:vAlign w:val="bottom"/>
          </w:tcPr>
          <w:p>
            <w:pPr>
              <w:ind w:left="280"/>
              <w:spacing w:after="0"/>
              <w:rPr>
                <w:sz w:val="20"/>
                <w:szCs w:val="20"/>
                <w:color w:val="auto"/>
              </w:rPr>
            </w:pPr>
            <w:r>
              <w:rPr>
                <w:rFonts w:ascii="Arial" w:cs="Arial" w:eastAsia="Arial" w:hAnsi="Arial"/>
                <w:sz w:val="22"/>
                <w:szCs w:val="22"/>
                <w:color w:val="auto"/>
                <w:w w:val="98"/>
              </w:rPr>
              <w:t>Section 3(c)(9)</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3(c)(2)</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3(c)(10)</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3(c)(3)</w:t>
            </w:r>
          </w:p>
        </w:tc>
        <w:tc>
          <w:tcPr>
            <w:tcW w:w="1720" w:type="dxa"/>
            <w:vAlign w:val="bottom"/>
          </w:tcPr>
          <w:p>
            <w:pPr>
              <w:ind w:left="320"/>
              <w:spacing w:after="0"/>
              <w:rPr>
                <w:sz w:val="20"/>
                <w:szCs w:val="20"/>
                <w:color w:val="auto"/>
              </w:rPr>
            </w:pPr>
            <w:r>
              <w:rPr>
                <w:rFonts w:ascii="Arial" w:cs="Arial" w:eastAsia="Arial" w:hAnsi="Arial"/>
                <w:sz w:val="22"/>
                <w:szCs w:val="22"/>
                <w:color w:val="auto"/>
                <w:w w:val="88"/>
              </w:rPr>
              <w:t>Section 3(c)(11)</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3(c)(4)</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3(c)(12)</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3(c)(5)</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3(c)(13)</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jc w:val="center"/>
              <w:ind w:right="72"/>
              <w:spacing w:after="0"/>
              <w:rPr>
                <w:sz w:val="20"/>
                <w:szCs w:val="20"/>
                <w:color w:val="auto"/>
              </w:rPr>
            </w:pPr>
            <w:r>
              <w:rPr>
                <w:rFonts w:ascii="Arial" w:cs="Arial" w:eastAsia="Arial" w:hAnsi="Arial"/>
                <w:sz w:val="22"/>
                <w:szCs w:val="22"/>
                <w:color w:val="auto"/>
                <w:w w:val="90"/>
              </w:rPr>
              <w:t>Section 3(c)(6)</w:t>
            </w:r>
          </w:p>
        </w:tc>
        <w:tc>
          <w:tcPr>
            <w:tcW w:w="1720" w:type="dxa"/>
            <w:vAlign w:val="bottom"/>
          </w:tcPr>
          <w:p>
            <w:pPr>
              <w:ind w:left="280"/>
              <w:spacing w:after="0"/>
              <w:rPr>
                <w:sz w:val="20"/>
                <w:szCs w:val="20"/>
                <w:color w:val="auto"/>
              </w:rPr>
            </w:pPr>
            <w:r>
              <w:rPr>
                <w:rFonts w:ascii="Arial" w:cs="Arial" w:eastAsia="Arial" w:hAnsi="Arial"/>
                <w:sz w:val="22"/>
                <w:szCs w:val="22"/>
                <w:color w:val="auto"/>
                <w:w w:val="90"/>
              </w:rPr>
              <w:t>Section 3(c)(14)</w:t>
            </w:r>
          </w:p>
        </w:tc>
      </w:tr>
      <w:tr>
        <w:trPr>
          <w:trHeight w:val="378"/>
        </w:trPr>
        <w:tc>
          <w:tcPr>
            <w:tcW w:w="10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tcPr>
          <w:p>
            <w:pPr>
              <w:ind w:left="40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2013-06-28</w:t>
            </w:r>
          </w:p>
        </w:tc>
        <w:tc>
          <w:tcPr>
            <w:tcW w:w="2400" w:type="dxa"/>
            <w:vAlign w:val="bottom"/>
          </w:tcPr>
          <w:p>
            <w:pPr>
              <w:jc w:val="center"/>
              <w:ind w:right="52"/>
              <w:spacing w:after="0"/>
              <w:rPr>
                <w:sz w:val="20"/>
                <w:szCs w:val="20"/>
                <w:color w:val="auto"/>
              </w:rPr>
            </w:pPr>
            <w:r>
              <w:rPr>
                <w:rFonts w:ascii="Arial" w:cs="Arial" w:eastAsia="Arial" w:hAnsi="Arial"/>
                <w:sz w:val="22"/>
                <w:szCs w:val="22"/>
                <w:color w:val="auto"/>
                <w:w w:val="88"/>
              </w:rPr>
              <w:t>First Sale Yet to Occur</w:t>
            </w:r>
          </w:p>
        </w:tc>
        <w:tc>
          <w:tcPr>
            <w:tcW w:w="1720" w:type="dxa"/>
            <w:vAlign w:val="bottom"/>
          </w:tcPr>
          <w:p>
            <w:pPr>
              <w:spacing w:after="0"/>
              <w:rPr>
                <w:sz w:val="24"/>
                <w:szCs w:val="24"/>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9"/>
          <w:szCs w:val="19"/>
          <w:color w:val="auto"/>
        </w:rPr>
        <w:t>Equity</w:t>
      </w:r>
      <w:r>
        <w:rPr>
          <w:sz w:val="20"/>
          <w:szCs w:val="20"/>
          <w:color w:val="auto"/>
        </w:rPr>
        <w:tab/>
      </w:r>
      <w:r>
        <w:rPr>
          <w:rFonts w:ascii="Arial" w:cs="Arial" w:eastAsia="Arial" w:hAnsi="Arial"/>
          <w:sz w:val="19"/>
          <w:szCs w:val="19"/>
          <w:color w:val="auto"/>
        </w:rPr>
        <w:t>Pooled Investment Fund Interests</w:t>
      </w:r>
    </w:p>
    <w:p>
      <w:pPr>
        <w:sectPr>
          <w:pgSz w:w="11900" w:h="16838" w:orient="portrait"/>
          <w:cols w:equalWidth="0" w:num="1">
            <w:col w:w="10219"/>
          </w:cols>
          <w:pgMar w:left="240" w:top="118"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X Debt</w:t>
            </w: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540" w:type="dxa"/>
            <w:vAlign w:val="bottom"/>
            <w:gridSpan w:val="3"/>
          </w:tcPr>
          <w:p>
            <w:pPr>
              <w:ind w:left="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840" w:type="dxa"/>
            <w:vAlign w:val="bottom"/>
            <w:gridSpan w:val="7"/>
          </w:tcPr>
          <w:p>
            <w:pPr>
              <w:spacing w:after="0"/>
              <w:rPr>
                <w:sz w:val="20"/>
                <w:szCs w:val="20"/>
                <w:color w:val="auto"/>
              </w:rPr>
            </w:pPr>
            <w:r>
              <w:rPr>
                <w:rFonts w:ascii="Arial" w:cs="Arial" w:eastAsia="Arial" w:hAnsi="Arial"/>
                <w:sz w:val="22"/>
                <w:szCs w:val="22"/>
                <w:color w:val="auto"/>
                <w:w w:val="97"/>
              </w:rPr>
              <w:t>X Option, Warrant or Other Right to Acquire Another Security</w:t>
            </w:r>
          </w:p>
        </w:tc>
        <w:tc>
          <w:tcPr>
            <w:tcW w:w="5540" w:type="dxa"/>
            <w:vAlign w:val="bottom"/>
            <w:gridSpan w:val="3"/>
          </w:tcPr>
          <w:p>
            <w:pPr>
              <w:ind w:left="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0" w:type="dxa"/>
            <w:vAlign w:val="bottom"/>
            <w:gridSpan w:val="6"/>
          </w:tcPr>
          <w:p>
            <w:pPr>
              <w:ind w:left="180"/>
              <w:spacing w:after="0"/>
              <w:rPr>
                <w:sz w:val="20"/>
                <w:szCs w:val="20"/>
                <w:color w:val="auto"/>
              </w:rPr>
            </w:pPr>
            <w:r>
              <w:rPr>
                <w:rFonts w:ascii="Arial" w:cs="Arial" w:eastAsia="Arial" w:hAnsi="Arial"/>
                <w:sz w:val="22"/>
                <w:szCs w:val="22"/>
                <w:color w:val="auto"/>
                <w:w w:val="95"/>
              </w:rPr>
              <w:t>Security to be Acquired Upon Exercise of Option, Warrant or</w:t>
            </w:r>
          </w:p>
        </w:tc>
        <w:tc>
          <w:tcPr>
            <w:tcW w:w="1560" w:type="dxa"/>
            <w:vAlign w:val="bottom"/>
            <w:vMerge w:val="restart"/>
          </w:tcPr>
          <w:p>
            <w:pPr>
              <w:ind w:left="40"/>
              <w:spacing w:after="0"/>
              <w:rPr>
                <w:sz w:val="20"/>
                <w:szCs w:val="20"/>
                <w:color w:val="auto"/>
              </w:rPr>
            </w:pPr>
            <w:r>
              <w:rPr>
                <w:rFonts w:ascii="Arial" w:cs="Arial" w:eastAsia="Arial" w:hAnsi="Arial"/>
                <w:sz w:val="22"/>
                <w:szCs w:val="22"/>
                <w:color w:val="auto"/>
                <w:w w:val="94"/>
              </w:rPr>
              <w:t>Other (describe)</w:t>
            </w:r>
          </w:p>
        </w:tc>
        <w:tc>
          <w:tcPr>
            <w:tcW w:w="6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gridSpan w:val="4"/>
            <w:vMerge w:val="restart"/>
          </w:tcPr>
          <w:p>
            <w:pPr>
              <w:ind w:left="18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9"/>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3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8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7400" w:type="dxa"/>
            <w:vAlign w:val="bottom"/>
            <w:gridSpan w:val="8"/>
          </w:tcPr>
          <w:p>
            <w:pPr>
              <w:spacing w:after="0"/>
              <w:rPr>
                <w:sz w:val="20"/>
                <w:szCs w:val="20"/>
                <w:color w:val="auto"/>
              </w:rPr>
            </w:pPr>
            <w:r>
              <w:rPr>
                <w:rFonts w:ascii="Arial" w:cs="Arial" w:eastAsia="Arial" w:hAnsi="Arial"/>
                <w:sz w:val="22"/>
                <w:szCs w:val="22"/>
                <w:color w:val="auto"/>
              </w:rPr>
              <w:t>Minimum investment accepted from any outside investor $25,000 USD</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8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100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00"/>
              <w:spacing w:after="0"/>
              <w:rPr>
                <w:sz w:val="20"/>
                <w:szCs w:val="20"/>
                <w:color w:val="auto"/>
              </w:rPr>
            </w:pPr>
            <w:r>
              <w:rPr>
                <w:rFonts w:ascii="Arial" w:cs="Arial" w:eastAsia="Arial" w:hAnsi="Arial"/>
                <w:sz w:val="22"/>
                <w:szCs w:val="22"/>
                <w:color w:val="auto"/>
              </w:rPr>
              <w:t>None</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Brookline Group, LLC</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ind w:left="960"/>
              <w:spacing w:after="0"/>
              <w:rPr>
                <w:sz w:val="20"/>
                <w:szCs w:val="20"/>
                <w:color w:val="auto"/>
              </w:rPr>
            </w:pPr>
            <w:r>
              <w:rPr>
                <w:rFonts w:ascii="Arial" w:cs="Arial" w:eastAsia="Arial" w:hAnsi="Arial"/>
                <w:sz w:val="22"/>
                <w:szCs w:val="22"/>
                <w:color w:val="auto"/>
                <w:w w:val="89"/>
              </w:rPr>
              <w:t>153587</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7180" w:type="dxa"/>
            <w:vAlign w:val="bottom"/>
            <w:gridSpan w:val="4"/>
          </w:tcPr>
          <w:p>
            <w:pPr>
              <w:ind w:left="10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None</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ind w:left="960"/>
              <w:spacing w:after="0"/>
              <w:rPr>
                <w:sz w:val="20"/>
                <w:szCs w:val="20"/>
                <w:color w:val="auto"/>
              </w:rPr>
            </w:pPr>
            <w:r>
              <w:rPr>
                <w:rFonts w:ascii="Arial" w:cs="Arial" w:eastAsia="Arial" w:hAnsi="Arial"/>
                <w:sz w:val="22"/>
                <w:szCs w:val="22"/>
                <w:color w:val="auto"/>
              </w:rPr>
              <w:t>None</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gridSpan w:val="4"/>
          </w:tcPr>
          <w:p>
            <w:pPr>
              <w:ind w:left="176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40" w:type="dxa"/>
            <w:vAlign w:val="bottom"/>
            <w:gridSpan w:val="3"/>
          </w:tcPr>
          <w:p>
            <w:pPr>
              <w:ind w:left="9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w w:val="87"/>
              </w:rPr>
              <w:t>2501 Twentieth Place South</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rPr>
              <w:t>Suite 275</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City</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Birmingham</w:t>
            </w: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2"/>
          </w:tcPr>
          <w:p>
            <w:pPr>
              <w:ind w:left="960"/>
              <w:spacing w:after="0"/>
              <w:rPr>
                <w:sz w:val="20"/>
                <w:szCs w:val="20"/>
                <w:color w:val="auto"/>
              </w:rPr>
            </w:pPr>
            <w:r>
              <w:rPr>
                <w:rFonts w:ascii="Arial" w:cs="Arial" w:eastAsia="Arial" w:hAnsi="Arial"/>
                <w:sz w:val="22"/>
                <w:szCs w:val="22"/>
                <w:color w:val="auto"/>
              </w:rPr>
              <w:t>ALABAMA</w:t>
            </w:r>
          </w:p>
        </w:tc>
        <w:tc>
          <w:tcPr>
            <w:tcW w:w="660" w:type="dxa"/>
            <w:vAlign w:val="bottom"/>
          </w:tcPr>
          <w:p>
            <w:pPr>
              <w:spacing w:after="0"/>
              <w:rPr>
                <w:sz w:val="24"/>
                <w:szCs w:val="24"/>
                <w:color w:val="auto"/>
              </w:rPr>
            </w:pPr>
          </w:p>
        </w:tc>
        <w:tc>
          <w:tcPr>
            <w:tcW w:w="3320" w:type="dxa"/>
            <w:vAlign w:val="bottom"/>
          </w:tcPr>
          <w:p>
            <w:pPr>
              <w:ind w:left="1840"/>
              <w:spacing w:after="0"/>
              <w:rPr>
                <w:sz w:val="20"/>
                <w:szCs w:val="20"/>
                <w:color w:val="auto"/>
              </w:rPr>
            </w:pPr>
            <w:r>
              <w:rPr>
                <w:rFonts w:ascii="Arial" w:cs="Arial" w:eastAsia="Arial" w:hAnsi="Arial"/>
                <w:sz w:val="22"/>
                <w:szCs w:val="22"/>
                <w:color w:val="auto"/>
              </w:rPr>
              <w:t>35223</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000" w:type="dxa"/>
            <w:vAlign w:val="bottom"/>
            <w:gridSpan w:val="5"/>
          </w:tcPr>
          <w:p>
            <w:pPr>
              <w:ind w:left="4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200" w:type="dxa"/>
            <w:vAlign w:val="bottom"/>
            <w:gridSpan w:val="2"/>
            <w:vMerge w:val="restart"/>
          </w:tcPr>
          <w:p>
            <w:pPr>
              <w:spacing w:after="0"/>
              <w:rPr>
                <w:sz w:val="20"/>
                <w:szCs w:val="20"/>
                <w:color w:val="auto"/>
              </w:rPr>
            </w:pPr>
            <w:r>
              <w:rPr>
                <w:rFonts w:ascii="Arial" w:cs="Arial" w:eastAsia="Arial" w:hAnsi="Arial"/>
                <w:sz w:val="22"/>
                <w:szCs w:val="22"/>
                <w:color w:val="auto"/>
              </w:rPr>
              <w:t>All States  X Foreign/non-US</w:t>
            </w: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000" w:type="dxa"/>
            <w:vAlign w:val="bottom"/>
            <w:gridSpan w:val="5"/>
            <w:vMerge w:val="restart"/>
          </w:tcPr>
          <w:p>
            <w:pPr>
              <w:ind w:left="4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2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00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96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ALABAMA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ARIZONA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CALIFORNIA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COLORADO</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CONNECTICUT</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GEORGIA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KANSAS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MARYLAND</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MASSACHUSETTS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MISSISSIPPI</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MISSOURI</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JERSEY</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NORTH CAROLINA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PENNSYLVANIA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7"/>
              </w:rPr>
              <w:t>SOUTH CAROLINA</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TENNESSEE</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TEXAS</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WISCONSIN</w:t>
            </w:r>
          </w:p>
        </w:tc>
        <w:tc>
          <w:tcPr>
            <w:tcW w:w="440" w:type="dxa"/>
            <w:vAlign w:val="bottom"/>
            <w:gridSpan w:val="2"/>
          </w:tcPr>
          <w:p>
            <w:pPr>
              <w:spacing w:after="0"/>
              <w:rPr>
                <w:sz w:val="22"/>
                <w:szCs w:val="22"/>
                <w:color w:val="auto"/>
              </w:rPr>
            </w:pPr>
          </w:p>
        </w:tc>
        <w:tc>
          <w:tcPr>
            <w:tcW w:w="1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40" w:type="dxa"/>
            <w:vAlign w:val="bottom"/>
            <w:tcBorders>
              <w:bottom w:val="single" w:sz="8" w:color="9A9A9A"/>
            </w:tcBorders>
            <w:gridSpan w:val="6"/>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0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1560" w:type="dxa"/>
            <w:vAlign w:val="bottom"/>
          </w:tcPr>
          <w:p>
            <w:pPr>
              <w:spacing w:after="0"/>
              <w:rPr>
                <w:sz w:val="20"/>
                <w:szCs w:val="20"/>
                <w:color w:val="auto"/>
              </w:rPr>
            </w:pPr>
            <w:r>
              <w:rPr>
                <w:rFonts w:ascii="Arial" w:cs="Arial" w:eastAsia="Arial" w:hAnsi="Arial"/>
                <w:sz w:val="22"/>
                <w:szCs w:val="22"/>
                <w:color w:val="auto"/>
                <w:w w:val="94"/>
              </w:rPr>
              <w:t>$3,500,000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4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560" w:type="dxa"/>
            <w:vAlign w:val="bottom"/>
          </w:tcPr>
          <w:p>
            <w:pPr>
              <w:spacing w:after="0"/>
              <w:rPr>
                <w:sz w:val="20"/>
                <w:szCs w:val="20"/>
                <w:color w:val="auto"/>
              </w:rPr>
            </w:pPr>
            <w:r>
              <w:rPr>
                <w:rFonts w:ascii="Arial" w:cs="Arial" w:eastAsia="Arial" w:hAnsi="Arial"/>
                <w:sz w:val="22"/>
                <w:szCs w:val="22"/>
                <w:color w:val="auto"/>
                <w:w w:val="94"/>
              </w:rPr>
              <w:t>$1,185,000 USD</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Arial" w:cs="Arial" w:eastAsia="Arial" w:hAnsi="Arial"/>
                <w:sz w:val="22"/>
                <w:szCs w:val="22"/>
                <w:color w:val="auto"/>
                <w:w w:val="91"/>
              </w:rPr>
              <w:t>Total Remaining to be Sold $2,315,000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-5344160</wp:posOffset>
            </wp:positionV>
            <wp:extent cx="59690" cy="417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9690" cy="417639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-5344160</wp:posOffset>
            </wp:positionV>
            <wp:extent cx="7272020" cy="42875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87520"/>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$280,000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102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Commissions are based on a percentage. This is the maximum amount payable assuming full amount of offering is sold.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Commission includes warrants in addition to cash payment.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100" w:type="dxa"/>
            <w:vAlign w:val="bottom"/>
            <w:tcBorders>
              <w:top w:val="single" w:sz="8" w:color="2C2C2C"/>
              <w:bottom w:val="single" w:sz="8" w:color="808080"/>
            </w:tcBorders>
          </w:tcPr>
          <w:p>
            <w:pPr>
              <w:ind w:left="12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0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Axsome Therapeutics,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0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Herriot Tabuteau</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2013-07-02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2019-12-08T05:45:31Z</dcterms:created>
  <dcterms:modified xsi:type="dcterms:W3CDTF">2019-12-08T05:45:31Z</dcterms:modified>
</cp:coreProperties>
</file>