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-621665</wp:posOffset>
            </wp:positionV>
            <wp:extent cx="57785" cy="635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6994525" cy="539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39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Jacobson Mark L.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WORLD TRADE CENTER, 22ND FLOOR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 YORK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10007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20" w:righ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47,739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(2)(3)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47,739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84.26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47,739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an exercise of stock options prior to the 10-year expiration date of such options, which would occur later this year.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Such transaction was pursuant to a pre-approved 10b5-1 plan.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subsequent sale of the underlying shares of the aforementioned exercise of stock options.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Represents the weighted average sale price of a series of open market transactions with sale prices ranging between $82.705 and $85.975.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Jacobson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-3241675</wp:posOffset>
            </wp:positionV>
            <wp:extent cx="29210" cy="2091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5812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2024-08-09T18:29:22Z</dcterms:created>
  <dcterms:modified xsi:type="dcterms:W3CDTF">2024-08-09T18:29:22Z</dcterms:modified>
</cp:coreProperties>
</file>