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343535</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39"/>
        <w:spacing w:after="0" w:line="211"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55880</wp:posOffset>
            </wp:positionV>
            <wp:extent cx="1431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6" w:lineRule="exact"/>
        <w:rPr>
          <w:sz w:val="24"/>
          <w:szCs w:val="24"/>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w:t>
      </w:r>
    </w:p>
    <w:p>
      <w:pPr>
        <w:ind w:left="44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1934</w:t>
      </w:r>
    </w:p>
    <w:p>
      <w:pPr>
        <w:spacing w:after="0" w:line="7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2019</w:t>
      </w:r>
    </w:p>
    <w:p>
      <w:pPr>
        <w:spacing w:after="0" w:line="10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4" w:lineRule="exact"/>
        <w:rPr>
          <w:sz w:val="24"/>
          <w:szCs w:val="24"/>
          <w:color w:val="auto"/>
        </w:rPr>
      </w:pPr>
    </w:p>
    <w:p>
      <w:pPr>
        <w:ind w:left="260" w:hanging="216"/>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w:t>
      </w:r>
    </w:p>
    <w:p>
      <w:pPr>
        <w:ind w:left="44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1934</w:t>
      </w:r>
    </w:p>
    <w:p>
      <w:pPr>
        <w:spacing w:after="0" w:line="15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1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71120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AXSOME THERAPEUTICS, INC.</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1"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4320" w:type="dxa"/>
            <w:vAlign w:val="bottom"/>
          </w:tcPr>
          <w:p>
            <w:pPr>
              <w:jc w:val="center"/>
              <w:ind w:right="79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8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45-4241907</w:t>
            </w:r>
          </w:p>
        </w:tc>
        <w:tc>
          <w:tcPr>
            <w:tcW w:w="0" w:type="dxa"/>
            <w:vAlign w:val="bottom"/>
          </w:tcPr>
          <w:p>
            <w:pPr>
              <w:spacing w:after="0"/>
              <w:rPr>
                <w:sz w:val="1"/>
                <w:szCs w:val="1"/>
                <w:color w:val="auto"/>
              </w:rPr>
            </w:pPr>
          </w:p>
        </w:tc>
      </w:tr>
      <w:tr>
        <w:trPr>
          <w:trHeight w:val="188"/>
        </w:trPr>
        <w:tc>
          <w:tcPr>
            <w:tcW w:w="4320" w:type="dxa"/>
            <w:vAlign w:val="bottom"/>
          </w:tcPr>
          <w:p>
            <w:pPr>
              <w:jc w:val="center"/>
              <w:ind w:right="796"/>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980" w:type="dxa"/>
            <w:vAlign w:val="bottom"/>
          </w:tcPr>
          <w:p>
            <w:pPr>
              <w:jc w:val="center"/>
              <w:ind w:left="799"/>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7"/>
        </w:trPr>
        <w:tc>
          <w:tcPr>
            <w:tcW w:w="4320" w:type="dxa"/>
            <w:vAlign w:val="bottom"/>
          </w:tcPr>
          <w:p>
            <w:pPr>
              <w:jc w:val="center"/>
              <w:ind w:right="776"/>
              <w:spacing w:after="0"/>
              <w:rPr>
                <w:sz w:val="20"/>
                <w:szCs w:val="20"/>
                <w:color w:val="auto"/>
              </w:rPr>
            </w:pPr>
            <w:r>
              <w:rPr>
                <w:rFonts w:ascii="Times New Roman" w:cs="Times New Roman" w:eastAsia="Times New Roman" w:hAnsi="Times New Roman"/>
                <w:sz w:val="18"/>
                <w:szCs w:val="18"/>
                <w:b w:val="1"/>
                <w:bCs w:val="1"/>
                <w:color w:val="auto"/>
                <w:w w:val="99"/>
              </w:rPr>
              <w:t>200 Broadway</w:t>
            </w:r>
          </w:p>
        </w:tc>
        <w:tc>
          <w:tcPr>
            <w:tcW w:w="2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320" w:type="dxa"/>
            <w:vAlign w:val="bottom"/>
          </w:tcPr>
          <w:p>
            <w:pPr>
              <w:jc w:val="center"/>
              <w:ind w:right="796"/>
              <w:spacing w:after="0" w:line="176" w:lineRule="exact"/>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8"/>
                <w:szCs w:val="8"/>
                <w:b w:val="1"/>
                <w:bCs w:val="1"/>
                <w:color w:val="auto"/>
              </w:rPr>
              <w:t>rd</w:t>
            </w:r>
            <w:r>
              <w:rPr>
                <w:rFonts w:ascii="Times New Roman" w:cs="Times New Roman" w:eastAsia="Times New Roman" w:hAnsi="Times New Roman"/>
                <w:sz w:val="18"/>
                <w:szCs w:val="18"/>
                <w:b w:val="1"/>
                <w:bCs w:val="1"/>
                <w:color w:val="auto"/>
              </w:rPr>
              <w:t xml:space="preserve"> Floor</w:t>
            </w:r>
          </w:p>
        </w:tc>
        <w:tc>
          <w:tcPr>
            <w:tcW w:w="2980" w:type="dxa"/>
            <w:vAlign w:val="bottom"/>
            <w:vMerge w:val="restart"/>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10038</w:t>
            </w:r>
          </w:p>
        </w:tc>
        <w:tc>
          <w:tcPr>
            <w:tcW w:w="0" w:type="dxa"/>
            <w:vAlign w:val="bottom"/>
          </w:tcPr>
          <w:p>
            <w:pPr>
              <w:spacing w:after="0"/>
              <w:rPr>
                <w:sz w:val="1"/>
                <w:szCs w:val="1"/>
                <w:color w:val="auto"/>
              </w:rPr>
            </w:pPr>
          </w:p>
        </w:tc>
      </w:tr>
      <w:tr>
        <w:trPr>
          <w:trHeight w:val="176"/>
        </w:trPr>
        <w:tc>
          <w:tcPr>
            <w:tcW w:w="4320" w:type="dxa"/>
            <w:vAlign w:val="bottom"/>
          </w:tcPr>
          <w:p>
            <w:pPr>
              <w:jc w:val="center"/>
              <w:ind w:right="776"/>
              <w:spacing w:after="0" w:line="176" w:lineRule="exact"/>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20" w:type="dxa"/>
            <w:vAlign w:val="bottom"/>
          </w:tcPr>
          <w:p>
            <w:pPr>
              <w:jc w:val="center"/>
              <w:ind w:right="796"/>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980" w:type="dxa"/>
            <w:vAlign w:val="bottom"/>
          </w:tcPr>
          <w:p>
            <w:pPr>
              <w:jc w:val="center"/>
              <w:ind w:left="79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jc w:val="center"/>
        <w:ind w:right="-39"/>
        <w:spacing w:after="0"/>
        <w:rPr>
          <w:sz w:val="20"/>
          <w:szCs w:val="20"/>
          <w:color w:val="auto"/>
        </w:rPr>
      </w:pPr>
      <w:r>
        <w:rPr>
          <w:rFonts w:ascii="Times New Roman" w:cs="Times New Roman" w:eastAsia="Times New Roman" w:hAnsi="Times New Roman"/>
          <w:sz w:val="14"/>
          <w:szCs w:val="14"/>
          <w:color w:val="auto"/>
        </w:rPr>
        <w:t>None</w:t>
      </w:r>
    </w:p>
    <w:p>
      <w:pPr>
        <w:spacing w:after="0" w:line="120" w:lineRule="exact"/>
        <w:rPr>
          <w:sz w:val="24"/>
          <w:szCs w:val="24"/>
          <w:color w:val="auto"/>
        </w:rPr>
      </w:pPr>
    </w:p>
    <w:p>
      <w:pPr>
        <w:ind w:right="240"/>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8"/>
          <w:szCs w:val="18"/>
          <w:color w:val="auto"/>
        </w:rPr>
        <w:t>☐</w:t>
      </w:r>
    </w:p>
    <w:p>
      <w:pPr>
        <w:spacing w:after="0" w:line="93" w:lineRule="exact"/>
        <w:rPr>
          <w:sz w:val="24"/>
          <w:szCs w:val="24"/>
          <w:color w:val="auto"/>
        </w:rPr>
      </w:pPr>
    </w:p>
    <w:p>
      <w:pPr>
        <w:ind w:right="100"/>
        <w:spacing w:after="0" w:line="25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207" w:lineRule="exact"/>
        <w:tabs>
          <w:tab w:leader="none" w:pos="940" w:val="left"/>
        </w:tabs>
        <w:rPr>
          <w:sz w:val="20"/>
          <w:szCs w:val="20"/>
          <w:color w:val="auto"/>
        </w:rPr>
      </w:pPr>
      <w:r>
        <w:rPr>
          <w:rFonts w:ascii="Times New Roman" w:cs="Times New Roman" w:eastAsia="Times New Roman" w:hAnsi="Times New Roman"/>
          <w:sz w:val="14"/>
          <w:szCs w:val="14"/>
          <w:color w:val="auto"/>
        </w:rPr>
        <w:t xml:space="preserve">files). Yes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22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040"/>
          </w:cols>
          <w:pgMar w:left="1420" w:top="216" w:right="1439" w:bottom="1440" w:gutter="0" w:footer="0" w:header="0"/>
        </w:sectPr>
      </w:pPr>
    </w:p>
    <w:p>
      <w:pPr>
        <w:spacing w:after="0" w:line="7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1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highlight w:val="black"/>
        </w:rPr>
        <w:t>☒</w:t>
      </w:r>
    </w:p>
    <w:p>
      <w:pPr>
        <w:spacing w:after="0" w:line="149"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highlight w:val="black"/>
        </w:rPr>
        <w:t>☒</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highlight w:val="black"/>
        </w:rPr>
        <w:t>☒</w:t>
      </w:r>
    </w:p>
    <w:p>
      <w:pPr>
        <w:spacing w:after="0" w:line="93" w:lineRule="exact"/>
        <w:rPr>
          <w:sz w:val="24"/>
          <w:szCs w:val="24"/>
          <w:color w:val="auto"/>
        </w:rPr>
      </w:pPr>
    </w:p>
    <w:p>
      <w:pPr>
        <w:sectPr>
          <w:pgSz w:w="11900" w:h="16838" w:orient="portrait"/>
          <w:cols w:equalWidth="0" w:num="2">
            <w:col w:w="3820" w:space="720"/>
            <w:col w:w="4500"/>
          </w:cols>
          <w:pgMar w:left="1420" w:top="216" w:right="1439" w:bottom="1440" w:gutter="0" w:footer="0" w:header="0"/>
          <w:type w:val="continuous"/>
        </w:sectPr>
      </w:pPr>
    </w:p>
    <w:p>
      <w:pPr>
        <w:ind w:right="20"/>
        <w:spacing w:after="0" w:line="16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4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p>
      <w:pPr>
        <w:spacing w:after="0" w:line="1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160" w:type="dxa"/>
        <w:tblCellMar>
          <w:top w:w="0" w:type="dxa"/>
          <w:left w:w="0" w:type="dxa"/>
          <w:bottom w:w="0" w:type="dxa"/>
          <w:right w:w="0" w:type="dxa"/>
        </w:tblCellMar>
      </w:tblPr>
      <w:tr>
        <w:trPr>
          <w:trHeight w:val="173"/>
        </w:trPr>
        <w:tc>
          <w:tcPr>
            <w:tcW w:w="2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There were 33,305,310 shares of the registrant’s common stock, $0.0001 par value, outstanding as of May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314960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216" w:right="14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jc w:val="center"/>
        <w:ind w:left="1200"/>
        <w:spacing w:after="0" w:line="203" w:lineRule="auto"/>
        <w:rPr>
          <w:sz w:val="20"/>
          <w:szCs w:val="20"/>
          <w:color w:val="auto"/>
        </w:rPr>
      </w:pPr>
      <w:r>
        <w:rPr>
          <w:rFonts w:ascii="Times New Roman" w:cs="Times New Roman" w:eastAsia="Times New Roman" w:hAnsi="Times New Roman"/>
          <w:sz w:val="18"/>
          <w:szCs w:val="18"/>
          <w:b w:val="1"/>
          <w:bCs w:val="1"/>
          <w:color w:val="auto"/>
        </w:rPr>
        <w:t>QUARTERLY REPORT ON FORM 10-Q</w:t>
      </w:r>
    </w:p>
    <w:p>
      <w:pPr>
        <w:jc w:val="center"/>
        <w:ind w:left="1200"/>
        <w:spacing w:after="0"/>
        <w:rPr>
          <w:sz w:val="20"/>
          <w:szCs w:val="20"/>
          <w:color w:val="auto"/>
        </w:rPr>
      </w:pPr>
      <w:r>
        <w:rPr>
          <w:rFonts w:ascii="Times New Roman" w:cs="Times New Roman" w:eastAsia="Times New Roman" w:hAnsi="Times New Roman"/>
          <w:sz w:val="18"/>
          <w:szCs w:val="18"/>
          <w:b w:val="1"/>
          <w:bCs w:val="1"/>
          <w:color w:val="auto"/>
        </w:rPr>
        <w:t>FOR THE QUARTER ENDED MARCH 31, 2019</w:t>
      </w:r>
    </w:p>
    <w:p>
      <w:pPr>
        <w:spacing w:after="0" w:line="12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2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CAUTIONARY NOTE REGARDING FORWARD LOOKING STATEMENTS</w:t>
        </w:r>
      </w:hyperlink>
    </w:p>
    <w:p>
      <w:pPr>
        <w:spacing w:after="0" w:line="127"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PART I — FINANCIAL INFORMATION</w:t>
        </w:r>
      </w:hyperlink>
    </w:p>
    <w:p>
      <w:pPr>
        <w:spacing w:after="0" w:line="81" w:lineRule="exact"/>
        <w:rPr>
          <w:sz w:val="20"/>
          <w:szCs w:val="20"/>
          <w:color w:val="auto"/>
        </w:rPr>
      </w:pPr>
    </w:p>
    <w:p>
      <w:pPr>
        <w:spacing w:after="0"/>
        <w:tabs>
          <w:tab w:leader="none" w:pos="820" w:val="left"/>
        </w:tabs>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8"/>
            <w:szCs w:val="18"/>
            <w:u w:val="single" w:color="auto"/>
            <w:color w:val="0000EE"/>
          </w:rPr>
          <w:t>ITEM 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7"/>
            <w:szCs w:val="17"/>
            <w:u w:val="single" w:color="auto"/>
            <w:color w:val="0000EE"/>
          </w:rPr>
          <w:t>Financial Statements</w:t>
        </w:r>
      </w:hyperlink>
    </w:p>
    <w:p>
      <w:pPr>
        <w:spacing w:after="0" w:line="77" w:lineRule="exact"/>
        <w:rPr>
          <w:sz w:val="20"/>
          <w:szCs w:val="20"/>
          <w:color w:val="auto"/>
        </w:rPr>
      </w:pPr>
    </w:p>
    <w:p>
      <w:pPr>
        <w:ind w:right="560"/>
        <w:spacing w:after="0" w:line="327" w:lineRule="auto"/>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r>
        <w:rPr>
          <w:rFonts w:ascii="Times New Roman" w:cs="Times New Roman" w:eastAsia="Times New Roman" w:hAnsi="Times New Roman"/>
          <w:sz w:val="18"/>
          <w:szCs w:val="18"/>
          <w:u w:val="single" w:color="auto"/>
          <w:color w:val="0000EE"/>
        </w:rPr>
        <w:t xml:space="preserve"> </w:t>
      </w:r>
      <w:hyperlink w:anchor="page31">
        <w:r>
          <w:rPr>
            <w:rFonts w:ascii="Times New Roman" w:cs="Times New Roman" w:eastAsia="Times New Roman" w:hAnsi="Times New Roman"/>
            <w:sz w:val="18"/>
            <w:szCs w:val="18"/>
            <w:u w:val="single" w:color="auto"/>
            <w:color w:val="0000EE"/>
          </w:rPr>
          <w:t>ITEM 3 Quantitative and Qualitative Disclosure About Market Risk</w:t>
        </w:r>
      </w:hyperlink>
      <w:r>
        <w:rPr>
          <w:rFonts w:ascii="Times New Roman" w:cs="Times New Roman" w:eastAsia="Times New Roman" w:hAnsi="Times New Roman"/>
          <w:sz w:val="18"/>
          <w:szCs w:val="18"/>
          <w:u w:val="single" w:color="auto"/>
          <w:color w:val="0000EE"/>
        </w:rPr>
        <w:t xml:space="preserve"> </w:t>
      </w:r>
      <w:hyperlink w:anchor="page31">
        <w:r>
          <w:rPr>
            <w:rFonts w:ascii="Times New Roman" w:cs="Times New Roman" w:eastAsia="Times New Roman" w:hAnsi="Times New Roman"/>
            <w:sz w:val="18"/>
            <w:szCs w:val="18"/>
            <w:u w:val="single" w:color="auto"/>
            <w:color w:val="0000EE"/>
          </w:rPr>
          <w:t>ITEM 4 Controls and Procedures</w:t>
        </w:r>
      </w:hyperlink>
    </w:p>
    <w:p>
      <w:pPr>
        <w:spacing w:after="0" w:line="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b w:val="1"/>
          <w:bCs w:val="1"/>
          <w:u w:val="single" w:color="auto"/>
          <w:color w:val="0000EE"/>
        </w:rPr>
      </w:pPr>
      <w:hyperlink w:anchor="page32">
        <w:r>
          <w:rPr>
            <w:rFonts w:ascii="Times New Roman" w:cs="Times New Roman" w:eastAsia="Times New Roman" w:hAnsi="Times New Roman"/>
            <w:sz w:val="18"/>
            <w:szCs w:val="18"/>
            <w:b w:val="1"/>
            <w:bCs w:val="1"/>
            <w:u w:val="single" w:color="auto"/>
            <w:color w:val="0000EE"/>
          </w:rPr>
          <w:t>PART II — OTHER INFORMATION</w:t>
        </w:r>
      </w:hyperlink>
    </w:p>
    <w:p>
      <w:pPr>
        <w:spacing w:after="0" w:line="81" w:lineRule="exact"/>
        <w:rPr>
          <w:rFonts w:ascii="Times New Roman" w:cs="Times New Roman" w:eastAsia="Times New Roman" w:hAnsi="Times New Roman"/>
          <w:sz w:val="18"/>
          <w:szCs w:val="18"/>
          <w:u w:val="single" w:color="auto"/>
          <w:color w:val="0000EE"/>
        </w:rPr>
      </w:pPr>
    </w:p>
    <w:p>
      <w:pPr>
        <w:spacing w:after="0"/>
        <w:tabs>
          <w:tab w:leader="none" w:pos="820" w:val="left"/>
        </w:tabs>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1</w:t>
        </w:r>
      </w:hyperlink>
      <w:r>
        <w:rPr>
          <w:rFonts w:ascii="Times New Roman" w:cs="Times New Roman" w:eastAsia="Times New Roman" w:hAnsi="Times New Roman"/>
          <w:sz w:val="18"/>
          <w:szCs w:val="18"/>
          <w:u w:val="single" w:color="auto"/>
          <w:color w:val="0000EE"/>
        </w:rPr>
        <w:tab/>
      </w:r>
      <w:hyperlink w:anchor="page32">
        <w:r>
          <w:rPr>
            <w:rFonts w:ascii="Times New Roman" w:cs="Times New Roman" w:eastAsia="Times New Roman" w:hAnsi="Times New Roman"/>
            <w:sz w:val="18"/>
            <w:szCs w:val="18"/>
            <w:u w:val="single" w:color="auto"/>
            <w:color w:val="0000EE"/>
          </w:rPr>
          <w:t>Legal Proceedings</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1A  Risk Factors</w:t>
        </w:r>
      </w:hyperlink>
    </w:p>
    <w:p>
      <w:pPr>
        <w:spacing w:after="0" w:line="77" w:lineRule="exact"/>
        <w:rPr>
          <w:sz w:val="20"/>
          <w:szCs w:val="20"/>
          <w:color w:val="auto"/>
        </w:rPr>
      </w:pPr>
    </w:p>
    <w:p>
      <w:pPr>
        <w:spacing w:after="0"/>
        <w:tabs>
          <w:tab w:leader="none" w:pos="820" w:val="left"/>
        </w:tabs>
        <w:rPr>
          <w:rFonts w:ascii="Times New Roman" w:cs="Times New Roman" w:eastAsia="Times New Roman" w:hAnsi="Times New Roman"/>
          <w:sz w:val="17"/>
          <w:szCs w:val="17"/>
          <w:u w:val="single" w:color="auto"/>
          <w:color w:val="0000EE"/>
        </w:rPr>
      </w:pPr>
      <w:hyperlink w:anchor="page91">
        <w:r>
          <w:rPr>
            <w:rFonts w:ascii="Times New Roman" w:cs="Times New Roman" w:eastAsia="Times New Roman" w:hAnsi="Times New Roman"/>
            <w:sz w:val="18"/>
            <w:szCs w:val="18"/>
            <w:u w:val="single" w:color="auto"/>
            <w:color w:val="0000EE"/>
          </w:rPr>
          <w:t>ITEM 6</w:t>
        </w:r>
      </w:hyperlink>
      <w:r>
        <w:rPr>
          <w:rFonts w:ascii="Times New Roman" w:cs="Times New Roman" w:eastAsia="Times New Roman" w:hAnsi="Times New Roman"/>
          <w:sz w:val="18"/>
          <w:szCs w:val="18"/>
          <w:u w:val="single" w:color="auto"/>
          <w:color w:val="0000EE"/>
        </w:rPr>
        <w:tab/>
      </w:r>
      <w:hyperlink w:anchor="page91">
        <w:r>
          <w:rPr>
            <w:rFonts w:ascii="Times New Roman" w:cs="Times New Roman" w:eastAsia="Times New Roman" w:hAnsi="Times New Roman"/>
            <w:sz w:val="17"/>
            <w:szCs w:val="17"/>
            <w:u w:val="single" w:color="auto"/>
            <w:color w:val="0000EE"/>
          </w:rPr>
          <w:t>Exhibits</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2540</wp:posOffset>
            </wp:positionV>
            <wp:extent cx="368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31</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31</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32</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32</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91</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2">
            <w:col w:w="7860" w:space="720"/>
            <w:col w:w="480"/>
          </w:cols>
          <w:pgMar w:left="1420" w:top="108"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jc w:val="center"/>
        <w:ind w:right="-40"/>
        <w:spacing w:after="0" w:line="207" w:lineRule="exact"/>
        <w:rPr>
          <w:sz w:val="20"/>
          <w:szCs w:val="20"/>
          <w:color w:val="auto"/>
        </w:rPr>
      </w:pPr>
      <w:r>
        <w:rPr>
          <w:rFonts w:ascii="Times New Roman" w:cs="Times New Roman" w:eastAsia="Times New Roman" w:hAnsi="Times New Roman"/>
          <w:sz w:val="18"/>
          <w:szCs w:val="18"/>
          <w:b w:val="1"/>
          <w:bCs w:val="1"/>
          <w:color w:val="auto"/>
        </w:rPr>
        <w:t>CAUTIONARY NOTE REGARDING 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213" w:lineRule="exact"/>
        <w:rPr>
          <w:sz w:val="20"/>
          <w:szCs w:val="20"/>
          <w:color w:val="auto"/>
        </w:rPr>
      </w:pPr>
    </w:p>
    <w:p>
      <w:pPr>
        <w:ind w:right="19" w:firstLine="648"/>
        <w:spacing w:after="0" w:line="208"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15" w:lineRule="exact"/>
        <w:rPr>
          <w:sz w:val="20"/>
          <w:szCs w:val="20"/>
          <w:color w:val="auto"/>
        </w:rPr>
      </w:pPr>
    </w:p>
    <w:p>
      <w:pPr>
        <w:ind w:left="980" w:hanging="329"/>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increases or decreases in expenses;</w:t>
      </w:r>
    </w:p>
    <w:p>
      <w:pPr>
        <w:ind w:left="980" w:right="179" w:hanging="329"/>
        <w:spacing w:after="0" w:line="20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the clinical and preclinical development, manufacturing, regulatory approval, and commercialization of our pharmaceutical product candidates or any other products that we may acquire or in-license;</w:t>
      </w:r>
    </w:p>
    <w:p>
      <w:pPr>
        <w:spacing w:after="0" w:line="1" w:lineRule="exact"/>
        <w:rPr>
          <w:rFonts w:ascii="Times New Roman" w:cs="Times New Roman" w:eastAsia="Times New Roman" w:hAnsi="Times New Roman"/>
          <w:sz w:val="18"/>
          <w:szCs w:val="18"/>
          <w:color w:val="auto"/>
        </w:rPr>
      </w:pPr>
    </w:p>
    <w:p>
      <w:pPr>
        <w:ind w:left="980" w:right="39" w:hanging="329"/>
        <w:spacing w:after="0" w:line="20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ind w:left="980" w:right="79" w:hanging="329"/>
        <w:spacing w:after="0" w:line="20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 to expand our research and development and manufacturing capabilities;</w:t>
      </w:r>
    </w:p>
    <w:p>
      <w:pPr>
        <w:ind w:left="980" w:hanging="329"/>
        <w:spacing w:after="0" w:line="20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ind w:left="980" w:hanging="329"/>
        <w:spacing w:after="0" w:line="20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marketing and other partnership agreements;</w:t>
      </w:r>
    </w:p>
    <w:p>
      <w:pPr>
        <w:ind w:left="980" w:hanging="329"/>
        <w:spacing w:after="0" w:line="20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product acquisition and in-licensing transactions;</w:t>
      </w:r>
    </w:p>
    <w:p>
      <w:pPr>
        <w:ind w:left="980" w:right="419" w:hanging="329"/>
        <w:spacing w:after="0" w:line="20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manufacture, market and sell our product candidates;</w:t>
      </w:r>
    </w:p>
    <w:p>
      <w:pPr>
        <w:ind w:left="980" w:hanging="329"/>
        <w:spacing w:after="0" w:line="20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ind w:left="980" w:hanging="329"/>
        <w:spacing w:after="0" w:line="20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ind w:left="980" w:hanging="329"/>
        <w:spacing w:after="0" w:line="20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products by doctors, patients, or payors;</w:t>
      </w:r>
    </w:p>
    <w:p>
      <w:pPr>
        <w:ind w:left="980" w:hanging="329"/>
        <w:spacing w:after="0" w:line="20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ind w:left="980" w:hanging="329"/>
        <w:spacing w:after="0" w:line="20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ind w:left="980" w:hanging="329"/>
        <w:spacing w:after="0" w:line="20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manufacturers;</w:t>
      </w:r>
    </w:p>
    <w:p>
      <w:pPr>
        <w:ind w:left="980" w:hanging="329"/>
        <w:spacing w:after="0" w:line="20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 and</w:t>
      </w:r>
    </w:p>
    <w:p>
      <w:pPr>
        <w:ind w:left="980" w:hanging="329"/>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strategy.</w:t>
      </w:r>
    </w:p>
    <w:p>
      <w:pPr>
        <w:spacing w:after="0" w:line="124" w:lineRule="exact"/>
        <w:rPr>
          <w:sz w:val="20"/>
          <w:szCs w:val="20"/>
          <w:color w:val="auto"/>
        </w:rPr>
      </w:pPr>
    </w:p>
    <w:p>
      <w:pPr>
        <w:jc w:val="both"/>
        <w:ind w:right="199" w:firstLine="648"/>
        <w:spacing w:after="0" w:line="263" w:lineRule="auto"/>
        <w:rPr>
          <w:sz w:val="20"/>
          <w:szCs w:val="20"/>
          <w:color w:val="auto"/>
        </w:rPr>
      </w:pPr>
      <w:r>
        <w:rPr>
          <w:rFonts w:ascii="Times New Roman" w:cs="Times New Roman" w:eastAsia="Times New Roman" w:hAnsi="Times New Roman"/>
          <w:sz w:val="17"/>
          <w:szCs w:val="17"/>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98" w:lineRule="exact"/>
        <w:rPr>
          <w:sz w:val="20"/>
          <w:szCs w:val="20"/>
          <w:color w:val="auto"/>
        </w:rPr>
      </w:pPr>
    </w:p>
    <w:p>
      <w:pPr>
        <w:jc w:val="both"/>
        <w:ind w:right="179" w:firstLine="648"/>
        <w:spacing w:after="0" w:line="226"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133"/>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CEEFF"/>
          </w:tcPr>
          <w:p>
            <w:pPr>
              <w:jc w:val="right"/>
              <w:ind w:right="35"/>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42,624,487</w:t>
            </w:r>
          </w:p>
        </w:tc>
        <w:tc>
          <w:tcPr>
            <w:tcW w:w="42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13,968,742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Borders>
              <w:bottom w:val="single" w:sz="8" w:color="CCEEFF"/>
            </w:tcBorders>
          </w:tcPr>
          <w:p>
            <w:pPr>
              <w:ind w:left="320"/>
              <w:spacing w:after="0" w:line="176" w:lineRule="exact"/>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1,134,692</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1,246,360</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43,759,179</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15,215,102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Equipment, net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40,393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51,832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101,516</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112,345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35"/>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43,901,088</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15,379,279</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shd w:val="clear" w:color="auto" w:fill="CCEEFF"/>
          </w:tcPr>
          <w:p>
            <w:pPr>
              <w:jc w:val="right"/>
              <w:ind w:right="35"/>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3,434,184</w:t>
            </w:r>
          </w:p>
        </w:tc>
        <w:tc>
          <w:tcPr>
            <w:tcW w:w="42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3,687,245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3,739,846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3,843,299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Loan payable, current portion</w:t>
            </w:r>
          </w:p>
        </w:tc>
        <w:tc>
          <w:tcPr>
            <w:tcW w:w="2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535,767</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3,291,394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7,709,797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10,821,938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Loan payable, long-term</w:t>
            </w:r>
          </w:p>
        </w:tc>
        <w:tc>
          <w:tcPr>
            <w:tcW w:w="2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18,817,592</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3,619,420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26,527,389</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14,441,358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Preferred stock, $0.0001 par value per share (10,000,000 shares authorized,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none issued and outstanding at March 31, 2019 and December 31, 2018,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Common stock, $0.0001 par value per share (150,000,000 shares authorized,</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33,304,047 and 30,087,213 shares issued and outstanding at March 31, 2019</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and December 31, 2018, respectively)</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135,561,052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108,485,219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(118,190,683)</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(107,550,307)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17,373,699</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937,921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5"/>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43,901,088</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15,379,279</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120"/>
        <w:spacing w:after="0" w:line="22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472"/>
              <w:spacing w:after="0" w:line="136"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492"/>
              <w:spacing w:after="0" w:line="136"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gridSpan w:val="2"/>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7,603,081</w:t>
            </w:r>
          </w:p>
        </w:tc>
        <w:tc>
          <w:tcPr>
            <w:tcW w:w="600" w:type="dxa"/>
            <w:vAlign w:val="bottom"/>
            <w:gridSpan w:val="2"/>
          </w:tcPr>
          <w:p>
            <w:pPr>
              <w:jc w:val="right"/>
              <w:ind w:right="155"/>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4,752,511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2,818,392</w:t>
            </w:r>
          </w:p>
        </w:tc>
        <w:tc>
          <w:tcPr>
            <w:tcW w:w="2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2,410,699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8"/>
                <w:szCs w:val="18"/>
                <w:color w:val="auto"/>
              </w:rPr>
              <w:t>Total operating expenses</w:t>
            </w:r>
          </w:p>
        </w:tc>
        <w:tc>
          <w:tcPr>
            <w:tcW w:w="6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10,421,473</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7,163,210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Loss from operations</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(10,421,473)</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(7,163,210)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Interest and amortization of debt discount (expense)</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(218,903)</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(315,349)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Change in fair value of warrant liability</w:t>
            </w:r>
          </w:p>
        </w:tc>
        <w:tc>
          <w:tcPr>
            <w:tcW w:w="6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2,673,000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8"/>
                <w:szCs w:val="18"/>
                <w:color w:val="auto"/>
              </w:rPr>
              <w:t>Net loss</w:t>
            </w:r>
          </w:p>
        </w:tc>
        <w:tc>
          <w:tcPr>
            <w:tcW w:w="6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(10,640,376)</w:t>
            </w: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55"/>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(4,805,559)</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(0.32)</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(0.19)</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6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33,052,468</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25,501,188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62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7"/>
                <w:szCs w:val="7"/>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paid-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3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Balance at December 31, 2017</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25,492,992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2,549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93,299,517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(76,584,843)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16,717,223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534,570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534,570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Issuance of common stock upon financing</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56,900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139,914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139,920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(4,805,559)</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(4,805,559)</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3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Balance at March 31, 2018</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25,549,892</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2,555</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93,974,001</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(81,390,402)</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12,586,154</w:t>
            </w:r>
          </w:p>
        </w:tc>
        <w:tc>
          <w:tcPr>
            <w:tcW w:w="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Balance at December 31, 2018</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30,087,213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3,009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108,485,219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(107,550,307)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937,921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1,256,310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1,256,310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52,819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410,157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410,162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Issuance of warrants upon debt financing</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426,000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426,000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Issuance of common stock upon financing</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3,164,015</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316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24,983,366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24,983,682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(10,640,376)</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(10,640,376)</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3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Balance at March 31, 2019</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33,304,047</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3,330</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135,561,052</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(118,190,683)</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17,373,699</w:t>
            </w:r>
          </w:p>
        </w:tc>
        <w:tc>
          <w:tcPr>
            <w:tcW w:w="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ind w:right="540"/>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ind w:right="559"/>
              <w:spacing w:after="0" w:line="129"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Net loss</w:t>
            </w:r>
          </w:p>
        </w:tc>
        <w:tc>
          <w:tcPr>
            <w:tcW w:w="820" w:type="dxa"/>
            <w:vAlign w:val="bottom"/>
            <w:gridSpan w:val="2"/>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(10,640,376)</w:t>
            </w:r>
          </w:p>
        </w:tc>
        <w:tc>
          <w:tcPr>
            <w:tcW w:w="620" w:type="dxa"/>
            <w:vAlign w:val="bottom"/>
            <w:gridSpan w:val="2"/>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(4,805,559)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Stock-based compensation expense</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1,256,310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534,570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Amortization of debt discount</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107,433</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108,481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Change in fair value of warrants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(2,673,000)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Depreciation</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11,439</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11,938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Prepaid expenses and other current assets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111,668</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157,415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Other assets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10,829</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73,063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Accounts payable</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(253,060)</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439,136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(103,453)</w:t>
            </w:r>
          </w:p>
        </w:tc>
        <w:tc>
          <w:tcPr>
            <w:tcW w:w="2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(526,483)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4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(9,499,210)</w:t>
            </w:r>
          </w:p>
        </w:tc>
        <w:tc>
          <w:tcPr>
            <w:tcW w:w="2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(6,680,439)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60" w:type="dxa"/>
            <w:vAlign w:val="bottom"/>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Purchases of equipment</w:t>
            </w:r>
          </w:p>
        </w:tc>
        <w:tc>
          <w:tcPr>
            <w:tcW w:w="4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(14,576)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6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4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(14,576)</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Proceeds from issuance of common stock upon financing, net</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24,983,682</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139,920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Proceeds from issuance of term loan</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20,000,000</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Repayment of principal on term loan</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(7,238,889)</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(833,333)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Proceeds from issuance of common stock upon exercise of options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410,162</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6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46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38,154,955</w:t>
            </w:r>
          </w:p>
        </w:tc>
        <w:tc>
          <w:tcPr>
            <w:tcW w:w="26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(693,413)</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Net (decrease) increase in cash</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28,655,745</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(7,388,428)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6"/>
                <w:szCs w:val="16"/>
                <w:color w:val="auto"/>
              </w:rPr>
              <w:t>Cash at beginning of period</w:t>
            </w:r>
          </w:p>
        </w:tc>
        <w:tc>
          <w:tcPr>
            <w:tcW w:w="4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13,968,742</w:t>
            </w:r>
          </w:p>
        </w:tc>
        <w:tc>
          <w:tcPr>
            <w:tcW w:w="2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34,021,123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Cash at end of period</w:t>
            </w:r>
          </w:p>
        </w:tc>
        <w:tc>
          <w:tcPr>
            <w:tcW w:w="4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42,624,487</w:t>
            </w:r>
          </w:p>
        </w:tc>
        <w:tc>
          <w:tcPr>
            <w:tcW w:w="2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26,632,695</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line="149" w:lineRule="exact"/>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Interest paid</w:t>
            </w:r>
          </w:p>
        </w:tc>
        <w:tc>
          <w:tcPr>
            <w:tcW w:w="820" w:type="dxa"/>
            <w:vAlign w:val="bottom"/>
            <w:gridSpan w:val="2"/>
            <w:shd w:val="clear" w:color="auto" w:fill="CCEEFF"/>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216,667</w:t>
            </w:r>
          </w:p>
        </w:tc>
        <w:tc>
          <w:tcPr>
            <w:tcW w:w="620" w:type="dxa"/>
            <w:vAlign w:val="bottom"/>
            <w:gridSpan w:val="2"/>
            <w:shd w:val="clear" w:color="auto" w:fill="CCEEFF"/>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206,867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Supplemental disclosures of non-cash financing activity:</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Issuance of warrants in connection with debt financing</w:t>
            </w:r>
          </w:p>
        </w:tc>
        <w:tc>
          <w:tcPr>
            <w:tcW w:w="820" w:type="dxa"/>
            <w:vAlign w:val="bottom"/>
            <w:gridSpan w:val="2"/>
            <w:shd w:val="clear" w:color="auto" w:fill="CCEEFF"/>
          </w:tcPr>
          <w:p>
            <w:pPr>
              <w:jc w:val="right"/>
              <w:ind w:right="199"/>
              <w:spacing w:after="0" w:line="176"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426,000</w:t>
            </w:r>
          </w:p>
        </w:tc>
        <w:tc>
          <w:tcPr>
            <w:tcW w:w="620" w:type="dxa"/>
            <w:vAlign w:val="bottom"/>
            <w:gridSpan w:val="2"/>
            <w:shd w:val="clear" w:color="auto" w:fill="CCEEFF"/>
          </w:tcPr>
          <w:p>
            <w:pPr>
              <w:jc w:val="right"/>
              <w:ind w:right="199"/>
              <w:spacing w:after="0" w:line="176"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Basis of Presentation</w:t>
      </w:r>
    </w:p>
    <w:p>
      <w:pPr>
        <w:spacing w:after="0" w:line="189" w:lineRule="exact"/>
        <w:rPr>
          <w:sz w:val="20"/>
          <w:szCs w:val="20"/>
          <w:color w:val="auto"/>
        </w:rPr>
      </w:pPr>
    </w:p>
    <w:p>
      <w:pPr>
        <w:ind w:right="20" w:firstLine="648"/>
        <w:spacing w:after="0" w:line="181" w:lineRule="exact"/>
        <w:rPr>
          <w:sz w:val="20"/>
          <w:szCs w:val="20"/>
          <w:color w:val="auto"/>
        </w:rPr>
      </w:pPr>
      <w:r>
        <w:rPr>
          <w:rFonts w:ascii="Times New Roman" w:cs="Times New Roman" w:eastAsia="Times New Roman" w:hAnsi="Times New Roman"/>
          <w:sz w:val="18"/>
          <w:szCs w:val="18"/>
          <w:color w:val="auto"/>
        </w:rPr>
        <w:t>Axsome Therapeutics, Inc. (“Axsome” or the “Company”) is a clinical-stage biopharmaceutical company developing novel therapies for central nervous system (“CNS”) disorders for which there are limited treatment options. By focusing on this therapeutic area, the Company is addressing significant and growing markets where current treatment options are limited or inadequate. The Company’s core CNS portfolio includes four product candidates,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AXS-07, AXS-09, and AXS-12, which are being developed for multiple indications. The Axsome Pain and Primary Care business unit (“Axsome PPC”) houses Axsome’s pain and primary care assets, including AXS-02 and AXS-06, and intellectual property which covers these and related product candidates and molecules being developed by Axsome and others.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 and now has operations in the United States and Australia.</w:t>
      </w:r>
    </w:p>
    <w:p>
      <w:pPr>
        <w:spacing w:after="0" w:line="165"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2018 filed with the SEC on March 15, 2019.</w:t>
      </w:r>
    </w:p>
    <w:p>
      <w:pPr>
        <w:spacing w:after="0" w:line="158" w:lineRule="exact"/>
        <w:rPr>
          <w:sz w:val="20"/>
          <w:szCs w:val="20"/>
          <w:color w:val="auto"/>
        </w:rPr>
      </w:pPr>
    </w:p>
    <w:p>
      <w:pPr>
        <w:jc w:val="both"/>
        <w:ind w:right="20" w:firstLine="648"/>
        <w:spacing w:after="0" w:line="220" w:lineRule="auto"/>
        <w:rPr>
          <w:sz w:val="20"/>
          <w:szCs w:val="20"/>
          <w:color w:val="auto"/>
        </w:rPr>
      </w:pPr>
      <w:r>
        <w:rPr>
          <w:rFonts w:ascii="Times New Roman" w:cs="Times New Roman" w:eastAsia="Times New Roman" w:hAnsi="Times New Roman"/>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months ended March 31, 2019 are not necessarily indicative of the operating results for the full fiscal year or any future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ind w:right="80" w:firstLine="648"/>
        <w:spacing w:after="0" w:line="226"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expects to continue to incur operating losses for the foreseeable future and may never become profitable. As of March 31, 2019, the Company had an accumulated deficit of $118.2 million.</w:t>
      </w:r>
    </w:p>
    <w:p>
      <w:pPr>
        <w:spacing w:after="0" w:line="158"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18"/>
          <w:szCs w:val="18"/>
          <w:color w:val="auto"/>
        </w:rPr>
        <w:t>The Company’s primary sources of cash have been proceeds from the issuance and sale of its common stock in public offerings. The Company has not yet commercialized any of its product candidates and cannot be sure if it will ever be able to do so.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62"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18"/>
          <w:szCs w:val="18"/>
          <w:color w:val="auto"/>
        </w:rPr>
        <w:t>The Company believes its existing cash will be sufficient to fund its anticipated operating cash requirements for at least twelve months following the date of this filing. The actual amount of cash that the Company will need to operate is subject to many factors, including, but not limited to, the timing, design and conduct of clinical trials for its product candidates. The Company is dependent upon significant future financing to provide the cash necessary to execute its current operations, including the commercialization of any of its product candidates.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common stock is listed on the Nasdaq Global Market and trades under the symbol “AXSM”.</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189"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the Company’s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60" w:firstLine="648"/>
        <w:spacing w:after="0" w:line="181" w:lineRule="exact"/>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the determination of the fair value of the warrants; the accounting for research and development costs; and the recoverability of the Company’s net deferred tax assets and related valuation allowance.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89"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Geographic Information</w:t>
      </w:r>
    </w:p>
    <w:p>
      <w:pPr>
        <w:spacing w:after="0" w:line="189" w:lineRule="exact"/>
        <w:rPr>
          <w:sz w:val="20"/>
          <w:szCs w:val="20"/>
          <w:color w:val="auto"/>
        </w:rPr>
      </w:pPr>
    </w:p>
    <w:p>
      <w:pPr>
        <w:jc w:val="both"/>
        <w:ind w:right="120" w:firstLine="648"/>
        <w:spacing w:after="0" w:line="220"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89"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March 31, 2019, the balance of cash and cash equivalents was $42.6 million, which approximates fair value and was determined based upon Level 1 inputs. The sweep account is valued using quoted market prices with no valuation adjustments applied. Accordingly, these securities are categorized as Level 1.</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89"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The Company maintains its cash at financial institutions, which at times, exceed federally insured limits. At March 31, 2019,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89" w:lineRule="exact"/>
        <w:rPr>
          <w:sz w:val="20"/>
          <w:szCs w:val="20"/>
          <w:color w:val="auto"/>
        </w:rPr>
      </w:pPr>
    </w:p>
    <w:p>
      <w:pPr>
        <w:ind w:right="40" w:firstLine="648"/>
        <w:spacing w:after="0" w:line="188" w:lineRule="exact"/>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56"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 that the Company has the ability to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measurement date.</w:t>
      </w:r>
    </w:p>
    <w:p>
      <w:pPr>
        <w:spacing w:after="0" w:line="15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other than quoted prices in active markets that are observable for the asset or liability, either 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indirectly.</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that are unobservable for the asset or liability.</w:t>
      </w:r>
    </w:p>
    <w:p>
      <w:pPr>
        <w:spacing w:after="0" w:line="187"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9" w:lineRule="exact"/>
        <w:rPr>
          <w:sz w:val="20"/>
          <w:szCs w:val="20"/>
          <w:color w:val="auto"/>
        </w:rPr>
      </w:pPr>
    </w:p>
    <w:p>
      <w:pPr>
        <w:ind w:right="20" w:firstLine="648"/>
        <w:spacing w:after="0" w:line="188" w:lineRule="exact"/>
        <w:rPr>
          <w:sz w:val="20"/>
          <w:szCs w:val="20"/>
          <w:color w:val="auto"/>
        </w:rPr>
      </w:pPr>
      <w:r>
        <w:rPr>
          <w:rFonts w:ascii="Times New Roman" w:cs="Times New Roman" w:eastAsia="Times New Roman" w:hAnsi="Times New Roman"/>
          <w:sz w:val="18"/>
          <w:szCs w:val="18"/>
          <w:color w:val="auto"/>
        </w:rPr>
        <w:t>The Company’s financial instruments are cash, accounts payable, accrued liabilities, and current and long-term debt. The carrying values for cash, accounts payable and accrued liabilities reported in the accompanying consolidated financial statements approximate their respective fair values due to their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maturities. The carrying value of debt, the 2019 Term Loan (see Note 4 – Loan and Security Agreement), is estimated to approximate its fair value as the interest rate approximates the market rate for loans with similar terms and risk characteristics.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w:t>
      </w:r>
    </w:p>
    <w:p>
      <w:pPr>
        <w:spacing w:after="0" w:line="229" w:lineRule="exact"/>
        <w:rPr>
          <w:sz w:val="20"/>
          <w:szCs w:val="20"/>
          <w:color w:val="auto"/>
        </w:rPr>
      </w:pPr>
    </w:p>
    <w:p>
      <w:pPr>
        <w:ind w:right="40" w:firstLine="648"/>
        <w:spacing w:after="0" w:line="220" w:lineRule="exact"/>
        <w:rPr>
          <w:sz w:val="20"/>
          <w:szCs w:val="20"/>
          <w:color w:val="auto"/>
        </w:rPr>
      </w:pPr>
      <w:r>
        <w:rPr>
          <w:rFonts w:ascii="Times New Roman" w:cs="Times New Roman" w:eastAsia="Times New Roman" w:hAnsi="Times New Roman"/>
          <w:sz w:val="18"/>
          <w:szCs w:val="18"/>
          <w:color w:val="auto"/>
        </w:rPr>
        <w:t>Equipment consists primarily of computer equipment and is recorded at cost. Equipment is depreciated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89" w:lineRule="exact"/>
        <w:rPr>
          <w:sz w:val="20"/>
          <w:szCs w:val="20"/>
          <w:color w:val="auto"/>
        </w:rPr>
      </w:pPr>
    </w:p>
    <w:p>
      <w:pPr>
        <w:ind w:firstLine="648"/>
        <w:spacing w:after="0" w:line="188" w:lineRule="exact"/>
        <w:rPr>
          <w:sz w:val="20"/>
          <w:szCs w:val="20"/>
          <w:color w:val="auto"/>
        </w:rPr>
      </w:pPr>
      <w:r>
        <w:rPr>
          <w:rFonts w:ascii="Times New Roman" w:cs="Times New Roman" w:eastAsia="Times New Roman" w:hAnsi="Times New Roman"/>
          <w:sz w:val="18"/>
          <w:szCs w:val="18"/>
          <w:color w:val="auto"/>
        </w:rPr>
        <w:t>Research and development expenses primarily consist of costs incurred in performing research and development activities, including preclinical studies, clinical trials, manufacturing costs, employee salaries and benefits,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contract services, including external research and development expenses incurred under arrangements with third parties, such as contract research organizations (“CROs”), facilities costs, overhead costs, depreciation, and other related costs.</w:t>
      </w:r>
    </w:p>
    <w:p>
      <w:pPr>
        <w:spacing w:after="0" w:line="158" w:lineRule="exact"/>
        <w:rPr>
          <w:sz w:val="20"/>
          <w:szCs w:val="20"/>
          <w:color w:val="auto"/>
        </w:rPr>
      </w:pPr>
    </w:p>
    <w:p>
      <w:pPr>
        <w:ind w:right="20" w:firstLine="648"/>
        <w:spacing w:after="0" w:line="207" w:lineRule="auto"/>
        <w:rPr>
          <w:sz w:val="20"/>
          <w:szCs w:val="20"/>
          <w:color w:val="auto"/>
        </w:rPr>
      </w:pPr>
      <w:r>
        <w:rPr>
          <w:rFonts w:ascii="Times New Roman" w:cs="Times New Roman" w:eastAsia="Times New Roman" w:hAnsi="Times New Roman"/>
          <w:sz w:val="18"/>
          <w:szCs w:val="18"/>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The Company makes estimates of costs incurred in relation to external CROs, and clinical site costs. The Company analyzes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The Company reviews and accrues CRO expenses and clinical trial study expenses based on work performed and relies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the Company’s policy is to match the recording of expenses in its financial statements to the actual services received and efforts expended. As such, expense accruals related to clinical site costs are recognized based on the Company’s estimate of the degree of completion of the event or events specified in the specific clinical study or trial contract.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58" w:lineRule="exact"/>
        <w:rPr>
          <w:sz w:val="20"/>
          <w:szCs w:val="20"/>
          <w:color w:val="auto"/>
        </w:rPr>
      </w:pPr>
    </w:p>
    <w:p>
      <w:pPr>
        <w:ind w:right="220" w:firstLine="648"/>
        <w:spacing w:after="0" w:line="237" w:lineRule="auto"/>
        <w:rPr>
          <w:sz w:val="20"/>
          <w:szCs w:val="20"/>
          <w:color w:val="auto"/>
        </w:rPr>
      </w:pPr>
      <w:r>
        <w:rPr>
          <w:rFonts w:ascii="Times New Roman" w:cs="Times New Roman" w:eastAsia="Times New Roman" w:hAnsi="Times New Roman"/>
          <w:sz w:val="18"/>
          <w:szCs w:val="18"/>
          <w:color w:val="auto"/>
        </w:rPr>
        <w:t>The Company’s effective tax rate as of March 31, 2019 was 0%, which differs from the statutory tax rate in effect due to the Company recording a full valuation allowance.</w:t>
      </w:r>
    </w:p>
    <w:p>
      <w:pPr>
        <w:spacing w:after="0" w:line="158"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March 31, 2019,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185" w:lineRule="exact"/>
        <w:rPr>
          <w:sz w:val="20"/>
          <w:szCs w:val="20"/>
          <w:color w:val="auto"/>
        </w:rPr>
      </w:pPr>
    </w:p>
    <w:p>
      <w:pPr>
        <w:ind w:right="80" w:firstLine="648"/>
        <w:spacing w:after="0" w:line="183" w:lineRule="exact"/>
        <w:rPr>
          <w:sz w:val="20"/>
          <w:szCs w:val="20"/>
          <w:color w:val="auto"/>
        </w:rPr>
      </w:pPr>
      <w:r>
        <w:rPr>
          <w:rFonts w:ascii="Times New Roman" w:cs="Times New Roman" w:eastAsia="Times New Roman" w:hAnsi="Times New Roman"/>
          <w:sz w:val="18"/>
          <w:szCs w:val="18"/>
          <w:color w:val="auto"/>
        </w:rPr>
        <w:t>For stock options issued, the Company estimates the grant date fair value of each option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Black-Scholes model takes into account the expected volatility of the Company’s common stock, expected dividends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awards forfeitures as they occur. 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65" w:lineRule="exact"/>
        <w:rPr>
          <w:sz w:val="20"/>
          <w:szCs w:val="20"/>
          <w:color w:val="auto"/>
        </w:rPr>
      </w:pPr>
    </w:p>
    <w:p>
      <w:pPr>
        <w:ind w:right="840" w:firstLine="648"/>
        <w:spacing w:after="0" w:line="237" w:lineRule="auto"/>
        <w:rPr>
          <w:sz w:val="20"/>
          <w:szCs w:val="20"/>
          <w:color w:val="auto"/>
        </w:rPr>
      </w:pPr>
      <w:r>
        <w:rPr>
          <w:rFonts w:ascii="Times New Roman" w:cs="Times New Roman" w:eastAsia="Times New Roman" w:hAnsi="Times New Roman"/>
          <w:sz w:val="18"/>
          <w:szCs w:val="18"/>
          <w:color w:val="auto"/>
        </w:rPr>
        <w:t>The Company’s policy upon exercise of stock options is that shares will be issued as new shares from the Company’s 2015 Omnibus Incentive Compensation Plan available share pool.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189" w:lineRule="exact"/>
        <w:rPr>
          <w:sz w:val="20"/>
          <w:szCs w:val="20"/>
          <w:color w:val="auto"/>
        </w:rPr>
      </w:pPr>
    </w:p>
    <w:p>
      <w:pPr>
        <w:ind w:right="20" w:firstLine="648"/>
        <w:spacing w:after="0" w:line="185" w:lineRule="exact"/>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and stock options, which would result in the issuance of incremental shares of common stock. As the impact of these items is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dilutive during periods of net loss, there was no difference between basic and diluted net loss per share of common stock for the three months ended March 31, 2019 and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20" w:firstLine="648"/>
        <w:spacing w:after="0" w:line="207"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Standards Update (“ASU”) No. 2016-02, Leases (Topic 842), which supersedes FASB Topic 840, Leases (Topic 840), requires that assets and liabilities arising under leases be recognized on the balance sheet as well as additional quantitative and qualitative disclosures that provide the amount, timing, and uncertainty of cash flows related to lease agreements. In July 2018, the FASB also issued ASU No. 2018-11, Leases (Topic 842), which provides (1) optional transition method that entities can use when adopting the standard and (2) a practical expedient that permits lessors to not separate nonlease components from the associated lease component if certain conditions are met. The standard is effective for annual and interim periods beginning after December 15, 2018, with early adoption permitted upon issuance. The Company elected to use the transition method approved by the FASB in accordance with ASU No. 2018-11, Leases, which allows companies to apply the provisions of the new leasing standard as of January 1, 2019, without adjusting the comparative periods presented by recognizing a cumulative-effect adjustment to the opening balance of retained earnings. The Company applied a policy election to exclude short-term leases from balance sheet recognition and also elected certain practical expedients at adoption. As permitted under these expedients, the Company did not reassess whether existing contracts are or contain leases, the lease classification for any existing leases, initial direct costs for any existing lease and whether existing land easements and rights of way, that were not previously accounted for as leases, are or contain a lease. The Company has adopted this guidance effective January 1, 2019. The Company evaluated its contracts and concluded that the contracts are not leases and do not contain a lease and the adoption of this guidance did not impact its financial statements.</w:t>
      </w:r>
    </w:p>
    <w:p>
      <w:pPr>
        <w:spacing w:after="0" w:line="164"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18"/>
          <w:szCs w:val="18"/>
          <w:color w:val="auto"/>
        </w:rPr>
        <w:t xml:space="preserve">In July 2018, the FASB issued ASU No. 2018-09,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provides technical corrections, clarifications, and other improvements to several topics in the FASB Accounting Standard Codification. The transition and effective date guidance is based on the facts and circumstances of each amendment. Some of the amendments do not require transition guidance and were effective upon issuance of the ASU. Amendments that do not have transition guidance are effective for annual periods beginning after December 15, 2018. The Company has adopted this guidance effective January 1, 2019 and the adoption of the guidance did not have a material impact on the Company’s financial statements.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ind w:right="80" w:firstLine="647"/>
        <w:spacing w:after="0" w:line="223" w:lineRule="auto"/>
        <w:rPr>
          <w:sz w:val="20"/>
          <w:szCs w:val="20"/>
          <w:color w:val="auto"/>
        </w:rPr>
      </w:pPr>
      <w:r>
        <w:rPr>
          <w:rFonts w:ascii="Times New Roman" w:cs="Times New Roman" w:eastAsia="Times New Roman" w:hAnsi="Times New Roman"/>
          <w:sz w:val="17"/>
          <w:szCs w:val="17"/>
          <w:color w:val="auto"/>
        </w:rPr>
        <w:t xml:space="preserve">In August 2018, the FASB issued ASU No. 2018-13, </w:t>
      </w:r>
      <w:r>
        <w:rPr>
          <w:rFonts w:ascii="Times New Roman" w:cs="Times New Roman" w:eastAsia="Times New Roman" w:hAnsi="Times New Roman"/>
          <w:sz w:val="17"/>
          <w:szCs w:val="17"/>
          <w:i w:val="1"/>
          <w:iCs w:val="1"/>
          <w:color w:val="auto"/>
        </w:rPr>
        <w:t>Fair Value Measurement (Topic 820): Disclosure Framework-Changes to the Disclosure Requirements for Fair Value Measurement</w:t>
      </w:r>
      <w:r>
        <w:rPr>
          <w:rFonts w:ascii="Times New Roman" w:cs="Times New Roman" w:eastAsia="Times New Roman" w:hAnsi="Times New Roman"/>
          <w:sz w:val="17"/>
          <w:szCs w:val="17"/>
          <w:color w:val="auto"/>
        </w:rPr>
        <w:t>, which modifies, removes and adds certain disclosure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requirements on fair value measurements based on the FASB Concepts Statement, </w:t>
      </w:r>
      <w:r>
        <w:rPr>
          <w:rFonts w:ascii="Times New Roman" w:cs="Times New Roman" w:eastAsia="Times New Roman" w:hAnsi="Times New Roman"/>
          <w:sz w:val="17"/>
          <w:szCs w:val="17"/>
          <w:i w:val="1"/>
          <w:iCs w:val="1"/>
          <w:color w:val="auto"/>
        </w:rPr>
        <w:t>Conceptual Framework for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Reporting-Chapter 8: Notes to the Financial Statements</w:t>
      </w:r>
      <w:r>
        <w:rPr>
          <w:rFonts w:ascii="Times New Roman" w:cs="Times New Roman" w:eastAsia="Times New Roman" w:hAnsi="Times New Roman"/>
          <w:sz w:val="17"/>
          <w:szCs w:val="17"/>
          <w:color w:val="auto"/>
        </w:rPr>
        <w:t>. The amendments on changes in unrealized gains and losses,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ASU is effective for fiscal years beginning after December 15, 2019, including interim periods within those years. The Company is currently evaluating the potential impact of the new guidance.</w:t>
      </w:r>
    </w:p>
    <w:p>
      <w:pPr>
        <w:spacing w:after="0" w:line="53" w:lineRule="exact"/>
        <w:rPr>
          <w:sz w:val="20"/>
          <w:szCs w:val="20"/>
          <w:color w:val="auto"/>
        </w:rPr>
      </w:pPr>
    </w:p>
    <w:p>
      <w:pPr>
        <w:ind w:right="100" w:firstLine="648"/>
        <w:spacing w:after="0" w:line="213" w:lineRule="auto"/>
        <w:rPr>
          <w:sz w:val="20"/>
          <w:szCs w:val="20"/>
          <w:color w:val="auto"/>
        </w:rPr>
      </w:pPr>
      <w:r>
        <w:rPr>
          <w:rFonts w:ascii="Times New Roman" w:cs="Times New Roman" w:eastAsia="Times New Roman" w:hAnsi="Times New Roman"/>
          <w:sz w:val="18"/>
          <w:szCs w:val="18"/>
          <w:color w:val="auto"/>
        </w:rPr>
        <w:t xml:space="preserve">In August 2018, the SEC adopted the final rule under SEC Release No. 33-10532, </w:t>
      </w:r>
      <w:r>
        <w:rPr>
          <w:rFonts w:ascii="Times New Roman" w:cs="Times New Roman" w:eastAsia="Times New Roman" w:hAnsi="Times New Roman"/>
          <w:sz w:val="18"/>
          <w:szCs w:val="18"/>
          <w:i w:val="1"/>
          <w:iCs w:val="1"/>
          <w:color w:val="auto"/>
        </w:rPr>
        <w:t>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w:t>
      </w:r>
      <w:r>
        <w:rPr>
          <w:rFonts w:ascii="Times New Roman" w:cs="Times New Roman" w:eastAsia="Times New Roman" w:hAnsi="Times New Roman"/>
          <w:sz w:val="18"/>
          <w:szCs w:val="18"/>
          <w:color w:val="auto"/>
        </w:rPr>
        <w:t>, amending certain disclosure requirements that were redundant, duplicative, overlapping, outdated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superseded. The changes are generally expected to reduce or eliminate certain disclosures; however, the amendments did expand interim period disclosure requirements related to changes in stockholders’ equity. The final rule was effective on November 5, 2018. The Company adopted this guidance on its effective date and presented the changes in shareholders’ equity in the interim financial statements in quarterly reports on Form 10-Q. See the consolidated statement of stockholders’ equity.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Accrued Expenses and Other Current Liabilities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2019 and December 31, 2018 accrued expenses and other current liabilities consisted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Research and development</w:t>
            </w:r>
          </w:p>
        </w:tc>
        <w:tc>
          <w:tcPr>
            <w:tcW w:w="25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3,012,155</w:t>
            </w:r>
          </w:p>
        </w:tc>
        <w:tc>
          <w:tcPr>
            <w:tcW w:w="22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2,266,285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Accrued compensation</w:t>
            </w:r>
          </w:p>
        </w:tc>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291,054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1,051,401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3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436,637</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525,613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Total</w:t>
            </w:r>
          </w:p>
        </w:tc>
        <w:tc>
          <w:tcPr>
            <w:tcW w:w="23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3,739,846</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3,843,299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Loan and Security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Term Loan</w:t>
      </w:r>
    </w:p>
    <w:p>
      <w:pPr>
        <w:spacing w:after="0" w:line="65"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In March 2019, the Company entered into a $24.0 million growth capital term loan facility with Silicon Valley Bank (“SVB”) and WestRiver Innovation Lending Fund VIII, L.P (the “2019 Term Loan”). The two-tranche loan agreement consists of an initial $20.0 million tranche, which was funded upon closing, with the remaining $4.0 million available to be drawn, at the Company’s option, subject to the achievement of positive data, on or prior to August 15, 2019, with respect to the Company’s ongoing Phase 2 clinical trial for AXS-12 in narcolepsy, sufficient to submit a Phase 3 protocol to FDA, provided that the Company has not received any objections from the FDA within thirty days after submission of such Phase 3 protocol. A portion of the first tranche was used to satisfy the Company’s existing obligations under the 2016 Amended Term Loan (as defined below) with SVB and such obligations are considered to be fully repaid and performed.</w:t>
      </w:r>
    </w:p>
    <w:p>
      <w:pPr>
        <w:spacing w:after="0" w:line="158"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(i) seven and one-half of one percent (7.50%) and (ii) two percent (2%) above the Prime Rate. The loan advances mature in February 2023 and have an interest-only payment period of 12 months, which may be extended to 18 months upon the drawing of the second tranche. Principal payments coming due within twelve months have been classified as current liabilities in the accompanying balance sheet. In addition, the Company is required to pay a final payment fee of 6.0% of the principal amount extended on the date of repayment of the 2019 Term Loan, which is being accreted and amortized into interest expense using the effective interest rate method over the term of the loan.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14" w:lineRule="auto"/>
        <w:rPr>
          <w:sz w:val="20"/>
          <w:szCs w:val="20"/>
          <w:color w:val="auto"/>
        </w:rPr>
      </w:pPr>
      <w:r>
        <w:rPr>
          <w:rFonts w:ascii="Times New Roman" w:cs="Times New Roman" w:eastAsia="Times New Roman" w:hAnsi="Times New Roman"/>
          <w:sz w:val="18"/>
          <w:szCs w:val="18"/>
          <w:color w:val="auto"/>
        </w:rPr>
        <w:t>The Company may prepay all, but not less than all, of the 2019 Term Loan, subject to a prepayment premium of 3.0% of the outstanding principal if prepaid within one year of the effective date of the loan, 2.0% of the outstanding principal if prepaid after the first anniversary of the effective date but on or prior to the second anniversary of the effective date, and 1.0% of the outstanding principal if prepaid after the second anniversary of the effective date. The 2019 Term Loan is collateralized by a security interest in all of the Company’s assets except intellectual property. The Company’s intellectual property is subject to a negative pledge.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Previous Term Loan</w:t>
      </w:r>
    </w:p>
    <w:p>
      <w:pPr>
        <w:spacing w:after="0" w:line="187" w:lineRule="exact"/>
        <w:rPr>
          <w:sz w:val="20"/>
          <w:szCs w:val="20"/>
          <w:color w:val="auto"/>
        </w:rPr>
      </w:pPr>
    </w:p>
    <w:p>
      <w:pPr>
        <w:ind w:right="60" w:firstLine="648"/>
        <w:spacing w:after="0" w:line="214" w:lineRule="auto"/>
        <w:rPr>
          <w:sz w:val="20"/>
          <w:szCs w:val="20"/>
          <w:color w:val="auto"/>
        </w:rPr>
      </w:pPr>
      <w:r>
        <w:rPr>
          <w:rFonts w:ascii="Times New Roman" w:cs="Times New Roman" w:eastAsia="Times New Roman" w:hAnsi="Times New Roman"/>
          <w:sz w:val="18"/>
          <w:szCs w:val="18"/>
          <w:color w:val="auto"/>
        </w:rPr>
        <w:t>Prior to the 2019 Term Loan, the Company had a $20.0 million Term Loan Agreement with SVB which was executed in November 2016 (“2016 Original Term Loan”). The three-tranche term loan consisted of an initial $10.0 million tranche triggered upon closing, with the remaining $10.0 million available to be drawn in two $5.0 million tranches, at the Company’s option, subject to the achievement of certain clinical and financial milestones. The Company did not achieve the conditional criteria to access the second and third tranches before the specified dates and the $10.0 million in additional term loan advances subsequently expired.</w:t>
      </w:r>
    </w:p>
    <w:p>
      <w:pPr>
        <w:spacing w:after="0" w:line="162"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The 2016 Original Term Loan bore interest at an annual rate equal to 4.50% plus the prime rate, which is the greater of 3.50% or the Wall Street Journal prime rate, and was payable monthly. It was to mature in November 2020 and had an interest-only payment period until December 1, 2017, which was extendable to May 2018 upon the drawing of the second tranche. Because the Company did not achieve the conditional criteria to access the second and third term advances before the specified dates, the $10.0 million in additional term loan advances expired and the Company began to repay principal in December 2017. Following the interest-only payment period, the Company began making monthly payments of principal and interest and such payments would continue until the maturity date. Principal payments coming due within twelve months had been classified as current liabilities in the accompanying balance sheet. In addition to principal and interest payments under the 2016 Original Term Loan, the Company was required to pay a final payment fee of 8.5% of the principal amount extended on the date of repayment of the 2016 Original Term Loan. The Company accrued the final payment fee into interest expense using the effective interest rate method until the entry into the 2019 Term Loan in March 2019, at which time the Company paid SVB $0.85 million in satisfaction of all final payment fee liabilities due under the 2016 Original Term Loan.</w:t>
      </w:r>
    </w:p>
    <w:p>
      <w:pPr>
        <w:spacing w:after="0" w:line="160"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18"/>
          <w:szCs w:val="18"/>
          <w:color w:val="auto"/>
        </w:rPr>
        <w:t>The Company was permitted to prepay all, but not less than all, of the 2016 Original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2016 Original Term Loan was collateralized by a security interest in all of the Company’s assets except intellectual property. The Company’s intellectual property was subject to a negative pledge.</w:t>
      </w:r>
    </w:p>
    <w:p>
      <w:pPr>
        <w:spacing w:after="0" w:line="158"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In November 2018, the Company amended the 2016 Original Term Loan with SVB to provide an additional $4.0 million growth capital loan. The additional capital was available to be drawn on the amendment effective date which was November 26, 2018 through May 31, 2019, at the Company’s option, conditioned upon the achievement of a clinical milestone, which required the Company’s receipt of positive data of the Company’s Phase 2 clinical trial of AXS-12 for the treatment of narcolepsy, sufficient to submit a Phase 3 protocol to the FDA and to proceed to a Phase 3 trial (“2016 Amended Term Loan”). The financial terms for this additional growth capital were more favorable than those of the 2016 Original Term Loan. All other terms and conditions from the 2016 Original Term Loan agreement remained in place. The additional $4.0 million growth capital loan had to be drawn by May 31, 2019 and would bear interest at an annual rate equal to the greater of the prime rate plus 2.00%, or 7.25%, if drawn. The Company’s obligations under the 2016 Amended Term Loan, along with the ability of the Company to draw down on the additional $4.0 million tranche, were considered performed and completed in connection with the establishment of the 2019 Term Loan.</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 xml:space="preserve">The Company evaluated whether the 2019 Term Loan entered into in March 2019 represented a debt modification or extinguishment in accordance with ASC 470-50,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As the present value of the cash flows under the terms of the 2019 Term Loan is less than 10% different from the remaining cash flows under the terms of the 2016 Original Term Loan and the 2016 Amended Term Loan, the 2019 Term Loan was accounted for as a debt modification. Since the borrowing capacity of the 2019 Term Loan is greater than the borrowing capacity from the 2016 Original Term Loan and the 2016 Amended Term Loan, the unamortized balance of debt discount costs incurred in connection with those loans and additional debt discount costs incurred in connection with entry into the 2019 Term Loan, are being amortized through maturity in February 2023 utilizing the effective interest rate method.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Interest Expense and Amortization</w:t>
      </w:r>
    </w:p>
    <w:p>
      <w:pPr>
        <w:spacing w:after="0" w:line="187" w:lineRule="exact"/>
        <w:rPr>
          <w:sz w:val="20"/>
          <w:szCs w:val="20"/>
          <w:color w:val="auto"/>
        </w:rPr>
      </w:pPr>
    </w:p>
    <w:p>
      <w:pPr>
        <w:ind w:right="140" w:firstLine="648"/>
        <w:spacing w:after="0" w:line="226" w:lineRule="auto"/>
        <w:rPr>
          <w:sz w:val="20"/>
          <w:szCs w:val="20"/>
          <w:color w:val="auto"/>
        </w:rPr>
      </w:pPr>
      <w:r>
        <w:rPr>
          <w:rFonts w:ascii="Times New Roman" w:cs="Times New Roman" w:eastAsia="Times New Roman" w:hAnsi="Times New Roman"/>
          <w:sz w:val="18"/>
          <w:szCs w:val="18"/>
          <w:color w:val="auto"/>
        </w:rPr>
        <w:t>The Company incurred interest expense of $216,667 and $206,868 for the three months ended March 31, 2019 and 2018, respectively. In addition, amortization of the final payment fee was $69,665 and $76,586 for the three months ended March 31, 2019 and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debt and unamortized debt discount balances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Outstanding Debt</w:t>
            </w:r>
          </w:p>
        </w:tc>
        <w:tc>
          <w:tcPr>
            <w:tcW w:w="16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20,000,000</w:t>
            </w:r>
          </w:p>
        </w:tc>
        <w:tc>
          <w:tcPr>
            <w:tcW w:w="32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6,388,889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Add: accreted liability of final payment fee</w:t>
            </w: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37,461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663,459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Less: unamortized debt discount, long-term</w:t>
            </w:r>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(664,313)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(99,595)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Borders>
              <w:bottom w:val="single" w:sz="8" w:color="CCEEFF"/>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Less: current portion of long-term debt</w:t>
            </w:r>
          </w:p>
        </w:tc>
        <w:tc>
          <w:tcPr>
            <w:tcW w:w="1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(555,556)</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(3,333,333)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18,817,592</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3,619,420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200" w:type="dxa"/>
            <w:vAlign w:val="bottom"/>
            <w:tcBorders>
              <w:top w:val="single" w:sz="8" w:color="CCEEFF"/>
            </w:tcBorders>
          </w:tcPr>
          <w:p>
            <w:pPr>
              <w:spacing w:after="0"/>
              <w:rPr>
                <w:sz w:val="15"/>
                <w:szCs w:val="15"/>
                <w:color w:val="auto"/>
              </w:rPr>
            </w:pPr>
          </w:p>
        </w:tc>
        <w:tc>
          <w:tcPr>
            <w:tcW w:w="14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555,556</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current portion of unamortized debt discount</w:t>
            </w:r>
          </w:p>
        </w:tc>
        <w:tc>
          <w:tcPr>
            <w:tcW w:w="1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 current portion</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535,767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3,291,394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In connection with the 2016 Original Term Loan, SVB and Life Science Loans, LLC received warrants to purchase an aggregate 65,228 shares of the Company’s common stock at an exercise price of $7.41 per share, which are exercisable for seven years from the date of issuance. The warrants were classified as a component of stockholders’ equity. Additionally, in connection with the 2016 Amended Term Loan, SVB and WestRiver Innovation Lending Fund VIII, L.P. received warrants to purchase an aggregate 15,750 shares of the Company’s common stock at an exercise price of $3.06 per share, which are exercisable for seven years from the date of issuance. Both of these warrants were classified as a component of stockholders’ equity. Prior to entering into the 2019 Term Loan, the fair value of these warrants and the closing costs were recorded as debt discounts and were being amortized using the effective interest rate method over the term of the loan. Due to the debt modification upon entry of the 2019 Term Loan, the unamortized balance of the deferred debt issuance costs incurred with the 2016 Amended Term Loan will continue to be amortized through maturity in February 2023 along with the debt issuance costs of the 2019 Term Loan utilizing the effective interest rate method.</w:t>
      </w:r>
    </w:p>
    <w:p>
      <w:pPr>
        <w:spacing w:after="0" w:line="124"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18"/>
          <w:szCs w:val="18"/>
          <w:color w:val="auto"/>
        </w:rPr>
        <w:t>In connection with the 2019 Term Loan, SVB and WestRiver received warrants to purchase an aggregate 70,000 shares of the Company’s common stock at a price per share equal to $8.10. The warrants will be earned based upon the usage of the facility and are exercisable until March 4, 2026. The warrants were classified as a component of stockholder’s equity, of which 58,332 warrants were immediately exercisable and the remaining 11,668 warrants will be issued based on usage of the second tranche of the 2019 Term Loan. The additional warrants will be immediately exercisable if and when they are issued by the Company. The relative fair value of the warrants of approximately $0.4 million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Amortization of the debt discount in relation to warrants issued as described above was $37,768 and $31,895 for the three months ended March 31, 2019 and 2018, respectively.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Scheduled Principal Payments on Outstanding Debt, as of March 31, 2019, are as follows: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2019</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6,111,110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6,666,667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6,666,667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555,556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Total principal payments outstanding</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20,000,000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Company was in compliance with all covenants and requirements of its financing arrangements as of and during the three months ended March 31, 2019.</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Net Loss per Common Share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7"/>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34"/>
              <w:spacing w:after="0" w:line="129"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(10,640,376)</w:t>
            </w:r>
          </w:p>
        </w:tc>
        <w:tc>
          <w:tcPr>
            <w:tcW w:w="180" w:type="dxa"/>
            <w:vAlign w:val="bottom"/>
          </w:tcPr>
          <w:p>
            <w:pPr>
              <w:spacing w:after="0"/>
              <w:rPr>
                <w:sz w:val="15"/>
                <w:szCs w:val="15"/>
                <w:color w:val="auto"/>
              </w:rPr>
            </w:pPr>
          </w:p>
        </w:tc>
        <w:tc>
          <w:tcPr>
            <w:tcW w:w="160" w:type="dxa"/>
            <w:vAlign w:val="bottom"/>
            <w:gridSpan w:val="2"/>
          </w:tcPr>
          <w:p>
            <w:pPr>
              <w:jc w:val="right"/>
              <w:ind w:right="2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(4,805,559)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9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33,052,468</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25,501,188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Net loss per common share—basic and diluted</w:t>
            </w:r>
          </w:p>
        </w:tc>
        <w:tc>
          <w:tcPr>
            <w:tcW w:w="9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(0.32)</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(0.19)</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160" w:firstLine="648"/>
        <w:spacing w:after="0" w:line="215" w:lineRule="exact"/>
        <w:rPr>
          <w:sz w:val="20"/>
          <w:szCs w:val="20"/>
          <w:color w:val="auto"/>
        </w:rPr>
      </w:pPr>
      <w:r>
        <w:rPr>
          <w:rFonts w:ascii="Times New Roman" w:cs="Times New Roman" w:eastAsia="Times New Roman" w:hAnsi="Times New Roman"/>
          <w:sz w:val="18"/>
          <w:szCs w:val="18"/>
          <w:color w:val="auto"/>
        </w:rPr>
        <w:t>The following potentially dilutive securities outstanding at March 31, 2019 and 2018 have been excluded from the computation of diluted weighted average shares outstanding, as they would be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4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98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4"/>
              <w:spacing w:after="0" w:line="129"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3,100,209</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97"/>
              </w:rPr>
              <w:t>2,760,862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bottom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Warrants</w:t>
            </w:r>
          </w:p>
        </w:tc>
        <w:tc>
          <w:tcPr>
            <w:tcW w:w="9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181,369</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97"/>
              </w:rPr>
              <w:t>2,099,149</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3,281,578</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7"/>
              </w:rPr>
              <w:t>4,860,011</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189"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18"/>
          <w:szCs w:val="18"/>
          <w:color w:val="auto"/>
        </w:rPr>
        <w:t>On December 1, 2016, the Company filed a shelf registration statement (the “2016 Shelf Registration Statement”) with the SEC for the issuance of common stock, preferred stock, warrants, rights, debt securities and units up to an aggregate amount of $150.0 million. On December 16, 2016, the 2016 Shelf Registration Statement was declared effective by the SEC. The 2016 Shelf Registration Statement is currently the Company’s only active shelf registration statement. After deducting shares already sold, there is approximately $77.5 million of securities that remain available for future issuance under the 2016 Shelf Registration as of the date of this filing. All of the securities issued by the Company in the transactions discussed in this note were registered under the 2016 Shelf Registration Statement.</w:t>
      </w:r>
    </w:p>
    <w:p>
      <w:pPr>
        <w:spacing w:after="0" w:line="159"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In March 2017, the Company completed an underwritten public offering of its common stock, whereby it sold 4,304,813 shares of its common stock at a public offering price of $3.74 per share. The Company received gross proceeds of approximately $16.1 million, of which net proceeds were approximately $14.8 million after deducting underwriting discounts and offering expenses.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18"/>
          <w:szCs w:val="18"/>
          <w:color w:val="auto"/>
        </w:rPr>
        <w:t>In October 2017, the Company entered into a sales agreement (the “Sales Agreement”) with SVB Leerink (formerly Leerink Partners LLC) ("Leerink"), pursuant to which the Company could sell up to $30 million in shares of its common stock from time to time through Leerink, acting as its sales agent, in one or more at-the-market offerings. In January 2019, the Company raised approximately $25.8 million in gross proceeds through the sale of 3,164,015 shares under the Sales Agreement, which resulted in utilizing the full $30.0 million facility. Upon completion of the final sale fully exhausting the $30 million of shares allowed to be sold, the Sales Agreement was automatically terminated. Leerink received a commission of 3.0% of the gross proceeds for all shares sold under the Sales Agreement.</w:t>
      </w:r>
    </w:p>
    <w:p>
      <w:pPr>
        <w:spacing w:after="0" w:line="159" w:lineRule="exact"/>
        <w:rPr>
          <w:sz w:val="20"/>
          <w:szCs w:val="20"/>
          <w:color w:val="auto"/>
        </w:rPr>
      </w:pPr>
    </w:p>
    <w:p>
      <w:pPr>
        <w:ind w:right="220" w:firstLine="648"/>
        <w:spacing w:after="0" w:line="206" w:lineRule="auto"/>
        <w:rPr>
          <w:sz w:val="20"/>
          <w:szCs w:val="20"/>
          <w:color w:val="auto"/>
        </w:rPr>
      </w:pPr>
      <w:r>
        <w:rPr>
          <w:rFonts w:ascii="Times New Roman" w:cs="Times New Roman" w:eastAsia="Times New Roman" w:hAnsi="Times New Roman"/>
          <w:sz w:val="18"/>
          <w:szCs w:val="18"/>
          <w:color w:val="auto"/>
        </w:rPr>
        <w:t>In December 2017, the Company completed a registered direct offering (the “2017 Registered Direct Offering”), whereby it sold an aggregate of $9.5 million worth of units (“Units”) at a purchase price of $5.325 per Unit with each Unit consisting of (i) one share of the Company’s common stock, and (ii) a warrant to purchase one share of the Company’s common stock at an exercise price equal to $5.25 per share (the “Common Warrants”). The Company sold an aggregate of 1,783,587 Units for gross proceeds of approximately $9.5 million and net proceeds of approximately $8.8 million, after deducting placement agent fees and offering expenses. Additionally, the Company issued 107,015 warrants at an exercise price of $6.652 per share to certain investors affiliated with H.C. Wainwright &amp; Co., LLC, placement agent for the 2017 Registered Direct Offering (the “Placement Agent Warrants”). The Company incurred issuance costs associated with the</w:t>
      </w:r>
    </w:p>
    <w:p>
      <w:pPr>
        <w:spacing w:after="0" w:line="3"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8"/>
          <w:szCs w:val="18"/>
          <w:color w:val="auto"/>
        </w:rPr>
        <w:t>2017 Registered Direct Offering of $745,856, which included $81,000 related to issuance of the Placement Agent Warrants, of which, $583,768 was allocated to the common stock sold and was recorded as a reduction to equity. The remaining amount was allocated to the Common Warrants and was expensed. The Placement Agent Warrants had the same terms as the Common Warrants, except for the exercise price of $6.6562 per share. The Common Warrants priced at $5.25 and Placement Agent Warrants priced at $6.6562 utilized the 2016 Shelf Registration Statement for a total of $9.4 million and $712,313. Both the Common Warrants and the Placement Agent Warrants were not exercised and subsequently were terminated in December 2018.</w:t>
      </w:r>
    </w:p>
    <w:p>
      <w:pPr>
        <w:spacing w:after="0" w:line="157" w:lineRule="exact"/>
        <w:rPr>
          <w:sz w:val="20"/>
          <w:szCs w:val="20"/>
          <w:color w:val="auto"/>
        </w:rPr>
      </w:pPr>
    </w:p>
    <w:p>
      <w:pPr>
        <w:ind w:right="220" w:firstLine="648"/>
        <w:spacing w:after="0" w:line="213" w:lineRule="auto"/>
        <w:rPr>
          <w:sz w:val="20"/>
          <w:szCs w:val="20"/>
          <w:color w:val="auto"/>
        </w:rPr>
      </w:pPr>
      <w:r>
        <w:rPr>
          <w:rFonts w:ascii="Times New Roman" w:cs="Times New Roman" w:eastAsia="Times New Roman" w:hAnsi="Times New Roman"/>
          <w:sz w:val="18"/>
          <w:szCs w:val="18"/>
          <w:color w:val="auto"/>
        </w:rPr>
        <w:t>On September 27, 2018, the Company entered into a purchase agreement with certain institutional and accredited investors (collectively, the “RDO Investors”) for the sale by the Company directly to the RDO Investors of an aggregate of 2,966,667 shares of the Company’s common stock, at a purchase price of $3.00 per share (the “2018 Registered Direct Offering”), for gross proceeds of approximately $8.9 million. The 2018 Registered Direct Offering closed on October 1, 2018, and the Company received net proceeds of approximately $8.8 million, after deducting transaction expenses. The 2,966,667 shares of common stock sold in the 2018 Registered Direct Offering were offered and sold by the Company directly to the RDO Investors, without a placement agent, underwriter, broker or dealer.</w:t>
      </w:r>
    </w:p>
    <w:p>
      <w:pPr>
        <w:spacing w:after="0" w:line="159" w:lineRule="exact"/>
        <w:rPr>
          <w:sz w:val="20"/>
          <w:szCs w:val="20"/>
          <w:color w:val="auto"/>
        </w:rPr>
      </w:pPr>
    </w:p>
    <w:p>
      <w:pPr>
        <w:ind w:right="80" w:firstLine="648"/>
        <w:spacing w:after="0" w:line="226" w:lineRule="auto"/>
        <w:rPr>
          <w:sz w:val="20"/>
          <w:szCs w:val="20"/>
          <w:color w:val="auto"/>
        </w:rPr>
      </w:pPr>
      <w:r>
        <w:rPr>
          <w:rFonts w:ascii="Times New Roman" w:cs="Times New Roman" w:eastAsia="Times New Roman" w:hAnsi="Times New Roman"/>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58"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18"/>
          <w:szCs w:val="18"/>
          <w:color w:val="auto"/>
        </w:rPr>
        <w:t>In the future, the Company may also periodically offer one or more of these securities in amounts, prices and terms to be announced when and if the securities are offered. At the time any of the securities covered by the 2016 Shelf Registration Statement are offered for sale, a prospectus supplement will be prepared and filed with the SEC containing specific information about the terms of any such offering.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48"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There were 3,943,048 shares available for the issuance of stock options or stock-based awards under the Company’s 2015 Omnibus Incentive Compensation Plan at March 31, 2019.</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stock option activity for the three months ended March 31,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140" w:type="dxa"/>
            <w:vAlign w:val="bottom"/>
          </w:tcPr>
          <w:p>
            <w:pPr>
              <w:spacing w:after="0"/>
              <w:rPr>
                <w:sz w:val="11"/>
                <w:szCs w:val="11"/>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1"/>
                <w:szCs w:val="11"/>
                <w:color w:val="auto"/>
              </w:rPr>
            </w:pPr>
          </w:p>
        </w:tc>
        <w:tc>
          <w:tcPr>
            <w:tcW w:w="10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term</w:t>
            </w:r>
          </w:p>
        </w:tc>
        <w:tc>
          <w:tcPr>
            <w:tcW w:w="2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514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Outstanding at December 31, 2018</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9"/>
              </w:rPr>
              <w:t>2,283,036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5.06</w:t>
            </w: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890,866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12.79</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Exercised</w:t>
            </w:r>
          </w:p>
        </w:tc>
        <w:tc>
          <w:tcPr>
            <w:tcW w:w="880" w:type="dxa"/>
            <w:vAlign w:val="bottom"/>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auto"/>
              </w:rPr>
              <w:t>(52,819)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7.77</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Forfeited</w:t>
            </w:r>
          </w:p>
        </w:tc>
        <w:tc>
          <w:tcPr>
            <w:tcW w:w="88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color w:val="auto"/>
              </w:rPr>
              <w:t>(17,744)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3.96</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Expired</w:t>
            </w: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4.59</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Outstanding at March 31, 2019</w:t>
            </w: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w w:val="99"/>
              </w:rPr>
              <w:t>3,100,209</w:t>
            </w:r>
          </w:p>
        </w:tc>
        <w:tc>
          <w:tcPr>
            <w:tcW w:w="80" w:type="dxa"/>
            <w:vAlign w:val="bottom"/>
          </w:tcPr>
          <w:p>
            <w:pPr>
              <w:spacing w:after="0"/>
              <w:rPr>
                <w:sz w:val="15"/>
                <w:szCs w:val="15"/>
                <w:color w:val="auto"/>
              </w:rPr>
            </w:pPr>
          </w:p>
        </w:tc>
        <w:tc>
          <w:tcPr>
            <w:tcW w:w="180" w:type="dxa"/>
            <w:vAlign w:val="bottom"/>
            <w:gridSpan w:val="2"/>
          </w:tcPr>
          <w:p>
            <w:pPr>
              <w:ind w:left="8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7.24</w:t>
            </w:r>
          </w:p>
        </w:tc>
        <w:tc>
          <w:tcPr>
            <w:tcW w:w="160" w:type="dxa"/>
            <w:vAlign w:val="bottom"/>
          </w:tcPr>
          <w:p>
            <w:pPr>
              <w:spacing w:after="0"/>
              <w:rPr>
                <w:sz w:val="15"/>
                <w:szCs w:val="15"/>
                <w:color w:val="auto"/>
              </w:rPr>
            </w:pPr>
          </w:p>
        </w:tc>
        <w:tc>
          <w:tcPr>
            <w:tcW w:w="7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5"/>
                <w:szCs w:val="15"/>
                <w:color w:val="auto"/>
              </w:rPr>
            </w:pPr>
          </w:p>
        </w:tc>
        <w:tc>
          <w:tcPr>
            <w:tcW w:w="9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21,659,618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Vested and expected to vest at March 31, 2019</w:t>
            </w:r>
          </w:p>
        </w:tc>
        <w:tc>
          <w:tcPr>
            <w:tcW w:w="8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99"/>
              </w:rPr>
              <w:t>3,075,040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21,350,901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14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Exercisable at March 31, 2019</w:t>
            </w:r>
          </w:p>
        </w:tc>
        <w:tc>
          <w:tcPr>
            <w:tcW w:w="8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w w:val="99"/>
              </w:rPr>
              <w:t>1,434,087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line="16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5.78</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w w:val="93"/>
              </w:rPr>
              <w:t>$ 12,112,953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648"/>
        <w:spacing w:after="0" w:line="187" w:lineRule="exact"/>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expected term of the Company’s stock options has been determined utilizing the “simplified” method as described in the SEC’s Staff Accounting Bulletin No. 107 relating to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The simplified method was chosen because the Company has limited historical option exercise experience due to its short operating history.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w:t>
      </w:r>
    </w:p>
    <w:p>
      <w:pPr>
        <w:spacing w:after="0" w:line="159" w:lineRule="exact"/>
        <w:rPr>
          <w:sz w:val="20"/>
          <w:szCs w:val="20"/>
          <w:color w:val="auto"/>
        </w:rPr>
      </w:pPr>
    </w:p>
    <w:p>
      <w:pPr>
        <w:ind w:right="20" w:firstLine="648"/>
        <w:spacing w:after="0" w:line="183" w:lineRule="exact"/>
        <w:rPr>
          <w:sz w:val="20"/>
          <w:szCs w:val="20"/>
          <w:color w:val="auto"/>
        </w:rPr>
      </w:pPr>
      <w:r>
        <w:rPr>
          <w:rFonts w:ascii="Times New Roman" w:cs="Times New Roman" w:eastAsia="Times New Roman" w:hAnsi="Times New Roman"/>
          <w:sz w:val="18"/>
          <w:szCs w:val="18"/>
          <w:color w:val="auto"/>
        </w:rPr>
        <w:t>The weighted average grant date fair value of options granted was $9.54 and $1.92 per option for the three months ended March 31, 2019 and 2018, respectively. As of March 31, 2019, there was $9.9 million of total unrecognized compensation cost related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vested stock options which is expected to be recognized over a weighted average period of 3.5 years. These amounts do not include 38,024 options outstanding as of March 31, 2019, which are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based and vest upon the achievement of certain corporate milestones. The total intrinsic value of options exercised (the difference in the market price of the Company’s common stock on the exercise date and the price paid by the optionee to exercise the option) was approximately $0.2 million for the three months ended March 31, 2019. There were no options exercised for the three months ended March 31, 2018.</w:t>
      </w:r>
    </w:p>
    <w:p>
      <w:pPr>
        <w:spacing w:after="0" w:line="129" w:lineRule="exact"/>
        <w:rPr>
          <w:sz w:val="20"/>
          <w:szCs w:val="20"/>
          <w:color w:val="auto"/>
        </w:rPr>
      </w:pPr>
    </w:p>
    <w:p>
      <w:pPr>
        <w:ind w:right="120" w:firstLine="648"/>
        <w:spacing w:after="0" w:line="220"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recognized for the three months ended March 31, 2019 and 2018 was allocated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7"/>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Research and development</w:t>
            </w:r>
          </w:p>
        </w:tc>
        <w:tc>
          <w:tcPr>
            <w:tcW w:w="24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101,701</w:t>
            </w:r>
          </w:p>
        </w:tc>
        <w:tc>
          <w:tcPr>
            <w:tcW w:w="460" w:type="dxa"/>
            <w:vAlign w:val="bottom"/>
            <w:gridSpan w:val="2"/>
            <w:shd w:val="clear" w:color="auto" w:fill="CCEEFF"/>
          </w:tcPr>
          <w:p>
            <w:pPr>
              <w:jc w:val="right"/>
              <w:ind w:right="75"/>
              <w:spacing w:after="0" w:line="17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90,797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Borders>
              <w:bottom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General and administrative</w:t>
            </w:r>
          </w:p>
        </w:tc>
        <w:tc>
          <w:tcPr>
            <w:tcW w:w="23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1,154,609</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443,773</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Total</w:t>
            </w:r>
          </w:p>
        </w:tc>
        <w:tc>
          <w:tcPr>
            <w:tcW w:w="23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1,256,310</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5"/>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534,570</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Performance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Awards</w:t>
      </w:r>
    </w:p>
    <w:p>
      <w:pPr>
        <w:spacing w:after="0" w:line="213" w:lineRule="exact"/>
        <w:rPr>
          <w:sz w:val="20"/>
          <w:szCs w:val="20"/>
          <w:color w:val="auto"/>
        </w:rPr>
      </w:pPr>
    </w:p>
    <w:p>
      <w:pPr>
        <w:ind w:right="120" w:firstLine="648"/>
        <w:spacing w:after="0" w:line="191" w:lineRule="exact"/>
        <w:rPr>
          <w:sz w:val="20"/>
          <w:szCs w:val="20"/>
          <w:color w:val="auto"/>
        </w:rPr>
      </w:pPr>
      <w:r>
        <w:rPr>
          <w:rFonts w:ascii="Times New Roman" w:cs="Times New Roman" w:eastAsia="Times New Roman" w:hAnsi="Times New Roman"/>
          <w:sz w:val="18"/>
          <w:szCs w:val="18"/>
          <w:color w:val="auto"/>
        </w:rPr>
        <w:t>The Company did not issue any performance-based awards during the three months ended March 31, 2019 and 2018. For awards granted with performance conditions, no expense will be recognized, and no measurement date can occur, until the occurrence of the event is probable. For the three months ended March 31, 2019, the Company recognized expense of $13,487 and for the three months ended March 31, 2018, Company recognized income of $9,415, related to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three months ended March 31, 2019:</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6580" w:type="dxa"/>
            <w:vAlign w:val="bottom"/>
          </w:tcPr>
          <w:p>
            <w:pPr>
              <w:spacing w:after="0"/>
              <w:rPr>
                <w:sz w:val="11"/>
                <w:szCs w:val="11"/>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69"/>
        </w:trPr>
        <w:tc>
          <w:tcPr>
            <w:tcW w:w="658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Outstanding at December 31, 2018</w:t>
            </w:r>
          </w:p>
        </w:tc>
        <w:tc>
          <w:tcPr>
            <w:tcW w:w="9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123,037</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176"/>
        </w:trPr>
        <w:tc>
          <w:tcPr>
            <w:tcW w:w="65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Issued</w:t>
            </w: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58,332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176"/>
        </w:trPr>
        <w:tc>
          <w:tcPr>
            <w:tcW w:w="65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2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65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Outstanding at March 31, 2019</w:t>
            </w:r>
          </w:p>
        </w:tc>
        <w:tc>
          <w:tcPr>
            <w:tcW w:w="960" w:type="dxa"/>
            <w:vAlign w:val="bottom"/>
            <w:tcBorders>
              <w:top w:val="single" w:sz="8" w:color="auto"/>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181,369</w:t>
            </w:r>
          </w:p>
        </w:tc>
        <w:tc>
          <w:tcPr>
            <w:tcW w:w="200" w:type="dxa"/>
            <w:vAlign w:val="bottom"/>
          </w:tcPr>
          <w:p>
            <w:pPr>
              <w:spacing w:after="0"/>
              <w:rPr>
                <w:sz w:val="15"/>
                <w:szCs w:val="15"/>
                <w:color w:val="auto"/>
              </w:rPr>
            </w:pPr>
          </w:p>
        </w:tc>
        <w:tc>
          <w:tcPr>
            <w:tcW w:w="160" w:type="dxa"/>
            <w:vAlign w:val="bottom"/>
            <w:tcBorders>
              <w:bottom w:val="single" w:sz="8" w:color="auto"/>
            </w:tcBorders>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associated with 2017 Registered Direct Offering</w:t>
      </w:r>
    </w:p>
    <w:p>
      <w:pPr>
        <w:spacing w:after="0" w:line="189" w:lineRule="exact"/>
        <w:rPr>
          <w:sz w:val="20"/>
          <w:szCs w:val="20"/>
          <w:color w:val="auto"/>
        </w:rPr>
      </w:pPr>
    </w:p>
    <w:p>
      <w:pPr>
        <w:ind w:right="80" w:firstLine="648"/>
        <w:spacing w:after="0" w:line="209" w:lineRule="auto"/>
        <w:rPr>
          <w:sz w:val="20"/>
          <w:szCs w:val="20"/>
          <w:color w:val="auto"/>
        </w:rPr>
      </w:pPr>
      <w:r>
        <w:rPr>
          <w:rFonts w:ascii="Times New Roman" w:cs="Times New Roman" w:eastAsia="Times New Roman" w:hAnsi="Times New Roman"/>
          <w:sz w:val="18"/>
          <w:szCs w:val="18"/>
          <w:color w:val="auto"/>
        </w:rPr>
        <w:t xml:space="preserve">The change in the fair value of warrant liability for the quarter ended March 31, 2018 was $2,673,000. This relates to the Company’s 2017 Registered Direct Offering. As described in further detail in Note 6 – Stockholders’ Equity, the Company issued Common Warrants to certain investors to purchase an aggregate of 1,783,587 shares of its common stock. The Common Warrants were exercisable at $5.25 per share and expired on December 11, 2018. Additionally, as part of the 2017 Registered Direct Offering, the Company issued warrants Placement Agent Warrants to certain investors affiliated with H.C. Wainwright &amp; Co., LLC, the placement agent in the 2017 Registered Direct Offering to purchase an aggregate of 107,015 shares of its common stock. The Placement Agent Warrants were exercisable at $6.6562 and expired on December 11, 2018. The Common Warrants and Placement Agent Warrants were analyzed and it was determined that they required liability treatment.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registered common stock warrants that require the issuance of registered shares upon exercise and do not expressly preclude an implied right to cash settlement are accounted for as derivative liabilities. The Company classified these derivative warrant liabilities on the consolidated balance sheet as a current liability and the change in fair value of the warrant liability was reported on the statement of operations.</w:t>
      </w:r>
    </w:p>
    <w:p>
      <w:pPr>
        <w:spacing w:after="0" w:line="160"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18"/>
          <w:szCs w:val="18"/>
          <w:color w:val="auto"/>
        </w:rPr>
        <w:t>The fair value of the Common Warrants at March 31, 2018 and December 31, 2017 was determined to be approximately $115,000 and $2,683,000, respectively, as calculated using Black-Scholes with the following assumptions: (1) stock price of $2.45 and $5.60, respectively; (2) a risk-free rate of 1.99% and 1.76%, respectively; and (3) an expected volatility of 63% and 62%, respectively. The change in the fair value between December 31, 2017 and March 31, 2018 is reported as a change in fair value of the warrant liability on the statement of operations.</w:t>
      </w:r>
    </w:p>
    <w:p>
      <w:pPr>
        <w:spacing w:after="0" w:line="158" w:lineRule="exact"/>
        <w:rPr>
          <w:sz w:val="20"/>
          <w:szCs w:val="20"/>
          <w:color w:val="auto"/>
        </w:rPr>
      </w:pPr>
    </w:p>
    <w:p>
      <w:pPr>
        <w:ind w:right="200" w:firstLine="648"/>
        <w:spacing w:after="0" w:line="217" w:lineRule="auto"/>
        <w:rPr>
          <w:sz w:val="20"/>
          <w:szCs w:val="20"/>
          <w:color w:val="auto"/>
        </w:rPr>
      </w:pPr>
      <w:r>
        <w:rPr>
          <w:rFonts w:ascii="Times New Roman" w:cs="Times New Roman" w:eastAsia="Times New Roman" w:hAnsi="Times New Roman"/>
          <w:sz w:val="18"/>
          <w:szCs w:val="18"/>
          <w:color w:val="auto"/>
        </w:rPr>
        <w:t>The fair value of the Placement Agent Warrants at March 31, 2018 and December 31, 2017 were determined to be approximately $3,000 and $108,000, respectively, as calculated using Black-Scholes with the following assumptions: (1) stock price of $2.45 and $5.60, respectively; (2) a risk-free rate of 1.99% and 1.76%, respectively; and (3) an expected volatility of 63% and 62%, respectively. The change in the fair value between December 31, 2017 and March 31, 2018 is reported as a change in fair value of the warrant liability on the statement of operations.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5"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16"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2018 which was filed with the Securities and Exchange Commission, or SEC, on March 15, 2019</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20" w:firstLine="648"/>
        <w:spacing w:after="0" w:line="207"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four CNS product candidates, AXS-05, AXS-07, AXS-09, and AXS-12, which are being developed for multiple indications. We are conducting a Phase 3 trial with AXS-05 in treatment resistant depression, or TRD, which we refer to as the STRIDE-1 study, and a Phase 2/3 trial in agitation associated with Alzheimer's disease, or AD, which we refer to as the ADVANCE-1 study. We have completed a Phase 2 trial in MDD, which we refer to as the ASCEND study and a Phase 2 trial in smoking cessation. AXS-07 is currently in a Phase 3 trial for the acute treatment of migraine. AXS-12 is currently in a Phase 2 trial in narcolepsy. The Axsome Pain and Primary Care business unit, or Axsome PPC, houses our pain and primary care assets, including AXS-02 and AXS-06, and intellectual property which covers these and related product candidates and molecules being developed by us and others. We are conducting a Phase 3 trial with AXS-02 in knee osteoarthritis, or OA, associated with bone marrow lesions, or BMLs, pursuant to a Special Protocol Assessment, or SPA, which we refer to as the COAST-1 study. AXS-06 is being developed for the treatment of osteoarthritis and rheumatoid arthritis and for the reduction of the risk of nonsteroidal anti-inflammatory drug, or NSAID, associated gastrointestinal ulcers. Additionally, we are currently evaluating other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166" w:lineRule="exact"/>
        <w:rPr>
          <w:sz w:val="20"/>
          <w:szCs w:val="20"/>
          <w:color w:val="auto"/>
        </w:rPr>
      </w:pPr>
    </w:p>
    <w:p>
      <w:pPr>
        <w:ind w:right="40" w:firstLine="648"/>
        <w:spacing w:after="0" w:line="211" w:lineRule="auto"/>
        <w:rPr>
          <w:sz w:val="20"/>
          <w:szCs w:val="20"/>
          <w:color w:val="auto"/>
        </w:rPr>
      </w:pPr>
      <w:r>
        <w:rPr>
          <w:rFonts w:ascii="Times New Roman" w:cs="Times New Roman" w:eastAsia="Times New Roman" w:hAnsi="Times New Roman"/>
          <w:sz w:val="18"/>
          <w:szCs w:val="18"/>
          <w:color w:val="auto"/>
        </w:rPr>
        <w:t>AXS-05 is a novel, oral, investigational NMDA receptor antagonist with multimodal activity under development for the treatment of CNS disorders. AXS-05 consists of bupropion and dextromethorphan, or DM, and utilizes our metabolic inhibition technology. We are developing AXS-05 initially for the following four indications: TRD, agitation associated with AD, MDD, and as an aid to smoking cessation. The DM component of AXS-05 is a non-competitive N-methyl-D-aspartate, or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intend to seek U.S. Food and Drug Administration, or FDA, approval for AXS-05 utilizing the 505(b)(2) regulatory development pathway.</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94" w:lineRule="auto"/>
        <w:rPr>
          <w:sz w:val="20"/>
          <w:szCs w:val="20"/>
          <w:color w:val="auto"/>
        </w:rPr>
      </w:pPr>
      <w:r>
        <w:rPr>
          <w:rFonts w:ascii="Times New Roman" w:cs="Times New Roman" w:eastAsia="Times New Roman" w:hAnsi="Times New Roman"/>
          <w:sz w:val="18"/>
          <w:szCs w:val="18"/>
          <w:color w:val="auto"/>
        </w:rPr>
        <w:t>AXS-07, is a novel, oral, investigational medicine with distinct dual mechanisms of action consisting of MoSEIC™,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Times New Roman" w:cs="Times New Roman" w:eastAsia="Times New Roman" w:hAnsi="Times New Roman"/>
          <w:sz w:val="30"/>
          <w:szCs w:val="30"/>
          <w:color w:val="auto"/>
          <w:vertAlign w:val="subscript"/>
        </w:rPr>
        <w:t>max</w:t>
      </w:r>
      <w:r>
        <w:rPr>
          <w:rFonts w:ascii="Times New Roman" w:cs="Times New Roman" w:eastAsia="Times New Roman" w:hAnsi="Times New Roman"/>
          <w:sz w:val="18"/>
          <w:szCs w:val="18"/>
          <w:color w:val="auto"/>
        </w:rPr>
        <w:t>, which delays its onset of action.</w:t>
      </w:r>
    </w:p>
    <w:p>
      <w:pPr>
        <w:spacing w:after="0" w:line="4" w:lineRule="exact"/>
        <w:rPr>
          <w:sz w:val="20"/>
          <w:szCs w:val="20"/>
          <w:color w:val="auto"/>
        </w:rPr>
      </w:pPr>
    </w:p>
    <w:p>
      <w:pPr>
        <w:ind w:right="140"/>
        <w:spacing w:after="0" w:line="183" w:lineRule="auto"/>
        <w:rPr>
          <w:sz w:val="20"/>
          <w:szCs w:val="20"/>
          <w:color w:val="auto"/>
        </w:rPr>
      </w:pPr>
      <w:r>
        <w:rPr>
          <w:rFonts w:ascii="Times New Roman" w:cs="Times New Roman" w:eastAsia="Times New Roman" w:hAnsi="Times New Roman"/>
          <w:sz w:val="18"/>
          <w:szCs w:val="18"/>
          <w:color w:val="auto"/>
        </w:rPr>
        <w:t>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w:t>
      </w:r>
      <w:r>
        <w:rPr>
          <w:rFonts w:ascii="Times New Roman" w:cs="Times New Roman" w:eastAsia="Times New Roman" w:hAnsi="Times New Roman"/>
          <w:sz w:val="30"/>
          <w:szCs w:val="30"/>
          <w:color w:val="auto"/>
          <w:vertAlign w:val="subscript"/>
        </w:rPr>
        <w:t>1B/D</w:t>
      </w:r>
      <w:r>
        <w:rPr>
          <w:rFonts w:ascii="Times New Roman" w:cs="Times New Roman" w:eastAsia="Times New Roman" w:hAnsi="Times New Roman"/>
          <w:sz w:val="18"/>
          <w:szCs w:val="18"/>
          <w:color w:val="auto"/>
        </w:rPr>
        <w:t xml:space="preserve"> agonist that inhibits calcitonin gene-related peptide-, or CGRP-</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59" w:lineRule="exact"/>
        <w:rPr>
          <w:sz w:val="20"/>
          <w:szCs w:val="20"/>
          <w:color w:val="auto"/>
        </w:rPr>
      </w:pPr>
    </w:p>
    <w:p>
      <w:pPr>
        <w:ind w:right="60" w:firstLine="648"/>
        <w:spacing w:after="0" w:line="214" w:lineRule="auto"/>
        <w:rPr>
          <w:sz w:val="20"/>
          <w:szCs w:val="20"/>
          <w:color w:val="auto"/>
        </w:rPr>
      </w:pPr>
      <w:r>
        <w:rPr>
          <w:rFonts w:ascii="Times New Roman" w:cs="Times New Roman" w:eastAsia="Times New Roman" w:hAnsi="Times New Roman"/>
          <w:sz w:val="18"/>
          <w:szCs w:val="18"/>
          <w:color w:val="auto"/>
        </w:rPr>
        <w:t xml:space="preserve">AXS-09 is a novel, oral, investigational medicine consisting of esbupropion and DM, which is being developed for the treatment of CNS disorders. AXS-09 contains esbupropion, the chirally pure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-enantiomer of bupropion, as compared to the company’s first generation product candidate AXS-05 which contains racemic bupropion, equal amounts of the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8"/>
          <w:szCs w:val="18"/>
          <w:color w:val="auto"/>
        </w:rPr>
        <w:t xml:space="preserve">-enantiomers.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-enantiomer as compared to the </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8"/>
          <w:szCs w:val="18"/>
          <w:color w:val="auto"/>
        </w:rPr>
        <w:t>-enantiomer.</w:t>
      </w:r>
    </w:p>
    <w:p>
      <w:pPr>
        <w:spacing w:after="0" w:line="162" w:lineRule="exact"/>
        <w:rPr>
          <w:sz w:val="20"/>
          <w:szCs w:val="20"/>
          <w:color w:val="auto"/>
        </w:rPr>
      </w:pPr>
    </w:p>
    <w:p>
      <w:pPr>
        <w:jc w:val="both"/>
        <w:ind w:right="80" w:firstLine="648"/>
        <w:spacing w:after="0" w:line="211" w:lineRule="auto"/>
        <w:rPr>
          <w:sz w:val="20"/>
          <w:szCs w:val="20"/>
          <w:color w:val="auto"/>
        </w:rPr>
      </w:pPr>
      <w:r>
        <w:rPr>
          <w:rFonts w:ascii="Times New Roman" w:cs="Times New Roman" w:eastAsia="Times New Roman" w:hAnsi="Times New Roman"/>
          <w:sz w:val="18"/>
          <w:szCs w:val="18"/>
          <w:color w:val="auto"/>
        </w:rPr>
        <w:t>AXS-12, reboxetine, is a novel, oral, investigational medicine in development for treatment of narcolepsy. AXS-12 is a highly selective and potent norepinephrine reuptake inhibitor. The potential utility of AXS-12 in narcolepsy is supported by positive pre-clinical and preliminary clinical results in narcolepsy, and an extensive positive clinical safety record.</w:t>
      </w:r>
    </w:p>
    <w:p>
      <w:pPr>
        <w:spacing w:after="0" w:line="1"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Reboxetine, the active agent in AXS-12, significantly and dose-dependently reduced narcoleptic episodes in hypocretin-, or orexin-deficient mice, a well-established genetic animal model of narcolepsy.</w:t>
      </w:r>
    </w:p>
    <w:p>
      <w:pPr>
        <w:spacing w:after="0" w:line="157" w:lineRule="exact"/>
        <w:rPr>
          <w:sz w:val="20"/>
          <w:szCs w:val="20"/>
          <w:color w:val="auto"/>
        </w:rPr>
      </w:pPr>
    </w:p>
    <w:p>
      <w:pPr>
        <w:ind w:right="140" w:firstLine="648"/>
        <w:spacing w:after="0" w:line="214" w:lineRule="auto"/>
        <w:rPr>
          <w:sz w:val="20"/>
          <w:szCs w:val="20"/>
          <w:color w:val="auto"/>
        </w:rPr>
      </w:pPr>
      <w:r>
        <w:rPr>
          <w:rFonts w:ascii="Times New Roman" w:cs="Times New Roman" w:eastAsia="Times New Roman" w:hAnsi="Times New Roman"/>
          <w:sz w:val="18"/>
          <w:szCs w:val="18"/>
          <w:color w:val="auto"/>
        </w:rPr>
        <w:t>The Axsome PPC houses Axsome’s pain and primary care assets, including AXS-02 and AXS-06, and intellectual property which covers these and related product candidates and molecules being developed by Axsome and others. AXS-02 is being developed for the treatment of knee osteoarthritis, or OA, associated with bone marrow lesions, or BMLs, and chronic low back pain, or CLBP, associated with Modic changes, or MCs. Lastly, AXS-06 is being developed for the treatment of osteoarthritis and rheumatoid arthritis and for the reduction of the risk of NSAID-associated gastrointestinal ulcers.</w:t>
      </w:r>
    </w:p>
    <w:p>
      <w:pPr>
        <w:spacing w:after="0" w:line="133" w:lineRule="exact"/>
        <w:rPr>
          <w:sz w:val="20"/>
          <w:szCs w:val="20"/>
          <w:color w:val="auto"/>
        </w:rPr>
      </w:pPr>
    </w:p>
    <w:p>
      <w:pPr>
        <w:ind w:right="40" w:firstLine="648"/>
        <w:spacing w:after="0" w:line="189" w:lineRule="exact"/>
        <w:rPr>
          <w:sz w:val="20"/>
          <w:szCs w:val="20"/>
          <w:color w:val="auto"/>
        </w:rPr>
      </w:pPr>
      <w:r>
        <w:rPr>
          <w:rFonts w:ascii="Times New Roman" w:cs="Times New Roman" w:eastAsia="Times New Roman" w:hAnsi="Times New Roman"/>
          <w:sz w:val="18"/>
          <w:szCs w:val="18"/>
          <w:color w:val="auto"/>
        </w:rPr>
        <w:t>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disodium zoledronate tetrahydrate, is a potentially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oral, targeted,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opioid therapeutic for chronic pain. AXS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is a potent inhibitor of osteoclasts, which are bone remodeling cells that break down bone tissue. We are developing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such as inhibition of osteoclast activity. These mechanisms may result in a reduction of pain in these conditions. We intend to seek FDA approval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utilizing the 505(b)(2) regulatory development pathway.</w:t>
      </w:r>
    </w:p>
    <w:p>
      <w:pPr>
        <w:spacing w:after="0" w:line="158" w:lineRule="exact"/>
        <w:rPr>
          <w:sz w:val="20"/>
          <w:szCs w:val="20"/>
          <w:color w:val="auto"/>
        </w:rPr>
      </w:pPr>
    </w:p>
    <w:p>
      <w:pPr>
        <w:ind w:right="20" w:firstLine="648"/>
        <w:spacing w:after="0" w:line="197" w:lineRule="auto"/>
        <w:rPr>
          <w:sz w:val="20"/>
          <w:szCs w:val="20"/>
          <w:color w:val="auto"/>
        </w:rPr>
      </w:pPr>
      <w:r>
        <w:rPr>
          <w:rFonts w:ascii="Times New Roman" w:cs="Times New Roman" w:eastAsia="Times New Roman" w:hAnsi="Times New Roman"/>
          <w:sz w:val="18"/>
          <w:szCs w:val="18"/>
          <w:color w:val="auto"/>
        </w:rPr>
        <w:t>AXS-06, is a novel, oral, non-opioid, fixed-dose combination of MoSEIC™ meloxicam and esomeprazole. We are developing AXS-06 initially for the treatment of osteoarthritis and rheumatoid arthritis. Esomeprazole is a proton pump inhibitor which lowers stomach acidity and which has been shown to reduce the occurrence of NSAID-associated gastrointestinal ulcers. AXS-06 is designed to provide rapid, effective pain relief, and to reduce the risk of NSAID-associated gastrointestinal ulcers, with convenient once-daily dosing. We have successfully completed a Phase 1 trial of AXS-06 to characterize the pharmacokinetics of meloxicam and esomeprazole after oral administration of AXS-06. The results of our Phase 1 trial demonstrated that the median T</w:t>
      </w:r>
      <w:r>
        <w:rPr>
          <w:rFonts w:ascii="Times New Roman" w:cs="Times New Roman" w:eastAsia="Times New Roman" w:hAnsi="Times New Roman"/>
          <w:sz w:val="30"/>
          <w:szCs w:val="30"/>
          <w:color w:val="auto"/>
          <w:vertAlign w:val="subscript"/>
        </w:rPr>
        <w:t>max</w:t>
      </w:r>
      <w:r>
        <w:rPr>
          <w:rFonts w:ascii="Times New Roman" w:cs="Times New Roman" w:eastAsia="Times New Roman" w:hAnsi="Times New Roman"/>
          <w:sz w:val="18"/>
          <w:szCs w:val="18"/>
          <w:color w:val="auto"/>
        </w:rPr>
        <w:t xml:space="preserve"> for meloxicam, the trial's primary endpoint, was nine times faster for AXS-</w:t>
      </w:r>
    </w:p>
    <w:p>
      <w:pPr>
        <w:ind w:right="460"/>
        <w:spacing w:after="0" w:line="226" w:lineRule="auto"/>
        <w:rPr>
          <w:sz w:val="20"/>
          <w:szCs w:val="20"/>
          <w:color w:val="auto"/>
        </w:rPr>
      </w:pPr>
      <w:r>
        <w:rPr>
          <w:rFonts w:ascii="Times New Roman" w:cs="Times New Roman" w:eastAsia="Times New Roman" w:hAnsi="Times New Roman"/>
          <w:sz w:val="18"/>
          <w:szCs w:val="18"/>
          <w:color w:val="auto"/>
        </w:rPr>
        <w:t>06 as compared to standard meloxicam. We intend to seek FDA approval for AXS-06 utilizing the 505(b)(2) regulatory development pathway.</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18"/>
          <w:szCs w:val="18"/>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 and subsequent to our IPO, through proceeds from sales of our common stock and warrants to purchase shares of our common stock to equity investors and debt borrowings. For a further discussion, see the section entitled “Liquidity and Capital Resources” below.</w:t>
      </w:r>
    </w:p>
    <w:p>
      <w:pPr>
        <w:spacing w:after="0" w:line="122"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Our ability to become profitable depends on our ability to generate revenue. We do not expect to generate significant revenue unless and until we or our collaborators obtain marketing approval for and successfully commercialize one of our product candidates.</w:t>
      </w:r>
    </w:p>
    <w:p>
      <w:pPr>
        <w:spacing w:after="0" w:line="10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We have incurred significant operating expenses and net losses since inception. We incurred net losses of</w:t>
      </w:r>
    </w:p>
    <w:p>
      <w:pPr>
        <w:ind w:right="20"/>
        <w:spacing w:after="0" w:line="179" w:lineRule="exact"/>
        <w:rPr>
          <w:sz w:val="20"/>
          <w:szCs w:val="20"/>
          <w:color w:val="auto"/>
        </w:rPr>
      </w:pPr>
      <w:r>
        <w:rPr>
          <w:rFonts w:ascii="Times New Roman" w:cs="Times New Roman" w:eastAsia="Times New Roman" w:hAnsi="Times New Roman"/>
          <w:sz w:val="18"/>
          <w:szCs w:val="18"/>
          <w:color w:val="auto"/>
        </w:rPr>
        <w:t>$10.6 million and $4.8 million for the three months ended March 31, 2019 and 2018, respectively. Our accumulated deficit as of March 31, 2019 was $118.2 million, and we expect to incur significant expenses and increasing operating losses for the foreseeable future. We expect our expenses to increase in connection with our ongoing activities, as we continue the development and clinical trials of, and seek regulatory approval for our current product candidates and any other product candidates that we develop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and advance to clinical development. If we obtain regulatory approval for a product candidate, we expect to incur significant expenses in order to create an infrastructure to support the commercialization of the product candidate, including manufacturing, sales, marketing, and distribution functions. Further, we have incurred and will continue to incur additional costs associated with operating as a public company. Accordingly, we will need additional financing to support our continuing operations. We will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 and Recent Developments</w:t>
      </w:r>
    </w:p>
    <w:p>
      <w:pPr>
        <w:spacing w:after="0" w:line="189" w:lineRule="exact"/>
        <w:rPr>
          <w:sz w:val="20"/>
          <w:szCs w:val="20"/>
          <w:color w:val="auto"/>
        </w:rPr>
      </w:pPr>
    </w:p>
    <w:p>
      <w:pPr>
        <w:ind w:right="380" w:firstLine="648"/>
        <w:spacing w:after="0" w:line="237" w:lineRule="auto"/>
        <w:rPr>
          <w:sz w:val="20"/>
          <w:szCs w:val="20"/>
          <w:color w:val="auto"/>
        </w:rPr>
      </w:pPr>
      <w:r>
        <w:rPr>
          <w:rFonts w:ascii="Times New Roman" w:cs="Times New Roman" w:eastAsia="Times New Roman" w:hAnsi="Times New Roman"/>
          <w:sz w:val="18"/>
          <w:szCs w:val="18"/>
          <w:color w:val="auto"/>
        </w:rPr>
        <w:t>In January 2019, we announced that AXS-05 met the prespecified primary endpoint and significantly improved symptoms of depression in the ASCEND study.</w:t>
      </w:r>
    </w:p>
    <w:p>
      <w:pPr>
        <w:spacing w:after="0" w:line="158"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18"/>
          <w:szCs w:val="18"/>
          <w:color w:val="auto"/>
        </w:rPr>
        <w:t>In January 2019, we received approximately $25.8 million in gross proceeds, of which net proceeds were approximately $25.0 million through the sale of 3,164,015 shares under the existing at-the-market facility with SVB Leerink (formerly Leerink Partners LLC). Upon completion of the final sale fully exhausting the $30 million of shares available for sale, the Sales Agreement was automatically terminated. Please see the section entitled “Liquidity and Capital Resources” below for a further discussion.</w:t>
      </w:r>
    </w:p>
    <w:p>
      <w:pPr>
        <w:spacing w:after="0" w:line="158"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In January 2019, we initiated the CONCERT study, a Phase 2 randomized, double-blind, controlled trial to evaluate the efficacy and safety of AXS-12 in narcolepsy.</w:t>
      </w:r>
    </w:p>
    <w:p>
      <w:pPr>
        <w:spacing w:after="0" w:line="158"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In March 2019, we initiated the MOMENTUM study, a Phase 3, randomized, double-blind, multicenter, controlled trial to assess the efficacy and safety of AXS-07 in the acute treatment of migraine.</w:t>
      </w:r>
    </w:p>
    <w:p>
      <w:pPr>
        <w:spacing w:after="0" w:line="158"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In March 2019, we entered into a $24.0 million growth capital term loan facility, which we refer to as the 2019 Term Loan, with Silicon Valley Bank, or SVB, and WestRiver Innovation Lending Fund VIII, L.P., or WestRiver. Please see the section entitled “Liquidity and Capital Resources” below for a further discussion.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March 2019, we received FDA Breakthrough Therapy designation for AXS-05 for the treatment of MDD.</w:t>
      </w:r>
    </w:p>
    <w:p>
      <w:pPr>
        <w:spacing w:after="0" w:line="185" w:lineRule="exact"/>
        <w:rPr>
          <w:sz w:val="20"/>
          <w:szCs w:val="20"/>
          <w:color w:val="auto"/>
        </w:rPr>
      </w:pPr>
    </w:p>
    <w:p>
      <w:pPr>
        <w:ind w:right="580" w:firstLine="648"/>
        <w:spacing w:after="0" w:line="237" w:lineRule="auto"/>
        <w:rPr>
          <w:sz w:val="20"/>
          <w:szCs w:val="20"/>
          <w:color w:val="auto"/>
        </w:rPr>
      </w:pPr>
      <w:r>
        <w:rPr>
          <w:rFonts w:ascii="Times New Roman" w:cs="Times New Roman" w:eastAsia="Times New Roman" w:hAnsi="Times New Roman"/>
          <w:sz w:val="18"/>
          <w:szCs w:val="18"/>
          <w:color w:val="auto"/>
        </w:rPr>
        <w:t>In April 2019, we announced that AXS-05 met the prespecified primary endpoint in Phase 2 trial in smoking cessation.</w:t>
      </w:r>
    </w:p>
    <w:p>
      <w:pPr>
        <w:spacing w:after="0" w:line="158"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In May 2019, we announced expedited development and pivotal status for AXS-05 for the treatment of MDD based on an FDA Breakthrough Therapy meeting.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We have not generated any revenue since we commenced operations and we do not expect to generate any revenue in the near future. To the extent we enter into licensing or collaboration arrangements, we may have sources of revenue in the future. We expect that any revenue we generate will fluctuate from quarter to quarter as a result of the amount and timing of payments that we may recognize upon the sale of our product candidates, to the extent that any product candidates are successfully commercialized, and the amount and timing of fees, reimbursements, and milestone and other payments received under any future licensing or collaboration arrangements. If we fail to complete the development of our product candidates in a timely manner or obtain regulatory approval for them, our ability to generate future revenue, and our results of operations and financial position, would be materially and adversely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ind w:right="380" w:firstLine="648"/>
        <w:spacing w:after="0" w:line="190" w:lineRule="exact"/>
        <w:rPr>
          <w:sz w:val="20"/>
          <w:szCs w:val="20"/>
          <w:color w:val="auto"/>
        </w:rPr>
      </w:pPr>
      <w:r>
        <w:rPr>
          <w:rFonts w:ascii="Times New Roman" w:cs="Times New Roman" w:eastAsia="Times New Roman" w:hAnsi="Times New Roman"/>
          <w:sz w:val="18"/>
          <w:szCs w:val="18"/>
          <w:color w:val="auto"/>
        </w:rPr>
        <w:t>Research and development expenses primarily include preclinical studies, clinical trials, manufacturing costs, employee salaries and benefits,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159"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Management considers many factors in developing the estimates and assumptions that are used in the preparation of our unaudited interim consolidated financial statements.</w:t>
      </w:r>
    </w:p>
    <w:p>
      <w:pPr>
        <w:spacing w:after="0" w:line="160" w:lineRule="exact"/>
        <w:rPr>
          <w:sz w:val="20"/>
          <w:szCs w:val="20"/>
          <w:color w:val="auto"/>
        </w:rPr>
      </w:pPr>
    </w:p>
    <w:p>
      <w:pPr>
        <w:ind w:right="40" w:firstLine="648"/>
        <w:spacing w:after="0" w:line="212" w:lineRule="auto"/>
        <w:rPr>
          <w:sz w:val="20"/>
          <w:szCs w:val="20"/>
          <w:color w:val="auto"/>
        </w:rPr>
      </w:pPr>
      <w:r>
        <w:rPr>
          <w:rFonts w:ascii="Times New Roman" w:cs="Times New Roman" w:eastAsia="Times New Roman" w:hAnsi="Times New Roman"/>
          <w:sz w:val="18"/>
          <w:szCs w:val="18"/>
          <w:color w:val="auto"/>
        </w:rPr>
        <w:t>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our unaudited interim consolidated financial statements if these results differ from historical experience, or other assumptions do not turn out to be substantially accurate, even if such assumptions are reasonable when made.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8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our primary programs for the three months ended March 31, 2019 and 2018:</w:t>
      </w:r>
    </w:p>
    <w:p>
      <w:pPr>
        <w:spacing w:after="0" w:line="15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480"/>
        <w:spacing w:after="0" w:line="22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4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12"/>
              <w:spacing w:after="0" w:line="136"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52"/>
              <w:spacing w:after="0" w:line="136"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1"/>
                <w:szCs w:val="11"/>
                <w:color w:val="auto"/>
              </w:rPr>
            </w:pPr>
          </w:p>
        </w:tc>
      </w:tr>
      <w:tr>
        <w:trPr>
          <w:trHeight w:val="129"/>
        </w:trPr>
        <w:tc>
          <w:tcPr>
            <w:tcW w:w="4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6"/>
        </w:trPr>
        <w:tc>
          <w:tcPr>
            <w:tcW w:w="48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AXS-05</w:t>
            </w:r>
          </w:p>
        </w:tc>
        <w:tc>
          <w:tcPr>
            <w:tcW w:w="2020" w:type="dxa"/>
            <w:vAlign w:val="bottom"/>
            <w:gridSpan w:val="2"/>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3,349,144</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55"/>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2,958,341</w:t>
            </w:r>
          </w:p>
        </w:tc>
        <w:tc>
          <w:tcPr>
            <w:tcW w:w="60" w:type="dxa"/>
            <w:vAlign w:val="bottom"/>
            <w:shd w:val="clear" w:color="auto" w:fill="CCEEFF"/>
          </w:tcPr>
          <w:p>
            <w:pPr>
              <w:spacing w:after="0"/>
              <w:rPr>
                <w:sz w:val="15"/>
                <w:szCs w:val="15"/>
                <w:color w:val="auto"/>
              </w:rPr>
            </w:pPr>
          </w:p>
        </w:tc>
      </w:tr>
      <w:tr>
        <w:trPr>
          <w:trHeight w:val="176"/>
        </w:trPr>
        <w:tc>
          <w:tcPr>
            <w:tcW w:w="48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AXS-07</w:t>
            </w: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2,532,618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189,253</w:t>
            </w:r>
          </w:p>
        </w:tc>
        <w:tc>
          <w:tcPr>
            <w:tcW w:w="60" w:type="dxa"/>
            <w:vAlign w:val="bottom"/>
          </w:tcPr>
          <w:p>
            <w:pPr>
              <w:spacing w:after="0"/>
              <w:rPr>
                <w:sz w:val="15"/>
                <w:szCs w:val="15"/>
                <w:color w:val="auto"/>
              </w:rPr>
            </w:pPr>
          </w:p>
        </w:tc>
      </w:tr>
      <w:tr>
        <w:trPr>
          <w:trHeight w:val="176"/>
        </w:trPr>
        <w:tc>
          <w:tcPr>
            <w:tcW w:w="48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AXS-12</w:t>
            </w:r>
          </w:p>
        </w:tc>
        <w:tc>
          <w:tcPr>
            <w:tcW w:w="1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447,027</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176"/>
        </w:trPr>
        <w:tc>
          <w:tcPr>
            <w:tcW w:w="48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AXS-02</w:t>
            </w: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48,007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372,184</w:t>
            </w:r>
          </w:p>
        </w:tc>
        <w:tc>
          <w:tcPr>
            <w:tcW w:w="60" w:type="dxa"/>
            <w:vAlign w:val="bottom"/>
          </w:tcPr>
          <w:p>
            <w:pPr>
              <w:spacing w:after="0"/>
              <w:rPr>
                <w:sz w:val="15"/>
                <w:szCs w:val="15"/>
                <w:color w:val="auto"/>
              </w:rPr>
            </w:pPr>
          </w:p>
        </w:tc>
      </w:tr>
      <w:tr>
        <w:trPr>
          <w:trHeight w:val="176"/>
        </w:trPr>
        <w:tc>
          <w:tcPr>
            <w:tcW w:w="48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AXS-06</w:t>
            </w:r>
          </w:p>
        </w:tc>
        <w:tc>
          <w:tcPr>
            <w:tcW w:w="1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3,671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51,122</w:t>
            </w:r>
          </w:p>
        </w:tc>
        <w:tc>
          <w:tcPr>
            <w:tcW w:w="60" w:type="dxa"/>
            <w:vAlign w:val="bottom"/>
            <w:shd w:val="clear" w:color="auto" w:fill="CCEEFF"/>
          </w:tcPr>
          <w:p>
            <w:pPr>
              <w:spacing w:after="0"/>
              <w:rPr>
                <w:sz w:val="15"/>
                <w:szCs w:val="15"/>
                <w:color w:val="auto"/>
              </w:rPr>
            </w:pPr>
          </w:p>
        </w:tc>
      </w:tr>
      <w:tr>
        <w:trPr>
          <w:trHeight w:val="176"/>
        </w:trPr>
        <w:tc>
          <w:tcPr>
            <w:tcW w:w="48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research and development</w:t>
            </w: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1,120,913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1,090,814</w:t>
            </w:r>
          </w:p>
        </w:tc>
        <w:tc>
          <w:tcPr>
            <w:tcW w:w="60" w:type="dxa"/>
            <w:vAlign w:val="bottom"/>
          </w:tcPr>
          <w:p>
            <w:pPr>
              <w:spacing w:after="0"/>
              <w:rPr>
                <w:sz w:val="15"/>
                <w:szCs w:val="15"/>
                <w:color w:val="auto"/>
              </w:rPr>
            </w:pPr>
          </w:p>
        </w:tc>
      </w:tr>
      <w:tr>
        <w:trPr>
          <w:trHeight w:val="176"/>
        </w:trPr>
        <w:tc>
          <w:tcPr>
            <w:tcW w:w="48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18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101,701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90,797</w:t>
            </w:r>
          </w:p>
        </w:tc>
        <w:tc>
          <w:tcPr>
            <w:tcW w:w="60" w:type="dxa"/>
            <w:vAlign w:val="bottom"/>
            <w:shd w:val="clear" w:color="auto" w:fill="CCEEFF"/>
          </w:tcPr>
          <w:p>
            <w:pPr>
              <w:spacing w:after="0"/>
              <w:rPr>
                <w:sz w:val="15"/>
                <w:szCs w:val="15"/>
                <w:color w:val="auto"/>
              </w:rPr>
            </w:pPr>
          </w:p>
        </w:tc>
      </w:tr>
      <w:tr>
        <w:trPr>
          <w:trHeight w:val="176"/>
        </w:trPr>
        <w:tc>
          <w:tcPr>
            <w:tcW w:w="48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Total research and development expenses</w:t>
            </w:r>
          </w:p>
        </w:tc>
        <w:tc>
          <w:tcPr>
            <w:tcW w:w="182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7,603,081</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55"/>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4,752,511</w:t>
            </w:r>
          </w:p>
        </w:tc>
        <w:tc>
          <w:tcPr>
            <w:tcW w:w="60" w:type="dxa"/>
            <w:vAlign w:val="bottom"/>
          </w:tcPr>
          <w:p>
            <w:pPr>
              <w:spacing w:after="0"/>
              <w:rPr>
                <w:sz w:val="15"/>
                <w:szCs w:val="15"/>
                <w:color w:val="auto"/>
              </w:rPr>
            </w:pPr>
          </w:p>
        </w:tc>
      </w:tr>
    </w:tbl>
    <w:p>
      <w:pPr>
        <w:spacing w:after="0" w:line="144" w:lineRule="exact"/>
        <w:rPr>
          <w:sz w:val="20"/>
          <w:szCs w:val="20"/>
          <w:color w:val="auto"/>
        </w:rPr>
      </w:pPr>
    </w:p>
    <w:p>
      <w:pPr>
        <w:ind w:right="240" w:firstLine="648"/>
        <w:spacing w:after="0" w:line="220" w:lineRule="auto"/>
        <w:rPr>
          <w:sz w:val="20"/>
          <w:szCs w:val="20"/>
          <w:color w:val="auto"/>
        </w:rPr>
      </w:pPr>
      <w:r>
        <w:rPr>
          <w:rFonts w:ascii="Times New Roman" w:cs="Times New Roman" w:eastAsia="Times New Roman" w:hAnsi="Times New Roman"/>
          <w:sz w:val="18"/>
          <w:szCs w:val="18"/>
          <w:color w:val="auto"/>
        </w:rPr>
        <w:t>Other research and development expenses primarily consist of employee salaries and benefits, facilities and overhead costs. For the three months ended March 31, 2019, the majority of employee salaries and benefits were allocated amongst the respective clinical development programs whereas for the three months ended March 31, 2018, employee salaries and benefits were allocated to Other research and development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ind w:right="440" w:firstLine="648"/>
        <w:spacing w:after="0" w:line="190" w:lineRule="exact"/>
        <w:rPr>
          <w:sz w:val="20"/>
          <w:szCs w:val="20"/>
          <w:color w:val="auto"/>
        </w:rPr>
      </w:pPr>
      <w:r>
        <w:rPr>
          <w:rFonts w:ascii="Times New Roman" w:cs="Times New Roman" w:eastAsia="Times New Roman" w:hAnsi="Times New Roman"/>
          <w:sz w:val="18"/>
          <w:szCs w:val="18"/>
          <w:color w:val="auto"/>
        </w:rPr>
        <w:t>General and administrative expenses primarily consist of salaries and related costs for personnel in executive, finance, and operational functions, including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and travel expenses. Other general and administrative expenses include facility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insurance expense, and professional fees for legal and accounting services and patent filing and prosecution costs. General and administrative expenses are expensed when incurred.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amortization of debt discount (expense)</w:t>
      </w:r>
    </w:p>
    <w:p>
      <w:pPr>
        <w:spacing w:after="0" w:line="160" w:lineRule="exact"/>
        <w:rPr>
          <w:sz w:val="20"/>
          <w:szCs w:val="20"/>
          <w:color w:val="auto"/>
        </w:rPr>
      </w:pPr>
    </w:p>
    <w:p>
      <w:pPr>
        <w:ind w:right="60" w:firstLine="648"/>
        <w:spacing w:after="0" w:line="189" w:lineRule="exact"/>
        <w:rPr>
          <w:sz w:val="20"/>
          <w:szCs w:val="20"/>
          <w:color w:val="auto"/>
        </w:rPr>
      </w:pPr>
      <w:r>
        <w:rPr>
          <w:rFonts w:ascii="Times New Roman" w:cs="Times New Roman" w:eastAsia="Times New Roman" w:hAnsi="Times New Roman"/>
          <w:sz w:val="18"/>
          <w:szCs w:val="18"/>
          <w:color w:val="auto"/>
        </w:rPr>
        <w:t>Interest and amortization of debt discount (expense) primarily consists of cash interest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costs related to our term loan with SVB (see “Liquidity and Capital Resources” below for a further discussion). We record costs incurred in connection with the issuance of debt as a direct deduction from the debt liability. We amortize these costs over the term of our debt agreements in our consolidated statement of operations. For the three months ended March 31, 2019, the amortization of debt discount expense related to 2019 Term Loan and 2016 Original and Amended Term Loan, whereas for the three months ended March 31, 2018, the amortization of debt discount expense related to only the 2016 Original Term Loan.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89" w:lineRule="exact"/>
        <w:rPr>
          <w:sz w:val="20"/>
          <w:szCs w:val="20"/>
          <w:color w:val="auto"/>
        </w:rPr>
      </w:pPr>
    </w:p>
    <w:p>
      <w:pPr>
        <w:ind w:right="80" w:firstLine="648"/>
        <w:spacing w:after="0" w:line="213"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19"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 Summary of Significant Accounting Policies to our unaudited interim consolidated financial statements appearing elsewhere in this report, we believe the accounting policies described in the “Financial Overview” section above are the most critical to the judgments and estimates we use in the preparation of our consolidated financial statements.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w:t>
      </w:r>
    </w:p>
    <w:p>
      <w:pPr>
        <w:spacing w:after="0" w:line="184"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460"/>
        <w:spacing w:after="0" w:line="22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12"/>
              <w:spacing w:after="0" w:line="136"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12"/>
              <w:spacing w:after="0" w:line="136"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7,603,081</w:t>
            </w:r>
          </w:p>
        </w:tc>
        <w:tc>
          <w:tcPr>
            <w:tcW w:w="200" w:type="dxa"/>
            <w:vAlign w:val="bottom"/>
          </w:tcPr>
          <w:p>
            <w:pPr>
              <w:spacing w:after="0"/>
              <w:rPr>
                <w:sz w:val="15"/>
                <w:szCs w:val="15"/>
                <w:color w:val="auto"/>
              </w:rPr>
            </w:pPr>
          </w:p>
        </w:tc>
        <w:tc>
          <w:tcPr>
            <w:tcW w:w="1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4,752,511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2,818,892</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2,410,699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10,421,973</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7,163,210</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Loss from operations</w:t>
            </w: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(10,421,973)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(7,163,210)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Interest and amortization of debt discount (expense)</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(218,903)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(315,349)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2,673,000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Net loss</w:t>
            </w:r>
          </w:p>
        </w:tc>
        <w:tc>
          <w:tcPr>
            <w:tcW w:w="14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(10,640,876)</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(4,805,559)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2019 and 2018</w:t>
      </w:r>
    </w:p>
    <w:p>
      <w:pPr>
        <w:spacing w:after="0" w:line="187" w:lineRule="exact"/>
        <w:rPr>
          <w:sz w:val="20"/>
          <w:szCs w:val="20"/>
          <w:color w:val="auto"/>
        </w:rPr>
      </w:pPr>
    </w:p>
    <w:p>
      <w:pPr>
        <w:ind w:right="200" w:firstLine="648"/>
        <w:spacing w:after="0" w:line="21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for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2019 were $7.6 million, compared to $4.8 million for the three months ended March 31, 2018, an increase of</w:t>
      </w:r>
    </w:p>
    <w:p>
      <w:pPr>
        <w:spacing w:after="0" w:line="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$2.8 million. The increase was primarily due to the initiation and progress of our MOMENTUM study, progress of our STRIDE-1, ADVANCE-1, and smoking cessation studies, and manufacturing costs related to our AXS-07 product candidate, which was partially offset by a reduction in the costs of previously completed clinical trials and nonclinical work.</w:t>
      </w:r>
    </w:p>
    <w:p>
      <w:pPr>
        <w:spacing w:after="0" w:line="157" w:lineRule="exact"/>
        <w:rPr>
          <w:sz w:val="20"/>
          <w:szCs w:val="20"/>
          <w:color w:val="auto"/>
        </w:rPr>
      </w:pPr>
    </w:p>
    <w:p>
      <w:pPr>
        <w:ind w:right="140" w:firstLine="648"/>
        <w:spacing w:after="0" w:line="21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for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2019 were $2.8 million, compared to $2.4 million for the three months ended March 31, 2018, an increase of</w:t>
      </w:r>
    </w:p>
    <w:p>
      <w:pPr>
        <w:spacing w:after="0" w:line="1"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8"/>
          <w:szCs w:val="18"/>
          <w:color w:val="auto"/>
        </w:rPr>
        <w:t>$0.4 million. The increase was primarily due to higher legal expenses, external fees associated with operating as a public company, and personnel costs.</w:t>
      </w:r>
    </w:p>
    <w:p>
      <w:pPr>
        <w:spacing w:after="0" w:line="155" w:lineRule="exact"/>
        <w:rPr>
          <w:sz w:val="20"/>
          <w:szCs w:val="20"/>
          <w:color w:val="auto"/>
        </w:rPr>
      </w:pPr>
    </w:p>
    <w:p>
      <w:pPr>
        <w:ind w:right="40" w:firstLine="648"/>
        <w:spacing w:after="0" w:line="221" w:lineRule="auto"/>
        <w:rPr>
          <w:sz w:val="20"/>
          <w:szCs w:val="20"/>
          <w:color w:val="auto"/>
        </w:rPr>
      </w:pPr>
      <w:r>
        <w:rPr>
          <w:rFonts w:ascii="Times New Roman" w:cs="Times New Roman" w:eastAsia="Times New Roman" w:hAnsi="Times New Roman"/>
          <w:sz w:val="18"/>
          <w:szCs w:val="18"/>
          <w:i w:val="1"/>
          <w:iCs w:val="1"/>
          <w:color w:val="auto"/>
        </w:rPr>
        <w:t xml:space="preserve">Interest and Amortization of Debt Discount (Expense). </w:t>
      </w:r>
      <w:r>
        <w:rPr>
          <w:rFonts w:ascii="Times New Roman" w:cs="Times New Roman" w:eastAsia="Times New Roman" w:hAnsi="Times New Roman"/>
          <w:sz w:val="18"/>
          <w:szCs w:val="18"/>
          <w:color w:val="auto"/>
        </w:rPr>
        <w:t>Interest and amortization of debt discount (expense)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2019 was $0.2 million, compared to $0.3 million for the three months ended March 31, 2018, a decrease of $0.1 million. The decrease of $0.1 million was driven by interest income of $0.1 million related to the newly implemented cash sweep account. The cash sweep account was not in place during the quarter ended March 31, 2018.</w:t>
      </w:r>
    </w:p>
    <w:p>
      <w:pPr>
        <w:spacing w:after="0" w:line="156" w:lineRule="exact"/>
        <w:rPr>
          <w:sz w:val="20"/>
          <w:szCs w:val="20"/>
          <w:color w:val="auto"/>
        </w:rPr>
      </w:pPr>
    </w:p>
    <w:p>
      <w:pPr>
        <w:ind w:right="160" w:firstLine="648"/>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Warrant Liability. </w:t>
      </w:r>
      <w:r>
        <w:rPr>
          <w:rFonts w:ascii="Times New Roman" w:cs="Times New Roman" w:eastAsia="Times New Roman" w:hAnsi="Times New Roman"/>
          <w:sz w:val="18"/>
          <w:szCs w:val="18"/>
          <w:color w:val="auto"/>
        </w:rPr>
        <w:t>We recorded income related to the change in fair value of our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for the three months ended March 31, 2018 of $2.7 million. There was no warrant liability outstanding during the three months ended March 31, 2019.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18"/>
          <w:szCs w:val="18"/>
          <w:color w:val="auto"/>
        </w:rPr>
        <w:t>In November 2016, we entered into a loan and security agreement with SVB for a term loan of up to $20.0 million, which we refer to as the 2016 Original Term Loan. The initial tranche of $10.0 million was funded shortly after executing the loan agreement. Because we did not achieve the conditional criteria to access the second and third tranches before the specified dates, the $10.0 million in additional term loan advances expired. In November 2018, we amended the 2016 Original Term Loan to provide an additional $4 million growth capital loan, related to our narcolepsy clinical program with AXS-12. We refer to the 2016 Original Term Loan, as amended in November 2018, as the 2016 Amended Term Loan. The additional capital under the 2016 Amended Term Loan was available to be drawn, at our option, subject to the achievement of a specified clinical milestone. Our obligations under the 2016 Amended Term Loan, along with our ability to draw down on the additional $4.0 million tranche, were considered to be performed and completed in connection with the establishment of the 2019 Term Loan (see below).</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09" w:lineRule="auto"/>
        <w:rPr>
          <w:sz w:val="20"/>
          <w:szCs w:val="20"/>
          <w:color w:val="auto"/>
        </w:rPr>
      </w:pPr>
      <w:r>
        <w:rPr>
          <w:rFonts w:ascii="Times New Roman" w:cs="Times New Roman" w:eastAsia="Times New Roman" w:hAnsi="Times New Roman"/>
          <w:sz w:val="18"/>
          <w:szCs w:val="18"/>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As discussed in greater detail below, we completed an offering of common stock in March 2017, entered into a sales agreement in October 2017 pursuant to which we sold shares of our common stock from time to time in an at-the-market offering until completion of the offering in January 2019, and completed a registered direct offering priced at the market in December 2017 and September 2018, each utilizing the 2016 Shelf Registration Statement. In the future, we may conduct additional offerings of one or more of these securities utilizing the 2016 Shelf Registration Statement in such amounts, prices and terms to be announced when and if the securities are offered. At the time any of our securities covered by the 2016 Shelf Registration Statement are offered for sale, a prospectus supplement will be prepared and filed with the SEC containing specific information about the terms of any such offering.</w:t>
      </w:r>
    </w:p>
    <w:p>
      <w:pPr>
        <w:spacing w:after="0" w:line="165" w:lineRule="exact"/>
        <w:rPr>
          <w:sz w:val="20"/>
          <w:szCs w:val="20"/>
          <w:color w:val="auto"/>
        </w:rPr>
      </w:pPr>
    </w:p>
    <w:p>
      <w:pPr>
        <w:ind w:right="220" w:firstLine="648"/>
        <w:spacing w:after="0" w:line="226" w:lineRule="auto"/>
        <w:rPr>
          <w:sz w:val="20"/>
          <w:szCs w:val="20"/>
          <w:color w:val="auto"/>
        </w:rPr>
      </w:pPr>
      <w:r>
        <w:rPr>
          <w:rFonts w:ascii="Times New Roman" w:cs="Times New Roman" w:eastAsia="Times New Roman" w:hAnsi="Times New Roman"/>
          <w:sz w:val="18"/>
          <w:szCs w:val="18"/>
          <w:color w:val="auto"/>
        </w:rPr>
        <w:t>In March 2017, we completed an underwritten public offering, whereby we sold 4,304,813 shares of our common stock at a public offering price of $3.74 per share. We received gross proceeds of approximately $16.1 million and net proceeds of approximately $14.8 million, net of underwriting discounts and offering expenses.</w:t>
      </w:r>
    </w:p>
    <w:p>
      <w:pPr>
        <w:spacing w:after="0" w:line="118" w:lineRule="exact"/>
        <w:rPr>
          <w:sz w:val="20"/>
          <w:szCs w:val="20"/>
          <w:color w:val="auto"/>
        </w:rPr>
      </w:pPr>
    </w:p>
    <w:p>
      <w:pPr>
        <w:ind w:right="60" w:firstLine="648"/>
        <w:spacing w:after="0" w:line="212" w:lineRule="auto"/>
        <w:rPr>
          <w:sz w:val="20"/>
          <w:szCs w:val="20"/>
          <w:color w:val="auto"/>
        </w:rPr>
      </w:pPr>
      <w:r>
        <w:rPr>
          <w:rFonts w:ascii="Times New Roman" w:cs="Times New Roman" w:eastAsia="Times New Roman" w:hAnsi="Times New Roman"/>
          <w:sz w:val="18"/>
          <w:szCs w:val="18"/>
          <w:color w:val="auto"/>
        </w:rPr>
        <w:t>In October 2017, we entered into an “at-the-market” sales agreement, or the Sales Agreement, with Leerink, pursuant to which we could sell up to $30 million in shares of our common stock from time to time through Leerink, acting as our sales agent, in one or more at-the-market offerings. We received approximately $4.2 million in gross proceeds, of which net proceeds were approximately $4.1 million from the sales of our common stock to Leerink under the Sales Agreement during the year ended December 31, 2018. In January 2019, we raised approximately $25.8 million in gross proceeds through the sale of 3,164,015 shares under the Sales Agreement. Upon completion of the final sale fully exhausting the $30 million of shares available for sale, the Sales Agreement was automatically terminated, Leerink received a commission of 3.0% of the gross proceeds for all shares sold under the Sales Agreement.</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2017, we completed a registered direct offering priced at the market, which we refer to the as the 2017</w:t>
      </w:r>
    </w:p>
    <w:p>
      <w:pPr>
        <w:spacing w:after="0" w:line="203" w:lineRule="auto"/>
        <w:rPr>
          <w:sz w:val="20"/>
          <w:szCs w:val="20"/>
          <w:color w:val="auto"/>
        </w:rPr>
      </w:pPr>
      <w:r>
        <w:rPr>
          <w:rFonts w:ascii="Times New Roman" w:cs="Times New Roman" w:eastAsia="Times New Roman" w:hAnsi="Times New Roman"/>
          <w:sz w:val="18"/>
          <w:szCs w:val="18"/>
          <w:color w:val="auto"/>
        </w:rPr>
        <w:t>Registered Direct Offering, whereby we sold an aggregate of $9.5 million worth of units, or Units, at a purchase price of</w:t>
      </w:r>
    </w:p>
    <w:p>
      <w:pPr>
        <w:spacing w:after="0" w:line="204" w:lineRule="auto"/>
        <w:rPr>
          <w:sz w:val="20"/>
          <w:szCs w:val="20"/>
          <w:color w:val="auto"/>
        </w:rPr>
      </w:pPr>
      <w:r>
        <w:rPr>
          <w:rFonts w:ascii="Times New Roman" w:cs="Times New Roman" w:eastAsia="Times New Roman" w:hAnsi="Times New Roman"/>
          <w:sz w:val="18"/>
          <w:szCs w:val="18"/>
          <w:color w:val="auto"/>
        </w:rPr>
        <w:t>$5.325 per Unit, with each Unit consisting of (i) one share of our common stock, and (ii) a warrant to purchase one share of</w:t>
      </w:r>
    </w:p>
    <w:p>
      <w:pPr>
        <w:spacing w:after="0" w:line="203" w:lineRule="auto"/>
        <w:rPr>
          <w:sz w:val="20"/>
          <w:szCs w:val="20"/>
          <w:color w:val="auto"/>
        </w:rPr>
      </w:pPr>
      <w:r>
        <w:rPr>
          <w:rFonts w:ascii="Times New Roman" w:cs="Times New Roman" w:eastAsia="Times New Roman" w:hAnsi="Times New Roman"/>
          <w:sz w:val="18"/>
          <w:szCs w:val="18"/>
          <w:color w:val="auto"/>
        </w:rPr>
        <w:t>our common stock, or Common Warrant, at an exercise price equal to $5.25 per share. We sold an aggregate of 1,783,587</w:t>
      </w:r>
    </w:p>
    <w:p>
      <w:pPr>
        <w:spacing w:after="0" w:line="204" w:lineRule="auto"/>
        <w:rPr>
          <w:sz w:val="20"/>
          <w:szCs w:val="20"/>
          <w:color w:val="auto"/>
        </w:rPr>
      </w:pPr>
      <w:r>
        <w:rPr>
          <w:rFonts w:ascii="Times New Roman" w:cs="Times New Roman" w:eastAsia="Times New Roman" w:hAnsi="Times New Roman"/>
          <w:sz w:val="18"/>
          <w:szCs w:val="18"/>
          <w:color w:val="auto"/>
        </w:rPr>
        <w:t>Units in the 2017 Registered Direct Offering for gross proceeds of approximately $9.5 million and net proceeds of</w:t>
      </w:r>
    </w:p>
    <w:p>
      <w:pPr>
        <w:spacing w:after="0" w:line="203" w:lineRule="auto"/>
        <w:rPr>
          <w:sz w:val="20"/>
          <w:szCs w:val="20"/>
          <w:color w:val="auto"/>
        </w:rPr>
      </w:pPr>
      <w:r>
        <w:rPr>
          <w:rFonts w:ascii="Times New Roman" w:cs="Times New Roman" w:eastAsia="Times New Roman" w:hAnsi="Times New Roman"/>
          <w:sz w:val="18"/>
          <w:szCs w:val="18"/>
          <w:color w:val="auto"/>
        </w:rPr>
        <w:t>approximately $8.8 million, after deducting placement agent fees and offering expenses. Additionally, we issued warrants to</w:t>
      </w:r>
    </w:p>
    <w:p>
      <w:pPr>
        <w:spacing w:after="0" w:line="204" w:lineRule="auto"/>
        <w:rPr>
          <w:sz w:val="20"/>
          <w:szCs w:val="20"/>
          <w:color w:val="auto"/>
        </w:rPr>
      </w:pPr>
      <w:r>
        <w:rPr>
          <w:rFonts w:ascii="Times New Roman" w:cs="Times New Roman" w:eastAsia="Times New Roman" w:hAnsi="Times New Roman"/>
          <w:sz w:val="18"/>
          <w:szCs w:val="18"/>
          <w:color w:val="auto"/>
        </w:rPr>
        <w:t>purchase up to 107,015 shares of our common stock at an exercise price of $6.6562 per share to certain investors affiliated</w:t>
      </w:r>
    </w:p>
    <w:p>
      <w:pPr>
        <w:spacing w:after="0" w:line="204" w:lineRule="auto"/>
        <w:rPr>
          <w:sz w:val="20"/>
          <w:szCs w:val="20"/>
          <w:color w:val="auto"/>
        </w:rPr>
      </w:pPr>
      <w:r>
        <w:rPr>
          <w:rFonts w:ascii="Times New Roman" w:cs="Times New Roman" w:eastAsia="Times New Roman" w:hAnsi="Times New Roman"/>
          <w:sz w:val="18"/>
          <w:szCs w:val="18"/>
          <w:color w:val="auto"/>
        </w:rPr>
        <w:t>with H.C. Wainwright &amp; Co., LLC, placement agent for the offering, which we refer to as the Placement Agent Warrants.</w:t>
      </w:r>
    </w:p>
    <w:p>
      <w:pPr>
        <w:spacing w:after="0" w:line="203" w:lineRule="auto"/>
        <w:rPr>
          <w:sz w:val="20"/>
          <w:szCs w:val="20"/>
          <w:color w:val="auto"/>
        </w:rPr>
      </w:pPr>
      <w:r>
        <w:rPr>
          <w:rFonts w:ascii="Times New Roman" w:cs="Times New Roman" w:eastAsia="Times New Roman" w:hAnsi="Times New Roman"/>
          <w:sz w:val="18"/>
          <w:szCs w:val="18"/>
          <w:color w:val="auto"/>
        </w:rPr>
        <w:t>The Placement Agent Warrants had the same terms as the Common Warrants, except for the difference in exercise price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noted above. Both the Common Warrants and the Placement Agent Warrants expired on December 11, 2018.</w:t>
      </w:r>
    </w:p>
    <w:p>
      <w:pPr>
        <w:spacing w:after="0" w:line="165"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18"/>
          <w:szCs w:val="18"/>
          <w:color w:val="auto"/>
        </w:rPr>
        <w:t>On September 27, 2018, we entered into a purchase agreement with certain institutional and accredited investors, which we refer to as the RDO Investors, for the sale by us directly to the RDO Investors of an aggregate of 2,966,667 shares of our common stock, at a purchase price of $3.00 per share, which we refer to as the 2018 Registered Direct Offering, for gross proceeds of approximately $8.9 million. The 2018 Registered Direct Offering closed on October 1, 2018, and we received estimated net proceeds of approximately $8.8 million, after deducting transaction expenses. The 2,966,667 shares of common stock sold in the 2018 Registered Direct Offering were offered and sold by us directly to the RDO Investors, without a placement agent, underwriter, broker or dealer.</w:t>
      </w:r>
    </w:p>
    <w:p>
      <w:pPr>
        <w:spacing w:after="0" w:line="159"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In March 2019, we entered into the 2019 Term Loan with SVB and WestRiver for a term loan up to $24.0 million, which completely replaces the 2016 Original Term Loan and the 2016 Amended Term Loan. The initial tranche of $20.0 million was funded shortly after executing the loan agreement. The second tranche of $4.0 million is available to be drawn, at our option, subject to the achievement of positive data, on or prior to August 15, 2019, with respect to our ongoing Phase 2 clinical trial for AXS-12 in narcolepsy, sufficient to submit a Phase 3 protocol to FDA, provided that we have not received any objections from the FDA within thirty days after submission of such Phase 3 protocol A portion of the initial tranche was used to satisfy our then-existing obligations under our 2016 Amended Term Loan, and such obligations are considered to be fully repaid and completed.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We believe our currently available cash will be sufficient to fund our anticipated operating cash requirements into at least the first quarter of 2021. Because the process of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primary sources and uses of cash for the periods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6"/>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4"/>
              <w:spacing w:after="0" w:line="129"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3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Net cash (used in) provided by:</w:t>
            </w:r>
          </w:p>
        </w:tc>
        <w:tc>
          <w:tcPr>
            <w:tcW w:w="2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Operating activities</w:t>
            </w:r>
          </w:p>
        </w:tc>
        <w:tc>
          <w:tcPr>
            <w:tcW w:w="22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(9,499,210)</w:t>
            </w:r>
          </w:p>
        </w:tc>
        <w:tc>
          <w:tcPr>
            <w:tcW w:w="3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(6,680,439)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Investing activities</w:t>
            </w:r>
          </w:p>
        </w:tc>
        <w:tc>
          <w:tcPr>
            <w:tcW w:w="2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(14,576)</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Borders>
              <w:bottom w:val="single" w:sz="8" w:color="CCEEFF"/>
            </w:tcBorders>
          </w:tcPr>
          <w:p>
            <w:pPr>
              <w:ind w:left="200"/>
              <w:spacing w:after="0" w:line="176" w:lineRule="exact"/>
              <w:rPr>
                <w:sz w:val="20"/>
                <w:szCs w:val="20"/>
                <w:color w:val="auto"/>
              </w:rPr>
            </w:pPr>
            <w:r>
              <w:rPr>
                <w:rFonts w:ascii="Times New Roman" w:cs="Times New Roman" w:eastAsia="Times New Roman" w:hAnsi="Times New Roman"/>
                <w:sz w:val="18"/>
                <w:szCs w:val="18"/>
                <w:color w:val="auto"/>
              </w:rPr>
              <w:t>Financing activities</w:t>
            </w:r>
          </w:p>
        </w:tc>
        <w:tc>
          <w:tcPr>
            <w:tcW w:w="2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38,154,955</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(693,413)</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Net increase (decrease) in cash</w:t>
            </w:r>
          </w:p>
        </w:tc>
        <w:tc>
          <w:tcPr>
            <w:tcW w:w="2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28,655,745</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(7,388,428)</w:t>
            </w: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60" w:firstLine="648"/>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used in operating activities for the three months ended March 31, 2019 was $9.5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$6.7 million for the three months ended March 31, 2018. The increase of $2.8 million in net cash used was primarily related to higher research and development spend related to multiple product candidates in clinical trials.</w:t>
      </w:r>
    </w:p>
    <w:p>
      <w:pPr>
        <w:spacing w:after="0" w:line="155" w:lineRule="exact"/>
        <w:rPr>
          <w:sz w:val="20"/>
          <w:szCs w:val="20"/>
          <w:color w:val="auto"/>
        </w:rPr>
      </w:pPr>
    </w:p>
    <w:p>
      <w:pPr>
        <w:ind w:right="420"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for the purchase of property and equipment was less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$0.1 million for the three months ended March 31, 2019 and 2018.</w:t>
      </w:r>
    </w:p>
    <w:p>
      <w:pPr>
        <w:spacing w:after="0" w:line="157" w:lineRule="exact"/>
        <w:rPr>
          <w:sz w:val="20"/>
          <w:szCs w:val="20"/>
          <w:color w:val="auto"/>
        </w:rPr>
      </w:pPr>
    </w:p>
    <w:p>
      <w:pPr>
        <w:ind w:right="140" w:firstLine="648"/>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was $38.1 million for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2019, which included net proceeds from the sale of common stock through our Sales Agreement with Leerink of $25.0 million and proceeds from the 2019 Term Loan of $20.0 million, offset by the repayment on our 2016 Amended Term Loan of $7.2 million. Cash used by financing activities was $0.7 million for the three months ended March 31, 2018, which included principal payments of our 2016 Original Term Loan of $0.8 million, offset by the net proceeds from the sale of common stock through our Sales Agreement with Leerink of $0.1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89"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18"/>
          <w:szCs w:val="18"/>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58"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We anticipate that we will need to raise substantial additional financing in the future to fund our operations. In order to meet these additional cash requirements, we may incur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59" w:lineRule="exact"/>
        <w:rPr>
          <w:sz w:val="20"/>
          <w:szCs w:val="20"/>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our clinical studies and other related activities;</w:t>
      </w:r>
    </w:p>
    <w:p>
      <w:pPr>
        <w:spacing w:after="0" w:line="117" w:lineRule="exact"/>
        <w:rPr>
          <w:rFonts w:ascii="Times New Roman" w:cs="Times New Roman" w:eastAsia="Times New Roman" w:hAnsi="Times New Roman"/>
          <w:sz w:val="18"/>
          <w:szCs w:val="18"/>
          <w:color w:val="auto"/>
        </w:rPr>
      </w:pPr>
    </w:p>
    <w:p>
      <w:pPr>
        <w:ind w:left="980" w:right="320" w:hanging="329"/>
        <w:spacing w:after="0" w:line="237"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collaborative agreements for the development and commercialization of our product candidates;</w:t>
      </w:r>
    </w:p>
    <w:p>
      <w:pPr>
        <w:spacing w:after="0" w:line="90"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any other product candidates that we pursue;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hanging="329"/>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reviews of our product candidates;</w:t>
      </w:r>
    </w:p>
    <w:p>
      <w:pPr>
        <w:spacing w:after="0" w:line="117" w:lineRule="exact"/>
        <w:rPr>
          <w:rFonts w:ascii="Times New Roman" w:cs="Times New Roman" w:eastAsia="Times New Roman" w:hAnsi="Times New Roman"/>
          <w:sz w:val="18"/>
          <w:szCs w:val="18"/>
          <w:color w:val="auto"/>
        </w:rPr>
      </w:pPr>
    </w:p>
    <w:p>
      <w:pPr>
        <w:ind w:left="980" w:right="120" w:hanging="329"/>
        <w:spacing w:after="0" w:line="23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90"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 candidates;</w:t>
      </w:r>
    </w:p>
    <w:p>
      <w:pPr>
        <w:spacing w:after="0" w:line="117"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and retain skilled personnel;</w:t>
      </w:r>
    </w:p>
    <w:p>
      <w:pPr>
        <w:spacing w:after="0" w:line="117"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and administrative expenses related to being a public company;</w:t>
      </w:r>
    </w:p>
    <w:p>
      <w:pPr>
        <w:spacing w:after="0" w:line="117" w:lineRule="exact"/>
        <w:rPr>
          <w:rFonts w:ascii="Times New Roman" w:cs="Times New Roman" w:eastAsia="Times New Roman" w:hAnsi="Times New Roman"/>
          <w:sz w:val="18"/>
          <w:szCs w:val="18"/>
          <w:color w:val="auto"/>
        </w:rPr>
      </w:pPr>
    </w:p>
    <w:p>
      <w:pPr>
        <w:ind w:left="980" w:right="160" w:hanging="329"/>
        <w:spacing w:after="0" w:line="23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90" w:lineRule="exact"/>
        <w:rPr>
          <w:rFonts w:ascii="Times New Roman" w:cs="Times New Roman" w:eastAsia="Times New Roman" w:hAnsi="Times New Roman"/>
          <w:sz w:val="18"/>
          <w:szCs w:val="18"/>
          <w:color w:val="auto"/>
        </w:rPr>
      </w:pPr>
    </w:p>
    <w:p>
      <w:pPr>
        <w:ind w:left="980" w:right="480" w:hanging="329"/>
        <w:spacing w:after="0" w:line="215" w:lineRule="exact"/>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“Risk Factors” for additional risks associated with our substantial capital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 with Antecip Bioventures</w:t>
      </w:r>
    </w:p>
    <w:p>
      <w:pPr>
        <w:spacing w:after="0" w:line="187" w:lineRule="exact"/>
        <w:rPr>
          <w:sz w:val="20"/>
          <w:szCs w:val="20"/>
          <w:color w:val="auto"/>
        </w:rPr>
      </w:pPr>
    </w:p>
    <w:p>
      <w:pPr>
        <w:ind w:right="160" w:firstLine="648"/>
        <w:spacing w:after="0" w:line="220" w:lineRule="auto"/>
        <w:rPr>
          <w:sz w:val="20"/>
          <w:szCs w:val="20"/>
          <w:color w:val="auto"/>
        </w:rPr>
      </w:pPr>
      <w:r>
        <w:rPr>
          <w:rFonts w:ascii="Times New Roman" w:cs="Times New Roman" w:eastAsia="Times New Roman" w:hAnsi="Times New Roman"/>
          <w:sz w:val="18"/>
          <w:szCs w:val="18"/>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2016 Loan and Security Agreement—Silicon Valley Bank</w:t>
      </w:r>
    </w:p>
    <w:p>
      <w:pPr>
        <w:spacing w:after="0" w:line="146" w:lineRule="exact"/>
        <w:rPr>
          <w:sz w:val="20"/>
          <w:szCs w:val="20"/>
          <w:color w:val="auto"/>
        </w:rPr>
      </w:pPr>
    </w:p>
    <w:p>
      <w:pPr>
        <w:ind w:right="120" w:firstLine="648"/>
        <w:spacing w:after="0" w:line="213" w:lineRule="auto"/>
        <w:rPr>
          <w:sz w:val="20"/>
          <w:szCs w:val="20"/>
          <w:color w:val="auto"/>
        </w:rPr>
      </w:pPr>
      <w:r>
        <w:rPr>
          <w:rFonts w:ascii="Times New Roman" w:cs="Times New Roman" w:eastAsia="Times New Roman" w:hAnsi="Times New Roman"/>
          <w:sz w:val="18"/>
          <w:szCs w:val="18"/>
          <w:color w:val="auto"/>
        </w:rPr>
        <w:t>In November 2016, we entered into the 2016 Original Term Loan with SVB, for a term loan of up to $20.0 million. The initial tranche of $10.0 million was funded shortly after executing the loan agreement. We were scheduled to make interest only payments on the loan until December 1, 2017, which could have been extended under certain circumstances. Under the terms of the loan, we had the opportunity, but not the obligation to, draw two additional tranches of $5.0 million each prior to November 9, 2017 and December 31, 2017, subject to the achievement of certain clinical and financial milestones. Because we did not achieve the conditional criteria to access the second and third tranches before the specified dates, the $10.0 million in additional term loan advances expired.</w:t>
      </w:r>
    </w:p>
    <w:p>
      <w:pPr>
        <w:spacing w:after="0" w:line="159"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18"/>
          <w:szCs w:val="18"/>
          <w:color w:val="auto"/>
        </w:rPr>
        <w:t>The 2016 Original Term Loan accrued interest at an annual rate equal to 4.50% plus the prime rate, which was the greater of 3.50% or the Wall Street Journal prime rate, and was payable monthly. Following the interest only payment period, we began making monthly payments of principal and interest. In addition, we were required to pay a final payment fee of 8.5% of the principal amount extended to us on the date of repayment of the outstanding loan.</w:t>
      </w:r>
    </w:p>
    <w:p>
      <w:pPr>
        <w:spacing w:after="0" w:line="159" w:lineRule="exact"/>
        <w:rPr>
          <w:sz w:val="20"/>
          <w:szCs w:val="20"/>
          <w:color w:val="auto"/>
        </w:rPr>
      </w:pPr>
    </w:p>
    <w:p>
      <w:pPr>
        <w:ind w:right="280" w:firstLine="648"/>
        <w:spacing w:after="0" w:line="217" w:lineRule="auto"/>
        <w:rPr>
          <w:sz w:val="20"/>
          <w:szCs w:val="20"/>
          <w:color w:val="auto"/>
        </w:rPr>
      </w:pPr>
      <w:r>
        <w:rPr>
          <w:rFonts w:ascii="Times New Roman" w:cs="Times New Roman" w:eastAsia="Times New Roman" w:hAnsi="Times New Roman"/>
          <w:sz w:val="18"/>
          <w:szCs w:val="18"/>
          <w:color w:val="auto"/>
        </w:rPr>
        <w:t>We were permitted to prepay all, but not less than all, of the 2016 Original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was collateralized by a security interest in all of our assets except intellectual property. Our intellectual property was subject to a negative pledge.</w:t>
      </w:r>
    </w:p>
    <w:p>
      <w:pPr>
        <w:spacing w:after="0" w:line="15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In connection with the loan, SVB and Life Science Loans, LLC, received warrants to purchase an aggregate 65,228 shares of our common stock at an exercise price of $7.41 per share, which are exercisable for seven years from the date of issuance.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firstLine="648"/>
        <w:spacing w:after="0" w:line="220" w:lineRule="auto"/>
        <w:rPr>
          <w:sz w:val="20"/>
          <w:szCs w:val="20"/>
          <w:color w:val="auto"/>
        </w:rPr>
      </w:pPr>
      <w:r>
        <w:rPr>
          <w:rFonts w:ascii="Times New Roman" w:cs="Times New Roman" w:eastAsia="Times New Roman" w:hAnsi="Times New Roman"/>
          <w:sz w:val="18"/>
          <w:szCs w:val="18"/>
          <w:color w:val="auto"/>
        </w:rPr>
        <w:t>We allocated the proceeds of $10.0 million based on the relative fair values of the debt instrument and the warrant instrument. The relative fair value of the warrants of approximately $0.3 million at the time of issuance, which was determined using the Black-Scholes option-pricing model, was recorded as additional paid-in capital and reduced the carrying value of the debt. The discount on the debt was being amortized to interest expense over the term of the debt.</w:t>
      </w:r>
    </w:p>
    <w:p>
      <w:pPr>
        <w:spacing w:after="0" w:line="15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In November 2018, we amended the 2016 Original Term Loan to provide an additional $4 million growth capital loan, related to our narcolepsy clinical program with AXS-12. The additional capital was available to be drawn, at our option, subject to the achievement of a specified clinical milestone. In connection with the 2016 Amended Term Loan, SVB and WestRiver received warrants to purchase an aggregate 15,750 shares of our common stock at an exercise price of $3.06 per share, which are exercisable for seven years from the date of issuance.</w:t>
      </w:r>
    </w:p>
    <w:p>
      <w:pPr>
        <w:spacing w:after="0" w:line="158" w:lineRule="exact"/>
        <w:rPr>
          <w:sz w:val="20"/>
          <w:szCs w:val="20"/>
          <w:color w:val="auto"/>
        </w:rPr>
      </w:pPr>
    </w:p>
    <w:p>
      <w:pPr>
        <w:ind w:right="20" w:firstLine="648"/>
        <w:spacing w:after="0" w:line="226" w:lineRule="auto"/>
        <w:rPr>
          <w:sz w:val="20"/>
          <w:szCs w:val="20"/>
          <w:color w:val="auto"/>
        </w:rPr>
      </w:pPr>
      <w:r>
        <w:rPr>
          <w:rFonts w:ascii="Times New Roman" w:cs="Times New Roman" w:eastAsia="Times New Roman" w:hAnsi="Times New Roman"/>
          <w:sz w:val="18"/>
          <w:szCs w:val="18"/>
          <w:color w:val="auto"/>
        </w:rPr>
        <w:t>Our obligations under the 2016 Amended Term Loan, along with the ability to draw down on the additional $4.0 million tranche, were considered to be performed and completed in connection with the establishment of the 2019 Term Loan during March 2019.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2019 Loan and Security Agreement—Silicon Valley Bank</w:t>
      </w:r>
    </w:p>
    <w:p>
      <w:pPr>
        <w:spacing w:after="0" w:line="187"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18"/>
          <w:szCs w:val="18"/>
          <w:color w:val="auto"/>
        </w:rPr>
        <w:t>In March 2019, we entered into the 2019 Term Loan with SVB and WestRiver consisting of an initial $20.0 million tranche, which was funded shortly upon closing, with the remaining $4.0 million available to be drawn, at our option, subject to the achievement of positive data, on or prior to August 15, 2019, with respect to our ongoing Phase 2 clinical trial for AXS-12 in narcolepsy, sufficient to submit a Phase 3 protocol to the FDA, provided that we have not received any objections from the FDA within thirty days after submission of such Phase 3 protocol. A portion of the first tranche was used to satisfy our then-existing obligations under our 2016 Amended Term Loan and such obligations are considered to be fully repaid and completed.</w:t>
      </w:r>
    </w:p>
    <w:p>
      <w:pPr>
        <w:spacing w:after="0" w:line="159"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The 2019 Term Loan accrues interest on the unpaid principal balance of the outstanding loan advances at a floating per annum rate equal to the greater of (i) seven and one-half of one percent (7.50%) and (ii) two percent (2.0%) above the prime rate. and is payable monthly. It has an interest-only monthly payment period for twelve months which may be extended to 18 months upon drawing of the second trance. Following the interest only payment period, we will begin making monthly payments of principal and interest and these payments will continue until the maturity date of February 1, 2023. In addition, we are required to pay a final payment fee of 6.0% of the principal amount extended to us on the date of repayment of the outstanding loan.</w:t>
      </w:r>
    </w:p>
    <w:p>
      <w:pPr>
        <w:spacing w:after="0" w:line="38" w:lineRule="exact"/>
        <w:rPr>
          <w:sz w:val="20"/>
          <w:szCs w:val="20"/>
          <w:color w:val="auto"/>
        </w:rPr>
      </w:pPr>
    </w:p>
    <w:p>
      <w:pPr>
        <w:ind w:right="40" w:firstLine="648"/>
        <w:spacing w:after="0" w:line="214" w:lineRule="auto"/>
        <w:rPr>
          <w:sz w:val="20"/>
          <w:szCs w:val="20"/>
          <w:color w:val="auto"/>
        </w:rPr>
      </w:pPr>
      <w:r>
        <w:rPr>
          <w:rFonts w:ascii="Times New Roman" w:cs="Times New Roman" w:eastAsia="Times New Roman" w:hAnsi="Times New Roman"/>
          <w:sz w:val="18"/>
          <w:szCs w:val="18"/>
          <w:color w:val="auto"/>
        </w:rPr>
        <w:t>We are permitted to prepay all, but not less than all, of the 2019 Term Loan, subject to a prepayment premium of 3.0% of the outstanding principal if prepaid within one year of the effective date of the loan, 2.0% of the outstanding principal if prepaid after the first anniversary of the effective date but on prior to the second anniversary of the effective date, and 1.0% of the outstanding principal if prepaid after the second anniversary of the effective date. The term loan is collateralized by a security interest in all of our assets except intellectual property. Our intellectual property is subject to a negative pledge.</w:t>
      </w:r>
    </w:p>
    <w:p>
      <w:pPr>
        <w:spacing w:after="0" w:line="162" w:lineRule="exact"/>
        <w:rPr>
          <w:sz w:val="20"/>
          <w:szCs w:val="20"/>
          <w:color w:val="auto"/>
        </w:rPr>
      </w:pPr>
    </w:p>
    <w:p>
      <w:pPr>
        <w:ind w:right="40" w:firstLine="648"/>
        <w:spacing w:after="0" w:line="214" w:lineRule="auto"/>
        <w:rPr>
          <w:sz w:val="20"/>
          <w:szCs w:val="20"/>
          <w:color w:val="auto"/>
        </w:rPr>
      </w:pPr>
      <w:r>
        <w:rPr>
          <w:rFonts w:ascii="Times New Roman" w:cs="Times New Roman" w:eastAsia="Times New Roman" w:hAnsi="Times New Roman"/>
          <w:sz w:val="18"/>
          <w:szCs w:val="18"/>
          <w:color w:val="auto"/>
        </w:rPr>
        <w:t>In connection with the 2019 Term Loan, SVB and WestRiver received warrants to purchase an aggregate 70,000 shares of our common stock at an exercise price of $8.10 per share, which are exercisable for seven years from the date of issuance. The warrants will be earned based upon the usage of the facility and are exercisable until March 4, 2026. The warrants were classified as a component of stockholders’ equity, of which 58,332 warrants were immediately exercisable and the remaining 11,668 warrants will be issued based on usage of the second tranche of the 2019 Term Loan. The additional warrants will be immediately exercisable if and when they are issued by us.</w:t>
      </w:r>
    </w:p>
    <w:p>
      <w:pPr>
        <w:spacing w:after="0" w:line="27" w:lineRule="exact"/>
        <w:rPr>
          <w:sz w:val="20"/>
          <w:szCs w:val="20"/>
          <w:color w:val="auto"/>
        </w:rPr>
      </w:pPr>
    </w:p>
    <w:p>
      <w:pPr>
        <w:ind w:right="200" w:firstLine="648"/>
        <w:spacing w:after="0" w:line="220" w:lineRule="auto"/>
        <w:rPr>
          <w:sz w:val="20"/>
          <w:szCs w:val="20"/>
          <w:color w:val="auto"/>
        </w:rPr>
      </w:pPr>
      <w:r>
        <w:rPr>
          <w:rFonts w:ascii="Times New Roman" w:cs="Times New Roman" w:eastAsia="Times New Roman" w:hAnsi="Times New Roman"/>
          <w:sz w:val="18"/>
          <w:szCs w:val="18"/>
          <w:color w:val="auto"/>
        </w:rPr>
        <w:t>We allocated the proceeds of $20.0 million based on the relative fair values of the debt instrument and the warrant instrument. The relative fair value of the warrants of approximately $0.4 million at the time of issuance, which was determined using the Black-Scholes option-pricing model, was recorded as additional paid-in capital and reduced the carrying value of the debt. The discount on the debt is being amortized to interest expense over the term of the debt.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Off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Balance Sheet Arrangements</w:t>
      </w:r>
    </w:p>
    <w:p>
      <w:pPr>
        <w:spacing w:after="0" w:line="185" w:lineRule="exact"/>
        <w:rPr>
          <w:sz w:val="20"/>
          <w:szCs w:val="20"/>
          <w:color w:val="auto"/>
        </w:rPr>
      </w:pPr>
    </w:p>
    <w:p>
      <w:pPr>
        <w:ind w:right="59" w:firstLine="648"/>
        <w:spacing w:after="0" w:line="220" w:lineRule="exact"/>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as defined by applicable SEC regulations.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119" w:firstLine="647"/>
        <w:spacing w:after="0" w:line="226" w:lineRule="auto"/>
        <w:rPr>
          <w:sz w:val="20"/>
          <w:szCs w:val="20"/>
          <w:color w:val="auto"/>
        </w:rPr>
      </w:pPr>
      <w:r>
        <w:rPr>
          <w:rFonts w:ascii="Times New Roman" w:cs="Times New Roman" w:eastAsia="Times New Roman" w:hAnsi="Times New Roman"/>
          <w:sz w:val="18"/>
          <w:szCs w:val="18"/>
          <w:color w:val="auto"/>
        </w:rPr>
        <w:t>Refer to Note 2 –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00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 ABOUT MARKET RISK </w:t>
      </w:r>
      <w:r>
        <w:rPr>
          <w:rFonts w:ascii="Times New Roman" w:cs="Times New Roman" w:eastAsia="Times New Roman" w:hAnsi="Times New Roman"/>
          <w:sz w:val="18"/>
          <w:szCs w:val="18"/>
          <w:i w:val="1"/>
          <w:iCs w:val="1"/>
          <w:color w:val="auto"/>
        </w:rPr>
        <w:t>Interest Rate Risk</w:t>
      </w:r>
    </w:p>
    <w:p>
      <w:pPr>
        <w:spacing w:after="0" w:line="1" w:lineRule="exact"/>
        <w:rPr>
          <w:sz w:val="20"/>
          <w:szCs w:val="20"/>
          <w:color w:val="auto"/>
        </w:rPr>
      </w:pPr>
    </w:p>
    <w:p>
      <w:pPr>
        <w:ind w:right="40" w:firstLine="648"/>
        <w:spacing w:after="0" w:line="184" w:lineRule="exact"/>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market risks are principally limited to interest rate fluctuations. We had cash of $42.6 million and $14.0 million as of March 31, 2019 and December 31, 2018, respectively.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our investment portfolio, we do not believe an immediate 10% increase in interest rates would have a material effect on the fair market value of our portfolio, and, accordingly, we do not expect our operating results or cash flows to be materially affected by a sudden change in market interest rates.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58" w:lineRule="exact"/>
        <w:rPr>
          <w:sz w:val="20"/>
          <w:szCs w:val="20"/>
          <w:color w:val="auto"/>
        </w:rPr>
      </w:pPr>
    </w:p>
    <w:p>
      <w:pPr>
        <w:ind w:right="60" w:firstLine="648"/>
        <w:spacing w:after="0" w:line="193" w:lineRule="exact"/>
        <w:rPr>
          <w:sz w:val="20"/>
          <w:szCs w:val="20"/>
          <w:color w:val="auto"/>
        </w:rPr>
      </w:pPr>
      <w:r>
        <w:rPr>
          <w:rFonts w:ascii="Times New Roman" w:cs="Times New Roman" w:eastAsia="Times New Roman" w:hAnsi="Times New Roman"/>
          <w:sz w:val="18"/>
          <w:szCs w:val="18"/>
          <w:color w:val="auto"/>
        </w:rPr>
        <w:t>We contract with vendors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61" w:lineRule="exact"/>
        <w:rPr>
          <w:sz w:val="20"/>
          <w:szCs w:val="20"/>
          <w:color w:val="auto"/>
        </w:rPr>
      </w:pPr>
    </w:p>
    <w:p>
      <w:pPr>
        <w:ind w:right="300" w:firstLine="648"/>
        <w:spacing w:after="0" w:line="237" w:lineRule="auto"/>
        <w:rPr>
          <w:sz w:val="20"/>
          <w:szCs w:val="20"/>
          <w:color w:val="auto"/>
        </w:rPr>
      </w:pPr>
      <w:r>
        <w:rPr>
          <w:rFonts w:ascii="Times New Roman" w:cs="Times New Roman" w:eastAsia="Times New Roman" w:hAnsi="Times New Roman"/>
          <w:sz w:val="18"/>
          <w:szCs w:val="18"/>
          <w:color w:val="auto"/>
        </w:rPr>
        <w:t>We do not believe a 10% change in these currencies on March 31, 2019 would have had a material effect on our results of operations or financial condition.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87"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pricing of contracts. We do not believe that inflation has had a material effect on our business, financial condition, or results of operations during the three months ended March 31, 2019.</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6"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Our management, with the participation of our principal executive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principal financial 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61"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has been no change in internal controls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that occurred during the period covered by this report that has materially affected, or is reasonably likely to materially affect, our internal control over financial reporting.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jc w:val="both"/>
        <w:ind w:right="580" w:firstLine="648"/>
        <w:spacing w:after="0" w:line="226" w:lineRule="auto"/>
        <w:rPr>
          <w:sz w:val="20"/>
          <w:szCs w:val="20"/>
          <w:color w:val="auto"/>
        </w:rPr>
      </w:pPr>
      <w:r>
        <w:rPr>
          <w:rFonts w:ascii="Times New Roman" w:cs="Times New Roman" w:eastAsia="Times New Roman" w:hAnsi="Times New Roman"/>
          <w:sz w:val="18"/>
          <w:szCs w:val="18"/>
          <w:color w:val="auto"/>
        </w:rPr>
        <w:t>We, and our subsidiaries, are not a party to, and our property is not the subject of, any material pending legal proceedings; however, we may become involved in various claims and legal actions arising in the ordinary course of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85"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anticipate that we will incur substantial and increasing losses for the foreseeable future, and may never achieve or maintain profitability.</w:t>
      </w:r>
    </w:p>
    <w:p>
      <w:pPr>
        <w:spacing w:after="0" w:line="157" w:lineRule="exact"/>
        <w:rPr>
          <w:sz w:val="20"/>
          <w:szCs w:val="20"/>
          <w:color w:val="auto"/>
        </w:rPr>
      </w:pPr>
    </w:p>
    <w:p>
      <w:pPr>
        <w:ind w:right="40" w:firstLine="648"/>
        <w:spacing w:after="0" w:line="208" w:lineRule="auto"/>
        <w:rPr>
          <w:sz w:val="20"/>
          <w:szCs w:val="20"/>
          <w:color w:val="auto"/>
        </w:rPr>
      </w:pPr>
      <w:r>
        <w:rPr>
          <w:rFonts w:ascii="Times New Roman" w:cs="Times New Roman" w:eastAsia="Times New Roman" w:hAnsi="Times New Roman"/>
          <w:sz w:val="18"/>
          <w:szCs w:val="18"/>
          <w:color w:val="auto"/>
        </w:rPr>
        <w:t>We are a clinical stage biopharmaceutical company with a limited operating history. For the last several years, we have focused our efforts primarily on developing CNS product candidates, AXS-05, AXS-07, AXS-09, and AXS-12, as well as our Axsome PPC product candidates, AXS-02 and AXS-06, which we refer to herein as our product candidates, with the goal of achieving regulatory approval. Since inception, we have incurred significant operating losses. Our net losses were $10.6 million and $31.0 million for three months ended March 31, 2019 and the year ended December 31, 2018, respectively. As of March 31, 2019, we had an accumulated deficit of $118.2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38" w:lineRule="exact"/>
        <w:rPr>
          <w:sz w:val="20"/>
          <w:szCs w:val="20"/>
          <w:color w:val="auto"/>
        </w:rPr>
      </w:pPr>
    </w:p>
    <w:p>
      <w:pPr>
        <w:ind w:left="660" w:hanging="333"/>
        <w:spacing w:after="0" w:line="207" w:lineRule="exact"/>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and planned Phase 3 clinical trials with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for treatment of depression;</w:t>
      </w:r>
    </w:p>
    <w:p>
      <w:pPr>
        <w:spacing w:after="0" w:line="213"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planned open-label safety extension trial for AXS-05;</w:t>
      </w:r>
    </w:p>
    <w:p>
      <w:pPr>
        <w:spacing w:after="0" w:line="156" w:lineRule="exact"/>
        <w:rPr>
          <w:rFonts w:ascii="Times New Roman" w:cs="Times New Roman" w:eastAsia="Times New Roman" w:hAnsi="Times New Roman"/>
          <w:sz w:val="18"/>
          <w:szCs w:val="18"/>
          <w:color w:val="auto"/>
        </w:rPr>
      </w:pPr>
    </w:p>
    <w:p>
      <w:pPr>
        <w:ind w:left="660" w:right="20" w:hanging="333"/>
        <w:spacing w:after="0" w:line="220" w:lineRule="exact"/>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Phase 2/3 clinical trials with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for the treatment of agitation associated with Alzheimer’s disease, or AD agitation;</w:t>
      </w:r>
    </w:p>
    <w:p>
      <w:pPr>
        <w:spacing w:after="0" w:line="157"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Phase 3 clinical trial with AXS-07 for the acute treatment of migraine;</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Phase 2 clinical trial with AXS-12 in narcolepsy;</w:t>
      </w:r>
    </w:p>
    <w:p>
      <w:pPr>
        <w:spacing w:after="0" w:line="184" w:lineRule="exact"/>
        <w:rPr>
          <w:rFonts w:ascii="Times New Roman" w:cs="Times New Roman" w:eastAsia="Times New Roman" w:hAnsi="Times New Roman"/>
          <w:sz w:val="18"/>
          <w:szCs w:val="18"/>
          <w:color w:val="auto"/>
        </w:rPr>
      </w:pPr>
    </w:p>
    <w:p>
      <w:pPr>
        <w:ind w:left="660" w:right="120" w:hanging="333"/>
        <w:spacing w:after="0" w:line="23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AXS-05 for smoking cessation treatment and AXS-09 for the treatment of CNS disorders;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139" w:hanging="333"/>
        <w:spacing w:after="0" w:line="195" w:lineRule="exact"/>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our Axsome PPC product candidates, including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for the treatment of pain associated with knee osteoarthritis, or OA, associated with bone marrow lesions, or BMLs and AXS-06 for the treatment of osteoarthritis and rheumatoid arthritis;</w:t>
      </w:r>
    </w:p>
    <w:p>
      <w:pPr>
        <w:spacing w:after="0" w:line="129" w:lineRule="exact"/>
        <w:rPr>
          <w:rFonts w:ascii="Times New Roman" w:cs="Times New Roman" w:eastAsia="Times New Roman" w:hAnsi="Times New Roman"/>
          <w:sz w:val="18"/>
          <w:szCs w:val="18"/>
          <w:color w:val="auto"/>
        </w:rPr>
      </w:pPr>
    </w:p>
    <w:p>
      <w:pPr>
        <w:ind w:left="660" w:hanging="333"/>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acquire additional product candidates;</w:t>
      </w:r>
    </w:p>
    <w:p>
      <w:pPr>
        <w:spacing w:after="0" w:line="184" w:lineRule="exact"/>
        <w:rPr>
          <w:rFonts w:ascii="Times New Roman" w:cs="Times New Roman" w:eastAsia="Times New Roman" w:hAnsi="Times New Roman"/>
          <w:sz w:val="18"/>
          <w:szCs w:val="18"/>
          <w:color w:val="auto"/>
        </w:rPr>
      </w:pPr>
    </w:p>
    <w:p>
      <w:pPr>
        <w:ind w:left="660" w:hanging="333"/>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for any product candidates that successfully complete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w:t>
      </w:r>
    </w:p>
    <w:p>
      <w:pPr>
        <w:spacing w:after="0" w:line="184" w:lineRule="exact"/>
        <w:rPr>
          <w:rFonts w:ascii="Times New Roman" w:cs="Times New Roman" w:eastAsia="Times New Roman" w:hAnsi="Times New Roman"/>
          <w:sz w:val="18"/>
          <w:szCs w:val="18"/>
          <w:color w:val="auto"/>
        </w:rPr>
      </w:pPr>
    </w:p>
    <w:p>
      <w:pPr>
        <w:ind w:left="660" w:hanging="333"/>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w:t>
      </w:r>
    </w:p>
    <w:p>
      <w:pPr>
        <w:spacing w:after="0" w:line="184" w:lineRule="exact"/>
        <w:rPr>
          <w:rFonts w:ascii="Times New Roman" w:cs="Times New Roman" w:eastAsia="Times New Roman" w:hAnsi="Times New Roman"/>
          <w:sz w:val="18"/>
          <w:szCs w:val="18"/>
          <w:color w:val="auto"/>
        </w:rPr>
      </w:pPr>
    </w:p>
    <w:p>
      <w:pPr>
        <w:ind w:left="660" w:hanging="333"/>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with any product candidates;</w:t>
      </w:r>
    </w:p>
    <w:p>
      <w:pPr>
        <w:spacing w:after="0" w:line="213"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clinical studies with any additional product candidates;</w:t>
      </w:r>
    </w:p>
    <w:p>
      <w:pPr>
        <w:spacing w:after="0" w:line="184" w:lineRule="exact"/>
        <w:rPr>
          <w:rFonts w:ascii="Times New Roman" w:cs="Times New Roman" w:eastAsia="Times New Roman" w:hAnsi="Times New Roman"/>
          <w:sz w:val="18"/>
          <w:szCs w:val="18"/>
          <w:color w:val="auto"/>
        </w:rPr>
      </w:pPr>
    </w:p>
    <w:p>
      <w:pPr>
        <w:ind w:left="660" w:right="759" w:hanging="333"/>
        <w:spacing w:after="0" w:line="23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manufacturing batch sizes of our product candidates to satisfy FDA requirements for a marketing application submission;</w:t>
      </w:r>
    </w:p>
    <w:p>
      <w:pPr>
        <w:spacing w:after="0" w:line="158" w:lineRule="exact"/>
        <w:rPr>
          <w:rFonts w:ascii="Times New Roman" w:cs="Times New Roman" w:eastAsia="Times New Roman" w:hAnsi="Times New Roman"/>
          <w:sz w:val="18"/>
          <w:szCs w:val="18"/>
          <w:color w:val="auto"/>
        </w:rPr>
      </w:pPr>
    </w:p>
    <w:p>
      <w:pPr>
        <w:ind w:left="660" w:right="319" w:hanging="333"/>
        <w:spacing w:after="0" w:line="22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and scale up external manufacturing capabilities to commercialize any products for which we may obtain regulatory approval and that we choose not to license to a third party;</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larger quantities of product;</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84" w:lineRule="exact"/>
        <w:rPr>
          <w:rFonts w:ascii="Times New Roman" w:cs="Times New Roman" w:eastAsia="Times New Roman" w:hAnsi="Times New Roman"/>
          <w:sz w:val="18"/>
          <w:szCs w:val="18"/>
          <w:color w:val="auto"/>
        </w:rPr>
      </w:pPr>
    </w:p>
    <w:p>
      <w:pPr>
        <w:ind w:left="660" w:right="119" w:hanging="333"/>
        <w:spacing w:after="0" w:line="23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candidate development and planned future commercialization efforts.</w:t>
      </w:r>
    </w:p>
    <w:p>
      <w:pPr>
        <w:spacing w:after="0" w:line="158" w:lineRule="exact"/>
        <w:rPr>
          <w:sz w:val="20"/>
          <w:szCs w:val="20"/>
          <w:color w:val="auto"/>
        </w:rPr>
      </w:pPr>
    </w:p>
    <w:p>
      <w:pPr>
        <w:ind w:right="119" w:firstLine="648"/>
        <w:spacing w:after="0" w:line="182" w:lineRule="exact"/>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1" w:lineRule="exact"/>
        <w:rPr>
          <w:sz w:val="20"/>
          <w:szCs w:val="20"/>
          <w:color w:val="auto"/>
        </w:rPr>
      </w:pPr>
    </w:p>
    <w:p>
      <w:pPr>
        <w:ind w:right="159" w:firstLine="648"/>
        <w:spacing w:after="0" w:line="217"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58" w:lineRule="exact"/>
        <w:rPr>
          <w:sz w:val="20"/>
          <w:szCs w:val="20"/>
          <w:color w:val="auto"/>
        </w:rPr>
      </w:pPr>
    </w:p>
    <w:p>
      <w:pPr>
        <w:jc w:val="both"/>
        <w:ind w:right="179" w:firstLine="648"/>
        <w:spacing w:after="0" w:line="233" w:lineRule="auto"/>
        <w:rPr>
          <w:sz w:val="20"/>
          <w:szCs w:val="20"/>
          <w:color w:val="auto"/>
        </w:rPr>
      </w:pPr>
      <w:r>
        <w:rPr>
          <w:rFonts w:ascii="Times New Roman" w:cs="Times New Roman" w:eastAsia="Times New Roman" w:hAnsi="Times New Roman"/>
          <w:sz w:val="17"/>
          <w:szCs w:val="17"/>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59" w:lineRule="exact"/>
        <w:rPr>
          <w:sz w:val="20"/>
          <w:szCs w:val="20"/>
          <w:color w:val="auto"/>
        </w:rPr>
      </w:pPr>
    </w:p>
    <w:p>
      <w:pPr>
        <w:jc w:val="both"/>
        <w:ind w:right="140" w:firstLine="648"/>
        <w:spacing w:after="0" w:line="195" w:lineRule="exact"/>
        <w:rPr>
          <w:sz w:val="20"/>
          <w:szCs w:val="20"/>
          <w:color w:val="auto"/>
        </w:rPr>
      </w:pPr>
      <w:r>
        <w:rPr>
          <w:rFonts w:ascii="Times New Roman" w:cs="Times New Roman" w:eastAsia="Times New Roman" w:hAnsi="Times New Roman"/>
          <w:sz w:val="18"/>
          <w:szCs w:val="18"/>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years to complete. We will need to raise additional capital to:</w:t>
      </w:r>
    </w:p>
    <w:p>
      <w:pPr>
        <w:spacing w:after="0" w:line="158" w:lineRule="exact"/>
        <w:rPr>
          <w:sz w:val="20"/>
          <w:szCs w:val="20"/>
          <w:color w:val="auto"/>
        </w:rPr>
      </w:pPr>
    </w:p>
    <w:p>
      <w:pPr>
        <w:ind w:left="660" w:right="40" w:hanging="333"/>
        <w:spacing w:after="0" w:line="23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future clinical trials for our current product candidates, especially if we encounter any unforeseen delays or difficulties in our planned development activities;</w:t>
      </w:r>
    </w:p>
    <w:p>
      <w:pPr>
        <w:spacing w:after="0" w:line="158" w:lineRule="exact"/>
        <w:rPr>
          <w:rFonts w:ascii="Times New Roman" w:cs="Times New Roman" w:eastAsia="Times New Roman" w:hAnsi="Times New Roman"/>
          <w:sz w:val="18"/>
          <w:szCs w:val="18"/>
          <w:color w:val="auto"/>
        </w:rPr>
      </w:pPr>
    </w:p>
    <w:p>
      <w:pPr>
        <w:jc w:val="both"/>
        <w:ind w:left="660" w:right="280" w:hanging="333"/>
        <w:spacing w:after="0" w:line="22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29" w:lineRule="exact"/>
        <w:rPr>
          <w:rFonts w:ascii="Times New Roman" w:cs="Times New Roman" w:eastAsia="Times New Roman" w:hAnsi="Times New Roman"/>
          <w:sz w:val="18"/>
          <w:szCs w:val="18"/>
          <w:color w:val="auto"/>
        </w:rPr>
      </w:pPr>
    </w:p>
    <w:p>
      <w:pPr>
        <w:ind w:left="660" w:right="520" w:hanging="333"/>
        <w:spacing w:after="0" w:line="220" w:lineRule="exact"/>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and outsource the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of our products under current good manufacturing practices, or cGMP;</w:t>
      </w:r>
    </w:p>
    <w:p>
      <w:pPr>
        <w:spacing w:after="0" w:line="157"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product candidates; and</w:t>
      </w:r>
    </w:p>
    <w:p>
      <w:pPr>
        <w:spacing w:after="0" w:line="156" w:lineRule="exact"/>
        <w:rPr>
          <w:rFonts w:ascii="Times New Roman" w:cs="Times New Roman" w:eastAsia="Times New Roman" w:hAnsi="Times New Roman"/>
          <w:sz w:val="18"/>
          <w:szCs w:val="18"/>
          <w:color w:val="auto"/>
        </w:rPr>
      </w:pPr>
    </w:p>
    <w:p>
      <w:pPr>
        <w:ind w:left="660" w:hanging="333"/>
        <w:spacing w:after="0" w:line="207" w:lineRule="exact"/>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product candidates.</w:t>
      </w:r>
    </w:p>
    <w:p>
      <w:pPr>
        <w:spacing w:after="0" w:line="213" w:lineRule="exact"/>
        <w:rPr>
          <w:sz w:val="20"/>
          <w:szCs w:val="20"/>
          <w:color w:val="auto"/>
        </w:rPr>
      </w:pPr>
    </w:p>
    <w:p>
      <w:pPr>
        <w:ind w:right="60" w:firstLine="648"/>
        <w:spacing w:after="0" w:line="214" w:lineRule="auto"/>
        <w:rPr>
          <w:sz w:val="20"/>
          <w:szCs w:val="20"/>
          <w:color w:val="auto"/>
        </w:rPr>
      </w:pPr>
      <w:r>
        <w:rPr>
          <w:rFonts w:ascii="Times New Roman" w:cs="Times New Roman" w:eastAsia="Times New Roman" w:hAnsi="Times New Roman"/>
          <w:sz w:val="18"/>
          <w:szCs w:val="18"/>
          <w:color w:val="auto"/>
        </w:rPr>
        <w:t>We believe our currently available cash will be sufficient to fund our anticipated operating cash requirements into at least the first quarter of 2021. We have based this estimate on assumptions that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62" w:lineRule="exact"/>
        <w:rPr>
          <w:sz w:val="20"/>
          <w:szCs w:val="20"/>
          <w:color w:val="auto"/>
        </w:rPr>
      </w:pPr>
    </w:p>
    <w:p>
      <w:pPr>
        <w:ind w:left="660" w:hanging="333"/>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related to the development of our product candidates;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conducting additional non-clinical studies with any of our product candidates;</w:t>
      </w:r>
    </w:p>
    <w:p>
      <w:pPr>
        <w:spacing w:after="0" w:line="184" w:lineRule="exact"/>
        <w:rPr>
          <w:rFonts w:ascii="Times New Roman" w:cs="Times New Roman" w:eastAsia="Times New Roman" w:hAnsi="Times New Roman"/>
          <w:sz w:val="18"/>
          <w:szCs w:val="18"/>
          <w:color w:val="auto"/>
        </w:rPr>
      </w:pPr>
    </w:p>
    <w:p>
      <w:pPr>
        <w:ind w:left="660" w:right="760" w:hanging="333"/>
        <w:spacing w:after="0" w:line="23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delays in our efforts to seek regulatory approval for our product candidates, and any costs associated with such delays;</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 commercial organization to sell, market, and distribute our product candidates;</w:t>
      </w:r>
    </w:p>
    <w:p>
      <w:pPr>
        <w:spacing w:after="0" w:line="184" w:lineRule="exact"/>
        <w:rPr>
          <w:rFonts w:ascii="Times New Roman" w:cs="Times New Roman" w:eastAsia="Times New Roman" w:hAnsi="Times New Roman"/>
          <w:sz w:val="18"/>
          <w:szCs w:val="18"/>
          <w:color w:val="auto"/>
        </w:rPr>
      </w:pPr>
    </w:p>
    <w:p>
      <w:pPr>
        <w:ind w:left="660" w:right="20" w:hanging="333"/>
        <w:spacing w:after="0" w:line="195" w:lineRule="exact"/>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of our efforts to prepare for the submission of a new drug application, or NDA, for any product candidates that we may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acquire in the future, and the potential that we may need to conduct additional clinical or preclinical trials to support applications for regulatory approval;</w:t>
      </w:r>
    </w:p>
    <w:p>
      <w:pPr>
        <w:spacing w:after="0" w:line="158" w:lineRule="exact"/>
        <w:rPr>
          <w:rFonts w:ascii="Times New Roman" w:cs="Times New Roman" w:eastAsia="Times New Roman" w:hAnsi="Times New Roman"/>
          <w:sz w:val="18"/>
          <w:szCs w:val="18"/>
          <w:color w:val="auto"/>
        </w:rPr>
      </w:pPr>
    </w:p>
    <w:p>
      <w:pPr>
        <w:ind w:left="660" w:right="360" w:hanging="333"/>
        <w:spacing w:after="0" w:line="23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associated with our product candidates;</w:t>
      </w:r>
    </w:p>
    <w:p>
      <w:pPr>
        <w:spacing w:after="0" w:line="158" w:lineRule="exact"/>
        <w:rPr>
          <w:rFonts w:ascii="Times New Roman" w:cs="Times New Roman" w:eastAsia="Times New Roman" w:hAnsi="Times New Roman"/>
          <w:sz w:val="18"/>
          <w:szCs w:val="18"/>
          <w:color w:val="auto"/>
        </w:rPr>
      </w:pPr>
    </w:p>
    <w:p>
      <w:pPr>
        <w:ind w:left="660" w:right="1200" w:hanging="333"/>
        <w:spacing w:after="0" w:line="23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sufficient supplies of our product candidates in preparation for commercialization;</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84" w:lineRule="exact"/>
        <w:rPr>
          <w:rFonts w:ascii="Times New Roman" w:cs="Times New Roman" w:eastAsia="Times New Roman" w:hAnsi="Times New Roman"/>
          <w:sz w:val="18"/>
          <w:szCs w:val="18"/>
          <w:color w:val="auto"/>
        </w:rPr>
      </w:pPr>
    </w:p>
    <w:p>
      <w:pPr>
        <w:ind w:left="660" w:right="520" w:hanging="333"/>
        <w:spacing w:after="0" w:line="23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subject to the receipt of regulatory approval;</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left="660" w:hanging="333"/>
        <w:spacing w:after="0" w:line="196" w:lineRule="exact"/>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timing of any collaborative, licensing,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promotion, or other arrangements that we may establish; and</w:t>
      </w:r>
    </w:p>
    <w:p>
      <w:pPr>
        <w:spacing w:after="0" w:line="224" w:lineRule="exact"/>
        <w:rPr>
          <w:rFonts w:ascii="Times New Roman" w:cs="Times New Roman" w:eastAsia="Times New Roman" w:hAnsi="Times New Roman"/>
          <w:sz w:val="17"/>
          <w:szCs w:val="17"/>
          <w:color w:val="auto"/>
        </w:rPr>
      </w:pPr>
    </w:p>
    <w:p>
      <w:pPr>
        <w:ind w:left="660" w:hanging="333"/>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commercialization of any of our current or future product candidates.</w:t>
      </w:r>
    </w:p>
    <w:p>
      <w:pPr>
        <w:spacing w:after="0" w:line="185"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17"/>
          <w:szCs w:val="17"/>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56"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agreement and we may be required to repay the outstanding indebtedness in an event of default, which could have a materially adverse effect on our business.</w:t>
      </w:r>
    </w:p>
    <w:p>
      <w:pPr>
        <w:spacing w:after="0" w:line="159" w:lineRule="exact"/>
        <w:rPr>
          <w:sz w:val="20"/>
          <w:szCs w:val="20"/>
          <w:color w:val="auto"/>
        </w:rPr>
      </w:pPr>
    </w:p>
    <w:p>
      <w:pPr>
        <w:ind w:right="80" w:firstLine="648"/>
        <w:spacing w:after="0" w:line="209" w:lineRule="auto"/>
        <w:rPr>
          <w:sz w:val="20"/>
          <w:szCs w:val="20"/>
          <w:color w:val="auto"/>
        </w:rPr>
      </w:pPr>
      <w:r>
        <w:rPr>
          <w:rFonts w:ascii="Times New Roman" w:cs="Times New Roman" w:eastAsia="Times New Roman" w:hAnsi="Times New Roman"/>
          <w:sz w:val="18"/>
          <w:szCs w:val="18"/>
          <w:color w:val="auto"/>
        </w:rPr>
        <w:t>In March 2019, we entered into a loan and security agreement with SVB and WestRiver Innovation Lending Fund VIII, L.P. consisting of an initial $20.0 million tranche, which was funded shortly upon closing, with the remaining $4.0 million available to be drawn, at our option, subject to the achievement of positive data, on or prior to August 15, 2019, with respect to our ongoing Phase 2 clinical trial for AXS-12 in narcolepsy, sufficient to submit a Phase 3 protocol to the FDA, provided that we have not received any objections from the FDA within thirty days after submission of such Phase 3 protocol. A portion of the first tranche was used to satisfy our existing obligations under our original term loan facility with SVB, as amended, and such obligations are considered to be fully repaid and completed. The new term loan facility matures in February 2023 and has an interest-only monthly payment period for twelve months, which may be extended to eighteen months upon drawing of the second tranche. Following the interest-only payment period, we will begin making monthly payments of principal and interest until the maturity date. Interest will accrue on the unpaid principal balance of the outstanding loan advances at a floating per annum rate equal to the greater of (i) seven and one-half of one percent (7.50%) and (ii) two percent (2.0%) above the prime rate.</w:t>
      </w:r>
    </w:p>
    <w:p>
      <w:pPr>
        <w:spacing w:after="0" w:line="160"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18"/>
          <w:szCs w:val="18"/>
          <w:color w:val="auto"/>
        </w:rPr>
        <w:t>The loan subjects us to various customary covenants, including requirements as to financial reporting and insurance, and restrictions on our ability to dispose of our business or property, change our line of business, liquidate or dissolve, enter into any change in control transaction, merge or consolidate with any other entity or acquire all or substantially all the capital stock or property of another entity, incur additional indebtedness, incur certain types of liens on our property, including our intellectual property, pay any dividends or other distributions on our capital stock other than dividends payable solely in capital stock or redeem our capital stock. Our business may be adversely affected by these restrictions on our ability to operate our business.</w:t>
      </w:r>
    </w:p>
    <w:p>
      <w:pPr>
        <w:spacing w:after="0" w:line="159" w:lineRule="exact"/>
        <w:rPr>
          <w:sz w:val="20"/>
          <w:szCs w:val="20"/>
          <w:color w:val="auto"/>
        </w:rPr>
      </w:pPr>
    </w:p>
    <w:p>
      <w:pPr>
        <w:ind w:right="20" w:firstLine="648"/>
        <w:spacing w:after="0" w:line="208" w:lineRule="auto"/>
        <w:rPr>
          <w:sz w:val="20"/>
          <w:szCs w:val="20"/>
          <w:color w:val="auto"/>
        </w:rPr>
      </w:pPr>
      <w:r>
        <w:rPr>
          <w:rFonts w:ascii="Times New Roman" w:cs="Times New Roman" w:eastAsia="Times New Roman" w:hAnsi="Times New Roman"/>
          <w:sz w:val="18"/>
          <w:szCs w:val="18"/>
          <w:color w:val="auto"/>
        </w:rPr>
        <w:t>Additionally, we may be required to repay the outstanding indebtedness under the SVB Loan if an event of default occurs under the SVB Loan. Under the SVB Loan, an event of default will occur if, among other things, we fail to make payments under the SVB Loan; we breach any of our covenants under the SVB Loan, subject to specified cure periods with respect to certain breaches; we or our assets become subject to certain legal proceedings, such as bankruptcy proceedings; we are unable to pay our debts as they become due; or we default on contracts with third parties which would permit SVB to accelerate the maturity of such indebtedness or that could have a material adverse effect on us. We may not have enough available cash or be able to raise additional funds through equity or debt financings to repay such indebtedness at the time any such event of default occurs. In that case, we may be required to delay, limit, reduce or terminate our product candidate development or commercialization efforts or grant to others rights to develop and market product candidates that we would otherwise prefer to develop and market ourselves. SVB could also exercise its rights as collateral agent to take possession and dispose of the collateral securing the loan for its benefit, which collateral includes all of our property other than our intellectual property. Our business, financial condition and results of operations could be materially adversely affected as a result of any of these events. Our management has broad discretion in the application of the proceeds from the SVB Loan, subject to the covenants and limitations described in the SVB Loan.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products, which may make it difficult to evaluate our business and prospects.</w:t>
      </w:r>
    </w:p>
    <w:p>
      <w:pPr>
        <w:spacing w:after="0" w:line="157"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DEVELOPMENT OF OUR PRODUCT CANDIDATES</w:t>
      </w:r>
    </w:p>
    <w:p>
      <w:pPr>
        <w:spacing w:after="0" w:line="185" w:lineRule="exact"/>
        <w:rPr>
          <w:sz w:val="20"/>
          <w:szCs w:val="20"/>
          <w:color w:val="auto"/>
        </w:rPr>
      </w:pPr>
    </w:p>
    <w:p>
      <w:pPr>
        <w:jc w:val="both"/>
        <w:ind w:right="24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59" w:lineRule="exact"/>
        <w:rPr>
          <w:sz w:val="20"/>
          <w:szCs w:val="20"/>
          <w:color w:val="auto"/>
        </w:rPr>
      </w:pPr>
    </w:p>
    <w:p>
      <w:pPr>
        <w:ind w:right="20" w:firstLine="648"/>
        <w:spacing w:after="0" w:line="209" w:lineRule="auto"/>
        <w:rPr>
          <w:sz w:val="20"/>
          <w:szCs w:val="20"/>
          <w:color w:val="auto"/>
        </w:rPr>
      </w:pPr>
      <w:r>
        <w:rPr>
          <w:rFonts w:ascii="Times New Roman" w:cs="Times New Roman" w:eastAsia="Times New Roman" w:hAnsi="Times New Roman"/>
          <w:sz w:val="18"/>
          <w:szCs w:val="18"/>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 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 plans and assumptions with respect to our product candidates may evolve or change. For example, we may not continue to emphasize, focus our research and development efforts on or direct resources to certain of our product candidates, and we may shift our focus and resources to our other current or future product candidates. Any such change in our business strategy could harm our business, cause uncertainty or confusion in the marketplace or harm the clinical prospects of our product candidates.</w:t>
      </w:r>
    </w:p>
    <w:p>
      <w:pPr>
        <w:spacing w:after="0" w:line="160"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We initiated our Phase 3 clinical trial with AXS-02 for the treatment of the pain of knee OA associated with BMLs in March 2016, our Phase 3 clinical trial with AXS-05 for the treatment of TRD in March 2016, our Phase 2/3 trial with AXS-05 for the treatment of agitation associated with AD in July 2017, our Phase 2 with AXS-05 for the treatment of MDD in June 2018, our Phase 2 trial with AXS-12 for the treatment of narcolepsy in January 2019, and our Phase 3 trial with AXS-07 for the acute treatment of migraine in March 2019. As a result of one or more risks discussed in this section, we cannot assure you that we will meet projected timelines related to these trials.</w:t>
      </w:r>
    </w:p>
    <w:p>
      <w:pPr>
        <w:spacing w:after="0" w:line="158"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18"/>
          <w:szCs w:val="18"/>
          <w:color w:val="auto"/>
        </w:rPr>
        <w:t>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 Moreover, we have only completed a limited number of studies with our product candidates to date. For AXS-05, we completed three Phase 1 pharmacokinetic studies and one Phase 2 trial in major depressive disorder. A Phase 2 trial of AXS-05 in smoking cessation was completed under a collaboration with Duke University. For AXS-07, we have only conducted two Phase 1 clinical trials. For AXS-09, we have only completed one Phase 1 clinical trial. Finally, for AXS-12, we have not completed a clinical trial. For AXS-02, we have only completed one Phase 1 clinical trial. Furthermore, we have only conducted one Phase 1 pharmacokinetic study for our product candidate AXS-06 and additional manufacturing work is required before we may submit an investigational new drug application, or IND, and begin late-stage clinical trials.</w:t>
      </w:r>
    </w:p>
    <w:p>
      <w:pPr>
        <w:spacing w:after="0" w:line="161"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For example, in January 2018, we conducted an interim analysis for our then-ongoing Phase 3 trial of AXS-02 for the treatment of CRPS, which we referred to as the CREATE-1 trial, and for our currently ongoing Phase 3 trial of AXS-02 for the treatment of the pain of knee OA associated with BMLs, which we refer to as the COAST-1 trial. Based on the recommendation we received from the independent data monitoring committee, we will continue our COAST-1 trial and have discontinued our CREATE-1 trial for futility. We paused screening in the COAST-1 trial prior to the conduct of the interim analysis for that trial and do not plan to resume screening and enrollment in the COAST-1 trial until after the final data readout from our STRIDE-1 trial. We conducted one interim analysis for the ongoing Phase 3 trial of AXS-05 in TRD and plan to conduct two interim analyses for the ongoing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63"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revenues from our product candidates depend on our ability to:</w:t>
      </w:r>
    </w:p>
    <w:p>
      <w:pPr>
        <w:spacing w:after="0" w:line="158" w:lineRule="exact"/>
        <w:rPr>
          <w:sz w:val="20"/>
          <w:szCs w:val="20"/>
          <w:color w:val="auto"/>
        </w:rPr>
      </w:pPr>
    </w:p>
    <w:p>
      <w:pPr>
        <w:ind w:left="660" w:right="400" w:hanging="333"/>
        <w:spacing w:after="0" w:line="23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claims that are necessary or desirable for successful marketing;</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deploy a sales force to commercialize our product candidates in the United States;</w:t>
      </w:r>
    </w:p>
    <w:p>
      <w:pPr>
        <w:spacing w:after="0" w:line="184" w:lineRule="exact"/>
        <w:rPr>
          <w:rFonts w:ascii="Times New Roman" w:cs="Times New Roman" w:eastAsia="Times New Roman" w:hAnsi="Times New Roman"/>
          <w:sz w:val="18"/>
          <w:szCs w:val="18"/>
          <w:color w:val="auto"/>
        </w:rPr>
      </w:pPr>
    </w:p>
    <w:p>
      <w:pPr>
        <w:ind w:left="660" w:right="40" w:hanging="333"/>
        <w:spacing w:after="0" w:line="23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our product candidates in sufficient quantities and at acceptable quality and manufacturing cost to meet commercial demand at launch and thereafter;</w:t>
      </w:r>
    </w:p>
    <w:p>
      <w:pPr>
        <w:spacing w:after="0" w:line="158" w:lineRule="exact"/>
        <w:rPr>
          <w:rFonts w:ascii="Times New Roman" w:cs="Times New Roman" w:eastAsia="Times New Roman" w:hAnsi="Times New Roman"/>
          <w:sz w:val="18"/>
          <w:szCs w:val="18"/>
          <w:color w:val="auto"/>
        </w:rPr>
      </w:pPr>
    </w:p>
    <w:p>
      <w:pPr>
        <w:ind w:left="660" w:right="880" w:hanging="333"/>
        <w:spacing w:after="0" w:line="23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and group purchasing organizations on commercially reasonable terms;</w:t>
      </w:r>
    </w:p>
    <w:p>
      <w:pPr>
        <w:spacing w:after="0" w:line="158" w:lineRule="exact"/>
        <w:rPr>
          <w:rFonts w:ascii="Times New Roman" w:cs="Times New Roman" w:eastAsia="Times New Roman" w:hAnsi="Times New Roman"/>
          <w:sz w:val="18"/>
          <w:szCs w:val="18"/>
          <w:color w:val="auto"/>
        </w:rPr>
      </w:pPr>
    </w:p>
    <w:p>
      <w:pPr>
        <w:ind w:left="660" w:right="440" w:hanging="333"/>
        <w:spacing w:after="0" w:line="23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partnerships with, or offer licenses to, third parties to promote and sell our product candidates in foreign markets where we receive marketing approval:</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patent and trade secret protection and regulatory exclusivity for our product candidates;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 candidates, whether alone or in collaboration with others;</w:t>
      </w:r>
    </w:p>
    <w:p>
      <w:pPr>
        <w:spacing w:after="0" w:line="184" w:lineRule="exact"/>
        <w:rPr>
          <w:rFonts w:ascii="Times New Roman" w:cs="Times New Roman" w:eastAsia="Times New Roman" w:hAnsi="Times New Roman"/>
          <w:sz w:val="18"/>
          <w:szCs w:val="18"/>
          <w:color w:val="auto"/>
        </w:rPr>
      </w:pPr>
    </w:p>
    <w:p>
      <w:pPr>
        <w:ind w:left="660" w:right="440" w:hanging="333"/>
        <w:spacing w:after="0" w:line="215" w:lineRule="exact"/>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appropriate reimbursement for our product candidates;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and</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 candidates following launch.</w:t>
      </w:r>
    </w:p>
    <w:p>
      <w:pPr>
        <w:spacing w:after="0" w:line="181"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59" w:lineRule="exact"/>
        <w:rPr>
          <w:sz w:val="20"/>
          <w:szCs w:val="20"/>
          <w:color w:val="auto"/>
        </w:rPr>
      </w:pPr>
    </w:p>
    <w:p>
      <w:pPr>
        <w:ind w:right="40" w:firstLine="648"/>
        <w:spacing w:after="0" w:line="207"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62"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35" w:lineRule="exact"/>
        <w:rPr>
          <w:sz w:val="20"/>
          <w:szCs w:val="20"/>
          <w:color w:val="auto"/>
        </w:rPr>
      </w:pPr>
    </w:p>
    <w:p>
      <w:pPr>
        <w:ind w:firstLine="648"/>
        <w:spacing w:after="0" w:line="179" w:lineRule="exact"/>
        <w:rPr>
          <w:sz w:val="20"/>
          <w:szCs w:val="20"/>
          <w:color w:val="auto"/>
        </w:rPr>
      </w:pPr>
      <w:r>
        <w:rPr>
          <w:rFonts w:ascii="Times New Roman" w:cs="Times New Roman" w:eastAsia="Times New Roman" w:hAnsi="Times New Roman"/>
          <w:sz w:val="18"/>
          <w:szCs w:val="18"/>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05 for the treatment of depression, agitation associated with AD, and smoking cessation, AXS-07 for the acute treatment of migraine, and AXS-12 for the treatment of narcolepsy.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development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as well as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a product candidate that is currently in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7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35" w:lineRule="exact"/>
        <w:rPr>
          <w:sz w:val="20"/>
          <w:szCs w:val="20"/>
          <w:color w:val="auto"/>
        </w:rPr>
      </w:pPr>
    </w:p>
    <w:p>
      <w:pPr>
        <w:ind w:right="239" w:firstLine="648"/>
        <w:spacing w:after="0" w:line="226" w:lineRule="auto"/>
        <w:rPr>
          <w:sz w:val="20"/>
          <w:szCs w:val="20"/>
          <w:color w:val="auto"/>
        </w:rPr>
      </w:pPr>
      <w:r>
        <w:rPr>
          <w:rFonts w:ascii="Times New Roman" w:cs="Times New Roman" w:eastAsia="Times New Roman" w:hAnsi="Times New Roman"/>
          <w:sz w:val="18"/>
          <w:szCs w:val="18"/>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58" w:lineRule="exact"/>
        <w:rPr>
          <w:sz w:val="20"/>
          <w:szCs w:val="20"/>
          <w:color w:val="auto"/>
        </w:rPr>
      </w:pPr>
    </w:p>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or inability to secure financing to fund business activities for such development;</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development costs;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managing multiple product development programs; and</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new products or clinical failure.</w:t>
      </w:r>
    </w:p>
    <w:p>
      <w:pPr>
        <w:spacing w:after="0" w:line="185" w:lineRule="exact"/>
        <w:rPr>
          <w:sz w:val="20"/>
          <w:szCs w:val="20"/>
          <w:color w:val="auto"/>
        </w:rPr>
      </w:pPr>
    </w:p>
    <w:p>
      <w:pPr>
        <w:ind w:right="79" w:firstLine="648"/>
        <w:spacing w:after="0" w:line="217" w:lineRule="auto"/>
        <w:rPr>
          <w:sz w:val="20"/>
          <w:szCs w:val="20"/>
          <w:color w:val="auto"/>
        </w:rPr>
      </w:pPr>
      <w:r>
        <w:rPr>
          <w:rFonts w:ascii="Times New Roman" w:cs="Times New Roman" w:eastAsia="Times New Roman" w:hAnsi="Times New Roman"/>
          <w:sz w:val="18"/>
          <w:szCs w:val="18"/>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54" w:lineRule="exact"/>
        <w:rPr>
          <w:sz w:val="20"/>
          <w:szCs w:val="20"/>
          <w:color w:val="auto"/>
        </w:rPr>
      </w:pPr>
    </w:p>
    <w:p>
      <w:pPr>
        <w:ind w:right="179"/>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listed drug, or published literature does not satisfactorily demonstrate safety and efficacy to the FDA, or if the FDA and other regulators do not permit us to rely on the data of a reference listed drug or published literature, we may incur additional costs or experience delays in completing, or ultimately be unable to complete, the development and commercialization of our product candidates.</w:t>
      </w:r>
    </w:p>
    <w:p>
      <w:pPr>
        <w:spacing w:after="0" w:line="160" w:lineRule="exact"/>
        <w:rPr>
          <w:sz w:val="20"/>
          <w:szCs w:val="20"/>
          <w:color w:val="auto"/>
        </w:rPr>
      </w:pPr>
    </w:p>
    <w:p>
      <w:pPr>
        <w:ind w:right="79" w:firstLine="648"/>
        <w:spacing w:after="0" w:line="226"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United States, we currently plan to at least initially seek approval of our product candidates using the 505(b)</w:t>
      </w:r>
    </w:p>
    <w:p>
      <w:pPr>
        <w:ind w:right="59" w:firstLine="3"/>
        <w:spacing w:after="0" w:line="21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pathway.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60" w:lineRule="exact"/>
        <w:rPr>
          <w:sz w:val="20"/>
          <w:szCs w:val="20"/>
          <w:color w:val="auto"/>
        </w:rPr>
      </w:pPr>
    </w:p>
    <w:p>
      <w:pPr>
        <w:jc w:val="both"/>
        <w:ind w:right="79" w:firstLine="648"/>
        <w:spacing w:after="0" w:line="215" w:lineRule="auto"/>
        <w:rPr>
          <w:sz w:val="20"/>
          <w:szCs w:val="20"/>
          <w:color w:val="auto"/>
        </w:rPr>
      </w:pPr>
      <w:r>
        <w:rPr>
          <w:rFonts w:ascii="Times New Roman" w:cs="Times New Roman" w:eastAsia="Times New Roman" w:hAnsi="Times New Roman"/>
          <w:sz w:val="18"/>
          <w:szCs w:val="18"/>
          <w:color w:val="auto"/>
        </w:rPr>
        <w:t>Under the 505(b)(2) pathway, the FDA may approve our product candidates for all or some of the label indications for which the referenced product has been approved, as well as for any new indication sought pursuant to the Section 505(b)</w:t>
      </w:r>
    </w:p>
    <w:p>
      <w:pPr>
        <w:ind w:right="99" w:firstLine="3"/>
        <w:spacing w:after="0" w:line="183" w:lineRule="exact"/>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warnings. For instance, antidepressants, including bupropion, include a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black box warning regarding the increased risk of suicidal thoughts and behavior.</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firstLine="648"/>
        <w:spacing w:after="0" w:line="191" w:lineRule="exact"/>
        <w:rPr>
          <w:sz w:val="20"/>
          <w:szCs w:val="20"/>
          <w:color w:val="auto"/>
        </w:rPr>
      </w:pPr>
      <w:r>
        <w:rPr>
          <w:rFonts w:ascii="Times New Roman" w:cs="Times New Roman" w:eastAsia="Times New Roman" w:hAnsi="Times New Roman"/>
          <w:sz w:val="18"/>
          <w:szCs w:val="18"/>
          <w:color w:val="auto"/>
        </w:rPr>
        <w:t>Based on the side effects disclosed in FDA product labels for marketed drugs that contain the same active molecule as our product candidate,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may result in nausea, fatigue, anemia, bone pain, constipation, fever, vomiting, dyspnea, hypersensitivity reactions, osteonecrosis of the jaw, renal toxicity, musculoskeletal pain, atypical fractures, hypocalcemia, bronchoconstriction, or other adverse events or potential adverse events reported or discussed in the product labels for zoledronic acid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containing products including Zometa, Reclast, and Aclasta.</w:t>
      </w:r>
    </w:p>
    <w:p>
      <w:pPr>
        <w:spacing w:after="0" w:line="141"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Based on the side effects disclosed in FDA product labels for marketed drugs that contain the same active molecules as our product candidate,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may result in dry mouth, nausea, insomnia, dizziness, pharyngitis, abdominal pain, agitation, anxiety, tremor, seizure, increase in blood pressure and heart rate, hepatoxicity, hypoglycemia, thrombocytopenia or other hypersensitivity reactions, QRS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glutamyltransferase, flatulence, or other adverse events or potential adverse events reported or discussed in the product labels for bupropion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containing products or dextromethorphan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containing products including Wellbutrin, Wellbutrin SR, Wellbutrin XL, Zyban, Contrave, and Nuedexta.</w:t>
      </w:r>
    </w:p>
    <w:p>
      <w:pPr>
        <w:spacing w:after="0" w:line="161"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Based on the side effects disclosed in FDA product labels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 containing or rizatriptan-containing products including Vivlodex, Mobic, and Maxalt.</w:t>
      </w:r>
    </w:p>
    <w:p>
      <w:pPr>
        <w:spacing w:after="0" w:line="158"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Based on the side effects disclosed in EMA product label for marketed drugs that contain the same active molecule as our product candidate, AXS-12 may result in decreased appetite, insomnia, agitation, anxiety, dizziness, headache, paraesthesia,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59" w:lineRule="exact"/>
        <w:rPr>
          <w:sz w:val="20"/>
          <w:szCs w:val="20"/>
          <w:color w:val="auto"/>
        </w:rPr>
      </w:pPr>
    </w:p>
    <w:p>
      <w:pPr>
        <w:ind w:right="100" w:firstLine="648"/>
        <w:spacing w:after="0" w:line="181" w:lineRule="exact"/>
        <w:rPr>
          <w:sz w:val="20"/>
          <w:szCs w:val="20"/>
          <w:color w:val="auto"/>
        </w:rPr>
      </w:pPr>
      <w:r>
        <w:rPr>
          <w:rFonts w:ascii="Times New Roman" w:cs="Times New Roman" w:eastAsia="Times New Roman" w:hAnsi="Times New Roman"/>
          <w:sz w:val="18"/>
          <w:szCs w:val="18"/>
          <w:color w:val="auto"/>
        </w:rPr>
        <w:t>In addition, because we plan to file our product candidates under an NDA submitted pursuant to 505(b)(2), we will rely, at least in part, upon a reference listed drug and published literature. For example, we intend to rely on data collected in certain investigator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initiated Phase 2 clinical trials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studies in the published literature as well as FDA findings of safety and efficacy for approved drug products containing the same active molecules in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If the FDA disagrees with our conclusions regarding the appropriateness of our reliance on a reference listed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505(b)(1) approval process, which consists of full reports of investigations of safety and effectiveness conducted by or for the applicant. In addition, because we plan to submit NDAs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pursuant to the 505(b)(2) process, we have not conducted Phase 2 clinical trials for these product candidates and, as such, we will have less experience with actual testing of the product candidate.</w:t>
      </w:r>
    </w:p>
    <w:p>
      <w:pPr>
        <w:spacing w:after="0" w:line="160" w:lineRule="exact"/>
        <w:rPr>
          <w:sz w:val="20"/>
          <w:szCs w:val="20"/>
          <w:color w:val="auto"/>
        </w:rPr>
      </w:pPr>
    </w:p>
    <w:p>
      <w:pPr>
        <w:ind w:right="220" w:firstLine="648"/>
        <w:spacing w:after="0" w:line="214" w:lineRule="auto"/>
        <w:rPr>
          <w:sz w:val="20"/>
          <w:szCs w:val="20"/>
          <w:color w:val="auto"/>
        </w:rPr>
      </w:pPr>
      <w:r>
        <w:rPr>
          <w:rFonts w:ascii="Times New Roman" w:cs="Times New Roman" w:eastAsia="Times New Roman" w:hAnsi="Times New Roman"/>
          <w:sz w:val="18"/>
          <w:szCs w:val="18"/>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59" w:lineRule="exact"/>
        <w:rPr>
          <w:sz w:val="20"/>
          <w:szCs w:val="20"/>
          <w:color w:val="auto"/>
        </w:rPr>
      </w:pPr>
    </w:p>
    <w:p>
      <w:pPr>
        <w:ind w:firstLine="648"/>
        <w:spacing w:after="0" w:line="183" w:lineRule="exact"/>
        <w:rPr>
          <w:sz w:val="20"/>
          <w:szCs w:val="20"/>
          <w:color w:val="auto"/>
        </w:rPr>
      </w:pPr>
      <w:r>
        <w:rPr>
          <w:rFonts w:ascii="Times New Roman" w:cs="Times New Roman" w:eastAsia="Times New Roman" w:hAnsi="Times New Roman"/>
          <w:sz w:val="18"/>
          <w:szCs w:val="18"/>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154"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57"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 xml:space="preserve">Applicants submitting NDAs under Section 505(b)(2) of the FDCA must provide a patent certification with the application for all reference listed drugs and for all brand name products identified in published literature upon which the 505(b)(2) application relies. One such certification is known as a paragraph IV certification, which certifies that any patents listed in the FDA’s publication, the </w:t>
      </w:r>
      <w:r>
        <w:rPr>
          <w:rFonts w:ascii="Times New Roman" w:cs="Times New Roman" w:eastAsia="Times New Roman" w:hAnsi="Times New Roman"/>
          <w:sz w:val="18"/>
          <w:szCs w:val="18"/>
          <w:i w:val="1"/>
          <w:iCs w:val="1"/>
          <w:color w:val="auto"/>
        </w:rPr>
        <w:t>Approved Drug Products with Therapeutic Equivalence Evaluations</w:t>
      </w:r>
      <w:r>
        <w:rPr>
          <w:rFonts w:ascii="Times New Roman" w:cs="Times New Roman" w:eastAsia="Times New Roman" w:hAnsi="Times New Roman"/>
          <w:sz w:val="18"/>
          <w:szCs w:val="18"/>
          <w:color w:val="auto"/>
        </w:rPr>
        <w:t>, commonly known as the Orange Book, are invalid, unenforceable, or will not be infringed by the manufacture, use, or sale of the product that is the subject of the 505(b)(2) NDA.</w:t>
      </w:r>
    </w:p>
    <w:p>
      <w:pPr>
        <w:spacing w:after="0" w:line="133" w:lineRule="exact"/>
        <w:rPr>
          <w:sz w:val="20"/>
          <w:szCs w:val="20"/>
          <w:color w:val="auto"/>
        </w:rPr>
      </w:pPr>
    </w:p>
    <w:p>
      <w:pPr>
        <w:ind w:right="60" w:firstLine="648"/>
        <w:spacing w:after="0" w:line="183" w:lineRule="exact"/>
        <w:rPr>
          <w:sz w:val="20"/>
          <w:szCs w:val="20"/>
          <w:color w:val="auto"/>
        </w:rPr>
      </w:pPr>
      <w:r>
        <w:rPr>
          <w:rFonts w:ascii="Times New Roman" w:cs="Times New Roman" w:eastAsia="Times New Roman" w:hAnsi="Times New Roman"/>
          <w:sz w:val="18"/>
          <w:szCs w:val="18"/>
          <w:color w:val="auto"/>
        </w:rPr>
        <w:t>Under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the holder of patents or NDAs that the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automatic,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79" w:lineRule="exact"/>
        <w:rPr>
          <w:sz w:val="20"/>
          <w:szCs w:val="20"/>
          <w:color w:val="auto"/>
        </w:rPr>
      </w:pPr>
      <w:r>
        <w:rPr>
          <w:rFonts w:ascii="Times New Roman" w:cs="Times New Roman" w:eastAsia="Times New Roman" w:hAnsi="Times New Roman"/>
          <w:sz w:val="18"/>
          <w:szCs w:val="18"/>
          <w:color w:val="auto"/>
        </w:rPr>
        <w:t>Companies that produce branded reference listed drugs routinely bring litigation against applicants that seek regulatory approval to manufacture and market generic and reformulated forms of their branded products. These companies often allege patent infringement or other violations of intellectual property rights as the basis for filing suit. Likewise, patent holders may bring patent infringement suits against companies that are currently marketing and selling their approved generic or reformulated products. Litigation to enforce or defend intellectual property rights is often complex and often involves significant expense and can delay or prevent introduction or sale of our product candidates. If patents are held to be valid and infringed by our product candidates in a particular jurisdiction, we may be required to cease selling, relinquish or destroy existing stock, or pay monetary damages in that jurisdiction unless we can obtain a license from the patent holder. There may also be situations where we use our business judgment and decide to market and sell our approved products, notwithstanding the fact that allegations of patent infringement(s) have not been finally resolved by the courts, which is known as an “at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165" w:lineRule="exact"/>
        <w:rPr>
          <w:sz w:val="20"/>
          <w:szCs w:val="20"/>
          <w:color w:val="auto"/>
        </w:rPr>
      </w:pPr>
    </w:p>
    <w:p>
      <w:pPr>
        <w:ind w:right="22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60" w:lineRule="exact"/>
        <w:rPr>
          <w:sz w:val="20"/>
          <w:szCs w:val="20"/>
          <w:color w:val="auto"/>
        </w:rPr>
      </w:pPr>
    </w:p>
    <w:p>
      <w:pPr>
        <w:ind w:right="40" w:firstLine="648"/>
        <w:spacing w:after="0" w:line="209"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65" w:lineRule="exact"/>
        <w:rPr>
          <w:sz w:val="20"/>
          <w:szCs w:val="20"/>
          <w:color w:val="auto"/>
        </w:rPr>
      </w:pPr>
    </w:p>
    <w:p>
      <w:pPr>
        <w:ind w:right="140" w:firstLine="648"/>
        <w:spacing w:after="0" w:line="181" w:lineRule="exact"/>
        <w:rPr>
          <w:sz w:val="20"/>
          <w:szCs w:val="20"/>
          <w:color w:val="auto"/>
        </w:rPr>
      </w:pPr>
      <w:r>
        <w:rPr>
          <w:rFonts w:ascii="Times New Roman" w:cs="Times New Roman" w:eastAsia="Times New Roman" w:hAnsi="Times New Roman"/>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40" w:firstLine="648"/>
        <w:spacing w:after="0" w:line="181" w:lineRule="exact"/>
        <w:rPr>
          <w:sz w:val="20"/>
          <w:szCs w:val="20"/>
          <w:color w:val="auto"/>
        </w:rPr>
      </w:pPr>
      <w:r>
        <w:rPr>
          <w:rFonts w:ascii="Times New Roman" w:cs="Times New Roman" w:eastAsia="Times New Roman" w:hAnsi="Times New Roman"/>
          <w:sz w:val="17"/>
          <w:szCs w:val="17"/>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stage clinical trials.</w:t>
      </w:r>
    </w:p>
    <w:p>
      <w:pPr>
        <w:spacing w:after="0" w:line="2" w:lineRule="exact"/>
        <w:rPr>
          <w:sz w:val="20"/>
          <w:szCs w:val="20"/>
          <w:color w:val="auto"/>
        </w:rPr>
      </w:pPr>
    </w:p>
    <w:p>
      <w:pPr>
        <w:ind w:right="200"/>
        <w:spacing w:after="0" w:line="211" w:lineRule="auto"/>
        <w:rPr>
          <w:sz w:val="20"/>
          <w:szCs w:val="20"/>
          <w:color w:val="auto"/>
        </w:rPr>
      </w:pPr>
      <w:r>
        <w:rPr>
          <w:rFonts w:ascii="Times New Roman" w:cs="Times New Roman" w:eastAsia="Times New Roman" w:hAnsi="Times New Roman"/>
          <w:sz w:val="18"/>
          <w:szCs w:val="18"/>
          <w:color w:val="auto"/>
        </w:rPr>
        <w:t>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58" w:lineRule="exact"/>
        <w:rPr>
          <w:sz w:val="20"/>
          <w:szCs w:val="20"/>
          <w:color w:val="auto"/>
        </w:rPr>
      </w:pPr>
    </w:p>
    <w:p>
      <w:pPr>
        <w:ind w:right="420" w:firstLine="648"/>
        <w:spacing w:after="0" w:line="237" w:lineRule="auto"/>
        <w:rPr>
          <w:sz w:val="20"/>
          <w:szCs w:val="20"/>
          <w:color w:val="auto"/>
        </w:rPr>
      </w:pPr>
      <w:r>
        <w:rPr>
          <w:rFonts w:ascii="Times New Roman" w:cs="Times New Roman" w:eastAsia="Times New Roman" w:hAnsi="Times New Roman"/>
          <w:sz w:val="18"/>
          <w:szCs w:val="18"/>
          <w:color w:val="auto"/>
        </w:rPr>
        <w:t>We may also experience numerous unforeseen events during, or as a result of, clinical trials that could delay or prevent our ability to receive marketing approval or commercialize our product candidates, including:</w:t>
      </w:r>
    </w:p>
    <w:p>
      <w:pPr>
        <w:spacing w:after="0" w:line="158" w:lineRule="exact"/>
        <w:rPr>
          <w:sz w:val="20"/>
          <w:szCs w:val="20"/>
          <w:color w:val="auto"/>
        </w:rPr>
      </w:pPr>
    </w:p>
    <w:p>
      <w:pPr>
        <w:ind w:left="660" w:hanging="333"/>
        <w:spacing w:after="0" w:line="23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not authorize us or our investigators to commence a clinical trial or conduct a clinical trial at a prospective trial site or amend trial protocols;</w:t>
      </w:r>
    </w:p>
    <w:p>
      <w:pPr>
        <w:spacing w:after="0" w:line="158" w:lineRule="exact"/>
        <w:rPr>
          <w:rFonts w:ascii="Times New Roman" w:cs="Times New Roman" w:eastAsia="Times New Roman" w:hAnsi="Times New Roman"/>
          <w:sz w:val="18"/>
          <w:szCs w:val="18"/>
          <w:color w:val="auto"/>
        </w:rPr>
      </w:pPr>
    </w:p>
    <w:p>
      <w:pPr>
        <w:ind w:left="660" w:right="260" w:hanging="333"/>
        <w:spacing w:after="0" w:line="23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CROs;</w:t>
      </w:r>
    </w:p>
    <w:p>
      <w:pPr>
        <w:spacing w:after="0" w:line="158" w:lineRule="exact"/>
        <w:rPr>
          <w:rFonts w:ascii="Times New Roman" w:cs="Times New Roman" w:eastAsia="Times New Roman" w:hAnsi="Times New Roman"/>
          <w:sz w:val="18"/>
          <w:szCs w:val="18"/>
          <w:color w:val="auto"/>
        </w:rPr>
      </w:pPr>
    </w:p>
    <w:p>
      <w:pPr>
        <w:ind w:left="660" w:right="160" w:hanging="333"/>
        <w:spacing w:after="0" w:line="22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58" w:lineRule="exact"/>
        <w:rPr>
          <w:rFonts w:ascii="Times New Roman" w:cs="Times New Roman" w:eastAsia="Times New Roman" w:hAnsi="Times New Roman"/>
          <w:sz w:val="18"/>
          <w:szCs w:val="18"/>
          <w:color w:val="auto"/>
        </w:rPr>
      </w:pPr>
    </w:p>
    <w:p>
      <w:pPr>
        <w:jc w:val="both"/>
        <w:ind w:left="660" w:right="280" w:hanging="333"/>
        <w:spacing w:after="0" w:line="22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58" w:lineRule="exact"/>
        <w:rPr>
          <w:rFonts w:ascii="Times New Roman" w:cs="Times New Roman" w:eastAsia="Times New Roman" w:hAnsi="Times New Roman"/>
          <w:sz w:val="18"/>
          <w:szCs w:val="18"/>
          <w:color w:val="auto"/>
        </w:rPr>
      </w:pPr>
    </w:p>
    <w:p>
      <w:pPr>
        <w:ind w:left="660" w:right="260" w:hanging="333"/>
        <w:spacing w:after="0" w:line="22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29" w:lineRule="exact"/>
        <w:rPr>
          <w:rFonts w:ascii="Times New Roman" w:cs="Times New Roman" w:eastAsia="Times New Roman" w:hAnsi="Times New Roman"/>
          <w:sz w:val="18"/>
          <w:szCs w:val="18"/>
          <w:color w:val="auto"/>
        </w:rPr>
      </w:pPr>
    </w:p>
    <w:p>
      <w:pPr>
        <w:ind w:left="660" w:right="280" w:hanging="333"/>
        <w:spacing w:after="0" w:line="205" w:lineRule="exact"/>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58" w:lineRule="exact"/>
        <w:rPr>
          <w:rFonts w:ascii="Times New Roman" w:cs="Times New Roman" w:eastAsia="Times New Roman" w:hAnsi="Times New Roman"/>
          <w:sz w:val="18"/>
          <w:szCs w:val="18"/>
          <w:color w:val="auto"/>
        </w:rPr>
      </w:pPr>
    </w:p>
    <w:p>
      <w:pPr>
        <w:ind w:left="660" w:right="160" w:hanging="333"/>
        <w:spacing w:after="0" w:line="229" w:lineRule="auto"/>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61" w:lineRule="exact"/>
        <w:rPr>
          <w:rFonts w:ascii="Times New Roman" w:cs="Times New Roman" w:eastAsia="Times New Roman" w:hAnsi="Times New Roman"/>
          <w:sz w:val="17"/>
          <w:szCs w:val="17"/>
          <w:color w:val="auto"/>
        </w:rPr>
      </w:pPr>
    </w:p>
    <w:p>
      <w:pPr>
        <w:ind w:left="660" w:right="400" w:hanging="333"/>
        <w:spacing w:after="0" w:line="23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during the development period rendering our data insufficient to obtain marketing approval;</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enactment of additional statutes or regulations;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review for each submitted product application;</w:t>
      </w:r>
    </w:p>
    <w:p>
      <w:pPr>
        <w:spacing w:after="0" w:line="184" w:lineRule="exact"/>
        <w:rPr>
          <w:rFonts w:ascii="Times New Roman" w:cs="Times New Roman" w:eastAsia="Times New Roman" w:hAnsi="Times New Roman"/>
          <w:sz w:val="18"/>
          <w:szCs w:val="18"/>
          <w:color w:val="auto"/>
        </w:rPr>
      </w:pPr>
    </w:p>
    <w:p>
      <w:pPr>
        <w:ind w:left="660" w:right="260" w:hanging="333"/>
        <w:spacing w:after="0" w:line="263" w:lineRule="auto"/>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140" w:hanging="333"/>
        <w:spacing w:after="0" w:line="23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58" w:lineRule="exact"/>
        <w:rPr>
          <w:rFonts w:ascii="Times New Roman" w:cs="Times New Roman" w:eastAsia="Times New Roman" w:hAnsi="Times New Roman"/>
          <w:sz w:val="18"/>
          <w:szCs w:val="18"/>
          <w:color w:val="auto"/>
        </w:rPr>
      </w:pPr>
    </w:p>
    <w:p>
      <w:pPr>
        <w:ind w:left="660" w:right="20" w:hanging="333"/>
        <w:spacing w:after="0" w:line="180" w:lineRule="exact"/>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additional clinical trials, analyses, reports, data, or preclinical trials than we currently plan, or we may abandon product development programs. For instance, with respect to our ongoing Phase 3 clinical trial with AXS-02 for the treatment of the pain of knee OA associated with BMLs, although we have received a Special Protocol Assessment, or SPA, the FDA stated that if there is a recurrence of knee OA pain, we will need to explore repeat dosing, which would require additional preclinical studies. Further,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we may need to conduct additional clinical and preclinical studies in addition to our Phase 3 and Phase 2/3 trials in order to file an NDA for this product candidate. Additionally, although we believe that we may be able to rely on the completed Phase 2 ASCEND trial and either the Phase 3 STRIDE-1 trial or a Phase 3 placebo-controlled trial in MDD to support an NDA for AXS-05 for the treatment of MDD and a single pivotal study to support an NDA for AXS-07 for the acute treatment of migraine, the FDA may ultimately require us to conduct additional clinical studies. Finally, for AXS-12, we will need to conduct additional clinical studies in addition to our newly initiated Phase 2 trial in order to file an NDA for this product candidate. The outcome of our studies may further necessitate additional clinical or preclinical work;</w:t>
      </w:r>
    </w:p>
    <w:p>
      <w:pPr>
        <w:spacing w:after="0" w:line="166"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regarding the scope or design of our clinical trials;</w:t>
      </w:r>
    </w:p>
    <w:p>
      <w:pPr>
        <w:spacing w:after="0" w:line="184" w:lineRule="exact"/>
        <w:rPr>
          <w:rFonts w:ascii="Times New Roman" w:cs="Times New Roman" w:eastAsia="Times New Roman" w:hAnsi="Times New Roman"/>
          <w:sz w:val="18"/>
          <w:szCs w:val="18"/>
          <w:color w:val="auto"/>
        </w:rPr>
      </w:pPr>
    </w:p>
    <w:p>
      <w:pPr>
        <w:ind w:left="660" w:right="40" w:hanging="333"/>
        <w:spacing w:after="0" w:line="23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158" w:lineRule="exact"/>
        <w:rPr>
          <w:rFonts w:ascii="Times New Roman" w:cs="Times New Roman" w:eastAsia="Times New Roman" w:hAnsi="Times New Roman"/>
          <w:sz w:val="18"/>
          <w:szCs w:val="18"/>
          <w:color w:val="auto"/>
        </w:rPr>
      </w:pPr>
    </w:p>
    <w:p>
      <w:pPr>
        <w:ind w:left="660" w:right="260" w:hanging="333"/>
        <w:spacing w:after="0" w:line="22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58" w:lineRule="exact"/>
        <w:rPr>
          <w:rFonts w:ascii="Times New Roman" w:cs="Times New Roman" w:eastAsia="Times New Roman" w:hAnsi="Times New Roman"/>
          <w:sz w:val="18"/>
          <w:szCs w:val="18"/>
          <w:color w:val="auto"/>
        </w:rPr>
      </w:pPr>
    </w:p>
    <w:p>
      <w:pPr>
        <w:ind w:left="660" w:right="380" w:hanging="333"/>
        <w:spacing w:after="0" w:line="23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regarding interpretations of data and results, or new information may emerge regarding our product candidates;</w:t>
      </w:r>
    </w:p>
    <w:p>
      <w:pPr>
        <w:spacing w:after="0" w:line="158" w:lineRule="exact"/>
        <w:rPr>
          <w:rFonts w:ascii="Times New Roman" w:cs="Times New Roman" w:eastAsia="Times New Roman" w:hAnsi="Times New Roman"/>
          <w:sz w:val="18"/>
          <w:szCs w:val="18"/>
          <w:color w:val="auto"/>
        </w:rPr>
      </w:pPr>
    </w:p>
    <w:p>
      <w:pPr>
        <w:ind w:left="660" w:right="140" w:hanging="333"/>
        <w:spacing w:after="0" w:line="184" w:lineRule="exact"/>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applicability of the serum biomarkers studied in our Phase 1 study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the species and doses used in our preclinical studies, and the results of our preclinical studies;</w:t>
      </w:r>
    </w:p>
    <w:p>
      <w:pPr>
        <w:spacing w:after="0" w:line="159" w:lineRule="exact"/>
        <w:rPr>
          <w:rFonts w:ascii="Times New Roman" w:cs="Times New Roman" w:eastAsia="Times New Roman" w:hAnsi="Times New Roman"/>
          <w:sz w:val="18"/>
          <w:szCs w:val="18"/>
          <w:color w:val="auto"/>
        </w:rPr>
      </w:pPr>
    </w:p>
    <w:p>
      <w:pPr>
        <w:ind w:left="660" w:hanging="333"/>
        <w:spacing w:after="0" w:line="21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belief that certain product attributes are advantageous or may require further study of product attributes that are different than our reference listed drugs. For instance, while we believe that certain of the pharmacokinetic results for AXS-06 are favorable, the FDA may disagree, refuse labeling claims based upon these results, or determine that additional studies are necessary to substantiate the benefits.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57" w:lineRule="exact"/>
        <w:rPr>
          <w:rFonts w:ascii="Times New Roman" w:cs="Times New Roman" w:eastAsia="Times New Roman" w:hAnsi="Times New Roman"/>
          <w:sz w:val="18"/>
          <w:szCs w:val="18"/>
          <w:color w:val="auto"/>
        </w:rPr>
      </w:pPr>
    </w:p>
    <w:p>
      <w:pPr>
        <w:ind w:left="660" w:right="300" w:hanging="333"/>
        <w:spacing w:after="0" w:line="23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w:t>
      </w:r>
    </w:p>
    <w:p>
      <w:pPr>
        <w:spacing w:after="0" w:line="184" w:lineRule="exact"/>
        <w:rPr>
          <w:rFonts w:ascii="Times New Roman" w:cs="Times New Roman" w:eastAsia="Times New Roman" w:hAnsi="Times New Roman"/>
          <w:sz w:val="18"/>
          <w:szCs w:val="18"/>
          <w:color w:val="auto"/>
        </w:rPr>
      </w:pPr>
    </w:p>
    <w:p>
      <w:pPr>
        <w:ind w:left="660" w:right="580" w:hanging="333"/>
        <w:spacing w:after="0" w:line="23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manufacturing facilities for clinical and future commercial supplies;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100" w:hanging="333"/>
        <w:spacing w:after="0" w:line="23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take longer than we anticipate to make a decision on our product candidates; and</w:t>
      </w:r>
    </w:p>
    <w:p>
      <w:pPr>
        <w:spacing w:after="0" w:line="158" w:lineRule="exact"/>
        <w:rPr>
          <w:rFonts w:ascii="Times New Roman" w:cs="Times New Roman" w:eastAsia="Times New Roman" w:hAnsi="Times New Roman"/>
          <w:sz w:val="18"/>
          <w:szCs w:val="18"/>
          <w:color w:val="auto"/>
        </w:rPr>
      </w:pPr>
    </w:p>
    <w:p>
      <w:pPr>
        <w:ind w:left="660" w:right="100" w:hanging="333"/>
        <w:spacing w:after="0" w:line="23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158" w:lineRule="exact"/>
        <w:rPr>
          <w:sz w:val="20"/>
          <w:szCs w:val="20"/>
          <w:color w:val="auto"/>
        </w:rPr>
      </w:pPr>
    </w:p>
    <w:p>
      <w:pPr>
        <w:jc w:val="both"/>
        <w:ind w:right="180" w:firstLine="648"/>
        <w:spacing w:after="0" w:line="220" w:lineRule="auto"/>
        <w:rPr>
          <w:sz w:val="20"/>
          <w:szCs w:val="20"/>
          <w:color w:val="auto"/>
        </w:rPr>
      </w:pPr>
      <w:r>
        <w:rPr>
          <w:rFonts w:ascii="Times New Roman" w:cs="Times New Roman" w:eastAsia="Times New Roman" w:hAnsi="Times New Roman"/>
          <w:sz w:val="18"/>
          <w:szCs w:val="18"/>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59" w:lineRule="exact"/>
        <w:rPr>
          <w:sz w:val="20"/>
          <w:szCs w:val="20"/>
          <w:color w:val="auto"/>
        </w:rPr>
      </w:pPr>
    </w:p>
    <w:p>
      <w:pPr>
        <w:ind w:left="660" w:hanging="33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84" w:lineRule="exact"/>
        <w:rPr>
          <w:rFonts w:ascii="Times New Roman" w:cs="Times New Roman" w:eastAsia="Times New Roman" w:hAnsi="Times New Roman"/>
          <w:sz w:val="18"/>
          <w:szCs w:val="18"/>
          <w:color w:val="auto"/>
        </w:rPr>
      </w:pPr>
    </w:p>
    <w:p>
      <w:pPr>
        <w:ind w:left="660" w:right="100" w:hanging="333"/>
        <w:spacing w:after="0" w:line="23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 or are not covered by our intellectual property;</w:t>
      </w:r>
    </w:p>
    <w:p>
      <w:pPr>
        <w:spacing w:after="0" w:line="158" w:lineRule="exact"/>
        <w:rPr>
          <w:rFonts w:ascii="Times New Roman" w:cs="Times New Roman" w:eastAsia="Times New Roman" w:hAnsi="Times New Roman"/>
          <w:sz w:val="18"/>
          <w:szCs w:val="18"/>
          <w:color w:val="auto"/>
        </w:rPr>
      </w:pPr>
    </w:p>
    <w:p>
      <w:pPr>
        <w:jc w:val="both"/>
        <w:ind w:left="660" w:right="220" w:hanging="333"/>
        <w:spacing w:after="0" w:line="22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29" w:lineRule="exact"/>
        <w:rPr>
          <w:rFonts w:ascii="Times New Roman" w:cs="Times New Roman" w:eastAsia="Times New Roman" w:hAnsi="Times New Roman"/>
          <w:sz w:val="18"/>
          <w:szCs w:val="18"/>
          <w:color w:val="auto"/>
        </w:rPr>
      </w:pPr>
    </w:p>
    <w:p>
      <w:pPr>
        <w:ind w:left="660" w:hanging="333"/>
        <w:spacing w:after="0" w:line="207" w:lineRule="exact"/>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requirements, including REMS; or</w:t>
      </w:r>
    </w:p>
    <w:p>
      <w:pPr>
        <w:spacing w:after="0" w:line="213"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85"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65" w:lineRule="exact"/>
        <w:rPr>
          <w:sz w:val="20"/>
          <w:szCs w:val="20"/>
          <w:color w:val="auto"/>
        </w:rPr>
      </w:pPr>
    </w:p>
    <w:p>
      <w:pPr>
        <w:ind w:right="160" w:firstLine="648"/>
        <w:spacing w:after="0" w:line="211"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chemistry, manufacturing, and control (CMC), or other data and information, and the development and provision of these data and information may be time consuming and expensive. Furthermore, there is the possibility that the FDA or comparable foreign regulatory authorities have not previously reviewed product candidates for the indications we are pursuing, such as bisphosphonates for the treatment of pain. As a result, we may experience delays in regulatory approval due to uncertainties in the approval process.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20" w:firstLine="648"/>
        <w:spacing w:after="0" w:line="184" w:lineRule="exact"/>
        <w:rPr>
          <w:sz w:val="20"/>
          <w:szCs w:val="20"/>
          <w:color w:val="auto"/>
        </w:rPr>
      </w:pPr>
      <w:r>
        <w:rPr>
          <w:rFonts w:ascii="Times New Roman" w:cs="Times New Roman" w:eastAsia="Times New Roman" w:hAnsi="Times New Roman"/>
          <w:sz w:val="18"/>
          <w:szCs w:val="18"/>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59" w:lineRule="exact"/>
        <w:rPr>
          <w:sz w:val="20"/>
          <w:szCs w:val="20"/>
          <w:color w:val="auto"/>
        </w:rPr>
      </w:pPr>
    </w:p>
    <w:p>
      <w:pPr>
        <w:jc w:val="both"/>
        <w:ind w:right="120" w:firstLine="648"/>
        <w:spacing w:after="0" w:line="220" w:lineRule="auto"/>
        <w:rPr>
          <w:sz w:val="20"/>
          <w:szCs w:val="20"/>
          <w:color w:val="auto"/>
        </w:rPr>
      </w:pPr>
      <w:r>
        <w:rPr>
          <w:rFonts w:ascii="Times New Roman" w:cs="Times New Roman" w:eastAsia="Times New Roman" w:hAnsi="Times New Roman"/>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55" w:lineRule="exact"/>
        <w:rPr>
          <w:sz w:val="20"/>
          <w:szCs w:val="20"/>
          <w:color w:val="auto"/>
        </w:rPr>
      </w:pPr>
    </w:p>
    <w:p>
      <w:pPr>
        <w:ind w:right="360"/>
        <w:spacing w:after="0"/>
        <w:rPr>
          <w:sz w:val="20"/>
          <w:szCs w:val="20"/>
          <w:color w:val="auto"/>
        </w:rPr>
      </w:pPr>
      <w:r>
        <w:rPr>
          <w:rFonts w:ascii="Times New Roman" w:cs="Times New Roman" w:eastAsia="Times New Roman" w:hAnsi="Times New Roman"/>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57"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62" w:lineRule="exact"/>
        <w:rPr>
          <w:sz w:val="20"/>
          <w:szCs w:val="20"/>
          <w:color w:val="auto"/>
        </w:rPr>
      </w:pPr>
    </w:p>
    <w:p>
      <w:pPr>
        <w:ind w:right="20" w:firstLine="648"/>
        <w:spacing w:after="0" w:line="182" w:lineRule="exact"/>
        <w:rPr>
          <w:sz w:val="20"/>
          <w:szCs w:val="20"/>
          <w:color w:val="auto"/>
        </w:rPr>
      </w:pPr>
      <w:r>
        <w:rPr>
          <w:rFonts w:ascii="Times New Roman" w:cs="Times New Roman" w:eastAsia="Times New Roman" w:hAnsi="Times New Roman"/>
          <w:sz w:val="18"/>
          <w:szCs w:val="18"/>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130" w:lineRule="exact"/>
        <w:rPr>
          <w:sz w:val="20"/>
          <w:szCs w:val="20"/>
          <w:color w:val="auto"/>
        </w:rPr>
      </w:pPr>
    </w:p>
    <w:p>
      <w:pPr>
        <w:ind w:right="160" w:firstLine="648"/>
        <w:spacing w:after="0" w:line="212" w:lineRule="exact"/>
        <w:rPr>
          <w:sz w:val="20"/>
          <w:szCs w:val="20"/>
          <w:color w:val="auto"/>
        </w:rPr>
      </w:pPr>
      <w:r>
        <w:rPr>
          <w:rFonts w:ascii="Times New Roman" w:cs="Times New Roman" w:eastAsia="Times New Roman" w:hAnsi="Times New Roman"/>
          <w:sz w:val="18"/>
          <w:szCs w:val="18"/>
          <w:color w:val="auto"/>
        </w:rPr>
        <w:t>To date, the most commonly reported adverse events observed in the completed clinical trial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include headache, fever, musculoskeletal pain, diarrhea, abdominal pain, nausea, myalgia, and chills. Some reported adverse events led to discontinuation from our trial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These adverse events included abdominal pain.</w:t>
      </w:r>
    </w:p>
    <w:p>
      <w:pPr>
        <w:spacing w:after="0" w:line="138" w:lineRule="exact"/>
        <w:rPr>
          <w:sz w:val="20"/>
          <w:szCs w:val="20"/>
          <w:color w:val="auto"/>
        </w:rPr>
      </w:pPr>
    </w:p>
    <w:p>
      <w:pPr>
        <w:ind w:right="80" w:firstLine="648"/>
        <w:spacing w:after="0" w:line="202" w:lineRule="exact"/>
        <w:rPr>
          <w:sz w:val="20"/>
          <w:szCs w:val="20"/>
          <w:color w:val="auto"/>
        </w:rPr>
      </w:pPr>
      <w:r>
        <w:rPr>
          <w:rFonts w:ascii="Times New Roman" w:cs="Times New Roman" w:eastAsia="Times New Roman" w:hAnsi="Times New Roman"/>
          <w:sz w:val="18"/>
          <w:szCs w:val="18"/>
          <w:color w:val="auto"/>
        </w:rPr>
        <w:t>To date, the most commonly reported adverse events observed in a completed clinical trial with zoledronic acid, the active molecule in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for the treatment of the pain of knee OA associated with BMLs include acute phase reactions, primarily cold or flu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symptoms and headaches.</w:t>
      </w:r>
    </w:p>
    <w:p>
      <w:pPr>
        <w:spacing w:after="0" w:line="137" w:lineRule="exact"/>
        <w:rPr>
          <w:sz w:val="20"/>
          <w:szCs w:val="20"/>
          <w:color w:val="auto"/>
        </w:rPr>
      </w:pPr>
    </w:p>
    <w:p>
      <w:pPr>
        <w:ind w:right="80" w:firstLine="648"/>
        <w:spacing w:after="0" w:line="190" w:lineRule="exact"/>
        <w:rPr>
          <w:sz w:val="20"/>
          <w:szCs w:val="20"/>
          <w:color w:val="auto"/>
        </w:rPr>
      </w:pPr>
      <w:r>
        <w:rPr>
          <w:rFonts w:ascii="Times New Roman" w:cs="Times New Roman" w:eastAsia="Times New Roman" w:hAnsi="Times New Roman"/>
          <w:sz w:val="18"/>
          <w:szCs w:val="18"/>
          <w:color w:val="auto"/>
        </w:rPr>
        <w:t>To date, the most commonly reported adverse events observed in a completed clinical trial with zoledronic acid, the active molecule in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for the treatment of CLBP associated with MCs include fever, headache, myalgia, arthralgia, pain, nausea, and flu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symptoms. Sinusitis requiring temporary hospitalization following zoledronic acid infusion was reported in one patient and was therefore classified as a serious adverse event.</w:t>
      </w:r>
    </w:p>
    <w:p>
      <w:pPr>
        <w:spacing w:after="0" w:line="159" w:lineRule="exact"/>
        <w:rPr>
          <w:sz w:val="20"/>
          <w:szCs w:val="20"/>
          <w:color w:val="auto"/>
        </w:rPr>
      </w:pPr>
    </w:p>
    <w:p>
      <w:pPr>
        <w:jc w:val="both"/>
        <w:ind w:right="100" w:firstLine="648"/>
        <w:spacing w:after="0" w:line="195" w:lineRule="exact"/>
        <w:rPr>
          <w:sz w:val="20"/>
          <w:szCs w:val="20"/>
          <w:color w:val="auto"/>
        </w:rPr>
      </w:pPr>
      <w:r>
        <w:rPr>
          <w:rFonts w:ascii="Times New Roman" w:cs="Times New Roman" w:eastAsia="Times New Roman" w:hAnsi="Times New Roman"/>
          <w:sz w:val="18"/>
          <w:szCs w:val="18"/>
          <w:color w:val="auto"/>
        </w:rPr>
        <w:t>To date, the most commonly reported adverse events observed in the completed clinical trials of the combination of DM, one of the active molecules in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 quinidine for the treatment of pseudobulbar affect and agitation in patients with probable AD include falls, dizziness, headache, nausea, diarrhea, and urinary tract infection.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firstLine="648"/>
        <w:spacing w:after="0" w:line="187" w:lineRule="exact"/>
        <w:rPr>
          <w:sz w:val="20"/>
          <w:szCs w:val="20"/>
          <w:color w:val="auto"/>
        </w:rPr>
      </w:pPr>
      <w:r>
        <w:rPr>
          <w:rFonts w:ascii="Times New Roman" w:cs="Times New Roman" w:eastAsia="Times New Roman" w:hAnsi="Times New Roman"/>
          <w:sz w:val="18"/>
          <w:szCs w:val="18"/>
          <w:color w:val="auto"/>
        </w:rPr>
        <w:t>To date, the most commonly reported adverse events observed in the completed clinical trials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include headache, nausea, dizziness, insomnia, dry mouth, fatigue, hypoesthesia, disturbance in attention, hyperhidrosis, increased heart rate, palpitation, constipation, diarrhea, increased blood pressure, and tremor. Some reported adverse events resulted in discontinuations from our trials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These adverse events included chest pain, headache, abdominal pain, diarrhea, signs of potential allergic reactions, atrial tachycardia, disturbance in attention, metamorphosia, tremor, feeling hot, dizziness, dyspnea, and increased respiratory rate. AXS-05 consists of DM and bupropion, and this combination may exacerbate any known adverse events for each individual component, or may result in new toxicities as compared to those of the individual components.</w:t>
      </w:r>
    </w:p>
    <w:p>
      <w:pPr>
        <w:spacing w:after="0" w:line="159" w:lineRule="exact"/>
        <w:rPr>
          <w:sz w:val="20"/>
          <w:szCs w:val="20"/>
          <w:color w:val="auto"/>
        </w:rPr>
      </w:pPr>
    </w:p>
    <w:p>
      <w:pPr>
        <w:ind w:right="140" w:firstLine="648"/>
        <w:spacing w:after="0" w:line="185" w:lineRule="exact"/>
        <w:rPr>
          <w:sz w:val="20"/>
          <w:szCs w:val="20"/>
          <w:color w:val="auto"/>
        </w:rPr>
      </w:pPr>
      <w:r>
        <w:rPr>
          <w:rFonts w:ascii="Times New Roman" w:cs="Times New Roman" w:eastAsia="Times New Roman" w:hAnsi="Times New Roman"/>
          <w:sz w:val="18"/>
          <w:szCs w:val="18"/>
          <w:color w:val="auto"/>
        </w:rPr>
        <w:t>If any of our other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perspective. The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58"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7" w:lineRule="exact"/>
        <w:rPr>
          <w:sz w:val="20"/>
          <w:szCs w:val="20"/>
          <w:color w:val="auto"/>
        </w:rPr>
      </w:pPr>
    </w:p>
    <w:p>
      <w:pPr>
        <w:ind w:right="140" w:firstLine="648"/>
        <w:spacing w:after="0" w:line="214" w:lineRule="auto"/>
        <w:rPr>
          <w:sz w:val="20"/>
          <w:szCs w:val="20"/>
          <w:color w:val="auto"/>
        </w:rPr>
      </w:pPr>
      <w:r>
        <w:rPr>
          <w:rFonts w:ascii="Times New Roman" w:cs="Times New Roman" w:eastAsia="Times New Roman" w:hAnsi="Times New Roman"/>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62" w:lineRule="exact"/>
        <w:rPr>
          <w:sz w:val="20"/>
          <w:szCs w:val="20"/>
          <w:color w:val="auto"/>
        </w:rPr>
      </w:pPr>
    </w:p>
    <w:p>
      <w:pPr>
        <w:ind w:left="660" w:hanging="33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84" w:lineRule="exact"/>
        <w:rPr>
          <w:rFonts w:ascii="Times New Roman" w:cs="Times New Roman" w:eastAsia="Times New Roman" w:hAnsi="Times New Roman"/>
          <w:sz w:val="18"/>
          <w:szCs w:val="18"/>
          <w:color w:val="auto"/>
        </w:rPr>
      </w:pPr>
    </w:p>
    <w:p>
      <w:pPr>
        <w:ind w:left="660" w:right="40" w:hanging="333"/>
        <w:spacing w:after="0" w:line="23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and design of, the clinical trial in question, including factors such as frequency of required assessments, length of the study, and ongoing monitoring requirements;</w:t>
      </w:r>
    </w:p>
    <w:p>
      <w:pPr>
        <w:spacing w:after="0" w:line="158" w:lineRule="exact"/>
        <w:rPr>
          <w:rFonts w:ascii="Times New Roman" w:cs="Times New Roman" w:eastAsia="Times New Roman" w:hAnsi="Times New Roman"/>
          <w:sz w:val="18"/>
          <w:szCs w:val="18"/>
          <w:color w:val="auto"/>
        </w:rPr>
      </w:pPr>
    </w:p>
    <w:p>
      <w:pPr>
        <w:ind w:left="660" w:right="720" w:hanging="333"/>
        <w:spacing w:after="0" w:line="23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 including the potential advantages or disadvantages of the product candidate being studied in relation to other available therapies;</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recruiting and enrolling patients in clinical trials;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publicity created by clinical trial sites regarding the trial;</w:t>
      </w:r>
    </w:p>
    <w:p>
      <w:pPr>
        <w:spacing w:after="0" w:line="184" w:lineRule="exact"/>
        <w:rPr>
          <w:rFonts w:ascii="Times New Roman" w:cs="Times New Roman" w:eastAsia="Times New Roman" w:hAnsi="Times New Roman"/>
          <w:sz w:val="18"/>
          <w:szCs w:val="18"/>
          <w:color w:val="auto"/>
        </w:rPr>
      </w:pPr>
    </w:p>
    <w:p>
      <w:pPr>
        <w:ind w:left="660" w:right="120" w:hanging="333"/>
        <w:spacing w:after="0" w:line="23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ability to comply with the specific instructions related to the trial protocol, proper documentation, and use of the drug product;</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maintain patient informed consents;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85" w:lineRule="exact"/>
        <w:rPr>
          <w:sz w:val="20"/>
          <w:szCs w:val="20"/>
          <w:color w:val="auto"/>
        </w:rPr>
      </w:pPr>
    </w:p>
    <w:p>
      <w:pPr>
        <w:ind w:firstLine="648"/>
        <w:spacing w:after="0" w:line="20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For our initiated Phase 3 clinical trial with AXS-02 for the treatment of the pain of knee OA associated with BMLs and our planned Phase 3 clinical trial in CLBP associated with type 1 or mixed type 1 and type 2 MCs, enrollment will require the existence of radiographic biomarkers, we may require patients to discontinue use of their existing medication before participating in our clinical trials, and we may exclude patients with advanced disease. In addition, for our planned Phase 3 clinical trial with AXS-02 in CLBP associated with type 1 or mixed type 1 and type 2 MCs, we will exclude women of childbearing potential from our potential patient population. We may also exclude patients who have been treated with opioids or other classes of medications. For our Phase 3 clinical trial with AXS-05 for the treatment of TRD, we are requiring patients to have previously failed one or two antidepressant treatments, which further limits our potential patient population. For our Phase 2/3 clinical trial with AXS-05 for the treatment of agitation associated with AD, we exclude patients who have been treated with certain classes of medications. For our Phase 3 clinical trial with AXS-07 for the acute treatment of migraine, only patients with a history of inadequate response to prior migraine treatments will be enrolled. Although we recently announced enrollment in the AXS-07 Phase 3 study was occurring at a faster than expected rate, this is not a guarantee that this pace of enrollment will continue, and as a result could further alter certain study-related timelines. These and other entry criteria may make it difficult for us to enroll patients in any of our clinical trials. We may be required by the FDA to modify the entry criteria for our ongoing or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70"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18"/>
          <w:szCs w:val="18"/>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Currently approved products containing bupropion are subject to restrictive marketing and distribution regulations, which if applied to our product candidates would restrict their use and harm our ability to generate profits.</w:t>
      </w:r>
    </w:p>
    <w:p>
      <w:pPr>
        <w:spacing w:after="0" w:line="157" w:lineRule="exact"/>
        <w:rPr>
          <w:sz w:val="20"/>
          <w:szCs w:val="20"/>
          <w:color w:val="auto"/>
        </w:rPr>
      </w:pPr>
    </w:p>
    <w:p>
      <w:pPr>
        <w:ind w:right="20" w:firstLine="648"/>
        <w:spacing w:after="0" w:line="208" w:lineRule="auto"/>
        <w:rPr>
          <w:sz w:val="20"/>
          <w:szCs w:val="20"/>
          <w:color w:val="auto"/>
        </w:rPr>
      </w:pPr>
      <w:r>
        <w:rPr>
          <w:rFonts w:ascii="Times New Roman" w:cs="Times New Roman" w:eastAsia="Times New Roman" w:hAnsi="Times New Roman"/>
          <w:sz w:val="18"/>
          <w:szCs w:val="18"/>
          <w:color w:val="auto"/>
        </w:rPr>
        <w:t>Some of the currently approved products containing the same active ingredients as our product candidates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our product candidates will require a REMS program or medication guide. We cannot predict whether either will be required as part of the FDA’s approval of our product candidates and, if required, what those requirements might be.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 their approval for commercialization.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 of combination product candidates may present more or different challenges than development of a single agent product candidate.</w:t>
      </w:r>
    </w:p>
    <w:p>
      <w:pPr>
        <w:spacing w:after="0" w:line="145"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Certain of our product candidates, including AXS-05, AXS-06, AXS-07, and AXS-09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160"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As product candidates are developed through preclinical studies to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towards approval and commercialization, it is common that various aspects of the development program, such as manufacturing methods and formulation, are altered along the way in an effort to optimize processes and results. For instance, two of our initial studies 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were completed with two separate tablets containing DM and bupropion. Our Phase 3 studies, however, are being conducted using a single tablet containing both active ingredients.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59" w:lineRule="exact"/>
        <w:rPr>
          <w:sz w:val="20"/>
          <w:szCs w:val="20"/>
          <w:color w:val="auto"/>
        </w:rPr>
      </w:pPr>
    </w:p>
    <w:p>
      <w:pPr>
        <w:ind w:right="420"/>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157" w:lineRule="exact"/>
        <w:rPr>
          <w:sz w:val="20"/>
          <w:szCs w:val="20"/>
          <w:color w:val="auto"/>
        </w:rPr>
      </w:pPr>
    </w:p>
    <w:p>
      <w:pPr>
        <w:ind w:firstLine="648"/>
        <w:spacing w:after="0" w:line="181" w:lineRule="exact"/>
        <w:rPr>
          <w:sz w:val="20"/>
          <w:szCs w:val="20"/>
          <w:color w:val="auto"/>
        </w:rPr>
      </w:pPr>
      <w:r>
        <w:rPr>
          <w:rFonts w:ascii="Times New Roman" w:cs="Times New Roman" w:eastAsia="Times New Roman" w:hAnsi="Times New Roman"/>
          <w:sz w:val="18"/>
          <w:szCs w:val="18"/>
          <w:color w:val="auto"/>
        </w:rPr>
        <w:t>In order to market and sell our products in the European Union, or EU, and many other jurisdictions, we or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ind w:right="10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59" w:lineRule="exact"/>
        <w:rPr>
          <w:sz w:val="20"/>
          <w:szCs w:val="20"/>
          <w:color w:val="auto"/>
        </w:rPr>
      </w:pPr>
    </w:p>
    <w:p>
      <w:pPr>
        <w:ind w:right="60" w:firstLine="648"/>
        <w:spacing w:after="0" w:line="212" w:lineRule="auto"/>
        <w:rPr>
          <w:sz w:val="20"/>
          <w:szCs w:val="20"/>
          <w:color w:val="auto"/>
        </w:rPr>
      </w:pPr>
      <w:r>
        <w:rPr>
          <w:rFonts w:ascii="Times New Roman" w:cs="Times New Roman" w:eastAsia="Times New Roman" w:hAnsi="Times New Roman"/>
          <w:sz w:val="18"/>
          <w:szCs w:val="18"/>
          <w:color w:val="auto"/>
        </w:rPr>
        <w:t>We have received a Fast Track product designation for AXS-02 for the treatment of the pain of knee OA associated with BMLs, and for AXS-05 for both the treatment of TRD as well as for the treatment of agitation associated with AD, and we may seek Fast Track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54"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Although the breakthrough therapy process is designed to expedite the review and development of drugs, Breakthrough Therapy designation by the FDA for AXS-05 for the treatment of MDD may not ultimately lead to a faster development or regulatory review or approval process, and it will not increase the likelihood that the product candidate will receive marketing approval.</w:t>
      </w:r>
    </w:p>
    <w:p>
      <w:pPr>
        <w:spacing w:after="0" w:line="160" w:lineRule="exact"/>
        <w:rPr>
          <w:sz w:val="20"/>
          <w:szCs w:val="20"/>
          <w:color w:val="auto"/>
        </w:rPr>
      </w:pPr>
    </w:p>
    <w:p>
      <w:pPr>
        <w:ind w:right="40" w:firstLine="648"/>
        <w:spacing w:after="0" w:line="211" w:lineRule="auto"/>
        <w:rPr>
          <w:sz w:val="20"/>
          <w:szCs w:val="20"/>
          <w:color w:val="auto"/>
        </w:rPr>
      </w:pPr>
      <w:r>
        <w:rPr>
          <w:rFonts w:ascii="Times New Roman" w:cs="Times New Roman" w:eastAsia="Times New Roman" w:hAnsi="Times New Roman"/>
          <w:sz w:val="18"/>
          <w:szCs w:val="18"/>
          <w:color w:val="auto"/>
        </w:rPr>
        <w:t>We received Breakthrough Therapy designation for AXS-05 for the treatment of MDD.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NDA.</w:t>
      </w:r>
    </w:p>
    <w:p>
      <w:pPr>
        <w:spacing w:after="0" w:line="158"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The receipt of a Breakthrough Therapy designation for a product candidate may not ultimately result in a faster development process or review, and it does not in any way assure approval of product candidates by the FDA. In addition, the FDA may later decide to rescind the Breakthrough Therapy designation if our product candidate no longer meets the conditions for qualification of this program.</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4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label” uses, resulting in damage to our reputation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-98425</wp:posOffset>
            </wp:positionV>
            <wp:extent cx="6413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9"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our business may be adversely affected. We further must be able to sufficiently substantiate any claims that we make for our products including claims comparing our products to other companies’ products.</w:t>
      </w:r>
    </w:p>
    <w:p>
      <w:pPr>
        <w:spacing w:after="0" w:line="161" w:lineRule="exact"/>
        <w:rPr>
          <w:sz w:val="20"/>
          <w:szCs w:val="20"/>
          <w:color w:val="auto"/>
        </w:rPr>
      </w:pPr>
    </w:p>
    <w:p>
      <w:pPr>
        <w:ind w:firstLine="648"/>
        <w:spacing w:after="0" w:line="183" w:lineRule="exact"/>
        <w:rPr>
          <w:sz w:val="20"/>
          <w:szCs w:val="20"/>
          <w:color w:val="auto"/>
        </w:rPr>
      </w:pPr>
      <w:r>
        <w:rPr>
          <w:rFonts w:ascii="Times New Roman" w:cs="Times New Roman" w:eastAsia="Times New Roman" w:hAnsi="Times New Roman"/>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w:t>
      </w:r>
    </w:p>
    <w:p>
      <w:pPr>
        <w:spacing w:after="0" w:line="158" w:lineRule="exact"/>
        <w:rPr>
          <w:sz w:val="20"/>
          <w:szCs w:val="20"/>
          <w:color w:val="auto"/>
        </w:rPr>
      </w:pPr>
    </w:p>
    <w:p>
      <w:pPr>
        <w:ind w:right="160" w:firstLine="648"/>
        <w:spacing w:after="0" w:line="183" w:lineRule="exact"/>
        <w:rPr>
          <w:sz w:val="20"/>
          <w:szCs w:val="20"/>
          <w:color w:val="auto"/>
        </w:rPr>
      </w:pPr>
      <w:r>
        <w:rPr>
          <w:rFonts w:ascii="Times New Roman" w:cs="Times New Roman" w:eastAsia="Times New Roman" w:hAnsi="Times New Roman"/>
          <w:sz w:val="18"/>
          <w:szCs w:val="18"/>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firstLine="648"/>
        <w:spacing w:after="0" w:line="180" w:lineRule="exact"/>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following approval, for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61" w:lineRule="exact"/>
        <w:rPr>
          <w:sz w:val="20"/>
          <w:szCs w:val="20"/>
          <w:color w:val="auto"/>
        </w:rPr>
      </w:pPr>
    </w:p>
    <w:p>
      <w:pPr>
        <w:ind w:right="80" w:firstLine="648"/>
        <w:spacing w:after="0" w:line="213" w:lineRule="auto"/>
        <w:rPr>
          <w:sz w:val="20"/>
          <w:szCs w:val="20"/>
          <w:color w:val="auto"/>
        </w:rPr>
      </w:pPr>
      <w:r>
        <w:rPr>
          <w:rFonts w:ascii="Times New Roman" w:cs="Times New Roman" w:eastAsia="Times New Roman" w:hAnsi="Times New Roman"/>
          <w:sz w:val="18"/>
          <w:szCs w:val="18"/>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58" w:lineRule="exact"/>
        <w:rPr>
          <w:sz w:val="20"/>
          <w:szCs w:val="20"/>
          <w:color w:val="auto"/>
        </w:rPr>
      </w:pPr>
    </w:p>
    <w:p>
      <w:pPr>
        <w:ind w:right="20" w:firstLine="648"/>
        <w:spacing w:after="0" w:line="180" w:lineRule="exact"/>
        <w:rPr>
          <w:sz w:val="20"/>
          <w:szCs w:val="20"/>
          <w:color w:val="auto"/>
        </w:rPr>
      </w:pPr>
      <w:r>
        <w:rPr>
          <w:rFonts w:ascii="Times New Roman" w:cs="Times New Roman" w:eastAsia="Times New Roman" w:hAnsi="Times New Roman"/>
          <w:sz w:val="18"/>
          <w:szCs w:val="18"/>
          <w:color w:val="auto"/>
        </w:rPr>
        <w:t>Any product candidate for which we obtain marketing approval will be subject to extensive and ongoing requirements of and review by the FDA and other regulatory authorities, including requirements related to the manufacturing processes,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approval clinical data, labeling, packaging, distribution, adverse event reporting, storage, recordkeeping, export, import, advertising, marketing, and promotional activities for such product. These requirements further include submissions of safety and other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good clinical practices, or GCPs, for any clinical trials that we 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requirements or restrictions. Any such restrictions could limit sales of the product.</w:t>
      </w:r>
    </w:p>
    <w:p>
      <w:pPr>
        <w:spacing w:after="0" w:line="163" w:lineRule="exact"/>
        <w:rPr>
          <w:sz w:val="20"/>
          <w:szCs w:val="20"/>
          <w:color w:val="auto"/>
        </w:rPr>
      </w:pPr>
    </w:p>
    <w:p>
      <w:pPr>
        <w:jc w:val="both"/>
        <w:ind w:right="260" w:firstLine="648"/>
        <w:spacing w:after="0" w:line="190" w:lineRule="exact"/>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cGMPs. Application holders must further notify the FDA, and depending on the nature of the change, obtain FDA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for product and manufacturing changes. Application fees may apply to certain changes.</w:t>
      </w:r>
    </w:p>
    <w:p>
      <w:pPr>
        <w:spacing w:after="0" w:line="159"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58" w:lineRule="exact"/>
        <w:rPr>
          <w:sz w:val="20"/>
          <w:szCs w:val="20"/>
          <w:color w:val="auto"/>
        </w:rPr>
      </w:pPr>
    </w:p>
    <w:p>
      <w:pPr>
        <w:ind w:left="660" w:hanging="33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184" w:lineRule="exact"/>
        <w:rPr>
          <w:rFonts w:ascii="Times New Roman" w:cs="Times New Roman" w:eastAsia="Times New Roman" w:hAnsi="Times New Roman"/>
          <w:sz w:val="18"/>
          <w:szCs w:val="18"/>
          <w:color w:val="auto"/>
        </w:rPr>
      </w:pPr>
    </w:p>
    <w:p>
      <w:pPr>
        <w:ind w:left="660" w:right="160" w:hanging="333"/>
        <w:spacing w:after="0" w:line="237"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including required additional warnings, such as black box warnings, contraindications, precautions, and restrictions on the approved indication or use;</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156" w:lineRule="exact"/>
        <w:rPr>
          <w:rFonts w:ascii="Times New Roman" w:cs="Times New Roman" w:eastAsia="Times New Roman" w:hAnsi="Times New Roman"/>
          <w:sz w:val="18"/>
          <w:szCs w:val="18"/>
          <w:color w:val="auto"/>
        </w:rPr>
      </w:pPr>
    </w:p>
    <w:p>
      <w:pPr>
        <w:ind w:left="660" w:hanging="333"/>
        <w:spacing w:after="0" w:line="207" w:lineRule="exact"/>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or clinical trials; clinical holds or termination of clinical trials;</w:t>
      </w:r>
    </w:p>
    <w:p>
      <w:pPr>
        <w:spacing w:after="0" w:line="213" w:lineRule="exact"/>
        <w:rPr>
          <w:rFonts w:ascii="Times New Roman" w:cs="Times New Roman" w:eastAsia="Times New Roman" w:hAnsi="Times New Roman"/>
          <w:sz w:val="18"/>
          <w:szCs w:val="18"/>
          <w:color w:val="auto"/>
        </w:rPr>
      </w:pPr>
    </w:p>
    <w:p>
      <w:pPr>
        <w:ind w:left="660" w:right="240" w:hanging="333"/>
        <w:spacing w:after="0" w:line="22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a comparable foreign authority may require that we establish or modify a similar strategy, that may, for instance, require us to create a Medication Guide outlining the risks of the previously unidentified side effects for distribution to patients, or restrict distribution of the product, if and when approved, and impose burdensome implementation requirements on us:</w:t>
      </w:r>
    </w:p>
    <w:p>
      <w:pPr>
        <w:spacing w:after="0" w:line="15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drug is administered;</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becoming less competitive;</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184" w:lineRule="exact"/>
        <w:rPr>
          <w:rFonts w:ascii="Times New Roman" w:cs="Times New Roman" w:eastAsia="Times New Roman" w:hAnsi="Times New Roman"/>
          <w:sz w:val="18"/>
          <w:szCs w:val="18"/>
          <w:color w:val="auto"/>
        </w:rPr>
      </w:pPr>
    </w:p>
    <w:p>
      <w:pPr>
        <w:ind w:left="660" w:right="1080" w:hanging="333"/>
        <w:spacing w:after="0" w:line="237"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drug;</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damages, restitution, or disgorgement of profits or revenues;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84" w:lineRule="exact"/>
        <w:rPr>
          <w:rFonts w:ascii="Times New Roman" w:cs="Times New Roman" w:eastAsia="Times New Roman" w:hAnsi="Times New Roman"/>
          <w:sz w:val="18"/>
          <w:szCs w:val="18"/>
          <w:color w:val="auto"/>
        </w:rPr>
      </w:pPr>
    </w:p>
    <w:p>
      <w:pPr>
        <w:ind w:left="660" w:right="540" w:hanging="333"/>
        <w:spacing w:after="0" w:line="237"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debarment from government contracts, and refusal of future orders under existing contracts, exclusion from federal healthcare programs, consent decrees, or corporate integrity agreements; or</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185"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58" w:lineRule="exact"/>
        <w:rPr>
          <w:sz w:val="20"/>
          <w:szCs w:val="20"/>
          <w:color w:val="auto"/>
        </w:rPr>
      </w:pPr>
    </w:p>
    <w:p>
      <w:pPr>
        <w:ind w:right="60" w:firstLine="648"/>
        <w:spacing w:after="0" w:line="195" w:lineRule="exact"/>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regulations may have a negative effect on our operating results and financial condition.</w:t>
      </w:r>
    </w:p>
    <w:p>
      <w:pPr>
        <w:spacing w:after="0" w:line="154"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57" w:lineRule="exact"/>
        <w:rPr>
          <w:sz w:val="20"/>
          <w:szCs w:val="20"/>
          <w:color w:val="auto"/>
        </w:rPr>
      </w:pPr>
    </w:p>
    <w:p>
      <w:pPr>
        <w:ind w:right="280" w:firstLine="648"/>
        <w:spacing w:after="0" w:line="226" w:lineRule="auto"/>
        <w:rPr>
          <w:sz w:val="20"/>
          <w:szCs w:val="20"/>
          <w:color w:val="auto"/>
        </w:rPr>
      </w:pPr>
      <w:r>
        <w:rPr>
          <w:rFonts w:ascii="Times New Roman" w:cs="Times New Roman" w:eastAsia="Times New Roman" w:hAnsi="Times New Roman"/>
          <w:sz w:val="18"/>
          <w:szCs w:val="18"/>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58" w:lineRule="exact"/>
        <w:rPr>
          <w:sz w:val="20"/>
          <w:szCs w:val="20"/>
          <w:color w:val="auto"/>
        </w:rPr>
      </w:pPr>
    </w:p>
    <w:p>
      <w:pPr>
        <w:ind w:left="660" w:hanging="333"/>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56" w:lineRule="exact"/>
        <w:rPr>
          <w:rFonts w:ascii="Times New Roman" w:cs="Times New Roman" w:eastAsia="Times New Roman" w:hAnsi="Times New Roman"/>
          <w:sz w:val="18"/>
          <w:szCs w:val="18"/>
          <w:color w:val="auto"/>
        </w:rPr>
      </w:pPr>
    </w:p>
    <w:p>
      <w:pPr>
        <w:jc w:val="both"/>
        <w:ind w:left="660" w:right="80" w:hanging="333"/>
        <w:spacing w:after="0" w:line="205" w:lineRule="exact"/>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660" w:right="340" w:hanging="333"/>
        <w:spacing w:after="0" w:line="22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58" w:lineRule="exact"/>
        <w:rPr>
          <w:rFonts w:ascii="Times New Roman" w:cs="Times New Roman" w:eastAsia="Times New Roman" w:hAnsi="Times New Roman"/>
          <w:sz w:val="18"/>
          <w:szCs w:val="18"/>
          <w:color w:val="auto"/>
        </w:rPr>
      </w:pPr>
    </w:p>
    <w:p>
      <w:pPr>
        <w:ind w:left="660" w:hanging="333"/>
        <w:spacing w:after="0" w:line="23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58" w:lineRule="exact"/>
        <w:rPr>
          <w:rFonts w:ascii="Times New Roman" w:cs="Times New Roman" w:eastAsia="Times New Roman" w:hAnsi="Times New Roman"/>
          <w:sz w:val="18"/>
          <w:szCs w:val="18"/>
          <w:color w:val="auto"/>
        </w:rPr>
      </w:pPr>
    </w:p>
    <w:p>
      <w:pPr>
        <w:ind w:left="660" w:right="180" w:hanging="333"/>
        <w:spacing w:after="0" w:line="23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 and in the health care policies of foreign jurisdictions;</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84" w:lineRule="exact"/>
        <w:rPr>
          <w:rFonts w:ascii="Times New Roman" w:cs="Times New Roman" w:eastAsia="Times New Roman" w:hAnsi="Times New Roman"/>
          <w:sz w:val="18"/>
          <w:szCs w:val="18"/>
          <w:color w:val="auto"/>
        </w:rPr>
      </w:pPr>
    </w:p>
    <w:p>
      <w:pPr>
        <w:ind w:left="660" w:right="180" w:hanging="333"/>
        <w:spacing w:after="0" w:line="23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84" w:lineRule="exact"/>
        <w:rPr>
          <w:rFonts w:ascii="Times New Roman" w:cs="Times New Roman" w:eastAsia="Times New Roman" w:hAnsi="Times New Roman"/>
          <w:sz w:val="18"/>
          <w:szCs w:val="18"/>
          <w:color w:val="auto"/>
        </w:rPr>
      </w:pPr>
    </w:p>
    <w:p>
      <w:pPr>
        <w:ind w:left="660" w:right="140" w:hanging="333"/>
        <w:spacing w:after="0" w:line="23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 and worker rights tend to be stronger;</w:t>
      </w:r>
    </w:p>
    <w:p>
      <w:pPr>
        <w:spacing w:after="0" w:line="158" w:lineRule="exact"/>
        <w:rPr>
          <w:rFonts w:ascii="Times New Roman" w:cs="Times New Roman" w:eastAsia="Times New Roman" w:hAnsi="Times New Roman"/>
          <w:sz w:val="18"/>
          <w:szCs w:val="18"/>
          <w:color w:val="auto"/>
        </w:rPr>
      </w:pPr>
    </w:p>
    <w:p>
      <w:pPr>
        <w:ind w:left="660" w:right="160" w:hanging="333"/>
        <w:spacing w:after="0" w:line="23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U.S. laws and regulations for foreign operations, including the Foreign Corrupt Practices Act or comparable foreign regulations, and the risks and costs of noncompliance;</w:t>
      </w:r>
    </w:p>
    <w:p>
      <w:pPr>
        <w:spacing w:after="0" w:line="158" w:lineRule="exact"/>
        <w:rPr>
          <w:rFonts w:ascii="Times New Roman" w:cs="Times New Roman" w:eastAsia="Times New Roman" w:hAnsi="Times New Roman"/>
          <w:sz w:val="18"/>
          <w:szCs w:val="18"/>
          <w:color w:val="auto"/>
        </w:rPr>
      </w:pPr>
    </w:p>
    <w:p>
      <w:pPr>
        <w:ind w:left="660" w:right="100" w:hanging="333"/>
        <w:spacing w:after="0" w:line="23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58" w:lineRule="exact"/>
        <w:rPr>
          <w:rFonts w:ascii="Times New Roman" w:cs="Times New Roman" w:eastAsia="Times New Roman" w:hAnsi="Times New Roman"/>
          <w:sz w:val="18"/>
          <w:szCs w:val="18"/>
          <w:color w:val="auto"/>
        </w:rPr>
      </w:pPr>
    </w:p>
    <w:p>
      <w:pPr>
        <w:ind w:left="660" w:right="20" w:hanging="333"/>
        <w:spacing w:after="0" w:line="23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58" w:lineRule="exact"/>
        <w:rPr>
          <w:sz w:val="20"/>
          <w:szCs w:val="20"/>
          <w:color w:val="auto"/>
        </w:rPr>
      </w:pPr>
    </w:p>
    <w:p>
      <w:pPr>
        <w:ind w:right="380" w:firstLine="648"/>
        <w:spacing w:after="0" w:line="237"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154"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57"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18"/>
          <w:szCs w:val="18"/>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8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35" w:lineRule="exact"/>
        <w:rPr>
          <w:sz w:val="20"/>
          <w:szCs w:val="20"/>
          <w:color w:val="auto"/>
        </w:rPr>
      </w:pPr>
    </w:p>
    <w:p>
      <w:pPr>
        <w:ind w:right="100" w:firstLine="648"/>
        <w:spacing w:after="0" w:line="212"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8"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Acadia Pharmaceuticals, Inc.; Alder Biopharmaceuticals, Inc.; Alkermes plc; Allergan plc; Amgen Inc.; Biohaven Pharmaceutical Holding Company Ltd.; Carbylan Therapeutics, Inc.; Eli Lilly and Company; Flexion Therapeutics, Inc.; Grunenthal GmbH; Intra-Cellular Therapies, Inc.; Janssen Research &amp; Development, LLC; Jazz Pharmaceuticals plc; Levolta Pharmaceuticals, Inc.; Otsuka Pharmaceutical Co. Ltd.; and OPKO Health, Inc.</w:t>
      </w:r>
    </w:p>
    <w:p>
      <w:pPr>
        <w:spacing w:after="0" w:line="159" w:lineRule="exact"/>
        <w:rPr>
          <w:sz w:val="20"/>
          <w:szCs w:val="20"/>
          <w:color w:val="auto"/>
        </w:rPr>
      </w:pPr>
    </w:p>
    <w:p>
      <w:pPr>
        <w:ind w:right="20" w:firstLine="648"/>
        <w:spacing w:after="0" w:line="183" w:lineRule="exact"/>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58" w:lineRule="exact"/>
        <w:rPr>
          <w:sz w:val="20"/>
          <w:szCs w:val="20"/>
          <w:color w:val="auto"/>
        </w:rPr>
      </w:pPr>
    </w:p>
    <w:p>
      <w:pPr>
        <w:ind w:right="40" w:firstLine="648"/>
        <w:spacing w:after="0" w:line="185" w:lineRule="exact"/>
        <w:rPr>
          <w:sz w:val="20"/>
          <w:szCs w:val="20"/>
          <w:color w:val="auto"/>
        </w:rPr>
      </w:pPr>
      <w:r>
        <w:rPr>
          <w:rFonts w:ascii="Times New Roman" w:cs="Times New Roman" w:eastAsia="Times New Roman" w:hAnsi="Times New Roman"/>
          <w:sz w:val="18"/>
          <w:szCs w:val="18"/>
          <w:color w:val="auto"/>
        </w:rPr>
        <w:t>Generic forms of the active ingredients of our product candidates, including zoledronic acid, DM, bupropion, meloxicam, rizatripan, reboxetine, and esomeprazole, are available and could be used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Any such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 could adversely affect our profitability and have a negative effect on our operating results and financial condition. For example, even though zoledronic acid is not currently approved for the treatment of pain, we would not be able to prevent a physician from prescribing zoledronic acid in intravenous form for such treatment. Nor could we prevent a payor from offering favorable coverage for such product and disadvantaging our product candidates, even if the generics would be used off-label.</w:t>
      </w:r>
    </w:p>
    <w:p>
      <w:pPr>
        <w:spacing w:after="0" w:line="162"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ind w:right="16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59" w:lineRule="exact"/>
        <w:rPr>
          <w:sz w:val="20"/>
          <w:szCs w:val="20"/>
          <w:color w:val="auto"/>
        </w:rPr>
      </w:pPr>
    </w:p>
    <w:p>
      <w:pPr>
        <w:ind w:firstLine="648"/>
        <w:spacing w:after="0" w:line="181" w:lineRule="exact"/>
        <w:rPr>
          <w:sz w:val="20"/>
          <w:szCs w:val="20"/>
          <w:color w:val="auto"/>
        </w:rPr>
      </w:pPr>
      <w:r>
        <w:rPr>
          <w:rFonts w:ascii="Times New Roman" w:cs="Times New Roman" w:eastAsia="Times New Roman" w:hAnsi="Times New Roman"/>
          <w:sz w:val="18"/>
          <w:szCs w:val="18"/>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Thus, following the introduction of a generic drug, a significant percentage of the sales of any branded product or reference listed drug is typically lost to the generic product.</w:t>
      </w:r>
    </w:p>
    <w:p>
      <w:pPr>
        <w:spacing w:after="0" w:line="165"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18"/>
          <w:szCs w:val="18"/>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59" w:lineRule="exact"/>
        <w:rPr>
          <w:sz w:val="20"/>
          <w:szCs w:val="20"/>
          <w:color w:val="auto"/>
        </w:rPr>
      </w:pPr>
    </w:p>
    <w:p>
      <w:pPr>
        <w:ind w:right="40" w:firstLine="648"/>
        <w:spacing w:after="0" w:line="184" w:lineRule="exact"/>
        <w:rPr>
          <w:sz w:val="20"/>
          <w:szCs w:val="20"/>
          <w:color w:val="auto"/>
        </w:rPr>
      </w:pPr>
      <w:r>
        <w:rPr>
          <w:rFonts w:ascii="Times New Roman" w:cs="Times New Roman" w:eastAsia="Times New Roman" w:hAnsi="Times New Roman"/>
          <w:sz w:val="18"/>
          <w:szCs w:val="18"/>
          <w:color w:val="auto"/>
        </w:rPr>
        <w:t>Further, if we do not file a patent infringement lawsuit against a generic manufacturer within 45 days of receiving notice of its paragraph IV certification, the ANDA or 505(b)(2) applicant would not be subject to a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131" w:lineRule="exact"/>
        <w:rPr>
          <w:sz w:val="20"/>
          <w:szCs w:val="20"/>
          <w:color w:val="auto"/>
        </w:rPr>
      </w:pPr>
    </w:p>
    <w:p>
      <w:pPr>
        <w:ind w:right="60" w:firstLine="648"/>
        <w:spacing w:after="0" w:line="189" w:lineRule="exact"/>
        <w:rPr>
          <w:sz w:val="20"/>
          <w:szCs w:val="20"/>
          <w:color w:val="auto"/>
        </w:rPr>
      </w:pPr>
      <w:r>
        <w:rPr>
          <w:rFonts w:ascii="Times New Roman" w:cs="Times New Roman" w:eastAsia="Times New Roman" w:hAnsi="Times New Roman"/>
          <w:sz w:val="18"/>
          <w:szCs w:val="18"/>
          <w:color w:val="auto"/>
        </w:rPr>
        <w:t>We currently anticipate that we may be eligible for three years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 party payors from reimbursing for them. Moreover, a 505(b)(2) applicant could rely on a reference listed drug that is not one of our product candidates, or published literature, in which case any periods of patent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patent protection may not prevent FDA making an approval effective.</w:t>
      </w:r>
    </w:p>
    <w:p>
      <w:pPr>
        <w:spacing w:after="0" w:line="158" w:lineRule="exact"/>
        <w:rPr>
          <w:sz w:val="20"/>
          <w:szCs w:val="20"/>
          <w:color w:val="auto"/>
        </w:rPr>
      </w:pPr>
    </w:p>
    <w:p>
      <w:pPr>
        <w:ind w:right="140" w:firstLine="648"/>
        <w:spacing w:after="0" w:line="226" w:lineRule="auto"/>
        <w:rPr>
          <w:sz w:val="20"/>
          <w:szCs w:val="20"/>
          <w:color w:val="auto"/>
        </w:rPr>
      </w:pPr>
      <w:r>
        <w:rPr>
          <w:rFonts w:ascii="Times New Roman" w:cs="Times New Roman" w:eastAsia="Times New Roman" w:hAnsi="Times New Roman"/>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29" w:lineRule="exact"/>
        <w:rPr>
          <w:sz w:val="20"/>
          <w:szCs w:val="20"/>
          <w:color w:val="auto"/>
        </w:rPr>
      </w:pPr>
    </w:p>
    <w:p>
      <w:pPr>
        <w:ind w:right="280"/>
        <w:spacing w:after="0" w:line="197" w:lineRule="exact"/>
        <w:rPr>
          <w:sz w:val="20"/>
          <w:szCs w:val="20"/>
          <w:color w:val="auto"/>
        </w:rPr>
      </w:pPr>
      <w:r>
        <w:rPr>
          <w:rFonts w:ascii="Times New Roman" w:cs="Times New Roman" w:eastAsia="Times New Roman" w:hAnsi="Times New Roman"/>
          <w:sz w:val="18"/>
          <w:szCs w:val="18"/>
          <w:b w:val="1"/>
          <w:bCs w:val="1"/>
          <w:i w:val="1"/>
          <w:iCs w:val="1"/>
          <w:color w:val="auto"/>
        </w:rPr>
        <w:t>AXS-12 and 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02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-419735</wp:posOffset>
            </wp:positionV>
            <wp:extent cx="6413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2" w:lineRule="exact"/>
        <w:rPr>
          <w:sz w:val="20"/>
          <w:szCs w:val="20"/>
          <w:color w:val="auto"/>
        </w:rPr>
      </w:pPr>
    </w:p>
    <w:p>
      <w:pPr>
        <w:ind w:right="240" w:firstLine="648"/>
        <w:spacing w:after="0" w:line="205" w:lineRule="exact"/>
        <w:rPr>
          <w:sz w:val="20"/>
          <w:szCs w:val="20"/>
          <w:color w:val="auto"/>
        </w:rPr>
      </w:pPr>
      <w:r>
        <w:rPr>
          <w:rFonts w:ascii="Times New Roman" w:cs="Times New Roman" w:eastAsia="Times New Roman" w:hAnsi="Times New Roman"/>
          <w:sz w:val="18"/>
          <w:szCs w:val="18"/>
          <w:color w:val="auto"/>
        </w:rPr>
        <w:t>AXS-12 received Orphan Drug Designation from FDA for the treatment of narcolepsy.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received Orphan Drug Designation from the FDA for the treatment of CRPS. We may also seek Orphan Drug Designation for our other product candidates, as appropriate.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firstLine="648"/>
        <w:spacing w:after="0" w:line="211" w:lineRule="auto"/>
        <w:rPr>
          <w:sz w:val="20"/>
          <w:szCs w:val="20"/>
          <w:color w:val="auto"/>
        </w:rPr>
      </w:pPr>
      <w:r>
        <w:rPr>
          <w:rFonts w:ascii="Times New Roman" w:cs="Times New Roman" w:eastAsia="Times New Roman" w:hAnsi="Times New Roman"/>
          <w:sz w:val="18"/>
          <w:szCs w:val="18"/>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58" w:lineRule="exact"/>
        <w:rPr>
          <w:sz w:val="20"/>
          <w:szCs w:val="20"/>
          <w:color w:val="auto"/>
        </w:rPr>
      </w:pPr>
    </w:p>
    <w:p>
      <w:pPr>
        <w:ind w:right="39" w:firstLine="648"/>
        <w:spacing w:after="0" w:line="182" w:lineRule="exact"/>
        <w:rPr>
          <w:sz w:val="20"/>
          <w:szCs w:val="20"/>
          <w:color w:val="auto"/>
        </w:rPr>
      </w:pPr>
      <w:r>
        <w:rPr>
          <w:rFonts w:ascii="Times New Roman" w:cs="Times New Roman" w:eastAsia="Times New Roman" w:hAnsi="Times New Roman"/>
          <w:sz w:val="18"/>
          <w:szCs w:val="18"/>
          <w:color w:val="auto"/>
        </w:rPr>
        <w:t>The FDA or the EMA may grant orphan exclusivity to two different sponsors for the same compound or active molecule and for the same indication. For example, subsequent to our Orphan Drug Designation, the FDA granted Orphan Drug Designation to Thar Pharmaceuticals, Inc. for a zoledronic acid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containing product for the treatment of CRPS. Thar Pharmaceuticals was subsequently acquired by Grunenthal GmbH. Although we are no longer pursuing CRPS, if Grunenthal GmbH or another sponsor had received FDA approval for a zoledronic acid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containing product for the treatment of CRPS before we had obtained FDA approval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for the treatment of pain associated with CRPS, we would have been prevented from launching our product in the United States for this indication for a period of at least 7 years. If another sponsor had received EMA approval for a zoledronic acid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containing product for the treatment of CRPS before we had obtained EMA approval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for the treatment of pain associated with CRPS, we would have been prevented from launching our product in the EU for this indication for a period of at least 10 to 12 years.</w:t>
      </w:r>
    </w:p>
    <w:p>
      <w:pPr>
        <w:spacing w:after="0" w:line="161" w:lineRule="exact"/>
        <w:rPr>
          <w:sz w:val="20"/>
          <w:szCs w:val="20"/>
          <w:color w:val="auto"/>
        </w:rPr>
      </w:pPr>
    </w:p>
    <w:p>
      <w:pPr>
        <w:jc w:val="both"/>
        <w:ind w:right="59" w:firstLine="648"/>
        <w:spacing w:after="0" w:line="217" w:lineRule="auto"/>
        <w:rPr>
          <w:sz w:val="20"/>
          <w:szCs w:val="20"/>
          <w:color w:val="auto"/>
        </w:rPr>
      </w:pPr>
      <w:r>
        <w:rPr>
          <w:rFonts w:ascii="Times New Roman" w:cs="Times New Roman" w:eastAsia="Times New Roman" w:hAnsi="Times New Roman"/>
          <w:sz w:val="18"/>
          <w:szCs w:val="18"/>
          <w:color w:val="auto"/>
        </w:rPr>
        <w:t>In response to a recent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54" w:lineRule="exact"/>
        <w:rPr>
          <w:sz w:val="20"/>
          <w:szCs w:val="20"/>
          <w:color w:val="auto"/>
        </w:rPr>
      </w:pPr>
    </w:p>
    <w:p>
      <w:pPr>
        <w:ind w:right="499"/>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57" w:lineRule="exact"/>
        <w:rPr>
          <w:sz w:val="20"/>
          <w:szCs w:val="20"/>
          <w:color w:val="auto"/>
        </w:rPr>
      </w:pPr>
    </w:p>
    <w:p>
      <w:pPr>
        <w:ind w:right="39" w:firstLine="648"/>
        <w:spacing w:after="0" w:line="182" w:lineRule="exact"/>
        <w:rPr>
          <w:sz w:val="20"/>
          <w:szCs w:val="20"/>
          <w:color w:val="auto"/>
        </w:rPr>
      </w:pPr>
      <w:r>
        <w:rPr>
          <w:rFonts w:ascii="Times New Roman" w:cs="Times New Roman" w:eastAsia="Times New Roman" w:hAnsi="Times New Roman"/>
          <w:sz w:val="18"/>
          <w:szCs w:val="18"/>
          <w:color w:val="auto"/>
        </w:rPr>
        <w:t>We currently do not have a commercial infrastructure for the marketing, sale, and distribution of pharmaceutical products. If approved, in order to commercialize our products, we must build our marketing, sales, and distribution capabilities or make arrangements with third parties to perform these services. We may not be successful in doing so. If one of our product candidates is approved by the FDA, we plan to build a commercial infrastructure, including the creation of a specialty sales force to launch that product candidate throughout the United States. In the future, we may seek to further penetrate the U.S. market by expanding our sales force or through collaborations with other pharmaceutical or biotechnology companies or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manufacturing and sales organizations. If approved for marketing outside the United States, we intend to commercialize our product candidates outside the United States with a marketing and sales collaborator or collaborators, rather than with our own sales force.</w:t>
      </w:r>
    </w:p>
    <w:p>
      <w:pPr>
        <w:spacing w:after="0" w:line="158" w:lineRule="exact"/>
        <w:rPr>
          <w:sz w:val="20"/>
          <w:szCs w:val="20"/>
          <w:color w:val="auto"/>
        </w:rPr>
      </w:pPr>
    </w:p>
    <w:p>
      <w:pPr>
        <w:ind w:right="19" w:firstLine="648"/>
        <w:spacing w:after="0" w:line="211" w:lineRule="auto"/>
        <w:rPr>
          <w:sz w:val="20"/>
          <w:szCs w:val="20"/>
          <w:color w:val="auto"/>
        </w:rPr>
      </w:pPr>
      <w:r>
        <w:rPr>
          <w:rFonts w:ascii="Times New Roman" w:cs="Times New Roman" w:eastAsia="Times New Roman" w:hAnsi="Times New Roman"/>
          <w:sz w:val="18"/>
          <w:szCs w:val="18"/>
          <w:color w:val="auto"/>
        </w:rPr>
        <w:t>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 expensive and time consuming and could delay any product launch, and we may not be able to successfully develop this capability. We, or our future collaborators,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58" w:lineRule="exact"/>
        <w:rPr>
          <w:sz w:val="20"/>
          <w:szCs w:val="20"/>
          <w:color w:val="auto"/>
        </w:rPr>
      </w:pPr>
    </w:p>
    <w:p>
      <w:pPr>
        <w:ind w:left="660" w:hanging="333"/>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manage, and retain adequate numbers of effective sales and marketing personnel;</w:t>
      </w:r>
    </w:p>
    <w:p>
      <w:pPr>
        <w:spacing w:after="0" w:line="184" w:lineRule="exact"/>
        <w:rPr>
          <w:rFonts w:ascii="Times New Roman" w:cs="Times New Roman" w:eastAsia="Times New Roman" w:hAnsi="Times New Roman"/>
          <w:sz w:val="18"/>
          <w:szCs w:val="18"/>
          <w:color w:val="auto"/>
        </w:rPr>
      </w:pPr>
    </w:p>
    <w:p>
      <w:pPr>
        <w:ind w:left="660" w:right="599" w:hanging="333"/>
        <w:spacing w:after="0" w:line="237"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of our current or future product candidates;</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184" w:lineRule="exact"/>
        <w:rPr>
          <w:rFonts w:ascii="Times New Roman" w:cs="Times New Roman" w:eastAsia="Times New Roman" w:hAnsi="Times New Roman"/>
          <w:sz w:val="18"/>
          <w:szCs w:val="18"/>
          <w:color w:val="auto"/>
        </w:rPr>
      </w:pPr>
    </w:p>
    <w:p>
      <w:pPr>
        <w:ind w:left="660" w:right="340" w:hanging="333"/>
        <w:spacing w:after="0" w:line="23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and marketing personnel on legal and regulatory compliance matters and monitoring their actions;</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coverage and reimbursement by government and private health plans;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and labeled claims for which the product is approved;</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84" w:lineRule="exact"/>
        <w:rPr>
          <w:rFonts w:ascii="Times New Roman" w:cs="Times New Roman" w:eastAsia="Times New Roman" w:hAnsi="Times New Roman"/>
          <w:sz w:val="18"/>
          <w:szCs w:val="18"/>
          <w:color w:val="auto"/>
        </w:rPr>
      </w:pPr>
    </w:p>
    <w:p>
      <w:pPr>
        <w:ind w:left="660" w:right="360" w:hanging="333"/>
        <w:spacing w:after="0" w:line="23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to which we agree as part of a mandatory REMS or voluntary risk management plan;</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184" w:lineRule="exact"/>
        <w:rPr>
          <w:rFonts w:ascii="Times New Roman" w:cs="Times New Roman" w:eastAsia="Times New Roman" w:hAnsi="Times New Roman"/>
          <w:sz w:val="18"/>
          <w:szCs w:val="18"/>
          <w:color w:val="auto"/>
        </w:rPr>
      </w:pPr>
    </w:p>
    <w:p>
      <w:pPr>
        <w:ind w:left="660" w:right="940" w:hanging="333"/>
        <w:spacing w:after="0" w:line="23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58" w:lineRule="exact"/>
        <w:rPr>
          <w:rFonts w:ascii="Times New Roman" w:cs="Times New Roman" w:eastAsia="Times New Roman" w:hAnsi="Times New Roman"/>
          <w:sz w:val="18"/>
          <w:szCs w:val="18"/>
          <w:color w:val="auto"/>
        </w:rPr>
      </w:pPr>
    </w:p>
    <w:p>
      <w:pPr>
        <w:ind w:left="660" w:right="680" w:hanging="333"/>
        <w:spacing w:after="0" w:line="23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158" w:lineRule="exact"/>
        <w:rPr>
          <w:sz w:val="20"/>
          <w:szCs w:val="20"/>
          <w:color w:val="auto"/>
        </w:rPr>
      </w:pPr>
    </w:p>
    <w:p>
      <w:pPr>
        <w:ind w:right="240" w:firstLine="648"/>
        <w:spacing w:after="0" w:line="214" w:lineRule="auto"/>
        <w:rPr>
          <w:sz w:val="20"/>
          <w:szCs w:val="20"/>
          <w:color w:val="auto"/>
        </w:rPr>
      </w:pPr>
      <w:r>
        <w:rPr>
          <w:rFonts w:ascii="Times New Roman" w:cs="Times New Roman" w:eastAsia="Times New Roman" w:hAnsi="Times New Roman"/>
          <w:sz w:val="18"/>
          <w:szCs w:val="18"/>
          <w:color w:val="auto"/>
        </w:rPr>
        <w:t>Although our current plan is to hire most of our sales and marketing personnel only if a product candidate is approved by the FDA, we will incur expenses prior to product launch in recruiting this sales force and developing a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33" w:lineRule="exact"/>
        <w:rPr>
          <w:sz w:val="20"/>
          <w:szCs w:val="20"/>
          <w:color w:val="auto"/>
        </w:rPr>
      </w:pPr>
    </w:p>
    <w:p>
      <w:pPr>
        <w:ind w:firstLine="648"/>
        <w:spacing w:after="0" w:line="190" w:lineRule="exact"/>
        <w:rPr>
          <w:sz w:val="20"/>
          <w:szCs w:val="20"/>
          <w:color w:val="auto"/>
        </w:rPr>
      </w:pPr>
      <w:r>
        <w:rPr>
          <w:rFonts w:ascii="Times New Roman" w:cs="Times New Roman" w:eastAsia="Times New Roman" w:hAnsi="Times New Roman"/>
          <w:sz w:val="18"/>
          <w:szCs w:val="18"/>
          <w:color w:val="auto"/>
        </w:rPr>
        <w:t>In the event we are unable to collaborate with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marketing and sales organization to commercialize any approved product candidates outside the United States, our ability to generate product revenues may be limited. To the extent we rely on third parties to commercialize any products for which we obtain regulatory approval, we may receive less revenues than if we commercialized these products ourselves. In addition, we would have less control over the sales efforts of any other third parties involved in our commercialization efforts, and could be held liable if they failed to comply with applicable legal or regulatory requirements.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If any of our current or future product candidates do not achieve broad market acceptance, the revenues that we generate from their sales will be limited.</w:t>
      </w:r>
    </w:p>
    <w:p>
      <w:pPr>
        <w:spacing w:after="0" w:line="157" w:lineRule="exact"/>
        <w:rPr>
          <w:sz w:val="20"/>
          <w:szCs w:val="20"/>
          <w:color w:val="auto"/>
        </w:rPr>
      </w:pPr>
    </w:p>
    <w:p>
      <w:pPr>
        <w:ind w:right="39" w:firstLine="648"/>
        <w:spacing w:after="0" w:line="209"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 party payors may not consider them cost effective without a significant price concession, which could negatively impact our revenue.</w:t>
      </w:r>
    </w:p>
    <w:p>
      <w:pPr>
        <w:spacing w:after="0" w:line="165" w:lineRule="exact"/>
        <w:rPr>
          <w:sz w:val="20"/>
          <w:szCs w:val="20"/>
          <w:color w:val="auto"/>
        </w:rPr>
      </w:pPr>
    </w:p>
    <w:p>
      <w:pPr>
        <w:ind w:right="59" w:firstLine="648"/>
        <w:spacing w:after="0" w:line="220"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59" w:lineRule="exact"/>
        <w:rPr>
          <w:sz w:val="20"/>
          <w:szCs w:val="20"/>
          <w:color w:val="auto"/>
        </w:rPr>
      </w:pPr>
    </w:p>
    <w:p>
      <w:pPr>
        <w:ind w:left="660" w:hanging="333"/>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 candidates;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 candidate;</w:t>
      </w:r>
    </w:p>
    <w:p>
      <w:pPr>
        <w:spacing w:after="0" w:line="184" w:lineRule="exact"/>
        <w:rPr>
          <w:rFonts w:ascii="Times New Roman" w:cs="Times New Roman" w:eastAsia="Times New Roman" w:hAnsi="Times New Roman"/>
          <w:sz w:val="18"/>
          <w:szCs w:val="18"/>
          <w:color w:val="auto"/>
        </w:rPr>
      </w:pPr>
    </w:p>
    <w:p>
      <w:pPr>
        <w:ind w:left="660" w:right="599" w:hanging="333"/>
        <w:spacing w:after="0" w:line="237"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approved claims that we may make for the product;</w:t>
      </w:r>
    </w:p>
    <w:p>
      <w:pPr>
        <w:spacing w:after="0" w:line="129" w:lineRule="exact"/>
        <w:rPr>
          <w:rFonts w:ascii="Times New Roman" w:cs="Times New Roman" w:eastAsia="Times New Roman" w:hAnsi="Times New Roman"/>
          <w:sz w:val="18"/>
          <w:szCs w:val="18"/>
          <w:color w:val="auto"/>
        </w:rPr>
      </w:pPr>
    </w:p>
    <w:p>
      <w:pPr>
        <w:ind w:left="660" w:right="579" w:hanging="333"/>
        <w:spacing w:after="0" w:line="220" w:lineRule="exact"/>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labeling, including potential limitations or warnings for such product candidate, that may be more restrictive than other competitive products;</w:t>
      </w:r>
    </w:p>
    <w:p>
      <w:pPr>
        <w:spacing w:after="0" w:line="157" w:lineRule="exact"/>
        <w:rPr>
          <w:rFonts w:ascii="Times New Roman" w:cs="Times New Roman" w:eastAsia="Times New Roman" w:hAnsi="Times New Roman"/>
          <w:sz w:val="18"/>
          <w:szCs w:val="18"/>
          <w:color w:val="auto"/>
        </w:rPr>
      </w:pPr>
    </w:p>
    <w:p>
      <w:pPr>
        <w:ind w:left="660" w:right="459" w:hanging="333"/>
        <w:spacing w:after="0" w:line="237"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such product candidate;</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184" w:lineRule="exact"/>
        <w:rPr>
          <w:rFonts w:ascii="Times New Roman" w:cs="Times New Roman" w:eastAsia="Times New Roman" w:hAnsi="Times New Roman"/>
          <w:sz w:val="18"/>
          <w:szCs w:val="18"/>
          <w:color w:val="auto"/>
        </w:rPr>
      </w:pPr>
    </w:p>
    <w:p>
      <w:pPr>
        <w:ind w:left="660" w:right="399" w:hanging="333"/>
        <w:spacing w:after="0" w:line="237"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158" w:lineRule="exact"/>
        <w:rPr>
          <w:rFonts w:ascii="Times New Roman" w:cs="Times New Roman" w:eastAsia="Times New Roman" w:hAnsi="Times New Roman"/>
          <w:sz w:val="18"/>
          <w:szCs w:val="18"/>
          <w:color w:val="auto"/>
        </w:rPr>
      </w:pPr>
    </w:p>
    <w:p>
      <w:pPr>
        <w:ind w:left="660" w:right="499" w:hanging="333"/>
        <w:spacing w:after="0" w:line="237"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third party payors to prefer similar but less expensive products even if not approved for our product’s indication;</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 candidate;</w:t>
      </w:r>
    </w:p>
    <w:p>
      <w:pPr>
        <w:spacing w:after="0" w:line="184" w:lineRule="exact"/>
        <w:rPr>
          <w:rFonts w:ascii="Times New Roman" w:cs="Times New Roman" w:eastAsia="Times New Roman" w:hAnsi="Times New Roman"/>
          <w:sz w:val="18"/>
          <w:szCs w:val="18"/>
          <w:color w:val="auto"/>
        </w:rPr>
      </w:pPr>
    </w:p>
    <w:p>
      <w:pPr>
        <w:ind w:left="660" w:right="219" w:hanging="333"/>
        <w:spacing w:after="0" w:line="237"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spacing w:after="0" w:line="158" w:lineRule="exact"/>
        <w:rPr>
          <w:rFonts w:ascii="Times New Roman" w:cs="Times New Roman" w:eastAsia="Times New Roman" w:hAnsi="Times New Roman"/>
          <w:sz w:val="18"/>
          <w:szCs w:val="18"/>
          <w:color w:val="auto"/>
        </w:rPr>
      </w:pPr>
    </w:p>
    <w:p>
      <w:pPr>
        <w:ind w:left="660" w:right="19" w:hanging="333"/>
        <w:spacing w:after="0" w:line="237"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candidate or to which we agree as part of a mandatory risk evaluation and mitigation strategy or voluntary risk management plan;</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 as well as competitive products;</w:t>
      </w:r>
    </w:p>
    <w:p>
      <w:pPr>
        <w:spacing w:after="0" w:line="184" w:lineRule="exact"/>
        <w:rPr>
          <w:rFonts w:ascii="Times New Roman" w:cs="Times New Roman" w:eastAsia="Times New Roman" w:hAnsi="Times New Roman"/>
          <w:sz w:val="18"/>
          <w:szCs w:val="18"/>
          <w:color w:val="auto"/>
        </w:rPr>
      </w:pPr>
    </w:p>
    <w:p>
      <w:pPr>
        <w:ind w:left="660" w:right="180" w:hanging="333"/>
        <w:spacing w:after="0" w:line="237"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 for sale at competitive prices, including prices that are competitive with generic products;</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such product candidate is approved;</w:t>
      </w:r>
    </w:p>
    <w:p>
      <w:pPr>
        <w:spacing w:after="0" w:line="156" w:lineRule="exact"/>
        <w:rPr>
          <w:rFonts w:ascii="Times New Roman" w:cs="Times New Roman" w:eastAsia="Times New Roman" w:hAnsi="Times New Roman"/>
          <w:sz w:val="18"/>
          <w:szCs w:val="18"/>
          <w:color w:val="auto"/>
        </w:rPr>
      </w:pPr>
    </w:p>
    <w:p>
      <w:pPr>
        <w:ind w:left="660" w:hanging="333"/>
        <w:spacing w:after="0" w:line="207" w:lineRule="exact"/>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 and supplier support;</w:t>
      </w:r>
    </w:p>
    <w:p>
      <w:pPr>
        <w:spacing w:after="0" w:line="213"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56"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Our efforts to educate the medical community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we may not generate meaningful revenues from our product candidates, and we may not become profitable.</w:t>
      </w:r>
    </w:p>
    <w:p>
      <w:pPr>
        <w:spacing w:after="0" w:line="163" w:lineRule="exact"/>
        <w:rPr>
          <w:sz w:val="20"/>
          <w:szCs w:val="20"/>
          <w:color w:val="auto"/>
        </w:rPr>
      </w:pPr>
    </w:p>
    <w:p>
      <w:pPr>
        <w:ind w:firstLine="648"/>
        <w:spacing w:after="0" w:line="188" w:lineRule="exact"/>
        <w:rPr>
          <w:sz w:val="20"/>
          <w:szCs w:val="20"/>
          <w:color w:val="auto"/>
        </w:rPr>
      </w:pPr>
      <w:r>
        <w:rPr>
          <w:rFonts w:ascii="Times New Roman" w:cs="Times New Roman" w:eastAsia="Times New Roman" w:hAnsi="Times New Roman"/>
          <w:sz w:val="18"/>
          <w:szCs w:val="18"/>
          <w:color w:val="auto"/>
        </w:rPr>
        <w:t>The ability of patients to purchase certain of the active ingredients of our product candidates in generic form could put us at a competitive disadvantage. For example, in some foreign jurisdictions, generic oral forms of DM and bupropion are currently available individually for consumer purchase. In addition, physicians may prescribe generic zoledronic acid for the treatment of pain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Any use of these generic forms of the active molecules of our product candidates could adversely affect our business and our results of operations.</w:t>
      </w:r>
    </w:p>
    <w:p>
      <w:pPr>
        <w:spacing w:after="0" w:line="158" w:lineRule="exact"/>
        <w:rPr>
          <w:sz w:val="20"/>
          <w:szCs w:val="20"/>
          <w:color w:val="auto"/>
        </w:rPr>
      </w:pPr>
    </w:p>
    <w:p>
      <w:pPr>
        <w:ind w:right="20"/>
        <w:spacing w:after="0" w:line="184" w:lineRule="exact"/>
        <w:rPr>
          <w:sz w:val="20"/>
          <w:szCs w:val="20"/>
          <w:color w:val="auto"/>
        </w:rPr>
      </w:pPr>
      <w:r>
        <w:rPr>
          <w:rFonts w:ascii="Times New Roman" w:cs="Times New Roman" w:eastAsia="Times New Roman" w:hAnsi="Times New Roman"/>
          <w:sz w:val="18"/>
          <w:szCs w:val="18"/>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35"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60" w:lineRule="exact"/>
        <w:rPr>
          <w:sz w:val="20"/>
          <w:szCs w:val="20"/>
          <w:color w:val="auto"/>
        </w:rPr>
      </w:pPr>
    </w:p>
    <w:p>
      <w:pPr>
        <w:ind w:left="660" w:hanging="333"/>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from decreased demand for our products and/or product candidates;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or financial stability;</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our stock price;</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and enforcement actions by regulators; and</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have obtained limited product liability insurance coverage for our products and our clinical trials with a</w:t>
      </w:r>
    </w:p>
    <w:p>
      <w:pPr>
        <w:ind w:right="40"/>
        <w:spacing w:after="0" w:line="208" w:lineRule="auto"/>
        <w:rPr>
          <w:sz w:val="20"/>
          <w:szCs w:val="20"/>
          <w:color w:val="auto"/>
        </w:rPr>
      </w:pPr>
      <w:r>
        <w:rPr>
          <w:rFonts w:ascii="Times New Roman" w:cs="Times New Roman" w:eastAsia="Times New Roman" w:hAnsi="Times New Roman"/>
          <w:sz w:val="18"/>
          <w:szCs w:val="18"/>
          <w:color w:val="auto"/>
        </w:rPr>
        <w:t>$8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85" w:lineRule="exact"/>
        <w:rPr>
          <w:sz w:val="20"/>
          <w:szCs w:val="20"/>
          <w:color w:val="auto"/>
        </w:rPr>
      </w:pPr>
    </w:p>
    <w:p>
      <w:pPr>
        <w:ind w:right="38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31" w:lineRule="exact"/>
        <w:rPr>
          <w:sz w:val="20"/>
          <w:szCs w:val="20"/>
          <w:color w:val="auto"/>
        </w:rPr>
      </w:pPr>
    </w:p>
    <w:p>
      <w:pPr>
        <w:ind w:right="80" w:firstLine="648"/>
        <w:spacing w:after="0" w:line="184" w:lineRule="exact"/>
        <w:rPr>
          <w:sz w:val="20"/>
          <w:szCs w:val="20"/>
          <w:color w:val="auto"/>
        </w:rPr>
      </w:pPr>
      <w:r>
        <w:rPr>
          <w:rFonts w:ascii="Times New Roman" w:cs="Times New Roman" w:eastAsia="Times New Roman" w:hAnsi="Times New Roman"/>
          <w:sz w:val="18"/>
          <w:szCs w:val="18"/>
          <w:color w:val="auto"/>
        </w:rPr>
        <w:t>We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CROs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163" w:lineRule="exact"/>
        <w:rPr>
          <w:sz w:val="20"/>
          <w:szCs w:val="20"/>
          <w:color w:val="auto"/>
        </w:rPr>
      </w:pPr>
    </w:p>
    <w:p>
      <w:pPr>
        <w:ind w:right="40" w:firstLine="648"/>
        <w:spacing w:after="0" w:line="208"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63" w:lineRule="exact"/>
        <w:rPr>
          <w:sz w:val="20"/>
          <w:szCs w:val="20"/>
          <w:color w:val="auto"/>
        </w:rPr>
      </w:pPr>
    </w:p>
    <w:p>
      <w:pPr>
        <w:ind w:right="20" w:firstLine="648"/>
        <w:spacing w:after="0" w:line="184" w:lineRule="exact"/>
        <w:rPr>
          <w:sz w:val="20"/>
          <w:szCs w:val="20"/>
          <w:color w:val="auto"/>
        </w:rPr>
      </w:pPr>
      <w:r>
        <w:rPr>
          <w:rFonts w:ascii="Times New Roman" w:cs="Times New Roman" w:eastAsia="Times New Roman" w:hAnsi="Times New Roman"/>
          <w:sz w:val="18"/>
          <w:szCs w:val="18"/>
          <w:color w:val="auto"/>
        </w:rPr>
        <w:t>In addition, once we have an approved product, we will be required to report certain financial interests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59" w:lineRule="exact"/>
        <w:rPr>
          <w:sz w:val="20"/>
          <w:szCs w:val="20"/>
          <w:color w:val="auto"/>
        </w:rPr>
      </w:pPr>
    </w:p>
    <w:p>
      <w:pPr>
        <w:ind w:firstLine="648"/>
        <w:spacing w:after="0" w:line="185" w:lineRule="exact"/>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sponsored database, ClinicalTrials.gov, within specified timeframes. Failure to do so can result in enforcement actions and adverse publicity.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firstLine="648"/>
        <w:spacing w:after="0" w:line="180" w:lineRule="exact"/>
        <w:rPr>
          <w:sz w:val="20"/>
          <w:szCs w:val="20"/>
          <w:color w:val="auto"/>
        </w:rPr>
      </w:pPr>
      <w:r>
        <w:rPr>
          <w:rFonts w:ascii="Times New Roman" w:cs="Times New Roman" w:eastAsia="Times New Roman" w:hAnsi="Times New Roman"/>
          <w:sz w:val="18"/>
          <w:szCs w:val="18"/>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in the future, our business may be materially and adversely affected.</w:t>
      </w:r>
    </w:p>
    <w:p>
      <w:pPr>
        <w:spacing w:after="0" w:line="134" w:lineRule="exact"/>
        <w:rPr>
          <w:sz w:val="20"/>
          <w:szCs w:val="20"/>
          <w:color w:val="auto"/>
        </w:rPr>
      </w:pPr>
    </w:p>
    <w:p>
      <w:pPr>
        <w:ind w:right="59" w:firstLine="648"/>
        <w:spacing w:after="0" w:line="189" w:lineRule="exact"/>
        <w:rPr>
          <w:sz w:val="20"/>
          <w:szCs w:val="20"/>
          <w:color w:val="auto"/>
        </w:rPr>
      </w:pPr>
      <w:r>
        <w:rPr>
          <w:rFonts w:ascii="Times New Roman" w:cs="Times New Roman" w:eastAsia="Times New Roman" w:hAnsi="Times New Roman"/>
          <w:sz w:val="18"/>
          <w:szCs w:val="18"/>
          <w:color w:val="auto"/>
        </w:rPr>
        <w:t>If any of our relationships with these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54" w:lineRule="exact"/>
        <w:rPr>
          <w:sz w:val="20"/>
          <w:szCs w:val="20"/>
          <w:color w:val="auto"/>
        </w:rPr>
      </w:pPr>
    </w:p>
    <w:p>
      <w:pPr>
        <w:ind w:right="459"/>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60" w:lineRule="exact"/>
        <w:rPr>
          <w:sz w:val="20"/>
          <w:szCs w:val="20"/>
          <w:color w:val="auto"/>
        </w:rPr>
      </w:pPr>
    </w:p>
    <w:p>
      <w:pPr>
        <w:ind w:right="159" w:firstLine="648"/>
        <w:spacing w:after="0" w:line="212" w:lineRule="auto"/>
        <w:rPr>
          <w:sz w:val="20"/>
          <w:szCs w:val="20"/>
          <w:color w:val="auto"/>
        </w:rPr>
      </w:pPr>
      <w:r>
        <w:rPr>
          <w:rFonts w:ascii="Times New Roman" w:cs="Times New Roman" w:eastAsia="Times New Roman" w:hAnsi="Times New Roman"/>
          <w:sz w:val="18"/>
          <w:szCs w:val="18"/>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58" w:lineRule="exact"/>
        <w:rPr>
          <w:sz w:val="20"/>
          <w:szCs w:val="20"/>
          <w:color w:val="auto"/>
        </w:rPr>
      </w:pPr>
    </w:p>
    <w:p>
      <w:pPr>
        <w:ind w:right="19" w:firstLine="648"/>
        <w:spacing w:after="0" w:line="181" w:lineRule="exact"/>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may breach, terminate, or not renew these agreements.</w:t>
      </w: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firstLine="648"/>
        <w:spacing w:after="0" w:line="183" w:lineRule="exact"/>
        <w:rPr>
          <w:sz w:val="20"/>
          <w:szCs w:val="20"/>
          <w:color w:val="auto"/>
        </w:rPr>
      </w:pPr>
      <w:r>
        <w:rPr>
          <w:rFonts w:ascii="Times New Roman" w:cs="Times New Roman" w:eastAsia="Times New Roman" w:hAnsi="Times New Roman"/>
          <w:sz w:val="18"/>
          <w:szCs w:val="18"/>
          <w:color w:val="auto"/>
        </w:rPr>
        <w:t>Any problems or delays we experience in preparing for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65" w:lineRule="exact"/>
        <w:rPr>
          <w:sz w:val="20"/>
          <w:szCs w:val="20"/>
          <w:color w:val="auto"/>
        </w:rPr>
      </w:pPr>
    </w:p>
    <w:p>
      <w:pPr>
        <w:ind w:right="40" w:firstLine="648"/>
        <w:spacing w:after="0" w:line="182" w:lineRule="exact"/>
        <w:rPr>
          <w:sz w:val="20"/>
          <w:szCs w:val="20"/>
          <w:color w:val="auto"/>
        </w:rPr>
      </w:pPr>
      <w:r>
        <w:rPr>
          <w:rFonts w:ascii="Times New Roman" w:cs="Times New Roman" w:eastAsia="Times New Roman" w:hAnsi="Times New Roman"/>
          <w:sz w:val="18"/>
          <w:szCs w:val="18"/>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61" w:lineRule="exact"/>
        <w:rPr>
          <w:sz w:val="20"/>
          <w:szCs w:val="20"/>
          <w:color w:val="auto"/>
        </w:rPr>
      </w:pPr>
    </w:p>
    <w:p>
      <w:pPr>
        <w:ind w:right="60" w:firstLine="648"/>
        <w:spacing w:after="0" w:line="206" w:lineRule="auto"/>
        <w:rPr>
          <w:sz w:val="20"/>
          <w:szCs w:val="20"/>
          <w:color w:val="auto"/>
        </w:rPr>
      </w:pPr>
      <w:r>
        <w:rPr>
          <w:rFonts w:ascii="Times New Roman" w:cs="Times New Roman" w:eastAsia="Times New Roman" w:hAnsi="Times New Roman"/>
          <w:sz w:val="18"/>
          <w:szCs w:val="18"/>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Our manufacturers must be approved by the FDA and comparable foreign regulatory authorities pursuant to inspections that will be conducted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168" w:lineRule="exact"/>
        <w:rPr>
          <w:sz w:val="20"/>
          <w:szCs w:val="20"/>
          <w:color w:val="auto"/>
        </w:rPr>
      </w:pPr>
    </w:p>
    <w:p>
      <w:pPr>
        <w:ind w:right="180" w:firstLine="648"/>
        <w:spacing w:after="0" w:line="220" w:lineRule="auto"/>
        <w:rPr>
          <w:sz w:val="20"/>
          <w:szCs w:val="20"/>
          <w:color w:val="auto"/>
        </w:rPr>
      </w:pPr>
      <w:r>
        <w:rPr>
          <w:rFonts w:ascii="Times New Roman" w:cs="Times New Roman" w:eastAsia="Times New Roman" w:hAnsi="Times New Roman"/>
          <w:sz w:val="18"/>
          <w:szCs w:val="18"/>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40"/>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29"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We may retain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providers that perform services for us, including entrusting our inventories of products to their care and handling. If these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3"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58" w:lineRule="exact"/>
        <w:rPr>
          <w:sz w:val="20"/>
          <w:szCs w:val="20"/>
          <w:color w:val="auto"/>
        </w:rPr>
      </w:pPr>
    </w:p>
    <w:p>
      <w:pPr>
        <w:ind w:right="340" w:firstLine="648"/>
        <w:spacing w:after="0" w:line="226" w:lineRule="auto"/>
        <w:rPr>
          <w:sz w:val="20"/>
          <w:szCs w:val="20"/>
          <w:color w:val="auto"/>
        </w:rPr>
      </w:pPr>
      <w:r>
        <w:rPr>
          <w:rFonts w:ascii="Times New Roman" w:cs="Times New Roman" w:eastAsia="Times New Roman" w:hAnsi="Times New Roman"/>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w:t>
      </w:r>
    </w:p>
    <w:p>
      <w:pPr>
        <w:spacing w:after="0" w:line="154"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57" w:lineRule="exact"/>
        <w:rPr>
          <w:sz w:val="20"/>
          <w:szCs w:val="20"/>
          <w:color w:val="auto"/>
        </w:rPr>
      </w:pPr>
    </w:p>
    <w:p>
      <w:pPr>
        <w:ind w:right="20" w:firstLine="648"/>
        <w:spacing w:after="0" w:line="178" w:lineRule="exact"/>
        <w:rPr>
          <w:sz w:val="20"/>
          <w:szCs w:val="20"/>
          <w:color w:val="auto"/>
        </w:rPr>
      </w:pPr>
      <w:r>
        <w:rPr>
          <w:rFonts w:ascii="Times New Roman" w:cs="Times New Roman" w:eastAsia="Times New Roman" w:hAnsi="Times New Roman"/>
          <w:sz w:val="18"/>
          <w:szCs w:val="18"/>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 treatment, which was completed in April 2019. We currently have not entered into any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agreements. Our current and future collaboration arrangements may not be successful, and the success of them will depend heavily on the efforts and activities of our collaborators. Collaborators generally have significant discretion in determining the efforts</w:t>
      </w:r>
    </w:p>
    <w:p>
      <w:pPr>
        <w:spacing w:after="0" w:line="5" w:lineRule="exact"/>
        <w:rPr>
          <w:sz w:val="20"/>
          <w:szCs w:val="20"/>
          <w:color w:val="auto"/>
        </w:rPr>
      </w:pPr>
    </w:p>
    <w:p>
      <w:pPr>
        <w:ind w:right="40"/>
        <w:spacing w:after="0" w:line="210" w:lineRule="auto"/>
        <w:rPr>
          <w:sz w:val="20"/>
          <w:szCs w:val="20"/>
          <w:color w:val="auto"/>
        </w:rPr>
      </w:pPr>
      <w:r>
        <w:rPr>
          <w:rFonts w:ascii="Times New Roman" w:cs="Times New Roman" w:eastAsia="Times New Roman" w:hAnsi="Times New Roman"/>
          <w:sz w:val="18"/>
          <w:szCs w:val="18"/>
          <w:color w:val="auto"/>
        </w:rPr>
        <w:t>and resources that they will apply to these 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57"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18"/>
          <w:szCs w:val="18"/>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648"/>
        <w:spacing w:after="0" w:line="226" w:lineRule="auto"/>
        <w:rPr>
          <w:sz w:val="20"/>
          <w:szCs w:val="20"/>
          <w:color w:val="auto"/>
        </w:rPr>
      </w:pPr>
      <w:r>
        <w:rPr>
          <w:rFonts w:ascii="Times New Roman" w:cs="Times New Roman" w:eastAsia="Times New Roman" w:hAnsi="Times New Roman"/>
          <w:sz w:val="18"/>
          <w:szCs w:val="18"/>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58" w:lineRule="exact"/>
        <w:rPr>
          <w:sz w:val="20"/>
          <w:szCs w:val="20"/>
          <w:color w:val="auto"/>
        </w:rPr>
      </w:pPr>
    </w:p>
    <w:p>
      <w:pPr>
        <w:ind w:left="660" w:hanging="333"/>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84" w:lineRule="exact"/>
        <w:rPr>
          <w:rFonts w:ascii="Times New Roman" w:cs="Times New Roman" w:eastAsia="Times New Roman" w:hAnsi="Times New Roman"/>
          <w:sz w:val="18"/>
          <w:szCs w:val="18"/>
          <w:color w:val="auto"/>
        </w:rPr>
      </w:pPr>
    </w:p>
    <w:p>
      <w:pPr>
        <w:ind w:left="660" w:right="40" w:hanging="333"/>
        <w:spacing w:after="0" w:line="22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59" w:lineRule="exact"/>
        <w:rPr>
          <w:rFonts w:ascii="Times New Roman" w:cs="Times New Roman" w:eastAsia="Times New Roman" w:hAnsi="Times New Roman"/>
          <w:sz w:val="18"/>
          <w:szCs w:val="18"/>
          <w:color w:val="auto"/>
        </w:rPr>
      </w:pPr>
    </w:p>
    <w:p>
      <w:pPr>
        <w:ind w:left="660" w:right="20" w:hanging="333"/>
        <w:spacing w:after="0" w:line="22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184" w:lineRule="exact"/>
        <w:rPr>
          <w:rFonts w:ascii="Times New Roman" w:cs="Times New Roman" w:eastAsia="Times New Roman" w:hAnsi="Times New Roman"/>
          <w:sz w:val="18"/>
          <w:szCs w:val="18"/>
          <w:color w:val="auto"/>
        </w:rPr>
      </w:pPr>
    </w:p>
    <w:p>
      <w:pPr>
        <w:ind w:left="660" w:right="600" w:hanging="333"/>
        <w:spacing w:after="0" w:line="237"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w:t>
      </w:r>
    </w:p>
    <w:p>
      <w:pPr>
        <w:spacing w:after="0" w:line="158" w:lineRule="exact"/>
        <w:rPr>
          <w:rFonts w:ascii="Times New Roman" w:cs="Times New Roman" w:eastAsia="Times New Roman" w:hAnsi="Times New Roman"/>
          <w:sz w:val="18"/>
          <w:szCs w:val="18"/>
          <w:color w:val="auto"/>
        </w:rPr>
      </w:pPr>
    </w:p>
    <w:p>
      <w:pPr>
        <w:ind w:left="660" w:hanging="333"/>
        <w:spacing w:after="0" w:line="239"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58" w:lineRule="exact"/>
        <w:rPr>
          <w:rFonts w:ascii="Times New Roman" w:cs="Times New Roman" w:eastAsia="Times New Roman" w:hAnsi="Times New Roman"/>
          <w:sz w:val="17"/>
          <w:szCs w:val="17"/>
          <w:color w:val="auto"/>
        </w:rPr>
      </w:pPr>
    </w:p>
    <w:p>
      <w:pPr>
        <w:ind w:left="660" w:hanging="333"/>
        <w:spacing w:after="0" w:line="22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58" w:lineRule="exact"/>
        <w:rPr>
          <w:rFonts w:ascii="Times New Roman" w:cs="Times New Roman" w:eastAsia="Times New Roman" w:hAnsi="Times New Roman"/>
          <w:sz w:val="18"/>
          <w:szCs w:val="18"/>
          <w:color w:val="auto"/>
        </w:rPr>
      </w:pPr>
    </w:p>
    <w:p>
      <w:pPr>
        <w:ind w:left="660" w:hanging="333"/>
        <w:spacing w:after="0" w:line="22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58" w:lineRule="exact"/>
        <w:rPr>
          <w:rFonts w:ascii="Times New Roman" w:cs="Times New Roman" w:eastAsia="Times New Roman" w:hAnsi="Times New Roman"/>
          <w:sz w:val="18"/>
          <w:szCs w:val="18"/>
          <w:color w:val="auto"/>
        </w:rPr>
      </w:pPr>
    </w:p>
    <w:p>
      <w:pPr>
        <w:ind w:left="660" w:right="320" w:hanging="333"/>
        <w:spacing w:after="0" w:line="22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59" w:lineRule="exact"/>
        <w:rPr>
          <w:rFonts w:ascii="Times New Roman" w:cs="Times New Roman" w:eastAsia="Times New Roman" w:hAnsi="Times New Roman"/>
          <w:sz w:val="18"/>
          <w:szCs w:val="18"/>
          <w:color w:val="auto"/>
        </w:rPr>
      </w:pPr>
    </w:p>
    <w:p>
      <w:pPr>
        <w:jc w:val="both"/>
        <w:ind w:left="660" w:right="500" w:hanging="333"/>
        <w:spacing w:after="0" w:line="22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58" w:lineRule="exact"/>
        <w:rPr>
          <w:rFonts w:ascii="Times New Roman" w:cs="Times New Roman" w:eastAsia="Times New Roman" w:hAnsi="Times New Roman"/>
          <w:sz w:val="18"/>
          <w:szCs w:val="18"/>
          <w:color w:val="auto"/>
        </w:rPr>
      </w:pPr>
    </w:p>
    <w:p>
      <w:pPr>
        <w:ind w:left="660" w:right="340" w:hanging="333"/>
        <w:spacing w:after="0" w:line="237"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58" w:lineRule="exact"/>
        <w:rPr>
          <w:sz w:val="20"/>
          <w:szCs w:val="20"/>
          <w:color w:val="auto"/>
        </w:rPr>
      </w:pPr>
    </w:p>
    <w:p>
      <w:pPr>
        <w:ind w:right="380" w:firstLine="648"/>
        <w:spacing w:after="0" w:line="217" w:lineRule="auto"/>
        <w:rPr>
          <w:sz w:val="20"/>
          <w:szCs w:val="20"/>
          <w:color w:val="auto"/>
        </w:rPr>
      </w:pPr>
      <w:r>
        <w:rPr>
          <w:rFonts w:ascii="Times New Roman" w:cs="Times New Roman" w:eastAsia="Times New Roman" w:hAnsi="Times New Roman"/>
          <w:sz w:val="18"/>
          <w:szCs w:val="18"/>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59" w:lineRule="exact"/>
        <w:rPr>
          <w:sz w:val="20"/>
          <w:szCs w:val="20"/>
          <w:color w:val="auto"/>
        </w:rPr>
      </w:pPr>
    </w:p>
    <w:p>
      <w:pPr>
        <w:ind w:right="20" w:firstLine="648"/>
        <w:spacing w:after="0" w:line="208" w:lineRule="auto"/>
        <w:rPr>
          <w:sz w:val="20"/>
          <w:szCs w:val="20"/>
          <w:color w:val="auto"/>
        </w:rPr>
      </w:pPr>
      <w:r>
        <w:rPr>
          <w:rFonts w:ascii="Times New Roman" w:cs="Times New Roman" w:eastAsia="Times New Roman" w:hAnsi="Times New Roman"/>
          <w:sz w:val="18"/>
          <w:szCs w:val="18"/>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5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to decide to utilize our product candidates to make them readily available at the point of care throughout their networks of pharmacies.</w:t>
      </w:r>
    </w:p>
    <w:p>
      <w:pPr>
        <w:spacing w:after="0" w:line="157" w:lineRule="exact"/>
        <w:rPr>
          <w:sz w:val="20"/>
          <w:szCs w:val="20"/>
          <w:color w:val="auto"/>
        </w:rPr>
      </w:pPr>
    </w:p>
    <w:p>
      <w:pPr>
        <w:ind w:firstLine="648"/>
        <w:spacing w:after="0" w:line="206" w:lineRule="auto"/>
        <w:rPr>
          <w:sz w:val="20"/>
          <w:szCs w:val="20"/>
          <w:color w:val="auto"/>
        </w:rPr>
      </w:pPr>
      <w:r>
        <w:rPr>
          <w:rFonts w:ascii="Times New Roman" w:cs="Times New Roman" w:eastAsia="Times New Roman" w:hAnsi="Times New Roman"/>
          <w:sz w:val="18"/>
          <w:szCs w:val="18"/>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 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ind w:right="6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license agreements with an entity owned by our Chief Executive Officer and Chairman of the Board related to the development of our current product candidates, and if the agreements are terminated for any reason our business will be materially harmed.</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2012, we entered into three exclusive license agreements with Antecip Bioventures II LLC, or Antecip, an entity</w:t>
      </w:r>
    </w:p>
    <w:p>
      <w:pPr>
        <w:spacing w:after="0" w:line="203" w:lineRule="auto"/>
        <w:rPr>
          <w:sz w:val="20"/>
          <w:szCs w:val="20"/>
          <w:color w:val="auto"/>
        </w:rPr>
      </w:pPr>
      <w:r>
        <w:rPr>
          <w:rFonts w:ascii="Times New Roman" w:cs="Times New Roman" w:eastAsia="Times New Roman" w:hAnsi="Times New Roman"/>
          <w:sz w:val="18"/>
          <w:szCs w:val="18"/>
          <w:color w:val="auto"/>
        </w:rPr>
        <w:t>owned by our Chief Executive Officer and Chairman of the Board, Herriot Tabuteau, M.D., in which we were granted</w:t>
      </w:r>
    </w:p>
    <w:p>
      <w:pPr>
        <w:spacing w:after="0" w:line="204" w:lineRule="auto"/>
        <w:rPr>
          <w:sz w:val="20"/>
          <w:szCs w:val="20"/>
          <w:color w:val="auto"/>
        </w:rPr>
      </w:pPr>
      <w:r>
        <w:rPr>
          <w:rFonts w:ascii="Times New Roman" w:cs="Times New Roman" w:eastAsia="Times New Roman" w:hAnsi="Times New Roman"/>
          <w:sz w:val="18"/>
          <w:szCs w:val="18"/>
          <w:color w:val="auto"/>
        </w:rPr>
        <w:t>exclusive licenses to develop, manufacture, and commercialize Antecip’s patents and applications related to the development</w:t>
      </w:r>
    </w:p>
    <w:p>
      <w:pPr>
        <w:spacing w:after="0" w:line="176" w:lineRule="exact"/>
        <w:rPr>
          <w:sz w:val="20"/>
          <w:szCs w:val="20"/>
          <w:color w:val="auto"/>
        </w:rPr>
      </w:pPr>
      <w:r>
        <w:rPr>
          <w:rFonts w:ascii="Times New Roman" w:cs="Times New Roman" w:eastAsia="Times New Roman" w:hAnsi="Times New Roman"/>
          <w:sz w:val="18"/>
          <w:szCs w:val="18"/>
          <w:color w:val="auto"/>
        </w:rPr>
        <w:t>of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and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as well as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a product candidate that is currently in early stage development, anywhere in</w:t>
      </w:r>
    </w:p>
    <w:p>
      <w:pPr>
        <w:spacing w:after="0" w:line="204" w:lineRule="auto"/>
        <w:rPr>
          <w:sz w:val="20"/>
          <w:szCs w:val="20"/>
          <w:color w:val="auto"/>
        </w:rPr>
      </w:pPr>
      <w:r>
        <w:rPr>
          <w:rFonts w:ascii="Times New Roman" w:cs="Times New Roman" w:eastAsia="Times New Roman" w:hAnsi="Times New Roman"/>
          <w:sz w:val="18"/>
          <w:szCs w:val="18"/>
          <w:color w:val="auto"/>
        </w:rPr>
        <w:t>the world for veterinary and human therapeutic and diagnostic use. The agreements were amended in August 2015 to update</w:t>
      </w:r>
    </w:p>
    <w:p>
      <w:pPr>
        <w:spacing w:after="0" w:line="203" w:lineRule="auto"/>
        <w:rPr>
          <w:sz w:val="20"/>
          <w:szCs w:val="20"/>
          <w:color w:val="auto"/>
        </w:rPr>
      </w:pPr>
      <w:r>
        <w:rPr>
          <w:rFonts w:ascii="Times New Roman" w:cs="Times New Roman" w:eastAsia="Times New Roman" w:hAnsi="Times New Roman"/>
          <w:sz w:val="18"/>
          <w:szCs w:val="18"/>
          <w:color w:val="auto"/>
        </w:rPr>
        <w:t>the schedule of patents and applications subject to the license agreements. Pursuant to the agreements, we are required to use</w:t>
      </w:r>
    </w:p>
    <w:p>
      <w:pPr>
        <w:spacing w:after="0" w:line="176" w:lineRule="exact"/>
        <w:rPr>
          <w:sz w:val="20"/>
          <w:szCs w:val="20"/>
          <w:color w:val="auto"/>
        </w:rPr>
      </w:pPr>
      <w:r>
        <w:rPr>
          <w:rFonts w:ascii="Times New Roman" w:cs="Times New Roman" w:eastAsia="Times New Roman" w:hAnsi="Times New Roman"/>
          <w:sz w:val="18"/>
          <w:szCs w:val="18"/>
          <w:color w:val="auto"/>
        </w:rPr>
        <w:t>commercially reasonable efforts to develop, obtain regulatory approval for, and commercialize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w:t>
      </w:r>
    </w:p>
    <w:p>
      <w:pPr>
        <w:spacing w:after="0" w:line="176" w:lineRule="exact"/>
        <w:rPr>
          <w:sz w:val="20"/>
          <w:szCs w:val="20"/>
          <w:color w:val="auto"/>
        </w:rPr>
      </w:pPr>
      <w:r>
        <w:rPr>
          <w:rFonts w:ascii="Times New Roman" w:cs="Times New Roman" w:eastAsia="Times New Roman" w:hAnsi="Times New Roman"/>
          <w:sz w:val="18"/>
          <w:szCs w:val="18"/>
          <w:color w:val="auto"/>
        </w:rPr>
        <w:t>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Under the terms of the agreements, we are required to pay to Antecip a royalty equal to 4.5%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3.0% for</w:t>
      </w:r>
    </w:p>
    <w:p>
      <w:pPr>
        <w:spacing w:after="0" w:line="176" w:lineRule="exact"/>
        <w:rPr>
          <w:sz w:val="20"/>
          <w:szCs w:val="20"/>
          <w:color w:val="auto"/>
        </w:rPr>
      </w:pPr>
      <w:r>
        <w:rPr>
          <w:rFonts w:ascii="Times New Roman" w:cs="Times New Roman" w:eastAsia="Times New Roman" w:hAnsi="Times New Roman"/>
          <w:sz w:val="18"/>
          <w:szCs w:val="18"/>
          <w:color w:val="auto"/>
        </w:rPr>
        <w:t>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and 1.5% for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of net sales of products containing the licensed technology by us, our affiliates, or permitted</w:t>
      </w:r>
    </w:p>
    <w:p>
      <w:pPr>
        <w:spacing w:after="0" w:line="204" w:lineRule="auto"/>
        <w:rPr>
          <w:sz w:val="20"/>
          <w:szCs w:val="20"/>
          <w:color w:val="auto"/>
        </w:rPr>
      </w:pPr>
      <w:r>
        <w:rPr>
          <w:rFonts w:ascii="Times New Roman" w:cs="Times New Roman" w:eastAsia="Times New Roman" w:hAnsi="Times New Roman"/>
          <w:sz w:val="18"/>
          <w:szCs w:val="18"/>
          <w:color w:val="auto"/>
        </w:rPr>
        <w:t>sublicensees. These royalty payments are subject to reduction by an amount up to 50.0% of any required payments to third</w:t>
      </w:r>
    </w:p>
    <w:p>
      <w:pPr>
        <w:spacing w:after="0" w:line="203" w:lineRule="auto"/>
        <w:rPr>
          <w:sz w:val="20"/>
          <w:szCs w:val="20"/>
          <w:color w:val="auto"/>
        </w:rPr>
      </w:pPr>
      <w:r>
        <w:rPr>
          <w:rFonts w:ascii="Times New Roman" w:cs="Times New Roman" w:eastAsia="Times New Roman" w:hAnsi="Times New Roman"/>
          <w:sz w:val="18"/>
          <w:szCs w:val="18"/>
          <w:color w:val="auto"/>
        </w:rPr>
        <w:t>parties. Unless earlier terminated by a party for cause or by us for convenience, the agreements remain in effect on a</w:t>
      </w:r>
    </w:p>
    <w:p>
      <w:pPr>
        <w:spacing w:after="0" w:line="176" w:lineRule="exact"/>
        <w:rPr>
          <w:sz w:val="20"/>
          <w:szCs w:val="20"/>
          <w:color w:val="auto"/>
        </w:rPr>
      </w:pPr>
      <w:r>
        <w:rPr>
          <w:rFonts w:ascii="Times New Roman" w:cs="Times New Roman" w:eastAsia="Times New Roman" w:hAnsi="Times New Roman"/>
          <w:sz w:val="18"/>
          <w:szCs w:val="18"/>
          <w:color w:val="auto"/>
        </w:rPr>
        <w:t>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and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until the later to occur of (1) the applicable product is no longer covered by</w:t>
      </w:r>
    </w:p>
    <w:p>
      <w:pPr>
        <w:spacing w:after="0" w:line="203" w:lineRule="auto"/>
        <w:rPr>
          <w:sz w:val="20"/>
          <w:szCs w:val="20"/>
          <w:color w:val="auto"/>
        </w:rPr>
      </w:pPr>
      <w:r>
        <w:rPr>
          <w:rFonts w:ascii="Times New Roman" w:cs="Times New Roman" w:eastAsia="Times New Roman" w:hAnsi="Times New Roman"/>
          <w:sz w:val="18"/>
          <w:szCs w:val="18"/>
          <w:color w:val="auto"/>
        </w:rPr>
        <w:t>a valid claim in that country or (2) 10 years from the first commercial sale of the applicable product in that country. Upon</w:t>
      </w:r>
    </w:p>
    <w:p>
      <w:pPr>
        <w:spacing w:after="0" w:line="204" w:lineRule="auto"/>
        <w:rPr>
          <w:sz w:val="20"/>
          <w:szCs w:val="20"/>
          <w:color w:val="auto"/>
        </w:rPr>
      </w:pPr>
      <w:r>
        <w:rPr>
          <w:rFonts w:ascii="Times New Roman" w:cs="Times New Roman" w:eastAsia="Times New Roman" w:hAnsi="Times New Roman"/>
          <w:sz w:val="18"/>
          <w:szCs w:val="18"/>
          <w:color w:val="auto"/>
        </w:rPr>
        <w:t>expiration of the agreements with respect to a product in a country, our license grant for that product in that country will</w:t>
      </w:r>
    </w:p>
    <w:p>
      <w:pPr>
        <w:spacing w:after="0" w:line="176" w:lineRule="exact"/>
        <w:rPr>
          <w:sz w:val="20"/>
          <w:szCs w:val="20"/>
          <w:color w:val="auto"/>
        </w:rPr>
      </w:pPr>
      <w:r>
        <w:rPr>
          <w:rFonts w:ascii="Times New Roman" w:cs="Times New Roman" w:eastAsia="Times New Roman" w:hAnsi="Times New Roman"/>
          <w:sz w:val="18"/>
          <w:szCs w:val="18"/>
          <w:color w:val="auto"/>
        </w:rPr>
        <w:t>become a fully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perpetual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license. If Antecip terminates any of the agreements for cause,</w:t>
      </w:r>
    </w:p>
    <w:p>
      <w:pPr>
        <w:spacing w:after="0" w:line="203" w:lineRule="auto"/>
        <w:rPr>
          <w:sz w:val="20"/>
          <w:szCs w:val="20"/>
          <w:color w:val="auto"/>
        </w:rPr>
      </w:pPr>
      <w:r>
        <w:rPr>
          <w:rFonts w:ascii="Times New Roman" w:cs="Times New Roman" w:eastAsia="Times New Roman" w:hAnsi="Times New Roman"/>
          <w:sz w:val="18"/>
          <w:szCs w:val="18"/>
          <w:color w:val="auto"/>
        </w:rPr>
        <w:t>or if we exercise our right to terminate any of the agreements for convenience, the rights granted to us under such terminated</w:t>
      </w:r>
    </w:p>
    <w:p>
      <w:pPr>
        <w:spacing w:after="0" w:line="204" w:lineRule="auto"/>
        <w:rPr>
          <w:sz w:val="20"/>
          <w:szCs w:val="20"/>
          <w:color w:val="auto"/>
        </w:rPr>
      </w:pPr>
      <w:r>
        <w:rPr>
          <w:rFonts w:ascii="Times New Roman" w:cs="Times New Roman" w:eastAsia="Times New Roman" w:hAnsi="Times New Roman"/>
          <w:sz w:val="18"/>
          <w:szCs w:val="18"/>
          <w:color w:val="auto"/>
        </w:rPr>
        <w:t>agreement will revert to Antecip. To date, we have not been required to make any payments to Antecip under any of the</w:t>
      </w:r>
    </w:p>
    <w:p>
      <w:pPr>
        <w:spacing w:after="0" w:line="203" w:lineRule="auto"/>
        <w:rPr>
          <w:sz w:val="20"/>
          <w:szCs w:val="20"/>
          <w:color w:val="auto"/>
        </w:rPr>
      </w:pPr>
      <w:r>
        <w:rPr>
          <w:rFonts w:ascii="Times New Roman" w:cs="Times New Roman" w:eastAsia="Times New Roman" w:hAnsi="Times New Roman"/>
          <w:sz w:val="18"/>
          <w:szCs w:val="18"/>
          <w:color w:val="auto"/>
        </w:rPr>
        <w:t>license agreements. If any of the license agreements with Antecip are terminated for any reason, our business,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results of operations, and prospects will be materially harmed.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85"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57" w:lineRule="exact"/>
        <w:rPr>
          <w:sz w:val="20"/>
          <w:szCs w:val="20"/>
          <w:color w:val="auto"/>
        </w:rPr>
      </w:pPr>
    </w:p>
    <w:p>
      <w:pPr>
        <w:ind w:right="40" w:firstLine="648"/>
        <w:spacing w:after="0" w:line="188" w:lineRule="exact"/>
        <w:rPr>
          <w:sz w:val="20"/>
          <w:szCs w:val="20"/>
          <w:color w:val="auto"/>
        </w:rPr>
      </w:pPr>
      <w:r>
        <w:rPr>
          <w:rFonts w:ascii="Times New Roman" w:cs="Times New Roman" w:eastAsia="Times New Roman" w:hAnsi="Times New Roman"/>
          <w:sz w:val="18"/>
          <w:szCs w:val="18"/>
          <w:color w:val="auto"/>
        </w:rPr>
        <w:t>Market exclusivity awarded by the FDA upon the approval of an NDA is limited in scope and duration. Our commercial success will depend in part on obtaining, maintaining, enforcing, and defending against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challenges, our patent and trade secret protection for any of our current and future product candidates that we may develop, license, or acquire, and the related manufacturing methods. We will only be able to fully protect our technologies from unauthorized use by third parties to the extent that valid and enforceable patents or trade secrets cover them.</w:t>
      </w:r>
    </w:p>
    <w:p>
      <w:pPr>
        <w:spacing w:after="0" w:line="158" w:lineRule="exact"/>
        <w:rPr>
          <w:sz w:val="20"/>
          <w:szCs w:val="20"/>
          <w:color w:val="auto"/>
        </w:rPr>
      </w:pPr>
    </w:p>
    <w:p>
      <w:pPr>
        <w:ind w:firstLine="648"/>
        <w:spacing w:after="0" w:line="179" w:lineRule="exact"/>
        <w:rPr>
          <w:sz w:val="20"/>
          <w:szCs w:val="20"/>
          <w:color w:val="auto"/>
        </w:rPr>
      </w:pPr>
      <w:r>
        <w:rPr>
          <w:rFonts w:ascii="Times New Roman" w:cs="Times New Roman" w:eastAsia="Times New Roman" w:hAnsi="Times New Roman"/>
          <w:sz w:val="18"/>
          <w:szCs w:val="18"/>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patents. Therefore, these patents and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or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make the inventions covered by each of our pending patent applications and issued patents;</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file patent applications for these inventions;</w:t>
      </w:r>
    </w:p>
    <w:p>
      <w:pPr>
        <w:spacing w:after="0" w:line="184" w:lineRule="exact"/>
        <w:rPr>
          <w:rFonts w:ascii="Times New Roman" w:cs="Times New Roman" w:eastAsia="Times New Roman" w:hAnsi="Times New Roman"/>
          <w:sz w:val="18"/>
          <w:szCs w:val="18"/>
          <w:color w:val="auto"/>
        </w:rPr>
      </w:pPr>
    </w:p>
    <w:p>
      <w:pPr>
        <w:ind w:left="660" w:right="160" w:hanging="333"/>
        <w:spacing w:after="0" w:line="23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product candidates or technologies;</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none of the pending patent applications will result in issued patents;</w:t>
      </w:r>
    </w:p>
    <w:p>
      <w:pPr>
        <w:spacing w:after="0" w:line="184" w:lineRule="exact"/>
        <w:rPr>
          <w:rFonts w:ascii="Times New Roman" w:cs="Times New Roman" w:eastAsia="Times New Roman" w:hAnsi="Times New Roman"/>
          <w:sz w:val="18"/>
          <w:szCs w:val="18"/>
          <w:color w:val="auto"/>
        </w:rPr>
      </w:pPr>
    </w:p>
    <w:p>
      <w:pPr>
        <w:ind w:left="660" w:right="360" w:hanging="333"/>
        <w:spacing w:after="0" w:line="23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patents may not cover commercially viable active products, may not provide us with any competitive advantages, or may be successfully challenged by third parties;</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of others may have an adverse effect on our business;</w:t>
      </w:r>
    </w:p>
    <w:p>
      <w:pPr>
        <w:spacing w:after="0" w:line="184" w:lineRule="exact"/>
        <w:rPr>
          <w:rFonts w:ascii="Times New Roman" w:cs="Times New Roman" w:eastAsia="Times New Roman" w:hAnsi="Times New Roman"/>
          <w:sz w:val="18"/>
          <w:szCs w:val="18"/>
          <w:color w:val="auto"/>
        </w:rPr>
      </w:pPr>
    </w:p>
    <w:p>
      <w:pPr>
        <w:ind w:left="660" w:right="220" w:hanging="333"/>
        <w:spacing w:after="0" w:line="22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governmental patent agencies requirements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58" w:lineRule="exact"/>
        <w:rPr>
          <w:rFonts w:ascii="Times New Roman" w:cs="Times New Roman" w:eastAsia="Times New Roman" w:hAnsi="Times New Roman"/>
          <w:sz w:val="18"/>
          <w:szCs w:val="18"/>
          <w:color w:val="auto"/>
        </w:rPr>
      </w:pPr>
    </w:p>
    <w:p>
      <w:pPr>
        <w:ind w:left="660" w:right="240" w:hanging="333"/>
        <w:spacing w:after="0" w:line="22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58" w:lineRule="exact"/>
        <w:rPr>
          <w:rFonts w:ascii="Times New Roman" w:cs="Times New Roman" w:eastAsia="Times New Roman" w:hAnsi="Times New Roman"/>
          <w:sz w:val="18"/>
          <w:szCs w:val="18"/>
          <w:color w:val="auto"/>
        </w:rPr>
      </w:pPr>
    </w:p>
    <w:p>
      <w:pPr>
        <w:ind w:left="660" w:right="100" w:hanging="333"/>
        <w:spacing w:after="0" w:line="22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58" w:lineRule="exact"/>
        <w:rPr>
          <w:sz w:val="20"/>
          <w:szCs w:val="20"/>
          <w:color w:val="auto"/>
        </w:rPr>
      </w:pPr>
    </w:p>
    <w:p>
      <w:pPr>
        <w:ind w:right="20" w:firstLine="648"/>
        <w:spacing w:after="0" w:line="180" w:lineRule="exact"/>
        <w:rPr>
          <w:sz w:val="20"/>
          <w:szCs w:val="20"/>
          <w:color w:val="auto"/>
        </w:rPr>
      </w:pPr>
      <w:r>
        <w:rPr>
          <w:rFonts w:ascii="Times New Roman" w:cs="Times New Roman" w:eastAsia="Times New Roman" w:hAnsi="Times New Roman"/>
          <w:sz w:val="18"/>
          <w:szCs w:val="18"/>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product. The actual length of the extension will depend on the amount of patent term lost while the product was in clinical trials.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360"/>
        <w:spacing w:after="0"/>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57" w:lineRule="exact"/>
        <w:rPr>
          <w:sz w:val="20"/>
          <w:szCs w:val="20"/>
          <w:color w:val="auto"/>
        </w:rPr>
      </w:pPr>
    </w:p>
    <w:p>
      <w:pPr>
        <w:ind w:right="80" w:firstLine="648"/>
        <w:spacing w:after="0" w:line="211"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58"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18"/>
          <w:szCs w:val="18"/>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of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60"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In addition, the patentability of claims in pending patent applications covering AXS-02, AXS-05, or any other of our current or future product candidates can be challenged by third parties during prosecution in the USPTO, for example by third-party observations and derivation proceedings, and the validity of claims in issued patents can be challenged by third parties in various post-grant proceedings such as post-grant review, reexamination, and inter-partes review proceedings. For example, in December 2016, a petition for post-grant review of U.S. Patent No. 9,283,239, which we refer to as the ‘239 patent, was filed at the USPTO by Grunenthal GmbH, or Grunenthal, and the post-grant review was instituted on July 7, 2017. In addition, in May 2017, a petition for post-grant review of U.S. Patent No. 9,408,862, which we refer to as the ‘862 patent, was filed at the USPTO by Grunenthal; in October 2017, a petition for post-grant review of U.S. Patent No. 9,539,268, which we refer to as the ‘268 patent, was filed at the USPTO by Grunenthal; in April 2018, a petition for post-grant review of U.S. Patent No. 9,707,245, which we refer to as the ‘245 patent, was filed at the USPTO by Grunenthal; in August 2018, a petition for post-grant review of U.S. Patent No. 9,820,999, which we refer to as the ‘999 patent, was filed at the USPTO by Grunenthal; in October 2018, a petition for post-grant review of U.S. Patent No. 9,867,839, which we refer to as the ‘839 patent, and on January 3, 2018, petitions for post-grant reviews of U.S. Patents No. 9,931,352, which we refer to as the ‘352 patent, 10,039,774, which refer to as the ‘774 patent, and 10,052,338, which we refer to as the ‘338 patent, were filed at the USPTO by Grunenthal.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The ‘239 patent contains claims directed to the use of orally administered zoledronic acid, the active moiety in AXS-02, for the treatment of CRPS, and is one of several issued patents containing claims covering the use of AXS-02 for the treatment of CRPS. The ‘862 and ‘268 patents contain claims directed to certain dosage forms containing zoledronic acid, the active moiety in AXS-02. The ‘862 patent also contains claims directed to certain oral dosage forms containing zoledronic acid, including AXS-02, and use of certain oral dosage forms containing zoledronic acid, including AXS-02, for the treatment of knee pain and arthritis, respectively. The ‘862 and ‘268 patents are two of several issued patents containing claims covering dosage forms of zoledronic acid such as AXS-02, and the use of certain oral dosage forms containing zoledronic acid, including AXS-02, in the treatment of knee pain and arthritis. The ‘245, ‘999, ‘352, ‘774, and ‘338 patents contain claims directed to the use of neridronic acid for the treatment of CRPS, and is one of several issued patents containing claims covering the use of neridronic acid for the treatment of CRPS. The ‘839 patent contains claims directed to the use of neridronic acid and oral zoledronic acid for the treatment of joint pain. The petitions request that the Patent Trial and Appeal Board, or PTAB, initiate proceedings to review the validity of the ‘239, the ‘862, the ‘268, the ‘245, the ‘999, the ‘839, the ‘352, the ‘774, and the ‘338 patents.</w:t>
      </w:r>
    </w:p>
    <w:p>
      <w:pPr>
        <w:spacing w:after="0" w:line="166" w:lineRule="exact"/>
        <w:rPr>
          <w:sz w:val="20"/>
          <w:szCs w:val="20"/>
          <w:color w:val="auto"/>
        </w:rPr>
      </w:pPr>
    </w:p>
    <w:p>
      <w:pPr>
        <w:ind w:right="100" w:firstLine="648"/>
        <w:spacing w:after="0" w:line="211" w:lineRule="auto"/>
        <w:rPr>
          <w:sz w:val="20"/>
          <w:szCs w:val="20"/>
          <w:color w:val="auto"/>
        </w:rPr>
      </w:pPr>
      <w:r>
        <w:rPr>
          <w:rFonts w:ascii="Times New Roman" w:cs="Times New Roman" w:eastAsia="Times New Roman" w:hAnsi="Times New Roman"/>
          <w:sz w:val="18"/>
          <w:szCs w:val="18"/>
          <w:color w:val="auto"/>
        </w:rPr>
        <w:t>In April 2017, we responded to and opposed Grunenthal's petition for post-grant review of the ‘239 patent. In July 2017, the PTAB issued a decision in which it refused to institute a post-grant-review of the ‘239 patent on the grounds of novelty, obviousness, or enablement. The PTAB ruled that Grunenthal had not established that it is more likely than not that the stated prior art would have rendered the claims of the ‘239 patent obvious or not novel, and that Grunenthal had failed to demonstrate that it is more likely than not that the claims are unpatentable for lack of enablement. However, a post-grant review was instituted on the ground of written description. The PTAB further ordered that the post-grant review for the ‘239 patent be limited to written description and that no other grounds of unpatentability are authorized for post-grant review. In October 2017, we responded to the PTAB decision to institute a post-grant review. On June 22, 2018, the Patent Trial and Appeal Board, or PTAB, entered a final written decision holding that the claims were invalid for lack of written description.</w:t>
      </w:r>
    </w:p>
    <w:p>
      <w:pPr>
        <w:spacing w:after="0" w:line="158" w:lineRule="exact"/>
        <w:rPr>
          <w:sz w:val="20"/>
          <w:szCs w:val="20"/>
          <w:color w:val="auto"/>
        </w:rPr>
      </w:pPr>
    </w:p>
    <w:p>
      <w:pPr>
        <w:ind w:right="240" w:firstLine="648"/>
        <w:spacing w:after="0" w:line="214" w:lineRule="auto"/>
        <w:rPr>
          <w:sz w:val="20"/>
          <w:szCs w:val="20"/>
          <w:color w:val="auto"/>
        </w:rPr>
      </w:pPr>
      <w:r>
        <w:rPr>
          <w:rFonts w:ascii="Times New Roman" w:cs="Times New Roman" w:eastAsia="Times New Roman" w:hAnsi="Times New Roman"/>
          <w:sz w:val="18"/>
          <w:szCs w:val="18"/>
          <w:color w:val="auto"/>
        </w:rPr>
        <w:t>In August 2017, we responded to and opposed the petition for the ‘862 patent. In November 2017, the PTAB rendered a decision to initiate a post-grant review for that patent. In February 2018, we responded to the PTAB decision to institute a post-grant review. On November 14, 2018, the Patent Trial and Appeal Board, or PTAB, entered a final written decision holding that the claims were invalid for lack of enablement, and for some claims, lack of novelty and/or obviousness. On January 16, 2019, we appealed the decision of the PTAB to the United States Court of Appeals for the Federal Circuit, or Federal Circuit, but recently decided not to further pursue the appeal.</w:t>
      </w:r>
    </w:p>
    <w:p>
      <w:pPr>
        <w:spacing w:after="0" w:line="162"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18"/>
          <w:szCs w:val="18"/>
          <w:color w:val="auto"/>
        </w:rPr>
        <w:t>In February 2018, we responded to and opposed the petition for the ‘268 patent. In May 2018, the PTAB rendered a decision to initiate a post-grant review for the patent. In August 2018, we responded to the PTAB decision to institute a post-grant review. In April 2019, the PTAB entered a final written decision holding that the claims were invalid for lack of enablement, but left several of the grounds raised in the Petition unaddressed. We are currently considering whether to file an appeal to the Federal Circuit and whether to file a request for rehearing with the PTAB.</w:t>
      </w:r>
    </w:p>
    <w:p>
      <w:pPr>
        <w:spacing w:after="0" w:line="158" w:lineRule="exact"/>
        <w:rPr>
          <w:sz w:val="20"/>
          <w:szCs w:val="20"/>
          <w:color w:val="auto"/>
        </w:rPr>
      </w:pPr>
    </w:p>
    <w:p>
      <w:pPr>
        <w:ind w:right="160" w:firstLine="648"/>
        <w:spacing w:after="0" w:line="237" w:lineRule="auto"/>
        <w:rPr>
          <w:sz w:val="20"/>
          <w:szCs w:val="20"/>
          <w:color w:val="auto"/>
        </w:rPr>
      </w:pPr>
      <w:r>
        <w:rPr>
          <w:rFonts w:ascii="Times New Roman" w:cs="Times New Roman" w:eastAsia="Times New Roman" w:hAnsi="Times New Roman"/>
          <w:sz w:val="18"/>
          <w:szCs w:val="18"/>
          <w:color w:val="auto"/>
        </w:rPr>
        <w:t>In October 2018, the PTAB rendered a decision to initiate a post grant review for the ‘245 patent. In January 2019, we responded to the PTAB decision to institute a post-grant review.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February 2019, the PTAB rendered a decision to initiate a post-grant review for the ‘999 patent.</w:t>
      </w:r>
    </w:p>
    <w:p>
      <w:pPr>
        <w:spacing w:after="0" w:line="185" w:lineRule="exact"/>
        <w:rPr>
          <w:sz w:val="20"/>
          <w:szCs w:val="20"/>
          <w:color w:val="auto"/>
        </w:rPr>
      </w:pPr>
    </w:p>
    <w:p>
      <w:pPr>
        <w:ind w:right="200" w:firstLine="648"/>
        <w:spacing w:after="0" w:line="217" w:lineRule="auto"/>
        <w:rPr>
          <w:sz w:val="20"/>
          <w:szCs w:val="20"/>
          <w:color w:val="auto"/>
        </w:rPr>
      </w:pPr>
      <w:r>
        <w:rPr>
          <w:rFonts w:ascii="Times New Roman" w:cs="Times New Roman" w:eastAsia="Times New Roman" w:hAnsi="Times New Roman"/>
          <w:sz w:val="18"/>
          <w:szCs w:val="18"/>
          <w:color w:val="auto"/>
        </w:rPr>
        <w:t>Any patent claim the PTAB determines to be unpatentable as a result of these proceedings would be stricken from the challenged patents or modified. Additionally, we cannot be sure that the validity of the claims in other issued patents covering any of our current or future product candidates will not also be challenged, or that Grunenthal will not file any additional petitions for post-grant review with respect to any of our current or future product candidates. We may incur increased expenses related to the growth of our intellectual property portfolio and to its defense.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62"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 how.</w:t>
      </w:r>
    </w:p>
    <w:p>
      <w:pPr>
        <w:spacing w:after="0" w:line="155"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59" w:lineRule="exact"/>
        <w:rPr>
          <w:sz w:val="20"/>
          <w:szCs w:val="20"/>
          <w:color w:val="auto"/>
        </w:rPr>
      </w:pPr>
    </w:p>
    <w:p>
      <w:pPr>
        <w:ind w:right="60" w:firstLine="648"/>
        <w:spacing w:after="0" w:line="180" w:lineRule="exact"/>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 patent agencies for the patents and patent applications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400"/>
        <w:spacing w:after="0"/>
        <w:rPr>
          <w:sz w:val="20"/>
          <w:szCs w:val="20"/>
          <w:color w:val="auto"/>
        </w:rPr>
      </w:pPr>
      <w:r>
        <w:rPr>
          <w:rFonts w:ascii="Times New Roman" w:cs="Times New Roman" w:eastAsia="Times New Roman" w:hAnsi="Times New Roman"/>
          <w:sz w:val="18"/>
          <w:szCs w:val="18"/>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57"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which are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the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 third party claims that we infringe on their products or technology, we could face a number of issues, including:</w:t>
      </w:r>
    </w:p>
    <w:p>
      <w:pPr>
        <w:spacing w:after="0" w:line="185" w:lineRule="exact"/>
        <w:rPr>
          <w:sz w:val="20"/>
          <w:szCs w:val="20"/>
          <w:color w:val="auto"/>
        </w:rPr>
      </w:pPr>
    </w:p>
    <w:p>
      <w:pPr>
        <w:ind w:left="660" w:right="260" w:hanging="333"/>
        <w:spacing w:after="0" w:line="237"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whether meritorious or not, can be expensive and time consuming to litigate and can divert management’s attention from our core business;</w:t>
      </w:r>
    </w:p>
    <w:p>
      <w:pPr>
        <w:spacing w:after="0" w:line="158" w:lineRule="exact"/>
        <w:rPr>
          <w:rFonts w:ascii="Times New Roman" w:cs="Times New Roman" w:eastAsia="Times New Roman" w:hAnsi="Times New Roman"/>
          <w:sz w:val="18"/>
          <w:szCs w:val="18"/>
          <w:color w:val="auto"/>
        </w:rPr>
      </w:pPr>
    </w:p>
    <w:p>
      <w:pPr>
        <w:ind w:left="660" w:right="40" w:hanging="333"/>
        <w:spacing w:after="0" w:line="237"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past infringement which we may have to pay if a court decides that our product infringes on a competitor’s patent;</w:t>
      </w:r>
    </w:p>
    <w:p>
      <w:pPr>
        <w:spacing w:after="0" w:line="158" w:lineRule="exact"/>
        <w:rPr>
          <w:rFonts w:ascii="Times New Roman" w:cs="Times New Roman" w:eastAsia="Times New Roman" w:hAnsi="Times New Roman"/>
          <w:sz w:val="18"/>
          <w:szCs w:val="18"/>
          <w:color w:val="auto"/>
        </w:rPr>
      </w:pPr>
    </w:p>
    <w:p>
      <w:pPr>
        <w:ind w:left="660" w:hanging="333"/>
        <w:spacing w:after="0" w:line="237"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selling or licensing our product unless the patent holder licenses the patent to us, which it would not be required to do;</w:t>
      </w:r>
    </w:p>
    <w:p>
      <w:pPr>
        <w:spacing w:after="0" w:line="158" w:lineRule="exact"/>
        <w:rPr>
          <w:rFonts w:ascii="Times New Roman" w:cs="Times New Roman" w:eastAsia="Times New Roman" w:hAnsi="Times New Roman"/>
          <w:sz w:val="18"/>
          <w:szCs w:val="18"/>
          <w:color w:val="auto"/>
        </w:rPr>
      </w:pPr>
    </w:p>
    <w:p>
      <w:pPr>
        <w:ind w:left="660" w:right="140" w:hanging="333"/>
        <w:spacing w:after="0" w:line="237"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patent holder, we may have to pay substantial royalties or grant cross licenses to our patents; and</w:t>
      </w:r>
    </w:p>
    <w:p>
      <w:pPr>
        <w:spacing w:after="0" w:line="158" w:lineRule="exact"/>
        <w:rPr>
          <w:rFonts w:ascii="Times New Roman" w:cs="Times New Roman" w:eastAsia="Times New Roman" w:hAnsi="Times New Roman"/>
          <w:sz w:val="18"/>
          <w:szCs w:val="18"/>
          <w:color w:val="auto"/>
        </w:rPr>
      </w:pPr>
    </w:p>
    <w:p>
      <w:pPr>
        <w:ind w:left="660" w:right="520" w:hanging="333"/>
        <w:spacing w:after="0" w:line="237"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and processes so they do not infringe, which may not be possible or could require substantial funds and time.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w:t>
      </w:r>
    </w:p>
    <w:p>
      <w:pPr>
        <w:spacing w:after="0" w:line="203" w:lineRule="auto"/>
        <w:rPr>
          <w:sz w:val="20"/>
          <w:szCs w:val="20"/>
          <w:color w:val="auto"/>
        </w:rPr>
      </w:pPr>
      <w:r>
        <w:rPr>
          <w:rFonts w:ascii="Times New Roman" w:cs="Times New Roman" w:eastAsia="Times New Roman" w:hAnsi="Times New Roman"/>
          <w:sz w:val="18"/>
          <w:szCs w:val="18"/>
          <w:color w:val="auto"/>
        </w:rPr>
        <w:t>such third party to continue developing and marketing our products and technology. However, we may not be able to obtain</w:t>
      </w:r>
    </w:p>
    <w:p>
      <w:pPr>
        <w:spacing w:after="0" w:line="204" w:lineRule="auto"/>
        <w:rPr>
          <w:sz w:val="20"/>
          <w:szCs w:val="20"/>
          <w:color w:val="auto"/>
        </w:rPr>
      </w:pPr>
      <w:r>
        <w:rPr>
          <w:rFonts w:ascii="Times New Roman" w:cs="Times New Roman" w:eastAsia="Times New Roman" w:hAnsi="Times New Roman"/>
          <w:sz w:val="18"/>
          <w:szCs w:val="18"/>
          <w:color w:val="auto"/>
        </w:rPr>
        <w:t>any required license on commercially reasonable terms, or at all. Even if we were able to obtain a license, it could be</w:t>
      </w:r>
    </w:p>
    <w:p>
      <w:pPr>
        <w:spacing w:after="0" w:line="176"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thereby giving our competitors access to the same technologies licensed to us. We could be forced, including</w:t>
      </w:r>
    </w:p>
    <w:p>
      <w:pPr>
        <w:spacing w:after="0" w:line="204" w:lineRule="auto"/>
        <w:rPr>
          <w:sz w:val="20"/>
          <w:szCs w:val="20"/>
          <w:color w:val="auto"/>
        </w:rPr>
      </w:pPr>
      <w:r>
        <w:rPr>
          <w:rFonts w:ascii="Times New Roman" w:cs="Times New Roman" w:eastAsia="Times New Roman" w:hAnsi="Times New Roman"/>
          <w:sz w:val="18"/>
          <w:szCs w:val="18"/>
          <w:color w:val="auto"/>
        </w:rPr>
        <w:t>by court order, to cease commercializing the infringing technology or product. In addition, we could be found liable for</w:t>
      </w:r>
    </w:p>
    <w:p>
      <w:pPr>
        <w:spacing w:after="0" w:line="203" w:lineRule="auto"/>
        <w:rPr>
          <w:sz w:val="20"/>
          <w:szCs w:val="20"/>
          <w:color w:val="auto"/>
        </w:rPr>
      </w:pPr>
      <w:r>
        <w:rPr>
          <w:rFonts w:ascii="Times New Roman" w:cs="Times New Roman" w:eastAsia="Times New Roman" w:hAnsi="Times New Roman"/>
          <w:sz w:val="18"/>
          <w:szCs w:val="18"/>
          <w:color w:val="auto"/>
        </w:rPr>
        <w:t>monetary damages, including treble damages and attorneys’ fees if we are found to have willfully infringed a patent. A</w:t>
      </w:r>
    </w:p>
    <w:p>
      <w:pPr>
        <w:spacing w:after="0" w:line="204" w:lineRule="auto"/>
        <w:rPr>
          <w:sz w:val="20"/>
          <w:szCs w:val="20"/>
          <w:color w:val="auto"/>
        </w:rPr>
      </w:pPr>
      <w:r>
        <w:rPr>
          <w:rFonts w:ascii="Times New Roman" w:cs="Times New Roman" w:eastAsia="Times New Roman" w:hAnsi="Times New Roman"/>
          <w:sz w:val="18"/>
          <w:szCs w:val="18"/>
          <w:color w:val="auto"/>
        </w:rPr>
        <w:t>finding of infringement could prevent us from commercializing our product candidates or force us to cease some of our</w:t>
      </w:r>
    </w:p>
    <w:p>
      <w:pPr>
        <w:spacing w:after="0" w:line="204" w:lineRule="auto"/>
        <w:rPr>
          <w:sz w:val="20"/>
          <w:szCs w:val="20"/>
          <w:color w:val="auto"/>
        </w:rPr>
      </w:pPr>
      <w:r>
        <w:rPr>
          <w:rFonts w:ascii="Times New Roman" w:cs="Times New Roman" w:eastAsia="Times New Roman" w:hAnsi="Times New Roman"/>
          <w:sz w:val="18"/>
          <w:szCs w:val="18"/>
          <w:color w:val="auto"/>
        </w:rPr>
        <w:t>business operations, which could materially harm our business. Claims that we have misappropriated the confidential</w:t>
      </w:r>
    </w:p>
    <w:p>
      <w:pPr>
        <w:spacing w:after="0" w:line="203" w:lineRule="auto"/>
        <w:rPr>
          <w:sz w:val="20"/>
          <w:szCs w:val="20"/>
          <w:color w:val="auto"/>
        </w:rPr>
      </w:pPr>
      <w:r>
        <w:rPr>
          <w:rFonts w:ascii="Times New Roman" w:cs="Times New Roman" w:eastAsia="Times New Roman" w:hAnsi="Times New Roman"/>
          <w:sz w:val="18"/>
          <w:szCs w:val="18"/>
          <w:color w:val="auto"/>
        </w:rPr>
        <w:t>information or trade secrets of third parties could have a similar negative impact on our business, financial condition, results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operations, and prospects.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29" w:lineRule="exact"/>
        <w:rPr>
          <w:sz w:val="20"/>
          <w:szCs w:val="20"/>
          <w:color w:val="auto"/>
        </w:rPr>
      </w:pPr>
    </w:p>
    <w:p>
      <w:pPr>
        <w:ind w:firstLine="648"/>
        <w:spacing w:after="0" w:line="183" w:lineRule="exact"/>
        <w:rPr>
          <w:sz w:val="20"/>
          <w:szCs w:val="20"/>
          <w:color w:val="auto"/>
        </w:rPr>
      </w:pPr>
      <w:r>
        <w:rPr>
          <w:rFonts w:ascii="Times New Roman" w:cs="Times New Roman" w:eastAsia="Times New Roman" w:hAnsi="Times New Roman"/>
          <w:sz w:val="18"/>
          <w:szCs w:val="18"/>
          <w:color w:val="auto"/>
        </w:rPr>
        <w:t>Competitors may infringe our issued patents, our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patents, or other intellectual property that we own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5" w:lineRule="exact"/>
        <w:rPr>
          <w:sz w:val="20"/>
          <w:szCs w:val="20"/>
          <w:color w:val="auto"/>
        </w:rPr>
      </w:pPr>
    </w:p>
    <w:p>
      <w:pPr>
        <w:ind w:firstLine="648"/>
        <w:spacing w:after="0" w:line="188" w:lineRule="exact"/>
        <w:rPr>
          <w:sz w:val="20"/>
          <w:szCs w:val="20"/>
          <w:color w:val="auto"/>
        </w:rPr>
      </w:pPr>
      <w:r>
        <w:rPr>
          <w:rFonts w:ascii="Times New Roman" w:cs="Times New Roman" w:eastAsia="Times New Roman" w:hAnsi="Times New Roman"/>
          <w:sz w:val="18"/>
          <w:szCs w:val="18"/>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needed technology, or enter into development partnerships that would help us bring our product candidates to market.</w:t>
      </w:r>
    </w:p>
    <w:p>
      <w:pPr>
        <w:spacing w:after="0" w:line="154"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57" w:lineRule="exact"/>
        <w:rPr>
          <w:sz w:val="20"/>
          <w:szCs w:val="20"/>
          <w:color w:val="auto"/>
        </w:rPr>
      </w:pPr>
    </w:p>
    <w:p>
      <w:pPr>
        <w:ind w:right="140" w:firstLine="648"/>
        <w:spacing w:after="0" w:line="217"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or commercialization of our products. It may be necessary for us to use the patented or proprietary technology of third parties to commercialize our products, in which case we would be required to obtain a license from these third parties. Such a license may not be available on commercially reasonable terms, or at all, which could materially harm our business, financial condition, results of operations, and prospects.</w:t>
      </w:r>
    </w:p>
    <w:p>
      <w:pPr>
        <w:spacing w:after="0" w:line="154" w:lineRule="exact"/>
        <w:rPr>
          <w:sz w:val="20"/>
          <w:szCs w:val="20"/>
          <w:color w:val="auto"/>
        </w:rPr>
      </w:pPr>
    </w:p>
    <w:p>
      <w:pPr>
        <w:ind w:right="6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57"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160"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We rely on trade secrets to protect our proprietary technological advances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licensors may not be able to protect our intellectual property rights throughout the world.</w:t>
      </w:r>
    </w:p>
    <w:p>
      <w:pPr>
        <w:spacing w:after="0" w:line="189" w:lineRule="exact"/>
        <w:rPr>
          <w:sz w:val="20"/>
          <w:szCs w:val="20"/>
          <w:color w:val="auto"/>
        </w:rPr>
      </w:pPr>
    </w:p>
    <w:p>
      <w:pPr>
        <w:ind w:right="40" w:firstLine="648"/>
        <w:spacing w:after="0" w:line="210"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61" w:lineRule="exact"/>
        <w:rPr>
          <w:sz w:val="20"/>
          <w:szCs w:val="20"/>
          <w:color w:val="auto"/>
        </w:rPr>
      </w:pPr>
    </w:p>
    <w:p>
      <w:pPr>
        <w:ind w:right="160" w:firstLine="648"/>
        <w:spacing w:after="0" w:line="211"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COMPLIANCE MATTERS</w:t>
      </w:r>
    </w:p>
    <w:p>
      <w:pPr>
        <w:spacing w:after="0" w:line="185"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fraud and abuse and health and other information privacy and security laws, we could face substantial penalties and our business, financial condition, results of operations, and prospects could be adversely affected.</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As a pharmaceutical company, we are subject to many federal and state healthcare laws, including those described in</w:t>
      </w:r>
    </w:p>
    <w:p>
      <w:pPr>
        <w:spacing w:after="0" w:line="203" w:lineRule="auto"/>
        <w:rPr>
          <w:sz w:val="20"/>
          <w:szCs w:val="20"/>
          <w:color w:val="auto"/>
        </w:rPr>
      </w:pPr>
      <w:r>
        <w:rPr>
          <w:rFonts w:ascii="Times New Roman" w:cs="Times New Roman" w:eastAsia="Times New Roman" w:hAnsi="Times New Roman"/>
          <w:sz w:val="18"/>
          <w:szCs w:val="18"/>
          <w:color w:val="auto"/>
        </w:rPr>
        <w:t>the “Business—Government Regulation and Product Approval” section of our Annual Report on Form 10-K, filed with the</w:t>
      </w:r>
    </w:p>
    <w:p>
      <w:pPr>
        <w:spacing w:after="0" w:line="176" w:lineRule="exact"/>
        <w:rPr>
          <w:sz w:val="20"/>
          <w:szCs w:val="20"/>
          <w:color w:val="auto"/>
        </w:rPr>
      </w:pPr>
      <w:r>
        <w:rPr>
          <w:rFonts w:ascii="Times New Roman" w:cs="Times New Roman" w:eastAsia="Times New Roman" w:hAnsi="Times New Roman"/>
          <w:sz w:val="18"/>
          <w:szCs w:val="18"/>
          <w:color w:val="auto"/>
        </w:rPr>
        <w:t>Securities and Exchange Commission, or SEC, on March 15, 2019, such as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the federal</w:t>
      </w:r>
    </w:p>
    <w:p>
      <w:pPr>
        <w:spacing w:after="0" w:line="203" w:lineRule="auto"/>
        <w:rPr>
          <w:sz w:val="20"/>
          <w:szCs w:val="20"/>
          <w:color w:val="auto"/>
        </w:rPr>
      </w:pPr>
      <w:r>
        <w:rPr>
          <w:rFonts w:ascii="Times New Roman" w:cs="Times New Roman" w:eastAsia="Times New Roman" w:hAnsi="Times New Roman"/>
          <w:sz w:val="18"/>
          <w:szCs w:val="18"/>
          <w:color w:val="auto"/>
        </w:rPr>
        <w:t>civil and criminal False Claims Act, the civil monetary penalties statute, the Medicaid Drug Rebate statute and other price</w:t>
      </w:r>
    </w:p>
    <w:p>
      <w:pPr>
        <w:spacing w:after="0" w:line="204" w:lineRule="auto"/>
        <w:rPr>
          <w:sz w:val="20"/>
          <w:szCs w:val="20"/>
          <w:color w:val="auto"/>
        </w:rPr>
      </w:pPr>
      <w:r>
        <w:rPr>
          <w:rFonts w:ascii="Times New Roman" w:cs="Times New Roman" w:eastAsia="Times New Roman" w:hAnsi="Times New Roman"/>
          <w:sz w:val="18"/>
          <w:szCs w:val="18"/>
          <w:color w:val="auto"/>
        </w:rPr>
        <w:t>reporting requirements, the Veterans Health Care Act of 1992, the federal Health Insurance Portability and Accountability</w:t>
      </w:r>
    </w:p>
    <w:p>
      <w:pPr>
        <w:spacing w:after="0" w:line="215" w:lineRule="auto"/>
        <w:rPr>
          <w:sz w:val="20"/>
          <w:szCs w:val="20"/>
          <w:color w:val="auto"/>
        </w:rPr>
      </w:pPr>
      <w:r>
        <w:rPr>
          <w:rFonts w:ascii="Times New Roman" w:cs="Times New Roman" w:eastAsia="Times New Roman" w:hAnsi="Times New Roman"/>
          <w:sz w:val="17"/>
          <w:szCs w:val="17"/>
          <w:color w:val="auto"/>
        </w:rPr>
        <w:t>Act of 1996 (as amended by the Health Information Technology for Economics and Clinical Health Act), the Foreign Corrupt</w:t>
      </w:r>
    </w:p>
    <w:p>
      <w:pPr>
        <w:spacing w:after="0" w:line="204" w:lineRule="auto"/>
        <w:rPr>
          <w:sz w:val="20"/>
          <w:szCs w:val="20"/>
          <w:color w:val="auto"/>
        </w:rPr>
      </w:pPr>
      <w:r>
        <w:rPr>
          <w:rFonts w:ascii="Times New Roman" w:cs="Times New Roman" w:eastAsia="Times New Roman" w:hAnsi="Times New Roman"/>
          <w:sz w:val="18"/>
          <w:szCs w:val="18"/>
          <w:color w:val="auto"/>
        </w:rPr>
        <w:t>Practices Act of 1977, the Patient Protection and Affordable Care Act of 2010, and similar state and foreign laws. Even</w:t>
      </w:r>
    </w:p>
    <w:p>
      <w:pPr>
        <w:spacing w:after="0" w:line="204" w:lineRule="auto"/>
        <w:rPr>
          <w:sz w:val="20"/>
          <w:szCs w:val="20"/>
          <w:color w:val="auto"/>
        </w:rPr>
      </w:pPr>
      <w:r>
        <w:rPr>
          <w:rFonts w:ascii="Times New Roman" w:cs="Times New Roman" w:eastAsia="Times New Roman" w:hAnsi="Times New Roman"/>
          <w:sz w:val="18"/>
          <w:szCs w:val="18"/>
          <w:color w:val="auto"/>
        </w:rPr>
        <w:t>though we do not and will not control referrals of healthcare services or bill directly to Medicare, Medicaid, or other</w:t>
      </w:r>
    </w:p>
    <w:p>
      <w:pPr>
        <w:spacing w:after="0" w:line="176" w:lineRule="exact"/>
        <w:rPr>
          <w:sz w:val="20"/>
          <w:szCs w:val="20"/>
          <w:color w:val="auto"/>
        </w:rPr>
      </w:pPr>
      <w:r>
        <w:rPr>
          <w:rFonts w:ascii="Times New Roman" w:cs="Times New Roman" w:eastAsia="Times New Roman" w:hAnsi="Times New Roman"/>
          <w:sz w:val="18"/>
          <w:szCs w:val="18"/>
          <w:color w:val="auto"/>
        </w:rPr>
        <w:t>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certain federal and state healthcare laws and regulations pertaining to fraud and abuse and patients’ rights</w:t>
      </w:r>
    </w:p>
    <w:p>
      <w:pPr>
        <w:spacing w:after="0" w:line="204" w:lineRule="auto"/>
        <w:rPr>
          <w:sz w:val="20"/>
          <w:szCs w:val="20"/>
          <w:color w:val="auto"/>
        </w:rPr>
      </w:pPr>
      <w:r>
        <w:rPr>
          <w:rFonts w:ascii="Times New Roman" w:cs="Times New Roman" w:eastAsia="Times New Roman" w:hAnsi="Times New Roman"/>
          <w:sz w:val="18"/>
          <w:szCs w:val="18"/>
          <w:color w:val="auto"/>
        </w:rPr>
        <w:t>are and will be applicable to our business. We would be subject to healthcare fraud and abuse by both the federal government</w:t>
      </w:r>
    </w:p>
    <w:p>
      <w:pPr>
        <w:spacing w:after="0"/>
        <w:rPr>
          <w:sz w:val="20"/>
          <w:szCs w:val="20"/>
          <w:color w:val="auto"/>
        </w:rPr>
      </w:pPr>
      <w:r>
        <w:rPr>
          <w:rFonts w:ascii="Times New Roman" w:cs="Times New Roman" w:eastAsia="Times New Roman" w:hAnsi="Times New Roman"/>
          <w:sz w:val="18"/>
          <w:szCs w:val="18"/>
          <w:color w:val="auto"/>
        </w:rPr>
        <w:t>and the states in which we conduct our business.</w:t>
      </w:r>
    </w:p>
    <w:p>
      <w:pPr>
        <w:spacing w:after="0" w:line="165"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58"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30" w:lineRule="exact"/>
        <w:rPr>
          <w:sz w:val="20"/>
          <w:szCs w:val="20"/>
          <w:color w:val="auto"/>
        </w:rPr>
      </w:pPr>
    </w:p>
    <w:p>
      <w:pPr>
        <w:jc w:val="both"/>
        <w:ind w:right="36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If the government or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payors fail to provide adequate coverage and payment rates for any of our current or future product candidates, or if HMOs or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term care facilities choose to use therapies that are less expensive, our revenue and prospects for profitability will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-309245</wp:posOffset>
            </wp:positionV>
            <wp:extent cx="6413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2185035</wp:posOffset>
            </wp:positionH>
            <wp:positionV relativeFrom="paragraph">
              <wp:posOffset>-198120</wp:posOffset>
            </wp:positionV>
            <wp:extent cx="6413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right="180" w:firstLine="648"/>
        <w:spacing w:after="0" w:line="182" w:lineRule="exact"/>
        <w:rPr>
          <w:sz w:val="20"/>
          <w:szCs w:val="20"/>
          <w:color w:val="auto"/>
        </w:rPr>
      </w:pPr>
      <w:r>
        <w:rPr>
          <w:rFonts w:ascii="Times New Roman" w:cs="Times New Roman" w:eastAsia="Times New Roman" w:hAnsi="Times New Roman"/>
          <w:sz w:val="18"/>
          <w:szCs w:val="18"/>
          <w:color w:val="auto"/>
        </w:rPr>
        <w:t>In both domestic and foreign markets, sales of our future products will depend in part upon the availability of coverage and reimbursement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firstLine="648"/>
        <w:spacing w:after="0" w:line="180" w:lineRule="exact"/>
        <w:rPr>
          <w:sz w:val="20"/>
          <w:szCs w:val="20"/>
          <w:color w:val="auto"/>
        </w:rPr>
      </w:pPr>
      <w:r>
        <w:rPr>
          <w:rFonts w:ascii="Times New Roman" w:cs="Times New Roman" w:eastAsia="Times New Roman" w:hAnsi="Times New Roman"/>
          <w:sz w:val="18"/>
          <w:szCs w:val="18"/>
          <w:color w:val="auto"/>
        </w:rPr>
        <w:t>There is significant uncertainty related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such as private health insurers and health maintenance organizations, decide which medications they will cover and establish reimbursement levels. The healthcare industry is acutely focused on cost containment, both in the United States and elsewhere. Several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36" w:lineRule="exact"/>
        <w:rPr>
          <w:sz w:val="20"/>
          <w:szCs w:val="20"/>
          <w:color w:val="auto"/>
        </w:rPr>
      </w:pPr>
    </w:p>
    <w:p>
      <w:pPr>
        <w:ind w:firstLine="648"/>
        <w:spacing w:after="0" w:line="187" w:lineRule="exact"/>
        <w:rPr>
          <w:sz w:val="20"/>
          <w:szCs w:val="20"/>
          <w:color w:val="auto"/>
        </w:rPr>
      </w:pPr>
      <w:r>
        <w:rPr>
          <w:rFonts w:ascii="Times New Roman" w:cs="Times New Roman" w:eastAsia="Times New Roman" w:hAnsi="Times New Roman"/>
          <w:sz w:val="18"/>
          <w:szCs w:val="18"/>
          <w:color w:val="auto"/>
        </w:rPr>
        <w:t>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whether foreign or domestic, or governmental or commercial, are developing increasingly sophisticated methods of controlling healthcare costs. In addition, in the United States, no uniform policy of coverage and reimbursement for drug products exists among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Assuming coverage is approved, the resulting reimbursement payment rates might not be adequate. If payors subject</w:t>
      </w:r>
    </w:p>
    <w:p>
      <w:pPr>
        <w:spacing w:after="0" w:line="203" w:lineRule="auto"/>
        <w:rPr>
          <w:sz w:val="20"/>
          <w:szCs w:val="20"/>
          <w:color w:val="auto"/>
        </w:rPr>
      </w:pPr>
      <w:r>
        <w:rPr>
          <w:rFonts w:ascii="Times New Roman" w:cs="Times New Roman" w:eastAsia="Times New Roman" w:hAnsi="Times New Roman"/>
          <w:sz w:val="18"/>
          <w:szCs w:val="18"/>
          <w:color w:val="auto"/>
        </w:rPr>
        <w:t>our product candidates to maximum payment amounts, or impose limitations that make it difficult to obtain reimbursement,</w:t>
      </w:r>
    </w:p>
    <w:p>
      <w:pPr>
        <w:spacing w:after="0" w:line="204" w:lineRule="auto"/>
        <w:rPr>
          <w:sz w:val="20"/>
          <w:szCs w:val="20"/>
          <w:color w:val="auto"/>
        </w:rPr>
      </w:pPr>
      <w:r>
        <w:rPr>
          <w:rFonts w:ascii="Times New Roman" w:cs="Times New Roman" w:eastAsia="Times New Roman" w:hAnsi="Times New Roman"/>
          <w:sz w:val="18"/>
          <w:szCs w:val="18"/>
          <w:color w:val="auto"/>
        </w:rPr>
        <w:t>providers may choose to use therapies which are less expensive when compared to our product candidates. Additionally, if</w:t>
      </w:r>
    </w:p>
    <w:p>
      <w:pPr>
        <w:spacing w:after="0" w:line="203" w:lineRule="auto"/>
        <w:rPr>
          <w:sz w:val="20"/>
          <w:szCs w:val="20"/>
          <w:color w:val="auto"/>
        </w:rPr>
      </w:pPr>
      <w:r>
        <w:rPr>
          <w:rFonts w:ascii="Times New Roman" w:cs="Times New Roman" w:eastAsia="Times New Roman" w:hAnsi="Times New Roman"/>
          <w:sz w:val="18"/>
          <w:szCs w:val="18"/>
          <w:color w:val="auto"/>
        </w:rPr>
        <w:t>payors require high copayments, beneficiaries may decline prescriptions and seek alternative therapies. We may need to</w:t>
      </w:r>
    </w:p>
    <w:p>
      <w:pPr>
        <w:spacing w:after="0" w:line="176" w:lineRule="exact"/>
        <w:rPr>
          <w:sz w:val="20"/>
          <w:szCs w:val="20"/>
          <w:color w:val="auto"/>
        </w:rPr>
      </w:pPr>
      <w:r>
        <w:rPr>
          <w:rFonts w:ascii="Times New Roman" w:cs="Times New Roman" w:eastAsia="Times New Roman" w:hAnsi="Times New Roman"/>
          <w:sz w:val="18"/>
          <w:szCs w:val="18"/>
          <w:color w:val="auto"/>
        </w:rPr>
        <w:t>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in order to demonstrate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any future products to the satisfaction of</w:t>
      </w:r>
    </w:p>
    <w:p>
      <w:pPr>
        <w:spacing w:after="0" w:line="176" w:lineRule="exact"/>
        <w:rPr>
          <w:sz w:val="20"/>
          <w:szCs w:val="20"/>
          <w:color w:val="auto"/>
        </w:rPr>
      </w:pPr>
      <w:r>
        <w:rPr>
          <w:rFonts w:ascii="Times New Roman" w:cs="Times New Roman" w:eastAsia="Times New Roman" w:hAnsi="Times New Roman"/>
          <w:sz w:val="18"/>
          <w:szCs w:val="18"/>
          <w:color w:val="auto"/>
        </w:rPr>
        <w:t>hospitals and other target customers and their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Such studies might require us to commit a significant</w:t>
      </w:r>
    </w:p>
    <w:p>
      <w:pPr>
        <w:spacing w:after="0" w:line="204" w:lineRule="auto"/>
        <w:rPr>
          <w:sz w:val="20"/>
          <w:szCs w:val="20"/>
          <w:color w:val="auto"/>
        </w:rPr>
      </w:pPr>
      <w:r>
        <w:rPr>
          <w:rFonts w:ascii="Times New Roman" w:cs="Times New Roman" w:eastAsia="Times New Roman" w:hAnsi="Times New Roman"/>
          <w:sz w:val="18"/>
          <w:szCs w:val="18"/>
          <w:color w:val="auto"/>
        </w:rPr>
        <w:t>amount of management time and financial and other resources. Our future products might not ultimately be considered</w:t>
      </w:r>
    </w:p>
    <w:p>
      <w:pPr>
        <w:spacing w:after="0" w:line="176" w:lineRule="exact"/>
        <w:rPr>
          <w:sz w:val="20"/>
          <w:szCs w:val="20"/>
          <w:color w:val="auto"/>
        </w:rPr>
      </w:pPr>
      <w:r>
        <w:rPr>
          <w:rFonts w:ascii="Times New Roman" w:cs="Times New Roman" w:eastAsia="Times New Roman" w:hAnsi="Times New Roman"/>
          <w:sz w:val="18"/>
          <w:szCs w:val="18"/>
          <w:color w:val="auto"/>
        </w:rPr>
        <w:t>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Adequate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coverage and reimbursement might not be available to enable us to maintain price levels</w:t>
      </w:r>
    </w:p>
    <w:p>
      <w:pPr>
        <w:spacing w:after="0"/>
        <w:rPr>
          <w:sz w:val="20"/>
          <w:szCs w:val="20"/>
          <w:color w:val="auto"/>
        </w:rPr>
      </w:pPr>
      <w:r>
        <w:rPr>
          <w:rFonts w:ascii="Times New Roman" w:cs="Times New Roman" w:eastAsia="Times New Roman" w:hAnsi="Times New Roman"/>
          <w:sz w:val="18"/>
          <w:szCs w:val="18"/>
          <w:color w:val="auto"/>
        </w:rPr>
        <w:t>sufficient to realize an appropriate return on investment in product development.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addition, federal programs impose penalties on manufacturers of drugs marketed under an NDA, including 505(b)</w:t>
      </w:r>
    </w:p>
    <w:p>
      <w:pPr>
        <w:ind w:firstLine="3"/>
        <w:spacing w:after="0" w:line="180" w:lineRule="exact"/>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drugs, in the form of mandatory additional rebates and/or discounts if commercial prices increase at a rate greater than the Consumer Price Index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Urban, and these rebates and/or discounts, which can be substantial, may impact our ability to raise commercial prices. Regulatory authorities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and coverage and reimbursement may not be available to our customers, or those of our collaborators, or may not be sufficient to allow our products, if any, to be marketed on a competitive basis.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do not provide adequate coverage or reimbursement, our prospects for revenue and profitability will suffer.</w:t>
      </w:r>
    </w:p>
    <w:p>
      <w:pPr>
        <w:spacing w:after="0" w:line="158" w:lineRule="exact"/>
        <w:rPr>
          <w:sz w:val="20"/>
          <w:szCs w:val="20"/>
          <w:color w:val="auto"/>
        </w:rPr>
      </w:pPr>
    </w:p>
    <w:p>
      <w:pPr>
        <w:ind w:right="40" w:firstLine="648"/>
        <w:spacing w:after="0" w:line="212"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58"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29" w:lineRule="exact"/>
        <w:rPr>
          <w:sz w:val="20"/>
          <w:szCs w:val="20"/>
          <w:color w:val="auto"/>
        </w:rPr>
      </w:pPr>
    </w:p>
    <w:p>
      <w:pPr>
        <w:ind w:right="40" w:firstLine="648"/>
        <w:spacing w:after="0" w:line="186" w:lineRule="exact"/>
        <w:rPr>
          <w:sz w:val="20"/>
          <w:szCs w:val="20"/>
          <w:color w:val="auto"/>
        </w:rPr>
      </w:pPr>
      <w:r>
        <w:rPr>
          <w:rFonts w:ascii="Times New Roman" w:cs="Times New Roman" w:eastAsia="Times New Roman" w:hAnsi="Times New Roman"/>
          <w:sz w:val="17"/>
          <w:szCs w:val="17"/>
          <w:color w:val="auto"/>
        </w:rPr>
        <w:t>In addition, increasingly,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60"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57" w:lineRule="exact"/>
        <w:rPr>
          <w:sz w:val="20"/>
          <w:szCs w:val="20"/>
          <w:color w:val="auto"/>
        </w:rPr>
      </w:pPr>
    </w:p>
    <w:p>
      <w:pPr>
        <w:ind w:right="120" w:firstLine="648"/>
        <w:spacing w:after="0" w:line="185" w:lineRule="exact"/>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For example, legislative changes have been proposed and adopted since enactment of the Affordable Care Act, or ACA, in 2010. These changes include, among other things, aggregate reductions to Medicare payments to providers of up to 2% per fiscal year, which became effective on April 1, 2013, and significant reductions to Medicare payment to certain safety net hospitals for outpatient drugs purchased under the “340B” drug discount program, effective January 1, 2018. These laws may result in additional reductions in Medicare and other healthcare funding, which could have a material adverse effect on customers for our drugs, if approved, and, accordingly, on our results of operations.</w:t>
      </w:r>
    </w:p>
    <w:p>
      <w:pPr>
        <w:spacing w:after="0" w:line="162" w:lineRule="exact"/>
        <w:rPr>
          <w:sz w:val="20"/>
          <w:szCs w:val="20"/>
          <w:color w:val="auto"/>
        </w:rPr>
      </w:pPr>
    </w:p>
    <w:p>
      <w:pPr>
        <w:ind w:right="60" w:firstLine="648"/>
        <w:spacing w:after="0" w:line="209" w:lineRule="auto"/>
        <w:rPr>
          <w:sz w:val="20"/>
          <w:szCs w:val="20"/>
          <w:color w:val="auto"/>
        </w:rPr>
      </w:pPr>
      <w:r>
        <w:rPr>
          <w:rFonts w:ascii="Times New Roman" w:cs="Times New Roman" w:eastAsia="Times New Roman" w:hAnsi="Times New Roman"/>
          <w:sz w:val="18"/>
          <w:szCs w:val="18"/>
          <w:color w:val="auto"/>
        </w:rPr>
        <w:t>On January 20, 2017, the current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Further, in December 2017, the current administration signed into law legislation that repealed the individual mandate in the ACA and increased manufacturer liability for payment on behalf of Medicare Part D beneficiaries during the coverage gap. Congress also could consider additional legislation to repeal and replace elements of the ACA. The United States District Court for the Northern District of Texas struck down the ACA, deeming it unconstitutional given that Congress repealed the individual mandate in 2017. While this decision has been stayed pending outcome of an appeal to the Fifth Circuit Court of Appeals, so the ruling does not have immediate effect, it is unclear how this decision, subsequent appeals, and other efforts to repeal and replace the ACA will impact the ACA. It is also unclear how regulatory and subregulatory policy, which fluctuate continually, may affect interpretation and implementation of the ACA and its practical effects on our business.</w:t>
      </w:r>
    </w:p>
    <w:p>
      <w:pPr>
        <w:spacing w:after="0" w:line="160"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increasing focus on the price of drugs, and states such as California have begun enacting transparency laws aimed at curbing drug price increases.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30" w:lineRule="exact"/>
        <w:rPr>
          <w:sz w:val="20"/>
          <w:szCs w:val="20"/>
          <w:color w:val="auto"/>
        </w:rPr>
      </w:pPr>
    </w:p>
    <w:p>
      <w:pPr>
        <w:ind w:right="120" w:firstLine="648"/>
        <w:spacing w:after="0" w:line="194" w:lineRule="exact"/>
        <w:rPr>
          <w:sz w:val="20"/>
          <w:szCs w:val="20"/>
          <w:color w:val="auto"/>
        </w:rPr>
      </w:pPr>
      <w:r>
        <w:rPr>
          <w:rFonts w:ascii="Times New Roman" w:cs="Times New Roman" w:eastAsia="Times New Roman" w:hAnsi="Times New Roman"/>
          <w:sz w:val="18"/>
          <w:szCs w:val="18"/>
          <w:color w:val="auto"/>
        </w:rPr>
        <w:t>Legislative and regulatory proposals may also be made to expand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other requirements.</w:t>
      </w:r>
    </w:p>
    <w:p>
      <w:pPr>
        <w:spacing w:after="0" w:line="139" w:lineRule="exact"/>
        <w:rPr>
          <w:sz w:val="20"/>
          <w:szCs w:val="20"/>
          <w:color w:val="auto"/>
        </w:rPr>
      </w:pPr>
    </w:p>
    <w:p>
      <w:pPr>
        <w:ind w:right="200" w:firstLine="648"/>
        <w:spacing w:after="0" w:line="209"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Further, the DSCSA limits the distribution of prescription pharmaceutical products and imposes requirements to ensure overall accountability and security in the drug supply chain. As of November 27, 2018 product identifier information (an aspect of the product tracing scheme) is required.</w:t>
      </w:r>
    </w:p>
    <w:p>
      <w:pPr>
        <w:spacing w:after="0" w:line="165" w:lineRule="exact"/>
        <w:rPr>
          <w:sz w:val="20"/>
          <w:szCs w:val="20"/>
          <w:color w:val="auto"/>
        </w:rPr>
      </w:pPr>
    </w:p>
    <w:p>
      <w:pPr>
        <w:ind w:right="240" w:firstLine="648"/>
        <w:spacing w:after="0" w:line="220" w:lineRule="auto"/>
        <w:rPr>
          <w:sz w:val="20"/>
          <w:szCs w:val="20"/>
          <w:color w:val="auto"/>
        </w:rPr>
      </w:pPr>
      <w:r>
        <w:rPr>
          <w:rFonts w:ascii="Times New Roman" w:cs="Times New Roman" w:eastAsia="Times New Roman" w:hAnsi="Times New Roman"/>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157"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There can be no assurance that our products will be considered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party payors, that an adequate level of reimbursement will be available, or that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57" w:lineRule="exact"/>
        <w:rPr>
          <w:sz w:val="20"/>
          <w:szCs w:val="20"/>
          <w:color w:val="auto"/>
        </w:rPr>
      </w:pPr>
    </w:p>
    <w:p>
      <w:pPr>
        <w:jc w:val="both"/>
        <w:ind w:right="8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59" w:lineRule="exact"/>
        <w:rPr>
          <w:sz w:val="20"/>
          <w:szCs w:val="20"/>
          <w:color w:val="auto"/>
        </w:rPr>
      </w:pPr>
    </w:p>
    <w:p>
      <w:pPr>
        <w:ind w:right="40" w:firstLine="648"/>
        <w:spacing w:after="0" w:line="209"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36" w:lineRule="exact"/>
        <w:rPr>
          <w:sz w:val="20"/>
          <w:szCs w:val="20"/>
          <w:color w:val="auto"/>
        </w:rPr>
      </w:pPr>
    </w:p>
    <w:p>
      <w:pPr>
        <w:jc w:val="both"/>
        <w:ind w:right="180"/>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-198120</wp:posOffset>
            </wp:positionV>
            <wp:extent cx="64135"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right="20" w:firstLine="648"/>
        <w:spacing w:after="0" w:line="182" w:lineRule="exact"/>
        <w:rPr>
          <w:sz w:val="20"/>
          <w:szCs w:val="20"/>
          <w:color w:val="auto"/>
        </w:rPr>
      </w:pPr>
      <w:r>
        <w:rPr>
          <w:rFonts w:ascii="Times New Roman" w:cs="Times New Roman" w:eastAsia="Times New Roman" w:hAnsi="Times New Roman"/>
          <w:sz w:val="18"/>
          <w:szCs w:val="18"/>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61"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00" w:firstLine="648"/>
        <w:spacing w:after="0" w:line="220"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85" w:lineRule="exact"/>
        <w:rPr>
          <w:sz w:val="20"/>
          <w:szCs w:val="20"/>
          <w:color w:val="auto"/>
        </w:rPr>
      </w:pPr>
    </w:p>
    <w:p>
      <w:pPr>
        <w:ind w:right="600"/>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significantly increase the size of our organization, and we may experience difficulties in managing growth.</w:t>
      </w:r>
    </w:p>
    <w:p>
      <w:pPr>
        <w:spacing w:after="0" w:line="129" w:lineRule="exact"/>
        <w:rPr>
          <w:sz w:val="20"/>
          <w:szCs w:val="20"/>
          <w:color w:val="auto"/>
        </w:rPr>
      </w:pPr>
    </w:p>
    <w:p>
      <w:pPr>
        <w:ind w:right="200" w:firstLine="648"/>
        <w:spacing w:after="0" w:line="188" w:lineRule="exact"/>
        <w:rPr>
          <w:sz w:val="20"/>
          <w:szCs w:val="20"/>
          <w:color w:val="auto"/>
        </w:rPr>
      </w:pPr>
      <w:r>
        <w:rPr>
          <w:rFonts w:ascii="Times New Roman" w:cs="Times New Roman" w:eastAsia="Times New Roman" w:hAnsi="Times New Roman"/>
          <w:sz w:val="17"/>
          <w:szCs w:val="17"/>
          <w:color w:val="auto"/>
        </w:rPr>
        <w:t>As of May 3, 2019, we had only 32 full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employees.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Our need to effectively manage our operations, growth and various projects requires that we:</w:t>
      </w:r>
    </w:p>
    <w:p>
      <w:pPr>
        <w:spacing w:after="0" w:line="162" w:lineRule="exact"/>
        <w:rPr>
          <w:sz w:val="20"/>
          <w:szCs w:val="20"/>
          <w:color w:val="auto"/>
        </w:rPr>
      </w:pPr>
    </w:p>
    <w:p>
      <w:pPr>
        <w:ind w:left="660" w:hanging="333"/>
        <w:spacing w:after="0" w:line="22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58" w:lineRule="exact"/>
        <w:rPr>
          <w:rFonts w:ascii="Times New Roman" w:cs="Times New Roman" w:eastAsia="Times New Roman" w:hAnsi="Times New Roman"/>
          <w:sz w:val="18"/>
          <w:szCs w:val="18"/>
          <w:color w:val="auto"/>
        </w:rPr>
      </w:pPr>
    </w:p>
    <w:p>
      <w:pPr>
        <w:ind w:left="660" w:right="160" w:hanging="333"/>
        <w:spacing w:after="0" w:line="237"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our consultants and other service providers successfully carry out their contractual obligations, provide high quality results, and meet expected deadlines;</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carry out our own contractual obligations to our licensors and other third parties; and</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reporting systems, and procedures.</w:t>
      </w:r>
    </w:p>
    <w:p>
      <w:pPr>
        <w:spacing w:after="0" w:line="185" w:lineRule="exact"/>
        <w:rPr>
          <w:sz w:val="20"/>
          <w:szCs w:val="20"/>
          <w:color w:val="auto"/>
        </w:rPr>
      </w:pPr>
    </w:p>
    <w:p>
      <w:pPr>
        <w:ind w:right="340" w:firstLine="648"/>
        <w:spacing w:after="0" w:line="237" w:lineRule="auto"/>
        <w:rPr>
          <w:sz w:val="20"/>
          <w:szCs w:val="20"/>
          <w:color w:val="auto"/>
        </w:rPr>
      </w:pPr>
      <w:r>
        <w:rPr>
          <w:rFonts w:ascii="Times New Roman" w:cs="Times New Roman" w:eastAsia="Times New Roman" w:hAnsi="Times New Roman"/>
          <w:sz w:val="18"/>
          <w:szCs w:val="18"/>
          <w:color w:val="auto"/>
        </w:rPr>
        <w:t>We may be unable to successfully implement these tasks on a larger scale and, accordingly, may not achieve our development and commercialization goals.</w:t>
      </w:r>
    </w:p>
    <w:p>
      <w:pPr>
        <w:spacing w:after="0" w:line="154"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 or alliances.</w:t>
      </w:r>
    </w:p>
    <w:p>
      <w:pPr>
        <w:spacing w:after="0" w:line="157" w:lineRule="exact"/>
        <w:rPr>
          <w:sz w:val="20"/>
          <w:szCs w:val="20"/>
          <w:color w:val="auto"/>
        </w:rPr>
      </w:pPr>
    </w:p>
    <w:p>
      <w:pPr>
        <w:ind w:right="60" w:firstLine="648"/>
        <w:spacing w:after="0" w:line="213"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business effectively if we are unable to attract and retain key personnel.</w:t>
      </w:r>
    </w:p>
    <w:p>
      <w:pPr>
        <w:spacing w:after="0" w:line="189" w:lineRule="exact"/>
        <w:rPr>
          <w:sz w:val="20"/>
          <w:szCs w:val="20"/>
          <w:color w:val="auto"/>
        </w:rPr>
      </w:pPr>
    </w:p>
    <w:p>
      <w:pPr>
        <w:jc w:val="both"/>
        <w:ind w:right="80" w:firstLine="648"/>
        <w:spacing w:after="0" w:line="217" w:lineRule="auto"/>
        <w:rPr>
          <w:sz w:val="20"/>
          <w:szCs w:val="20"/>
          <w:color w:val="auto"/>
        </w:rPr>
      </w:pPr>
      <w:r>
        <w:rPr>
          <w:rFonts w:ascii="Times New Roman" w:cs="Times New Roman" w:eastAsia="Times New Roman" w:hAnsi="Times New Roman"/>
          <w:sz w:val="18"/>
          <w:szCs w:val="18"/>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57" w:lineRule="exact"/>
        <w:rPr>
          <w:sz w:val="20"/>
          <w:szCs w:val="20"/>
          <w:color w:val="auto"/>
        </w:rPr>
      </w:pPr>
    </w:p>
    <w:p>
      <w:pPr>
        <w:ind w:right="360"/>
        <w:spacing w:after="0"/>
        <w:rPr>
          <w:sz w:val="20"/>
          <w:szCs w:val="20"/>
          <w:color w:val="auto"/>
        </w:rPr>
      </w:pPr>
      <w:r>
        <w:rPr>
          <w:rFonts w:ascii="Times New Roman" w:cs="Times New Roman" w:eastAsia="Times New Roman" w:hAnsi="Times New Roman"/>
          <w:sz w:val="18"/>
          <w:szCs w:val="18"/>
          <w:b w:val="1"/>
          <w:bCs w:val="1"/>
          <w:i w:val="1"/>
          <w:iCs w:val="1"/>
          <w:color w:val="auto"/>
        </w:rPr>
        <w:t>We continue to incur significant increased costs as a result of operating as a public company, and our management is required to devote substantial time to compliance initiatives.</w:t>
      </w:r>
    </w:p>
    <w:p>
      <w:pPr>
        <w:spacing w:after="0" w:line="157" w:lineRule="exact"/>
        <w:rPr>
          <w:sz w:val="20"/>
          <w:szCs w:val="20"/>
          <w:color w:val="auto"/>
        </w:rPr>
      </w:pPr>
    </w:p>
    <w:p>
      <w:pPr>
        <w:ind w:right="100" w:firstLine="648"/>
        <w:spacing w:after="0" w:line="213"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19"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18"/>
          <w:szCs w:val="18"/>
          <w:color w:val="auto"/>
        </w:rPr>
        <w:t>Section 404(a) of the Sarbanes-Oxley Act requires annual management assessments of the effectiveness of our internal control over financial reporting. However, for as long as we remain an “emerging growth company” as defined in the Jumpstart Our Business Startups Act of 2012, or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We may take advantage of these reporting exemptions until we are no longer an “emerging growth company.” We will remain an “emerging growth company” until the earliest of (i) the last day of the fiscal year in which we have total annual gross revenues of $1.07 billion or more; (ii) December 31, 2020; (iii) the date on which we have issued more than $1.0 billion in nonconvertible debt during the previous three years; or (iv) the date on which we are deemed to be a “large accelerated filer” under the rules of the SEC.</w:t>
      </w:r>
    </w:p>
    <w:p>
      <w:pPr>
        <w:spacing w:after="0" w:line="161" w:lineRule="exact"/>
        <w:rPr>
          <w:sz w:val="20"/>
          <w:szCs w:val="20"/>
          <w:color w:val="auto"/>
        </w:rPr>
      </w:pPr>
    </w:p>
    <w:p>
      <w:pPr>
        <w:ind w:right="60" w:firstLine="648"/>
        <w:spacing w:after="0" w:line="211" w:lineRule="auto"/>
        <w:rPr>
          <w:sz w:val="20"/>
          <w:szCs w:val="20"/>
          <w:color w:val="auto"/>
        </w:rPr>
      </w:pPr>
      <w:r>
        <w:rPr>
          <w:rFonts w:ascii="Times New Roman" w:cs="Times New Roman" w:eastAsia="Times New Roman" w:hAnsi="Times New Roman"/>
          <w:sz w:val="18"/>
          <w:szCs w:val="18"/>
          <w:color w:val="auto"/>
        </w:rPr>
        <w:t>Our testing, or the subsequent testing by our independent registered public accounting firm, may reveal deficiencies in our internal control over financial reporting that are deemed to be material weaknesses. We will incur substantial accounting expense and expend significant management efforts to comply with internal control over financial reporting requirements. We currently do not have an internal audit group, and we may need to hire additional accounting and financial staff with appropriate public company experience and technical accounting knowledge. 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 or other regulatory authorities, which would require additional financial and management resources.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59"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48" w:lineRule="exact"/>
        <w:rPr>
          <w:sz w:val="20"/>
          <w:szCs w:val="20"/>
          <w:color w:val="auto"/>
        </w:rPr>
      </w:pPr>
    </w:p>
    <w:p>
      <w:pPr>
        <w:ind w:right="260" w:firstLine="648"/>
        <w:spacing w:after="0" w:line="227" w:lineRule="auto"/>
        <w:rPr>
          <w:sz w:val="20"/>
          <w:szCs w:val="20"/>
          <w:color w:val="auto"/>
        </w:rPr>
      </w:pPr>
      <w:r>
        <w:rPr>
          <w:rFonts w:ascii="Times New Roman" w:cs="Times New Roman" w:eastAsia="Times New Roman" w:hAnsi="Times New Roman"/>
          <w:sz w:val="17"/>
          <w:szCs w:val="17"/>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20"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189" w:lineRule="exact"/>
        <w:rPr>
          <w:sz w:val="20"/>
          <w:szCs w:val="20"/>
          <w:color w:val="auto"/>
        </w:rPr>
      </w:pPr>
    </w:p>
    <w:p>
      <w:pPr>
        <w:ind w:right="20" w:firstLine="648"/>
        <w:spacing w:after="0" w:line="221" w:lineRule="auto"/>
        <w:rPr>
          <w:sz w:val="20"/>
          <w:szCs w:val="20"/>
          <w:color w:val="auto"/>
        </w:rPr>
      </w:pPr>
      <w:r>
        <w:rPr>
          <w:rFonts w:ascii="Times New Roman" w:cs="Times New Roman" w:eastAsia="Times New Roman" w:hAnsi="Times New Roman"/>
          <w:sz w:val="17"/>
          <w:szCs w:val="17"/>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36" w:lineRule="exact"/>
        <w:rPr>
          <w:sz w:val="20"/>
          <w:szCs w:val="20"/>
          <w:color w:val="auto"/>
        </w:rPr>
      </w:pPr>
    </w:p>
    <w:p>
      <w:pPr>
        <w:ind w:right="20" w:firstLine="501"/>
        <w:spacing w:after="0" w:line="207" w:lineRule="auto"/>
        <w:rPr>
          <w:sz w:val="20"/>
          <w:szCs w:val="20"/>
          <w:color w:val="auto"/>
        </w:rPr>
      </w:pPr>
      <w:r>
        <w:rPr>
          <w:rFonts w:ascii="Times New Roman" w:cs="Times New Roman" w:eastAsia="Times New Roman" w:hAnsi="Times New Roman"/>
          <w:sz w:val="18"/>
          <w:szCs w:val="18"/>
          <w:color w:val="auto"/>
        </w:rPr>
        <w:t>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24" w:lineRule="exact"/>
        <w:rPr>
          <w:sz w:val="20"/>
          <w:szCs w:val="20"/>
          <w:color w:val="auto"/>
        </w:rPr>
      </w:pPr>
    </w:p>
    <w:p>
      <w:pPr>
        <w:ind w:right="40" w:firstLine="501"/>
        <w:spacing w:after="0" w:line="222" w:lineRule="auto"/>
        <w:rPr>
          <w:sz w:val="20"/>
          <w:szCs w:val="20"/>
          <w:color w:val="auto"/>
        </w:rPr>
      </w:pPr>
      <w:r>
        <w:rPr>
          <w:rFonts w:ascii="Times New Roman" w:cs="Times New Roman" w:eastAsia="Times New Roman" w:hAnsi="Times New Roman"/>
          <w:sz w:val="17"/>
          <w:szCs w:val="17"/>
          <w:color w:val="auto"/>
        </w:rPr>
        <w:t>There are numerous other laws and legislative and regulatory initiatives at the federal and state levels addressing privacy and security concerns, and some state privacy laws apply more broadly than the Health Insurance Portability and Accountability Act (HIPAA) and associated regulations. For example, California recently enacted legislation – the California Consumer Privacy Act, or CCPA – which goes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Legislators have stated that they intend to propose amendments to the CCPA before it goes into effect, and the California Attorney General will issue clarifying regulations. Although the law includes limited exceptions, including for certain information collected as part of clinical trials as specified in the law, it may regulate or impact our processing of personal information depending on the context. It remains unclear what, if any, modifications will be made to this legislation or how it will be interpreted.</w:t>
      </w:r>
    </w:p>
    <w:p>
      <w:pPr>
        <w:spacing w:after="0" w:line="33" w:lineRule="exact"/>
        <w:rPr>
          <w:sz w:val="20"/>
          <w:szCs w:val="20"/>
          <w:color w:val="auto"/>
        </w:rPr>
      </w:pPr>
    </w:p>
    <w:p>
      <w:pPr>
        <w:ind w:right="3820"/>
        <w:spacing w:after="0" w:line="483" w:lineRule="auto"/>
        <w:rPr>
          <w:sz w:val="20"/>
          <w:szCs w:val="20"/>
          <w:color w:val="auto"/>
        </w:rPr>
      </w:pPr>
      <w:r>
        <w:rPr>
          <w:rFonts w:ascii="Times New Roman" w:cs="Times New Roman" w:eastAsia="Times New Roman" w:hAnsi="Times New Roman"/>
          <w:sz w:val="17"/>
          <w:szCs w:val="17"/>
          <w:b w:val="1"/>
          <w:bCs w:val="1"/>
          <w:color w:val="auto"/>
        </w:rPr>
        <w:t xml:space="preserve">RISKS RELATED TO OWNERSHIP OF OUR COMMON STOCK </w:t>
      </w:r>
      <w:r>
        <w:rPr>
          <w:rFonts w:ascii="Times New Roman" w:cs="Times New Roman" w:eastAsia="Times New Roman" w:hAnsi="Times New Roman"/>
          <w:sz w:val="17"/>
          <w:szCs w:val="17"/>
          <w:b w:val="1"/>
          <w:bCs w:val="1"/>
          <w:i w:val="1"/>
          <w:iCs w:val="1"/>
          <w:color w:val="auto"/>
        </w:rPr>
        <w:t>An active trading market for our common stock may not be sustained.</w:t>
      </w:r>
    </w:p>
    <w:p>
      <w:pPr>
        <w:ind w:right="40" w:firstLine="648"/>
        <w:spacing w:after="0" w:line="213" w:lineRule="auto"/>
        <w:rPr>
          <w:sz w:val="20"/>
          <w:szCs w:val="20"/>
          <w:color w:val="auto"/>
        </w:rPr>
      </w:pPr>
      <w:r>
        <w:rPr>
          <w:rFonts w:ascii="Times New Roman" w:cs="Times New Roman" w:eastAsia="Times New Roman" w:hAnsi="Times New Roman"/>
          <w:sz w:val="18"/>
          <w:szCs w:val="18"/>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w:t>
      </w:r>
    </w:p>
    <w:p>
      <w:pPr>
        <w:spacing w:after="0" w:line="189"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The trading price of our common stock is likely to be volatile. As a result of this volatility, investors may not be able to sell their common stock at or above the price paid for the shares. The market price for our common stock may be influenced by many factors, including:</w:t>
      </w:r>
    </w:p>
    <w:p>
      <w:pPr>
        <w:spacing w:after="0" w:line="158" w:lineRule="exact"/>
        <w:rPr>
          <w:sz w:val="20"/>
          <w:szCs w:val="20"/>
          <w:color w:val="auto"/>
        </w:rPr>
      </w:pPr>
    </w:p>
    <w:p>
      <w:pPr>
        <w:ind w:left="660" w:right="340" w:hanging="333"/>
        <w:spacing w:after="0" w:line="237"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enrollment, and ultimate completion, of our planned and ongoing Phase 3 clinical trials for our product candidates;</w:t>
      </w:r>
    </w:p>
    <w:p>
      <w:pPr>
        <w:spacing w:after="0" w:line="158" w:lineRule="exact"/>
        <w:rPr>
          <w:rFonts w:ascii="Times New Roman" w:cs="Times New Roman" w:eastAsia="Times New Roman" w:hAnsi="Times New Roman"/>
          <w:sz w:val="18"/>
          <w:szCs w:val="18"/>
          <w:color w:val="auto"/>
        </w:rPr>
      </w:pPr>
    </w:p>
    <w:p>
      <w:pPr>
        <w:ind w:left="660" w:right="700" w:hanging="333"/>
        <w:spacing w:after="0" w:line="237"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or refusal on the part of the FDA in approving an NDA for any of our current and future product candidates;</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any of our current and future product candidates, if approved by the FDA;</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any of our current and future product candidates or those of our competitors;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or annual operating results;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projections we provide to the public, if any;</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estimates and projections of the investment community, including securities analysts;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competitive products or technologies;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 candidates;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U.S. equity markets;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security breaches;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sources of manufacturing supply, warehousing, and inventory control;</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patents or other proprietary rights;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184" w:lineRule="exact"/>
        <w:rPr>
          <w:rFonts w:ascii="Times New Roman" w:cs="Times New Roman" w:eastAsia="Times New Roman" w:hAnsi="Times New Roman"/>
          <w:sz w:val="18"/>
          <w:szCs w:val="18"/>
          <w:color w:val="auto"/>
        </w:rPr>
      </w:pPr>
    </w:p>
    <w:p>
      <w:pPr>
        <w:ind w:left="660" w:hanging="333"/>
        <w:spacing w:after="0" w:line="237"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expectations of additional financing efforts, including the issuance of debt, equity or convertible securities;</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including sales by our directors and officers or significant stockholders;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companies similar to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or trends in our industry; and</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85" w:lineRule="exact"/>
        <w:rPr>
          <w:sz w:val="20"/>
          <w:szCs w:val="20"/>
          <w:color w:val="auto"/>
        </w:rPr>
      </w:pPr>
    </w:p>
    <w:p>
      <w:pPr>
        <w:jc w:val="both"/>
        <w:ind w:right="120" w:firstLine="648"/>
        <w:spacing w:after="0" w:line="220"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small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59"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54"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7" w:lineRule="exact"/>
        <w:rPr>
          <w:sz w:val="20"/>
          <w:szCs w:val="20"/>
          <w:color w:val="auto"/>
        </w:rPr>
      </w:pPr>
    </w:p>
    <w:p>
      <w:pPr>
        <w:ind w:right="180" w:firstLine="648"/>
        <w:spacing w:after="0" w:line="214"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w:t>
      </w:r>
    </w:p>
    <w:p>
      <w:pPr>
        <w:spacing w:after="0" w:line="189"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158" w:lineRule="exact"/>
        <w:rPr>
          <w:sz w:val="20"/>
          <w:szCs w:val="20"/>
          <w:color w:val="auto"/>
        </w:rPr>
      </w:pPr>
    </w:p>
    <w:p>
      <w:pPr>
        <w:ind w:left="660" w:right="280" w:hanging="333"/>
        <w:spacing w:after="0" w:line="263" w:lineRule="auto"/>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138" w:lineRule="exact"/>
        <w:rPr>
          <w:rFonts w:ascii="Times New Roman" w:cs="Times New Roman" w:eastAsia="Times New Roman" w:hAnsi="Times New Roman"/>
          <w:sz w:val="17"/>
          <w:szCs w:val="17"/>
          <w:color w:val="auto"/>
        </w:rPr>
      </w:pPr>
    </w:p>
    <w:p>
      <w:pPr>
        <w:ind w:left="660" w:right="180" w:hanging="333"/>
        <w:spacing w:after="0" w:line="22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30" w:lineRule="exact"/>
        <w:rPr>
          <w:rFonts w:ascii="Times New Roman" w:cs="Times New Roman" w:eastAsia="Times New Roman" w:hAnsi="Times New Roman"/>
          <w:sz w:val="18"/>
          <w:szCs w:val="18"/>
          <w:color w:val="auto"/>
        </w:rPr>
      </w:pPr>
    </w:p>
    <w:p>
      <w:pPr>
        <w:ind w:left="660" w:right="220" w:hanging="333"/>
        <w:spacing w:after="0" w:line="220" w:lineRule="exact"/>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manufacturing arrangements capable of manufacturing any of our current or future product candidates in commercial quantities;</w:t>
      </w:r>
    </w:p>
    <w:p>
      <w:pPr>
        <w:spacing w:after="0" w:line="157" w:lineRule="exact"/>
        <w:rPr>
          <w:rFonts w:ascii="Times New Roman" w:cs="Times New Roman" w:eastAsia="Times New Roman" w:hAnsi="Times New Roman"/>
          <w:sz w:val="18"/>
          <w:szCs w:val="18"/>
          <w:color w:val="auto"/>
        </w:rPr>
      </w:pPr>
    </w:p>
    <w:p>
      <w:pPr>
        <w:ind w:left="660" w:right="20" w:hanging="333"/>
        <w:spacing w:after="0" w:line="237"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other collaborative, licensing, or similar arrangements and the timing of payments we may make or receive under these arrangements;</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future development programs;</w:t>
      </w:r>
    </w:p>
    <w:p>
      <w:pPr>
        <w:spacing w:after="0" w:line="184"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intellectual property infringement lawsuit in which we may become involved;</w:t>
      </w:r>
    </w:p>
    <w:p>
      <w:pPr>
        <w:spacing w:after="0" w:line="184" w:lineRule="exact"/>
        <w:rPr>
          <w:rFonts w:ascii="Times New Roman" w:cs="Times New Roman" w:eastAsia="Times New Roman" w:hAnsi="Times New Roman"/>
          <w:sz w:val="18"/>
          <w:szCs w:val="18"/>
          <w:color w:val="auto"/>
        </w:rPr>
      </w:pPr>
    </w:p>
    <w:p>
      <w:pPr>
        <w:ind w:left="660" w:right="520" w:hanging="333"/>
        <w:spacing w:after="0" w:line="237"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current and future product candidates, or the product candidates of our competitors; and</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280" w:hanging="333"/>
        <w:spacing w:after="0" w:line="237"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current or future product candidates receive regulatory approval, the level of underlying demand for such product candidate and wholesaler buying patterns.</w:t>
      </w:r>
    </w:p>
    <w:p>
      <w:pPr>
        <w:spacing w:after="0" w:line="158"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55" w:lineRule="exact"/>
        <w:rPr>
          <w:sz w:val="20"/>
          <w:szCs w:val="20"/>
          <w:color w:val="auto"/>
        </w:rPr>
      </w:pPr>
    </w:p>
    <w:p>
      <w:pPr>
        <w:ind w:right="46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7" w:lineRule="exact"/>
        <w:rPr>
          <w:sz w:val="20"/>
          <w:szCs w:val="20"/>
          <w:color w:val="auto"/>
        </w:rPr>
      </w:pPr>
    </w:p>
    <w:p>
      <w:pPr>
        <w:ind w:right="200" w:firstLine="648"/>
        <w:spacing w:after="0" w:line="21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grants, and license and development agreements in connection with any collaborations. We do not have any committed external source of funds.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59"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4" w:lineRule="exact"/>
        <w:rPr>
          <w:sz w:val="20"/>
          <w:szCs w:val="20"/>
          <w:color w:val="auto"/>
        </w:rPr>
      </w:pPr>
    </w:p>
    <w:p>
      <w:pPr>
        <w:ind w:right="820"/>
        <w:spacing w:after="0"/>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7"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As of May 3, 2019, our executive officers, directors, and 5% stockholders and their affiliates beneficially owned an aggregate of approximately 24%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62"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42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157" w:lineRule="exact"/>
        <w:rPr>
          <w:sz w:val="20"/>
          <w:szCs w:val="20"/>
          <w:color w:val="auto"/>
        </w:rPr>
      </w:pPr>
    </w:p>
    <w:p>
      <w:pPr>
        <w:ind w:right="160" w:firstLine="648"/>
        <w:spacing w:after="0" w:line="220"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59" w:lineRule="exact"/>
        <w:rPr>
          <w:sz w:val="20"/>
          <w:szCs w:val="20"/>
          <w:color w:val="auto"/>
        </w:rPr>
      </w:pPr>
    </w:p>
    <w:p>
      <w:pPr>
        <w:ind w:right="200" w:firstLine="648"/>
        <w:spacing w:after="0" w:line="214" w:lineRule="auto"/>
        <w:rPr>
          <w:sz w:val="20"/>
          <w:szCs w:val="20"/>
          <w:color w:val="auto"/>
        </w:rPr>
      </w:pPr>
      <w:r>
        <w:rPr>
          <w:rFonts w:ascii="Times New Roman" w:cs="Times New Roman" w:eastAsia="Times New Roman" w:hAnsi="Times New Roman"/>
          <w:sz w:val="18"/>
          <w:szCs w:val="18"/>
          <w:color w:val="auto"/>
        </w:rPr>
        <w:t>As of May 3, 2019, we have outstanding 33,305,310 shares of common stock and 3,302,991 shares of common stock equivalents that would increase the number of common stock outstanding if these instruments were exercised or converted, including stock options to purchase common stock based on vesting requirements and warrants to purchase common stock. Of our currently outstanding shares of common stock, 25,213,669 are freely tradable. The remainder of the outstanding shares of common stock are held by our affiliates and may be considered “control securities” for purposes of Rule 144 under the Securities Act.</w:t>
      </w:r>
    </w:p>
    <w:p>
      <w:pPr>
        <w:spacing w:after="0" w:line="133" w:lineRule="exact"/>
        <w:rPr>
          <w:sz w:val="20"/>
          <w:szCs w:val="20"/>
          <w:color w:val="auto"/>
        </w:rPr>
      </w:pPr>
    </w:p>
    <w:p>
      <w:pPr>
        <w:ind w:right="120" w:firstLine="648"/>
        <w:spacing w:after="0" w:line="193" w:lineRule="exact"/>
        <w:rPr>
          <w:sz w:val="20"/>
          <w:szCs w:val="20"/>
          <w:color w:val="auto"/>
        </w:rPr>
      </w:pPr>
      <w:r>
        <w:rPr>
          <w:rFonts w:ascii="Times New Roman" w:cs="Times New Roman" w:eastAsia="Times New Roman" w:hAnsi="Times New Roman"/>
          <w:sz w:val="18"/>
          <w:szCs w:val="18"/>
          <w:color w:val="auto"/>
        </w:rPr>
        <w:t>In addition, we have filed one or more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registering the issuance of an aggregate of 7,481,050 shares of common stock subject to options or other equity awards issued or reserved for future issuance under our 2015 Omnibus Incentive Compensation Plan, or the Plan. Shares registered under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will be available for sale in the public market subject to vesting arrangements and exercise of options, the lock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agreements described above and the restrictions of Rule 144 in the case of our affiliates.</w:t>
      </w:r>
    </w:p>
    <w:p>
      <w:pPr>
        <w:spacing w:after="0" w:line="157" w:lineRule="exact"/>
        <w:rPr>
          <w:sz w:val="20"/>
          <w:szCs w:val="20"/>
          <w:color w:val="auto"/>
        </w:rPr>
      </w:pPr>
    </w:p>
    <w:p>
      <w:pPr>
        <w:ind w:right="60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our capital raises, including our December 2017 registered direct offering, our October 2018 registered direct offering, and the proceeds from sales pursuant to our previous Sales Agreement, and may not use them effectively.</w:t>
      </w:r>
    </w:p>
    <w:p>
      <w:pPr>
        <w:spacing w:after="0" w:line="159"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our capital raises, which we refer to as our Capital Raises, including our December 2017 registered direct offering, our October 2018 registered direct offering, and the proceeds from sales pursuant to our October 2017 “at-the-market” sales agreement with Leerink Partners LLC, which provided for the sale of up to $30.0 million of our common stock from time to time, and which was fully completed in January 2019, and our stockholders will not have the opportunity as part of their investment decision to assess whether the net proceeds from our Capital Raises are being used appropriately. You may not agree with our decisions, and our use of the proceeds may not yield any return on your investment.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You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6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57" w:lineRule="exact"/>
        <w:rPr>
          <w:sz w:val="20"/>
          <w:szCs w:val="20"/>
          <w:color w:val="auto"/>
        </w:rPr>
      </w:pPr>
    </w:p>
    <w:p>
      <w:pPr>
        <w:ind w:right="80" w:firstLine="648"/>
        <w:spacing w:after="0" w:line="210"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JOBS Act, and we intend to take advantage of some of the exemptions from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We will remain an emerging growth company until the earlier of (1) December 31, 2020, (2) the last day of the fiscal year (a) in which we have total annual gross revenue of at least $1.07 billion, or (b) in which we are deemed to be a large accelerated filer, which means the market value of our common stock that is held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affiliates exceeds $700 million as of the prior June 30</w:t>
      </w:r>
      <w:r>
        <w:rPr>
          <w:rFonts w:ascii="Times New Roman" w:cs="Times New Roman" w:eastAsia="Times New Roman" w:hAnsi="Times New Roman"/>
          <w:sz w:val="8"/>
          <w:szCs w:val="8"/>
          <w:color w:val="auto"/>
        </w:rPr>
        <w:t>th</w:t>
      </w:r>
      <w:r>
        <w:rPr>
          <w:rFonts w:ascii="Times New Roman" w:cs="Times New Roman" w:eastAsia="Times New Roman" w:hAnsi="Times New Roman"/>
          <w:sz w:val="18"/>
          <w:szCs w:val="18"/>
          <w:color w:val="auto"/>
        </w:rPr>
        <w:t>, and (3) the date on which we have issued more than $1.0 billion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convertible debt during the prior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year period. To the extent we are no longer eligible to use exemptions from various reporting requirements under the JOBS Act, we may be unable to realize our anticipated cost savings from these exemptions, which could have a material adverse impact on our operating results.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189"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17"/>
          <w:szCs w:val="17"/>
          <w:color w:val="auto"/>
        </w:rPr>
        <w:t>Our net operating loss carryforwards and any future research and development tax credits may expire and not be used. Net operating loss carry forwards amounting to $60 million generated before the 2018 tax year will start expiring beginning 2033, if we have not used them prior to that time, and the net operating losses of approximately $27 million generated in 2018 have an indefinite carryforward period. Net operating loss carry forwards arising in taxable years ending after December 31, 2018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March 2017 public offering, our December 2017 registered direct offering, our October 2018 registered direct offering, private placements and other transactions that have occurred, may trigger, or may have already triggered, such an ownership change. In addition, since we will need to raise substantial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6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on our common stock, your returns will be limited to any increase in the value of our stock.</w:t>
      </w:r>
    </w:p>
    <w:p>
      <w:pPr>
        <w:spacing w:after="0" w:line="157"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54"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9"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19" w:firstLine="648"/>
        <w:spacing w:after="0" w:line="190" w:lineRule="exact"/>
        <w:rPr>
          <w:sz w:val="20"/>
          <w:szCs w:val="20"/>
          <w:color w:val="auto"/>
        </w:rPr>
      </w:pPr>
      <w:r>
        <w:rPr>
          <w:rFonts w:ascii="Times New Roman" w:cs="Times New Roman" w:eastAsia="Times New Roman" w:hAnsi="Times New Roman"/>
          <w:sz w:val="18"/>
          <w:szCs w:val="18"/>
          <w:color w:val="auto"/>
        </w:rPr>
        <w:t>In addition, we are subject to the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56" w:lineRule="exact"/>
        <w:rPr>
          <w:sz w:val="20"/>
          <w:szCs w:val="20"/>
          <w:color w:val="auto"/>
        </w:rPr>
      </w:pPr>
    </w:p>
    <w:p>
      <w:pPr>
        <w:ind w:right="199"/>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0" w:lineRule="exact"/>
        <w:rPr>
          <w:sz w:val="20"/>
          <w:szCs w:val="20"/>
          <w:color w:val="auto"/>
        </w:rPr>
      </w:pPr>
    </w:p>
    <w:p>
      <w:pPr>
        <w:ind w:right="19" w:firstLine="648"/>
        <w:spacing w:after="0" w:line="20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right="319"/>
        <w:spacing w:after="0" w:line="237" w:lineRule="auto"/>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is incorporated herein by reference.</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60" w:type="dxa"/>
            <w:vAlign w:val="bottom"/>
            <w:gridSpan w:val="10"/>
          </w:tcPr>
          <w:p>
            <w:pPr>
              <w:ind w:left="2740"/>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0" w:type="dxa"/>
            <w:vAlign w:val="bottom"/>
          </w:tcPr>
          <w:p>
            <w:pPr>
              <w:spacing w:after="0"/>
              <w:rPr>
                <w:sz w:val="1"/>
                <w:szCs w:val="1"/>
                <w:color w:val="auto"/>
              </w:rPr>
            </w:pPr>
          </w:p>
        </w:tc>
      </w:tr>
      <w:tr>
        <w:trPr>
          <w:trHeight w:val="486"/>
        </w:trPr>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400" w:type="dxa"/>
            <w:vAlign w:val="bottom"/>
            <w:gridSpan w:val="9"/>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2"/>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4"/>
                <w:szCs w:val="14"/>
                <w:color w:val="auto"/>
              </w:rPr>
            </w:pPr>
          </w:p>
        </w:tc>
        <w:tc>
          <w:tcPr>
            <w:tcW w:w="346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60" w:type="dxa"/>
            <w:vAlign w:val="bottom"/>
          </w:tcPr>
          <w:p>
            <w:pPr>
              <w:spacing w:after="0"/>
              <w:rPr>
                <w:sz w:val="24"/>
                <w:szCs w:val="24"/>
                <w:color w:val="auto"/>
              </w:rPr>
            </w:pPr>
          </w:p>
        </w:tc>
        <w:tc>
          <w:tcPr>
            <w:tcW w:w="7860" w:type="dxa"/>
            <w:vAlign w:val="bottom"/>
            <w:gridSpan w:val="10"/>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Loan and Security Agreement, dated as of March 5, 2019, by and among the Company, Silicon Valley Bank</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760" w:type="dxa"/>
            <w:vAlign w:val="bottom"/>
            <w:tcBorders>
              <w:top w:val="single" w:sz="8" w:color="0000EE"/>
            </w:tcBorders>
            <w:gridSpan w:val="7"/>
          </w:tcPr>
          <w:p>
            <w:pPr>
              <w:spacing w:after="0" w:line="15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and WestRiver Innovation Lending Fund VIII, L.P. (incorporated by reference, Exhibit 10.14 to the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720" w:type="dxa"/>
            <w:vAlign w:val="bottom"/>
            <w:tcBorders>
              <w:top w:val="single" w:sz="8" w:color="0000EE"/>
              <w:bottom w:val="single" w:sz="8" w:color="0000EE"/>
            </w:tcBorders>
            <w:gridSpan w:val="3"/>
          </w:tcPr>
          <w:p>
            <w:pPr>
              <w:spacing w:after="0" w:line="15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Company’s Annual Report on Form 10-K, filed March 15, 2019).</w:t>
              </w:r>
            </w:hyperlink>
          </w:p>
        </w:tc>
        <w:tc>
          <w:tcPr>
            <w:tcW w:w="2420" w:type="dxa"/>
            <w:vAlign w:val="bottom"/>
            <w:tcBorders>
              <w:top w:val="single" w:sz="8" w:color="0000EE"/>
            </w:tcBorders>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60" w:type="dxa"/>
            <w:vAlign w:val="bottom"/>
          </w:tcPr>
          <w:p>
            <w:pPr>
              <w:spacing w:after="0"/>
              <w:rPr>
                <w:sz w:val="24"/>
                <w:szCs w:val="24"/>
                <w:color w:val="auto"/>
              </w:rPr>
            </w:pPr>
          </w:p>
        </w:tc>
        <w:tc>
          <w:tcPr>
            <w:tcW w:w="7860" w:type="dxa"/>
            <w:vAlign w:val="bottom"/>
            <w:gridSpan w:val="10"/>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Certification of Principal Executive Officer pursuant to Rule 13a-14(a)/15d-14(a), as adopted pursuant to</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Borders>
              <w:top w:val="single" w:sz="8" w:color="0000EE"/>
              <w:bottom w:val="single" w:sz="8" w:color="0000EE"/>
            </w:tcBorders>
          </w:tcPr>
          <w:p>
            <w:pPr>
              <w:spacing w:after="0" w:line="156" w:lineRule="exact"/>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Section 302 of the Sarbanes-Oxley Act of 2002.</w:t>
              </w:r>
            </w:hyperlink>
          </w:p>
        </w:tc>
        <w:tc>
          <w:tcPr>
            <w:tcW w:w="4100" w:type="dxa"/>
            <w:vAlign w:val="bottom"/>
            <w:tcBorders>
              <w:top w:val="single" w:sz="8" w:color="0000EE"/>
            </w:tcBorders>
            <w:gridSpan w:val="5"/>
          </w:tcPr>
          <w:p>
            <w:pPr>
              <w:spacing w:after="0"/>
              <w:rPr>
                <w:sz w:val="13"/>
                <w:szCs w:val="13"/>
                <w:color w:val="auto"/>
              </w:rPr>
            </w:pPr>
          </w:p>
        </w:tc>
        <w:tc>
          <w:tcPr>
            <w:tcW w:w="2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60" w:type="dxa"/>
            <w:vAlign w:val="bottom"/>
          </w:tcPr>
          <w:p>
            <w:pPr>
              <w:spacing w:after="0"/>
              <w:rPr>
                <w:sz w:val="24"/>
                <w:szCs w:val="24"/>
                <w:color w:val="auto"/>
              </w:rPr>
            </w:pPr>
          </w:p>
        </w:tc>
        <w:tc>
          <w:tcPr>
            <w:tcW w:w="7860" w:type="dxa"/>
            <w:vAlign w:val="bottom"/>
            <w:gridSpan w:val="10"/>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Certification of Principal Financial Officer pursuant to Rule 13a-14(a)/15d-14(a), as adopted pursuant to</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Borders>
              <w:top w:val="single" w:sz="8" w:color="0000EE"/>
              <w:bottom w:val="single" w:sz="8" w:color="0000EE"/>
            </w:tcBorders>
          </w:tcPr>
          <w:p>
            <w:pPr>
              <w:spacing w:after="0" w:line="156" w:lineRule="exact"/>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Section 302 of the Sarbanes-Oxley Act of 2002.</w:t>
              </w:r>
            </w:hyperlink>
          </w:p>
        </w:tc>
        <w:tc>
          <w:tcPr>
            <w:tcW w:w="4060" w:type="dxa"/>
            <w:vAlign w:val="bottom"/>
            <w:tcBorders>
              <w:top w:val="single" w:sz="8" w:color="0000EE"/>
            </w:tcBorders>
            <w:gridSpan w:val="4"/>
          </w:tcPr>
          <w:p>
            <w:pPr>
              <w:spacing w:after="0"/>
              <w:rPr>
                <w:sz w:val="13"/>
                <w:szCs w:val="13"/>
                <w:color w:val="auto"/>
              </w:rPr>
            </w:pPr>
          </w:p>
        </w:tc>
        <w:tc>
          <w:tcPr>
            <w:tcW w:w="2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160" w:type="dxa"/>
            <w:vAlign w:val="bottom"/>
          </w:tcPr>
          <w:p>
            <w:pPr>
              <w:spacing w:after="0"/>
              <w:rPr>
                <w:sz w:val="24"/>
                <w:szCs w:val="24"/>
                <w:color w:val="auto"/>
              </w:rPr>
            </w:pPr>
          </w:p>
        </w:tc>
        <w:tc>
          <w:tcPr>
            <w:tcW w:w="7860" w:type="dxa"/>
            <w:vAlign w:val="bottom"/>
            <w:gridSpan w:val="10"/>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Certification of Principal Executive Officer pursuant to 18 U.S.C. §1350, as adopted pursuant to Section 906</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80" w:type="dxa"/>
            <w:vAlign w:val="bottom"/>
            <w:tcBorders>
              <w:top w:val="single" w:sz="8" w:color="0000EE"/>
              <w:bottom w:val="single" w:sz="8" w:color="0000EE"/>
            </w:tcBorders>
            <w:gridSpan w:val="2"/>
          </w:tcPr>
          <w:p>
            <w:pPr>
              <w:spacing w:after="0" w:line="156" w:lineRule="exact"/>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of the Sarbanes-Oxley Act of 2002 (furnished herewith).</w:t>
              </w:r>
            </w:hyperlink>
          </w:p>
        </w:tc>
        <w:tc>
          <w:tcPr>
            <w:tcW w:w="3740" w:type="dxa"/>
            <w:vAlign w:val="bottom"/>
            <w:tcBorders>
              <w:top w:val="single" w:sz="8" w:color="0000EE"/>
            </w:tcBorders>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160" w:type="dxa"/>
            <w:vAlign w:val="bottom"/>
          </w:tcPr>
          <w:p>
            <w:pPr>
              <w:spacing w:after="0"/>
              <w:rPr>
                <w:sz w:val="24"/>
                <w:szCs w:val="24"/>
                <w:color w:val="auto"/>
              </w:rPr>
            </w:pPr>
          </w:p>
        </w:tc>
        <w:tc>
          <w:tcPr>
            <w:tcW w:w="7860" w:type="dxa"/>
            <w:vAlign w:val="bottom"/>
            <w:gridSpan w:val="10"/>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Certification of Principal Financial Officer pursuant to 18 U.S.C. §1350, as adopted pursuant to Section 906</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80" w:type="dxa"/>
            <w:vAlign w:val="bottom"/>
            <w:tcBorders>
              <w:top w:val="single" w:sz="8" w:color="0000EE"/>
              <w:bottom w:val="single" w:sz="8" w:color="0000EE"/>
            </w:tcBorders>
            <w:gridSpan w:val="2"/>
          </w:tcPr>
          <w:p>
            <w:pPr>
              <w:spacing w:after="0" w:line="156" w:lineRule="exact"/>
              <w:rPr>
                <w:rFonts w:ascii="Times New Roman" w:cs="Times New Roman" w:eastAsia="Times New Roman" w:hAnsi="Times New Roman"/>
                <w:sz w:val="18"/>
                <w:szCs w:val="18"/>
                <w:color w:val="0000EE"/>
                <w:w w:val="99"/>
              </w:rPr>
            </w:pPr>
            <w:hyperlink w:anchor="page97">
              <w:r>
                <w:rPr>
                  <w:rFonts w:ascii="Times New Roman" w:cs="Times New Roman" w:eastAsia="Times New Roman" w:hAnsi="Times New Roman"/>
                  <w:sz w:val="18"/>
                  <w:szCs w:val="18"/>
                  <w:color w:val="0000EE"/>
                  <w:w w:val="99"/>
                </w:rPr>
                <w:t>of the Sarbanes-Oxley Act of 2002 (furnished herewith).</w:t>
              </w:r>
            </w:hyperlink>
          </w:p>
        </w:tc>
        <w:tc>
          <w:tcPr>
            <w:tcW w:w="3700" w:type="dxa"/>
            <w:vAlign w:val="bottom"/>
            <w:tcBorders>
              <w:top w:val="single" w:sz="8" w:color="0000EE"/>
            </w:tcBorders>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900" w:right="479" w:hanging="668"/>
        <w:spacing w:after="0" w:line="22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(i) Consolidated Balance Sheets, (ii) Consolidated Statements of Operations, (iii) Consolidated Statements of Cash Flows, and (iv)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59"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144" w:lineRule="exact"/>
        <w:rPr>
          <w:sz w:val="20"/>
          <w:szCs w:val="20"/>
          <w:color w:val="auto"/>
        </w:rPr>
      </w:pPr>
    </w:p>
    <w:p>
      <w:pPr>
        <w:spacing w:after="0"/>
        <w:tabs>
          <w:tab w:leader="none" w:pos="4560" w:val="left"/>
          <w:tab w:leader="none" w:pos="5020" w:val="left"/>
        </w:tabs>
        <w:rPr>
          <w:sz w:val="20"/>
          <w:szCs w:val="20"/>
          <w:color w:val="auto"/>
        </w:rPr>
      </w:pPr>
      <w:r>
        <w:rPr>
          <w:rFonts w:ascii="Times New Roman" w:cs="Times New Roman" w:eastAsia="Times New Roman" w:hAnsi="Times New Roman"/>
          <w:sz w:val="18"/>
          <w:szCs w:val="18"/>
          <w:color w:val="auto"/>
        </w:rPr>
        <w:t>Date: May 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0</wp:posOffset>
            </wp:positionV>
            <wp:extent cx="25558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5040"/>
        <w:spacing w:after="0" w:line="205" w:lineRule="auto"/>
        <w:rPr>
          <w:sz w:val="20"/>
          <w:szCs w:val="20"/>
          <w:color w:val="auto"/>
        </w:rPr>
      </w:pPr>
      <w:r>
        <w:rPr>
          <w:rFonts w:ascii="Times New Roman" w:cs="Times New Roman" w:eastAsia="Times New Roman" w:hAnsi="Times New Roman"/>
          <w:sz w:val="18"/>
          <w:szCs w:val="18"/>
          <w:color w:val="auto"/>
        </w:rPr>
        <w:t>Herriot Tabuteau, M.D.</w:t>
      </w:r>
    </w:p>
    <w:p>
      <w:pPr>
        <w:ind w:left="5040"/>
        <w:spacing w:after="0" w:line="204"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0" w:lineRule="exact"/>
        <w:rPr>
          <w:sz w:val="20"/>
          <w:szCs w:val="20"/>
          <w:color w:val="auto"/>
        </w:rPr>
      </w:pPr>
    </w:p>
    <w:p>
      <w:pPr>
        <w:spacing w:after="0"/>
        <w:tabs>
          <w:tab w:leader="none" w:pos="4560" w:val="left"/>
          <w:tab w:leader="none" w:pos="5020" w:val="left"/>
        </w:tabs>
        <w:rPr>
          <w:sz w:val="20"/>
          <w:szCs w:val="20"/>
          <w:color w:val="auto"/>
        </w:rPr>
      </w:pPr>
      <w:r>
        <w:rPr>
          <w:rFonts w:ascii="Times New Roman" w:cs="Times New Roman" w:eastAsia="Times New Roman" w:hAnsi="Times New Roman"/>
          <w:sz w:val="18"/>
          <w:szCs w:val="18"/>
          <w:color w:val="auto"/>
        </w:rPr>
        <w:t>Date: May 9, 2019</w:t>
      </w:r>
      <w:r>
        <w:rPr>
          <w:sz w:val="20"/>
          <w:szCs w:val="20"/>
          <w:color w:val="auto"/>
        </w:rPr>
        <w:tab/>
      </w:r>
      <w:r>
        <w:rPr>
          <w:rFonts w:ascii="Times New Roman" w:cs="Times New Roman" w:eastAsia="Times New Roman" w:hAnsi="Times New Roman"/>
          <w:sz w:val="18"/>
          <w:szCs w:val="18"/>
          <w:color w:val="auto"/>
        </w:rPr>
        <w:t>By</w:t>
        <w:tab/>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0</wp:posOffset>
            </wp:positionV>
            <wp:extent cx="25558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5040"/>
        <w:spacing w:after="0" w:line="205" w:lineRule="auto"/>
        <w:rPr>
          <w:sz w:val="20"/>
          <w:szCs w:val="20"/>
          <w:color w:val="auto"/>
        </w:rPr>
      </w:pPr>
      <w:r>
        <w:rPr>
          <w:rFonts w:ascii="Times New Roman" w:cs="Times New Roman" w:eastAsia="Times New Roman" w:hAnsi="Times New Roman"/>
          <w:sz w:val="18"/>
          <w:szCs w:val="18"/>
          <w:color w:val="auto"/>
        </w:rPr>
        <w:t>Nick Pizzie</w:t>
      </w:r>
    </w:p>
    <w:p>
      <w:pPr>
        <w:ind w:left="5040"/>
        <w:spacing w:after="0" w:line="204" w:lineRule="auto"/>
        <w:rPr>
          <w:sz w:val="20"/>
          <w:szCs w:val="20"/>
          <w:color w:val="auto"/>
        </w:rPr>
      </w:pPr>
      <w:r>
        <w:rPr>
          <w:rFonts w:ascii="Times New Roman" w:cs="Times New Roman" w:eastAsia="Times New Roman" w:hAnsi="Times New Roman"/>
          <w:sz w:val="18"/>
          <w:szCs w:val="18"/>
          <w:color w:val="auto"/>
        </w:rPr>
        <w:t>Chief Financial Officer</w:t>
      </w:r>
    </w:p>
    <w:p>
      <w:pPr>
        <w:ind w:left="50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Herriot Tabuteau, M.D., certify that:</w:t>
      </w:r>
    </w:p>
    <w:p>
      <w:pPr>
        <w:spacing w:after="0" w:line="144" w:lineRule="exact"/>
        <w:rPr>
          <w:sz w:val="20"/>
          <w:szCs w:val="20"/>
          <w:color w:val="auto"/>
        </w:rPr>
      </w:pPr>
    </w:p>
    <w:p>
      <w:pPr>
        <w:ind w:left="320" w:hanging="317"/>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Axsome Therapeutics, Inc.;</w:t>
      </w:r>
    </w:p>
    <w:p>
      <w:pPr>
        <w:spacing w:after="0" w:line="144" w:lineRule="exact"/>
        <w:rPr>
          <w:rFonts w:ascii="Times New Roman" w:cs="Times New Roman" w:eastAsia="Times New Roman" w:hAnsi="Times New Roman"/>
          <w:sz w:val="18"/>
          <w:szCs w:val="18"/>
          <w:color w:val="auto"/>
        </w:rPr>
      </w:pPr>
    </w:p>
    <w:p>
      <w:pPr>
        <w:jc w:val="both"/>
        <w:ind w:left="320" w:right="200" w:hanging="317"/>
        <w:spacing w:after="0" w:line="226" w:lineRule="auto"/>
        <w:tabs>
          <w:tab w:leader="none" w:pos="31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320" w:right="160" w:hanging="317"/>
        <w:spacing w:after="0" w:line="226" w:lineRule="auto"/>
        <w:tabs>
          <w:tab w:leader="none" w:pos="31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320" w:right="80" w:hanging="317"/>
        <w:spacing w:after="0" w:line="226" w:lineRule="auto"/>
        <w:tabs>
          <w:tab w:leader="none" w:pos="3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660" w:right="40" w:hanging="333"/>
        <w:spacing w:after="0" w:line="220" w:lineRule="auto"/>
        <w:tabs>
          <w:tab w:leader="none" w:pos="65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660" w:right="20" w:hanging="333"/>
        <w:spacing w:after="0" w:line="220" w:lineRule="auto"/>
        <w:tabs>
          <w:tab w:leader="none" w:pos="66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660" w:right="60" w:hanging="333"/>
        <w:spacing w:after="0" w:line="226" w:lineRule="auto"/>
        <w:tabs>
          <w:tab w:leader="none" w:pos="65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660" w:right="180" w:hanging="333"/>
        <w:spacing w:after="0" w:line="220" w:lineRule="auto"/>
        <w:tabs>
          <w:tab w:leader="none" w:pos="66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320" w:right="40" w:hanging="317"/>
        <w:spacing w:after="0" w:line="226" w:lineRule="auto"/>
        <w:tabs>
          <w:tab w:leader="none" w:pos="3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660" w:right="240" w:hanging="333"/>
        <w:spacing w:after="0" w:line="226" w:lineRule="auto"/>
        <w:tabs>
          <w:tab w:leader="none" w:pos="64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660" w:right="60" w:hanging="333"/>
        <w:spacing w:after="0" w:line="237" w:lineRule="auto"/>
        <w:tabs>
          <w:tab w:leader="none" w:pos="65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Date: May 9, 2019</w:t>
      </w:r>
      <w:r>
        <w:rPr>
          <w:sz w:val="20"/>
          <w:szCs w:val="20"/>
          <w:color w:val="auto"/>
        </w:rPr>
        <w:tab/>
      </w:r>
      <w:r>
        <w:rPr>
          <w:rFonts w:ascii="Times New Roman" w:cs="Times New Roman" w:eastAsia="Times New Roman" w:hAnsi="Times New Roman"/>
          <w:sz w:val="17"/>
          <w:szCs w:val="17"/>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5" w:lineRule="auto"/>
        <w:rPr>
          <w:sz w:val="20"/>
          <w:szCs w:val="20"/>
          <w:color w:val="auto"/>
        </w:rPr>
      </w:pPr>
      <w:r>
        <w:rPr>
          <w:rFonts w:ascii="Times New Roman" w:cs="Times New Roman" w:eastAsia="Times New Roman" w:hAnsi="Times New Roman"/>
          <w:sz w:val="18"/>
          <w:szCs w:val="18"/>
          <w:color w:val="auto"/>
        </w:rPr>
        <w:t>Herriot Tabuteau, M.D.</w:t>
      </w:r>
    </w:p>
    <w:p>
      <w:pPr>
        <w:ind w:left="4540"/>
        <w:spacing w:after="0" w:line="204" w:lineRule="auto"/>
        <w:rPr>
          <w:sz w:val="20"/>
          <w:szCs w:val="20"/>
          <w:color w:val="auto"/>
        </w:rPr>
      </w:pPr>
      <w:r>
        <w:rPr>
          <w:rFonts w:ascii="Times New Roman" w:cs="Times New Roman" w:eastAsia="Times New Roman" w:hAnsi="Times New Roman"/>
          <w:sz w:val="18"/>
          <w:szCs w:val="18"/>
          <w:color w:val="auto"/>
        </w:rPr>
        <w:t>Chief Executive Officer</w:t>
      </w: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w:t>
      </w: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Nick Pizzie, certify that:</w:t>
      </w:r>
    </w:p>
    <w:p>
      <w:pPr>
        <w:spacing w:after="0" w:line="144" w:lineRule="exact"/>
        <w:rPr>
          <w:sz w:val="20"/>
          <w:szCs w:val="20"/>
          <w:color w:val="auto"/>
        </w:rPr>
      </w:pPr>
    </w:p>
    <w:p>
      <w:pPr>
        <w:ind w:left="320" w:hanging="317"/>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Axsome Therapeutics, Inc.;</w:t>
      </w:r>
    </w:p>
    <w:p>
      <w:pPr>
        <w:spacing w:after="0" w:line="144" w:lineRule="exact"/>
        <w:rPr>
          <w:rFonts w:ascii="Times New Roman" w:cs="Times New Roman" w:eastAsia="Times New Roman" w:hAnsi="Times New Roman"/>
          <w:sz w:val="18"/>
          <w:szCs w:val="18"/>
          <w:color w:val="auto"/>
        </w:rPr>
      </w:pPr>
    </w:p>
    <w:p>
      <w:pPr>
        <w:jc w:val="both"/>
        <w:ind w:left="320" w:right="200" w:hanging="317"/>
        <w:spacing w:after="0" w:line="226" w:lineRule="auto"/>
        <w:tabs>
          <w:tab w:leader="none" w:pos="3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320" w:right="160" w:hanging="317"/>
        <w:spacing w:after="0" w:line="226" w:lineRule="auto"/>
        <w:tabs>
          <w:tab w:leader="none" w:pos="3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320" w:right="80" w:hanging="317"/>
        <w:spacing w:after="0" w:line="226" w:lineRule="auto"/>
        <w:tabs>
          <w:tab w:leader="none" w:pos="3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660" w:right="40" w:hanging="333"/>
        <w:spacing w:after="0" w:line="220" w:lineRule="auto"/>
        <w:tabs>
          <w:tab w:leader="none" w:pos="65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660" w:right="20" w:hanging="333"/>
        <w:spacing w:after="0" w:line="220" w:lineRule="auto"/>
        <w:tabs>
          <w:tab w:leader="none" w:pos="66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660" w:right="60" w:hanging="333"/>
        <w:spacing w:after="0" w:line="226" w:lineRule="auto"/>
        <w:tabs>
          <w:tab w:leader="none" w:pos="65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660" w:right="180" w:hanging="333"/>
        <w:spacing w:after="0" w:line="220" w:lineRule="auto"/>
        <w:tabs>
          <w:tab w:leader="none" w:pos="66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320" w:right="40" w:hanging="317"/>
        <w:spacing w:after="0" w:line="226" w:lineRule="auto"/>
        <w:tabs>
          <w:tab w:leader="none" w:pos="3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660" w:right="240" w:hanging="333"/>
        <w:spacing w:after="0" w:line="226" w:lineRule="auto"/>
        <w:tabs>
          <w:tab w:leader="none" w:pos="64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660" w:right="60" w:hanging="333"/>
        <w:spacing w:after="0" w:line="237" w:lineRule="auto"/>
        <w:tabs>
          <w:tab w:leader="none" w:pos="65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Date: May 9, 2019</w:t>
      </w:r>
      <w:r>
        <w:rPr>
          <w:sz w:val="20"/>
          <w:szCs w:val="20"/>
          <w:color w:val="auto"/>
        </w:rPr>
        <w:tab/>
      </w:r>
      <w:r>
        <w:rPr>
          <w:rFonts w:ascii="Times New Roman" w:cs="Times New Roman" w:eastAsia="Times New Roman" w:hAnsi="Times New Roman"/>
          <w:sz w:val="18"/>
          <w:szCs w:val="18"/>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5" w:lineRule="auto"/>
        <w:rPr>
          <w:sz w:val="20"/>
          <w:szCs w:val="20"/>
          <w:color w:val="auto"/>
        </w:rPr>
      </w:pPr>
      <w:r>
        <w:rPr>
          <w:rFonts w:ascii="Times New Roman" w:cs="Times New Roman" w:eastAsia="Times New Roman" w:hAnsi="Times New Roman"/>
          <w:sz w:val="18"/>
          <w:szCs w:val="18"/>
          <w:color w:val="auto"/>
        </w:rPr>
        <w:t>Nick Pizzie</w:t>
      </w:r>
    </w:p>
    <w:p>
      <w:pPr>
        <w:ind w:left="4540"/>
        <w:spacing w:after="0" w:line="204" w:lineRule="auto"/>
        <w:rPr>
          <w:sz w:val="20"/>
          <w:szCs w:val="20"/>
          <w:color w:val="auto"/>
        </w:rPr>
      </w:pPr>
      <w:r>
        <w:rPr>
          <w:rFonts w:ascii="Times New Roman" w:cs="Times New Roman" w:eastAsia="Times New Roman" w:hAnsi="Times New Roman"/>
          <w:sz w:val="18"/>
          <w:szCs w:val="18"/>
          <w:color w:val="auto"/>
        </w:rPr>
        <w:t>Chief Financial Officer</w:t>
      </w:r>
    </w:p>
    <w:p>
      <w:pPr>
        <w:ind w:left="45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STATEMENT OF PRINCIPAL EXECUTIVE OFFICER OF</w:t>
      </w:r>
    </w:p>
    <w:p>
      <w:pPr>
        <w:ind w:left="3180"/>
        <w:spacing w:after="0" w:line="203" w:lineRule="auto"/>
        <w:rPr>
          <w:sz w:val="20"/>
          <w:szCs w:val="20"/>
          <w:color w:val="auto"/>
        </w:rPr>
      </w:pPr>
      <w:r>
        <w:rPr>
          <w:rFonts w:ascii="Times New Roman" w:cs="Times New Roman" w:eastAsia="Times New Roman" w:hAnsi="Times New Roman"/>
          <w:sz w:val="18"/>
          <w:szCs w:val="18"/>
          <w:b w:val="1"/>
          <w:bCs w:val="1"/>
          <w:color w:val="auto"/>
        </w:rPr>
        <w:t>AXSOME THERAPEUTICS, INC.</w:t>
      </w:r>
    </w:p>
    <w:p>
      <w:pPr>
        <w:ind w:left="2840"/>
        <w:spacing w:after="0" w:line="204"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ind w:left="3280"/>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4" w:lineRule="exact"/>
        <w:rPr>
          <w:sz w:val="20"/>
          <w:szCs w:val="20"/>
          <w:color w:val="auto"/>
        </w:rPr>
      </w:pPr>
    </w:p>
    <w:p>
      <w:pPr>
        <w:ind w:right="120" w:firstLine="432"/>
        <w:spacing w:after="0" w:line="220" w:lineRule="auto"/>
        <w:rPr>
          <w:sz w:val="20"/>
          <w:szCs w:val="20"/>
          <w:color w:val="auto"/>
        </w:rPr>
      </w:pPr>
      <w:r>
        <w:rPr>
          <w:rFonts w:ascii="Times New Roman" w:cs="Times New Roman" w:eastAsia="Times New Roman" w:hAnsi="Times New Roman"/>
          <w:sz w:val="18"/>
          <w:szCs w:val="18"/>
          <w:color w:val="auto"/>
        </w:rPr>
        <w:t>In connection with the quarterly report of Axsome Therapeutics, Inc. (the “Company”) on Form 10-Q for the quarter ended March 31, 2019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19" w:lineRule="exact"/>
        <w:rPr>
          <w:sz w:val="20"/>
          <w:szCs w:val="20"/>
          <w:color w:val="auto"/>
        </w:rPr>
      </w:pPr>
    </w:p>
    <w:p>
      <w:pPr>
        <w:ind w:left="320" w:right="180" w:firstLine="7"/>
        <w:spacing w:after="0" w:line="237" w:lineRule="auto"/>
        <w:tabs>
          <w:tab w:leader="none" w:pos="60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320" w:right="40" w:firstLine="7"/>
        <w:spacing w:after="0" w:line="237" w:lineRule="auto"/>
        <w:tabs>
          <w:tab w:leader="none" w:pos="60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Date: May 9, 2019</w:t>
      </w:r>
      <w:r>
        <w:rPr>
          <w:sz w:val="20"/>
          <w:szCs w:val="20"/>
          <w:color w:val="auto"/>
        </w:rPr>
        <w:tab/>
      </w:r>
      <w:r>
        <w:rPr>
          <w:rFonts w:ascii="Times New Roman" w:cs="Times New Roman" w:eastAsia="Times New Roman" w:hAnsi="Times New Roman"/>
          <w:sz w:val="17"/>
          <w:szCs w:val="17"/>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5" w:lineRule="auto"/>
        <w:rPr>
          <w:sz w:val="20"/>
          <w:szCs w:val="20"/>
          <w:color w:val="auto"/>
        </w:rPr>
      </w:pPr>
      <w:r>
        <w:rPr>
          <w:rFonts w:ascii="Times New Roman" w:cs="Times New Roman" w:eastAsia="Times New Roman" w:hAnsi="Times New Roman"/>
          <w:sz w:val="18"/>
          <w:szCs w:val="18"/>
          <w:color w:val="auto"/>
        </w:rPr>
        <w:t>Herriot Tabuteau, M.D.</w:t>
      </w:r>
    </w:p>
    <w:p>
      <w:pPr>
        <w:ind w:left="4540"/>
        <w:spacing w:after="0" w:line="204" w:lineRule="auto"/>
        <w:rPr>
          <w:sz w:val="20"/>
          <w:szCs w:val="20"/>
          <w:color w:val="auto"/>
        </w:rPr>
      </w:pPr>
      <w:r>
        <w:rPr>
          <w:rFonts w:ascii="Times New Roman" w:cs="Times New Roman" w:eastAsia="Times New Roman" w:hAnsi="Times New Roman"/>
          <w:sz w:val="18"/>
          <w:szCs w:val="18"/>
          <w:color w:val="auto"/>
        </w:rPr>
        <w:t>Chief Executive Officer</w:t>
      </w: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PRINCIPAL FINANCIAL OFFICER OF AXSOME THERAPEUTICS, INC. PURSUANT TO 18 U.S.C. SECTION 1350, AS ADOPTED PURSUANT TO SECTION 906 OF THE SARBANES-OXLEY ACT OF 2002</w:t>
      </w:r>
    </w:p>
    <w:p>
      <w:pPr>
        <w:spacing w:after="0" w:line="229" w:lineRule="exact"/>
        <w:rPr>
          <w:sz w:val="20"/>
          <w:szCs w:val="20"/>
          <w:color w:val="auto"/>
        </w:rPr>
      </w:pPr>
    </w:p>
    <w:p>
      <w:pPr>
        <w:ind w:right="60" w:firstLine="432"/>
        <w:spacing w:after="0" w:line="220" w:lineRule="auto"/>
        <w:rPr>
          <w:sz w:val="20"/>
          <w:szCs w:val="20"/>
          <w:color w:val="auto"/>
        </w:rPr>
      </w:pPr>
      <w:r>
        <w:rPr>
          <w:rFonts w:ascii="Times New Roman" w:cs="Times New Roman" w:eastAsia="Times New Roman" w:hAnsi="Times New Roman"/>
          <w:sz w:val="18"/>
          <w:szCs w:val="18"/>
          <w:color w:val="auto"/>
        </w:rPr>
        <w:t>In connection with the quarterly report of Axsome Therapeutics, Inc. (the “Company”) on Form 10-Q for the quarter ended March 31, 2019 as filed with the Securities and Exchange Commission (the “Report”), I, Nick Pizzie, Chief Financial Officer of the Company, certify, pursuant to 18 U.S.C. §1350, as adopted pursuant to §906 of the Sarbanes-Oxley Act of 2002, that, based on my knowledge:</w:t>
      </w:r>
    </w:p>
    <w:p>
      <w:pPr>
        <w:spacing w:after="0" w:line="119" w:lineRule="exact"/>
        <w:rPr>
          <w:sz w:val="20"/>
          <w:szCs w:val="20"/>
          <w:color w:val="auto"/>
        </w:rPr>
      </w:pPr>
    </w:p>
    <w:p>
      <w:pPr>
        <w:ind w:left="320" w:right="180" w:firstLine="7"/>
        <w:spacing w:after="0" w:line="237" w:lineRule="auto"/>
        <w:tabs>
          <w:tab w:leader="none" w:pos="60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320" w:right="40" w:firstLine="7"/>
        <w:spacing w:after="0" w:line="237" w:lineRule="auto"/>
        <w:tabs>
          <w:tab w:leader="none" w:pos="60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Date: May 9, 2019</w:t>
      </w:r>
      <w:r>
        <w:rPr>
          <w:sz w:val="20"/>
          <w:szCs w:val="20"/>
          <w:color w:val="auto"/>
        </w:rPr>
        <w:tab/>
      </w:r>
      <w:r>
        <w:rPr>
          <w:rFonts w:ascii="Times New Roman" w:cs="Times New Roman" w:eastAsia="Times New Roman" w:hAnsi="Times New Roman"/>
          <w:sz w:val="18"/>
          <w:szCs w:val="18"/>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5" w:lineRule="auto"/>
        <w:rPr>
          <w:sz w:val="20"/>
          <w:szCs w:val="20"/>
          <w:color w:val="auto"/>
        </w:rPr>
      </w:pPr>
      <w:r>
        <w:rPr>
          <w:rFonts w:ascii="Times New Roman" w:cs="Times New Roman" w:eastAsia="Times New Roman" w:hAnsi="Times New Roman"/>
          <w:sz w:val="18"/>
          <w:szCs w:val="18"/>
          <w:color w:val="auto"/>
        </w:rPr>
        <w:t>Nick Pizzie</w:t>
      </w:r>
    </w:p>
    <w:p>
      <w:pPr>
        <w:ind w:left="4540"/>
        <w:spacing w:after="0" w:line="204" w:lineRule="auto"/>
        <w:rPr>
          <w:sz w:val="20"/>
          <w:szCs w:val="20"/>
          <w:color w:val="auto"/>
        </w:rPr>
      </w:pPr>
      <w:r>
        <w:rPr>
          <w:rFonts w:ascii="Times New Roman" w:cs="Times New Roman" w:eastAsia="Times New Roman" w:hAnsi="Times New Roman"/>
          <w:sz w:val="18"/>
          <w:szCs w:val="18"/>
          <w:color w:val="auto"/>
        </w:rPr>
        <w:t>Chief Financial Officer</w:t>
      </w:r>
    </w:p>
    <w:p>
      <w:pPr>
        <w:ind w:left="45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2"/>
    </w:lvl>
  </w:abstractNum>
  <w:abstractNum w:abstractNumId="14">
    <w:nsid w:val="3A95F874"/>
    <w:multiLevelType w:val="hybridMultilevel"/>
    <w:lvl w:ilvl="0">
      <w:lvlJc w:val="left"/>
      <w:lvlText w:val="(%1)"/>
      <w:numFmt w:val="decimal"/>
      <w:start w:val="2"/>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2"/>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0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09" Type="http://schemas.openxmlformats.org/officeDocument/2006/relationships/hyperlink" Target="http://www.sec.gov/Archives/edgar/data/1579428/000155837019002068/axsm-20181231ex10144b86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2019-12-28T12:44:23Z</dcterms:created>
  <dcterms:modified xsi:type="dcterms:W3CDTF">2019-12-28T12:44:23Z</dcterms:modified>
</cp:coreProperties>
</file>