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13, 2018</w:t>
      </w:r>
    </w:p>
    <w:p>
      <w:pPr>
        <w:spacing w:after="0" w:line="27"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107315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97" w:right="239" w:bottom="158" w:gutter="0" w:footer="0" w:header="0"/>
        </w:sectPr>
      </w:pPr>
    </w:p>
    <w:p>
      <w:pPr>
        <w:spacing w:after="0" w:line="5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285" w:lineRule="exact"/>
        <w:rPr>
          <w:sz w:val="24"/>
          <w:szCs w:val="24"/>
          <w:color w:val="auto"/>
        </w:rPr>
      </w:pPr>
    </w:p>
    <w:p>
      <w:pPr>
        <w:sectPr>
          <w:pgSz w:w="11900" w:h="16838" w:orient="portrait"/>
          <w:cols w:equalWidth="0" w:num="2">
            <w:col w:w="6660" w:space="720"/>
            <w:col w:w="4040"/>
          </w:cols>
          <w:pgMar w:left="240" w:top="297" w:right="239" w:bottom="158" w:gutter="0" w:footer="0" w:header="0"/>
          <w:type w:val="continuous"/>
        </w:sectPr>
      </w:pPr>
    </w:p>
    <w:p>
      <w:pPr>
        <w:ind w:left="5360" w:right="5200" w:hanging="152"/>
        <w:spacing w:after="0" w:line="293" w:lineRule="auto"/>
        <w:tabs>
          <w:tab w:leader="none" w:pos="5437"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Broadway 9th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Axsome Therapeutics, Inc. 2015 Omnibus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Herriot Tabuteau, M.D.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4"/>
          <w:szCs w:val="24"/>
          <w:color w:val="auto"/>
        </w:rPr>
      </w:pPr>
    </w:p>
    <w:p>
      <w:pPr>
        <w:ind w:left="5360" w:right="5220" w:hanging="174"/>
        <w:spacing w:after="0" w:line="281" w:lineRule="auto"/>
        <w:tabs>
          <w:tab w:leader="none" w:pos="541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Broadway 9th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332-3241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Emilio Ragosa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DLA Piper LLP (US)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(973) 520-2550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9" w:lineRule="exact"/>
        <w:rPr>
          <w:sz w:val="24"/>
          <w:szCs w:val="24"/>
          <w:color w:val="auto"/>
        </w:rPr>
      </w:pPr>
    </w:p>
    <w:p>
      <w:pPr>
        <w:jc w:val="both"/>
        <w:ind w:firstLine="51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0"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3"/>
              </w:rPr>
              <w:t>Accelerated filer x</w:t>
            </w:r>
          </w:p>
        </w:tc>
      </w:tr>
      <w:tr>
        <w:trPr>
          <w:trHeight w:val="216"/>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2"/>
              </w:rPr>
              <w:t>Emerging growth company x</w:t>
            </w:r>
          </w:p>
        </w:tc>
      </w:tr>
    </w:tbl>
    <w:p>
      <w:pPr>
        <w:spacing w:after="0" w:line="53" w:lineRule="exact"/>
        <w:rPr>
          <w:sz w:val="24"/>
          <w:szCs w:val="24"/>
          <w:color w:val="auto"/>
        </w:rPr>
      </w:pPr>
    </w:p>
    <w:p>
      <w:pPr>
        <w:ind w:right="280" w:firstLine="51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20" w:type="dxa"/>
            <w:vAlign w:val="bottom"/>
          </w:tcPr>
          <w:p>
            <w:pPr>
              <w:jc w:val="center"/>
              <w:ind w:left="406"/>
              <w:spacing w:after="0" w:line="106" w:lineRule="exact"/>
              <w:rPr>
                <w:sz w:val="20"/>
                <w:szCs w:val="20"/>
                <w:color w:val="auto"/>
              </w:rPr>
            </w:pPr>
            <w:r>
              <w:rPr>
                <w:rFonts w:ascii="Arial" w:cs="Arial" w:eastAsia="Arial" w:hAnsi="Arial"/>
                <w:sz w:val="12"/>
                <w:szCs w:val="12"/>
                <w:b w:val="1"/>
                <w:bCs w:val="1"/>
                <w:color w:val="auto"/>
              </w:rPr>
              <w:t>Proposed</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jc w:val="center"/>
              <w:ind w:right="206"/>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 to be</w:t>
            </w:r>
          </w:p>
        </w:tc>
        <w:tc>
          <w:tcPr>
            <w:tcW w:w="1420" w:type="dxa"/>
            <w:vAlign w:val="bottom"/>
          </w:tcPr>
          <w:p>
            <w:pPr>
              <w:jc w:val="center"/>
              <w:ind w:left="426"/>
              <w:spacing w:after="0" w:line="149" w:lineRule="exact"/>
              <w:rPr>
                <w:sz w:val="20"/>
                <w:szCs w:val="20"/>
                <w:color w:val="auto"/>
              </w:rPr>
            </w:pPr>
            <w:r>
              <w:rPr>
                <w:rFonts w:ascii="Arial" w:cs="Arial" w:eastAsia="Arial" w:hAnsi="Arial"/>
                <w:sz w:val="14"/>
                <w:szCs w:val="14"/>
                <w:b w:val="1"/>
                <w:bCs w:val="1"/>
                <w:color w:val="auto"/>
                <w:w w:val="99"/>
              </w:rPr>
              <w:t>Maximum</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center"/>
              <w:ind w:right="226"/>
              <w:spacing w:after="0" w:line="149"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Pr>
          <w:p>
            <w:pPr>
              <w:spacing w:after="0"/>
              <w:rPr>
                <w:sz w:val="12"/>
                <w:szCs w:val="12"/>
                <w:color w:val="auto"/>
              </w:rPr>
            </w:pPr>
          </w:p>
        </w:tc>
        <w:tc>
          <w:tcPr>
            <w:tcW w:w="132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Title of Securities to be Registered (1)</w:t>
            </w:r>
          </w:p>
        </w:tc>
        <w:tc>
          <w:tcPr>
            <w:tcW w:w="1800" w:type="dxa"/>
            <w:vAlign w:val="bottom"/>
            <w:vMerge w:val="continue"/>
          </w:tcPr>
          <w:p>
            <w:pPr>
              <w:spacing w:after="0"/>
              <w:rPr>
                <w:sz w:val="12"/>
                <w:szCs w:val="12"/>
                <w:color w:val="auto"/>
              </w:rPr>
            </w:pPr>
          </w:p>
        </w:tc>
        <w:tc>
          <w:tcPr>
            <w:tcW w:w="1420" w:type="dxa"/>
            <w:vAlign w:val="bottom"/>
          </w:tcPr>
          <w:p>
            <w:pPr>
              <w:jc w:val="center"/>
              <w:ind w:left="406"/>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Registered(2)</w:t>
            </w:r>
          </w:p>
        </w:tc>
        <w:tc>
          <w:tcPr>
            <w:tcW w:w="142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w w:val="94"/>
              </w:rPr>
              <w:t>Per Share(3)</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97"/>
              </w:rPr>
              <w:t>Price(3)</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Common stock, $0.0001 par value, to be issued</w:t>
            </w:r>
          </w:p>
        </w:tc>
        <w:tc>
          <w:tcPr>
            <w:tcW w:w="1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pursuant to the Registrant’s 2015 Omnibus Incentive</w:t>
            </w:r>
          </w:p>
        </w:tc>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Compensation Plan</w:t>
            </w:r>
          </w:p>
        </w:tc>
        <w:tc>
          <w:tcPr>
            <w:tcW w:w="1800" w:type="dxa"/>
            <w:vAlign w:val="bottom"/>
          </w:tcPr>
          <w:p>
            <w:pPr>
              <w:ind w:left="440"/>
              <w:spacing w:after="0"/>
              <w:rPr>
                <w:sz w:val="20"/>
                <w:szCs w:val="20"/>
                <w:color w:val="auto"/>
              </w:rPr>
            </w:pPr>
            <w:r>
              <w:rPr>
                <w:rFonts w:ascii="Arial" w:cs="Arial" w:eastAsia="Arial" w:hAnsi="Arial"/>
                <w:sz w:val="18"/>
                <w:szCs w:val="18"/>
                <w:color w:val="auto"/>
                <w:w w:val="96"/>
              </w:rPr>
              <w:t>1,019,719 shares</w:t>
            </w:r>
          </w:p>
        </w:tc>
        <w:tc>
          <w:tcPr>
            <w:tcW w:w="1420" w:type="dxa"/>
            <w:vAlign w:val="bottom"/>
          </w:tcPr>
          <w:p>
            <w:pPr>
              <w:jc w:val="right"/>
              <w:ind w:right="1106"/>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6"/>
              <w:spacing w:after="0"/>
              <w:rPr>
                <w:sz w:val="20"/>
                <w:szCs w:val="20"/>
                <w:color w:val="auto"/>
              </w:rPr>
            </w:pPr>
            <w:r>
              <w:rPr>
                <w:rFonts w:ascii="Arial" w:cs="Arial" w:eastAsia="Arial" w:hAnsi="Arial"/>
                <w:sz w:val="18"/>
                <w:szCs w:val="18"/>
                <w:color w:val="auto"/>
              </w:rPr>
              <w:t>2,549,297.50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2"/>
              <w:spacing w:after="0"/>
              <w:rPr>
                <w:sz w:val="20"/>
                <w:szCs w:val="20"/>
                <w:color w:val="auto"/>
              </w:rPr>
            </w:pPr>
            <w:r>
              <w:rPr>
                <w:rFonts w:ascii="Arial" w:cs="Arial" w:eastAsia="Arial" w:hAnsi="Arial"/>
                <w:sz w:val="18"/>
                <w:szCs w:val="18"/>
                <w:color w:val="auto"/>
              </w:rPr>
              <w:t>317.39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ind w:left="660" w:right="640" w:hanging="647"/>
        <w:spacing w:after="0" w:line="274" w:lineRule="auto"/>
        <w:rPr>
          <w:sz w:val="20"/>
          <w:szCs w:val="20"/>
          <w:color w:val="auto"/>
        </w:rPr>
      </w:pPr>
      <w:r>
        <w:rPr>
          <w:rFonts w:ascii="Arial" w:cs="Arial" w:eastAsia="Arial" w:hAnsi="Arial"/>
          <w:sz w:val="17"/>
          <w:szCs w:val="17"/>
          <w:color w:val="auto"/>
        </w:rPr>
        <w:t>(1)This registration statement (the “Registration Statement”) covers shares of the Registrant’s common stock, $0.0001 par value per share (“Common Stock”), which are issuable pursuant to the Registrant’s 2015 Omnibus Incentive Compensation Plan (the “2015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60" w:right="220" w:hanging="647"/>
        <w:spacing w:after="0" w:line="250" w:lineRule="auto"/>
        <w:rPr>
          <w:sz w:val="20"/>
          <w:szCs w:val="20"/>
          <w:color w:val="auto"/>
        </w:rPr>
      </w:pPr>
      <w:r>
        <w:rPr>
          <w:rFonts w:ascii="Arial" w:cs="Arial" w:eastAsia="Arial" w:hAnsi="Arial"/>
          <w:sz w:val="18"/>
          <w:szCs w:val="18"/>
          <w:color w:val="auto"/>
        </w:rPr>
        <w:t>(2)This Registration Statement shall also cover any additional shares of Common Stock which become issuable under the 2015 Plan by reason of any stock dividend, stock split, recapitalization or other similar transaction effected without the Registrant’s receipt of consideration which results in an increase in the number of the outstanding shares of Registrant’s Common Stock.</w:t>
      </w:r>
    </w:p>
    <w:p>
      <w:pPr>
        <w:spacing w:after="0" w:line="1" w:lineRule="exact"/>
        <w:rPr>
          <w:sz w:val="24"/>
          <w:szCs w:val="24"/>
          <w:color w:val="auto"/>
        </w:rPr>
      </w:pPr>
    </w:p>
    <w:p>
      <w:pPr>
        <w:ind w:left="660" w:right="20" w:hanging="647"/>
        <w:spacing w:after="0" w:line="290" w:lineRule="auto"/>
        <w:rPr>
          <w:sz w:val="20"/>
          <w:szCs w:val="20"/>
          <w:color w:val="auto"/>
        </w:rPr>
      </w:pPr>
      <w:r>
        <w:rPr>
          <w:rFonts w:ascii="Arial" w:cs="Arial" w:eastAsia="Arial" w:hAnsi="Arial"/>
          <w:sz w:val="17"/>
          <w:szCs w:val="17"/>
          <w:color w:val="auto"/>
        </w:rPr>
        <w:t>(3)Calculated solely for purposes of this offering under Rule 457(h) of the Securities Act of 1933, as amended (the “1933 Act”), on the basis of the average of the high and low prices per share of Registrant’s Common Stock on August 10, 2018 as reported by The Nasdaq Stock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97" w:right="239" w:bottom="158" w:gutter="0" w:footer="0" w:header="0"/>
          <w:type w:val="continuous"/>
        </w:sectPr>
      </w:pPr>
    </w:p>
    <w:bookmarkStart w:id="1" w:name="page2"/>
    <w:bookmarkEnd w:id="1"/>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This Registration Statement relates to the registration of an additional 1,019,719 shares (the “Shares”) of the common stock, par value $0.0001 per share, of Axsome Therapeutics, Inc. (the “Registrant”). The Shares are securities of the same class and relate to the same employee benefit plan, the 2015 Omnibus Incentive Compensation Plan, as those registered pursuant to the Registrant’s registration statements on Form S-8, previously filed with the Securities and Exchange Commission on December 16, 2015 and March 29, 2017. In accordance with General Instruction E of Form S-8, the contents of the Registrant’s registration statement on Form S-8 (File Nos. 333-208579 and 333-217002) filed with the Securities and Exchange Commission on December 16, 2015 and March 29, 2017 are incorporated herein by reference and the information required by Part II is omitted, except as supplemented by the information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700" w:type="dxa"/>
            <w:vAlign w:val="bottom"/>
            <w:gridSpan w:val="7"/>
            <w:vMerge w:val="restart"/>
          </w:tcPr>
          <w:p>
            <w:pPr>
              <w:ind w:left="4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Opinion and Consent of DLA Piper LLP (US).</w:t>
              </w:r>
            </w:hyperlink>
          </w:p>
        </w:tc>
        <w:tc>
          <w:tcPr>
            <w:tcW w:w="670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4380" w:type="dxa"/>
            <w:vAlign w:val="bottom"/>
            <w:tcBorders>
              <w:bottom w:val="single" w:sz="8" w:color="0000EE"/>
            </w:tcBorders>
            <w:gridSpan w:val="3"/>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Consent of DLA Piper LLP (US) is contained in Exhibit 5.1.</w:t>
              </w:r>
            </w:hyperlink>
          </w:p>
        </w:tc>
        <w:tc>
          <w:tcPr>
            <w:tcW w:w="57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rPr>
            </w:pPr>
            <w:hyperlink r:id="rId22">
              <w:r>
                <w:rPr>
                  <w:rFonts w:ascii="Arial" w:cs="Arial" w:eastAsia="Arial" w:hAnsi="Arial"/>
                  <w:sz w:val="18"/>
                  <w:szCs w:val="18"/>
                  <w:color w:val="0000EE"/>
                </w:rPr>
                <w:t>Consent of Ernst &amp; Young LLP, Independent Registered Public Accounting Firm.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Power of Attorney. Reference is made to page 4 of this Registration Statement.</w:t>
              </w:r>
            </w:hyperlink>
          </w:p>
        </w:tc>
        <w:tc>
          <w:tcPr>
            <w:tcW w:w="180" w:type="dxa"/>
            <w:vAlign w:val="bottom"/>
            <w:tcBorders>
              <w:top w:val="single" w:sz="8" w:color="0000EE"/>
            </w:tcBorders>
          </w:tcPr>
          <w:p>
            <w:pPr>
              <w:spacing w:after="0"/>
              <w:rPr>
                <w:sz w:val="24"/>
                <w:szCs w:val="24"/>
                <w:color w:val="auto"/>
              </w:rPr>
            </w:pPr>
          </w:p>
        </w:tc>
        <w:tc>
          <w:tcPr>
            <w:tcW w:w="42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Axsome Therapeutics, Inc. 2015 Omnibus Incentive Compensation Plan (Incorporated by reference, Exhibit 10.6 to Registrant’s First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Amendment of Registration Statement on Form S-1, File No. 333-207393, filed on November 2, 2015.)</w:t>
              </w:r>
            </w:hyperlink>
          </w:p>
        </w:tc>
        <w:tc>
          <w:tcPr>
            <w:tcW w:w="4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gridSpan w:val="6"/>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9840" w:type="dxa"/>
            <w:vAlign w:val="bottom"/>
            <w:tcBorders>
              <w:bottom w:val="single" w:sz="8" w:color="0000EE"/>
            </w:tcBorders>
            <w:gridSpan w:val="9"/>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2015 Omnibus Incentive Compensation Plan, Form of Stock Option Agreement. (Incorporated by reference, Exhibit 99.2 to Registrant’s</w:t>
              </w:r>
            </w:hyperlink>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10"/>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Registration Statement on Form S-8, File No. 333-208579, filed on December 16, 2015.)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5680" w:type="dxa"/>
            <w:vAlign w:val="bottom"/>
            <w:tcBorders>
              <w:top w:val="single" w:sz="8" w:color="0000EE"/>
            </w:tcBorders>
            <w:gridSpan w:val="3"/>
          </w:tcPr>
          <w:p>
            <w:pPr>
              <w:jc w:val="center"/>
              <w:ind w:left="2930"/>
              <w:spacing w:after="0"/>
              <w:rPr>
                <w:sz w:val="20"/>
                <w:szCs w:val="20"/>
                <w:color w:val="auto"/>
              </w:rPr>
            </w:pPr>
            <w:r>
              <w:rPr>
                <w:rFonts w:ascii="Arial" w:cs="Arial" w:eastAsia="Arial" w:hAnsi="Arial"/>
                <w:sz w:val="18"/>
                <w:szCs w:val="18"/>
                <w:color w:val="auto"/>
                <w:w w:val="99"/>
              </w:rPr>
              <w:t>2</w:t>
            </w: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700" w:type="dxa"/>
            <w:vAlign w:val="bottom"/>
            <w:gridSpan w:val="8"/>
          </w:tcPr>
          <w:p>
            <w:pPr>
              <w:jc w:val="center"/>
              <w:ind w:right="47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700" w:type="dxa"/>
            <w:vAlign w:val="bottom"/>
            <w:gridSpan w:val="7"/>
            <w:vMerge w:val="restart"/>
          </w:tcPr>
          <w:p>
            <w:pPr>
              <w:ind w:left="4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Opinion and Consent of DLA Piper LLP (US).</w:t>
              </w:r>
            </w:hyperlink>
          </w:p>
        </w:tc>
        <w:tc>
          <w:tcPr>
            <w:tcW w:w="670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4380" w:type="dxa"/>
            <w:vAlign w:val="bottom"/>
            <w:tcBorders>
              <w:bottom w:val="single" w:sz="8" w:color="0000EE"/>
            </w:tcBorders>
            <w:gridSpan w:val="3"/>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Consent of DLA Piper LLP (US) is contained in Exhibit 5.1.</w:t>
              </w:r>
            </w:hyperlink>
          </w:p>
        </w:tc>
        <w:tc>
          <w:tcPr>
            <w:tcW w:w="57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rPr>
            </w:pPr>
            <w:hyperlink r:id="rId22">
              <w:r>
                <w:rPr>
                  <w:rFonts w:ascii="Arial" w:cs="Arial" w:eastAsia="Arial" w:hAnsi="Arial"/>
                  <w:sz w:val="18"/>
                  <w:szCs w:val="18"/>
                  <w:color w:val="0000EE"/>
                </w:rPr>
                <w:t>Consent of Ernst &amp; Young LLP, Independent Registered Public Accounting Firm.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Power of Attorney. Reference is made to page 4 of this Registration Statement.</w:t>
              </w:r>
            </w:hyperlink>
          </w:p>
        </w:tc>
        <w:tc>
          <w:tcPr>
            <w:tcW w:w="180" w:type="dxa"/>
            <w:vAlign w:val="bottom"/>
            <w:tcBorders>
              <w:top w:val="single" w:sz="8" w:color="0000EE"/>
            </w:tcBorders>
          </w:tcPr>
          <w:p>
            <w:pPr>
              <w:spacing w:after="0"/>
              <w:rPr>
                <w:sz w:val="24"/>
                <w:szCs w:val="24"/>
                <w:color w:val="auto"/>
              </w:rPr>
            </w:pPr>
          </w:p>
        </w:tc>
        <w:tc>
          <w:tcPr>
            <w:tcW w:w="42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Axsome Therapeutics, Inc. 2015 Omnibus Incentive Compensation Plan (Incorporated by reference, Exhibit 10.6 to Registrant’s First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Amendment of Registration Statement on Form S-1, File No. 333-207393, filed on November 2, 2015.)</w:t>
              </w:r>
            </w:hyperlink>
          </w:p>
        </w:tc>
        <w:tc>
          <w:tcPr>
            <w:tcW w:w="4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gridSpan w:val="7"/>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ind w:right="254"/>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9840" w:type="dxa"/>
            <w:vAlign w:val="bottom"/>
            <w:tcBorders>
              <w:bottom w:val="single" w:sz="8" w:color="0000EE"/>
            </w:tcBorders>
            <w:gridSpan w:val="9"/>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2015 Omnibus Incentive Compensation Plan, Form of Stock Option Agreement. (Incorporated by reference, Exhibit 99.2 to Registrant’s</w:t>
              </w:r>
            </w:hyperlink>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10"/>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Registration Statement on Form S-8, File No. 333-208579, filed on December 16, 2015.)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5680" w:type="dxa"/>
            <w:vAlign w:val="bottom"/>
            <w:tcBorders>
              <w:top w:val="single" w:sz="8" w:color="0000EE"/>
            </w:tcBorders>
            <w:gridSpan w:val="3"/>
          </w:tcPr>
          <w:p>
            <w:pPr>
              <w:jc w:val="center"/>
              <w:ind w:left="2930"/>
              <w:spacing w:after="0"/>
              <w:rPr>
                <w:sz w:val="20"/>
                <w:szCs w:val="20"/>
                <w:color w:val="auto"/>
              </w:rPr>
            </w:pPr>
            <w:r>
              <w:rPr>
                <w:rFonts w:ascii="Arial" w:cs="Arial" w:eastAsia="Arial" w:hAnsi="Arial"/>
                <w:sz w:val="18"/>
                <w:szCs w:val="18"/>
                <w:color w:val="auto"/>
                <w:w w:val="99"/>
              </w:rPr>
              <w:t>3</w:t>
            </w: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-3150870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-3150870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13th day of August, 2018.</w:t>
      </w:r>
    </w:p>
    <w:p>
      <w:pPr>
        <w:spacing w:after="0" w:line="17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ind w:left="5780"/>
        <w:spacing w:after="0"/>
        <w:tabs>
          <w:tab w:leader="none" w:pos="6200" w:val="left"/>
        </w:tabs>
        <w:rPr>
          <w:sz w:val="20"/>
          <w:szCs w:val="20"/>
          <w:color w:val="auto"/>
        </w:rPr>
      </w:pPr>
      <w:r>
        <w:rPr>
          <w:rFonts w:ascii="Arial" w:cs="Arial" w:eastAsia="Arial" w:hAnsi="Arial"/>
          <w:sz w:val="18"/>
          <w:szCs w:val="18"/>
          <w:color w:val="auto"/>
        </w:rPr>
        <w:t>By</w:t>
        <w:tab/>
        <w:t>/s/ Herriot Tabuteau, M.D.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PERSONS BY THESE PRESENTS:</w:t>
      </w:r>
    </w:p>
    <w:p>
      <w:pPr>
        <w:sectPr>
          <w:pgSz w:w="11900" w:h="16883" w:orient="portrait"/>
          <w:cols w:equalWidth="0" w:num="1">
            <w:col w:w="11460"/>
          </w:cols>
          <w:pgMar w:left="240" w:top="580" w:right="199" w:bottom="0" w:gutter="0" w:footer="0" w:header="0"/>
        </w:sectPr>
      </w:pPr>
    </w:p>
    <w:bookmarkStart w:id="2" w:name="page3"/>
    <w:bookmarkEnd w:id="2"/>
    <w:p>
      <w:pPr>
        <w:ind w:right="40" w:firstLine="1297"/>
        <w:spacing w:after="0" w:line="254" w:lineRule="auto"/>
        <w:rPr>
          <w:sz w:val="20"/>
          <w:szCs w:val="20"/>
          <w:color w:val="auto"/>
        </w:rPr>
      </w:pPr>
      <w:r>
        <w:rPr>
          <w:rFonts w:ascii="Arial" w:cs="Arial" w:eastAsia="Arial" w:hAnsi="Arial"/>
          <w:sz w:val="18"/>
          <w:szCs w:val="18"/>
          <w:color w:val="auto"/>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92"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80" w:type="dxa"/>
            <w:vAlign w:val="bottom"/>
          </w:tcPr>
          <w:p>
            <w:pPr>
              <w:spacing w:after="0"/>
              <w:rPr>
                <w:sz w:val="14"/>
                <w:szCs w:val="14"/>
                <w:color w:val="auto"/>
              </w:rPr>
            </w:pPr>
          </w:p>
        </w:tc>
        <w:tc>
          <w:tcPr>
            <w:tcW w:w="4000" w:type="dxa"/>
            <w:vAlign w:val="bottom"/>
            <w:tcBorders>
              <w:bottom w:val="single" w:sz="8" w:color="auto"/>
            </w:tcBorders>
          </w:tcPr>
          <w:p>
            <w:pPr>
              <w:jc w:val="right"/>
              <w:ind w:right="1788"/>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4"/>
                <w:szCs w:val="14"/>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r>
      <w:tr>
        <w:trPr>
          <w:trHeight w:val="426"/>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Herriot Tabuteau, M.D.</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 of</w:t>
            </w:r>
          </w:p>
        </w:tc>
        <w:tc>
          <w:tcPr>
            <w:tcW w:w="2180" w:type="dxa"/>
            <w:vAlign w:val="bottom"/>
          </w:tcPr>
          <w:p>
            <w:pPr>
              <w:spacing w:after="0"/>
              <w:rPr>
                <w:sz w:val="20"/>
                <w:szCs w:val="20"/>
                <w:color w:val="auto"/>
              </w:rPr>
            </w:pPr>
            <w:r>
              <w:rPr>
                <w:rFonts w:ascii="Arial" w:cs="Arial" w:eastAsia="Arial" w:hAnsi="Arial"/>
                <w:sz w:val="18"/>
                <w:szCs w:val="18"/>
                <w:color w:val="auto"/>
              </w:rPr>
              <w:t>August 13, 2018</w:t>
            </w:r>
          </w:p>
        </w:tc>
        <w:tc>
          <w:tcPr>
            <w:tcW w:w="220" w:type="dxa"/>
            <w:vAlign w:val="bottom"/>
          </w:tcPr>
          <w:p>
            <w:pPr>
              <w:spacing w:after="0"/>
              <w:rPr>
                <w:sz w:val="24"/>
                <w:szCs w:val="24"/>
                <w:color w:val="auto"/>
              </w:rPr>
            </w:pP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Herriot Tabuteau, M.D.</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the Board (Principal Executive Officer)</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Nick Pizzie, CPA, MBA</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2180" w:type="dxa"/>
            <w:vAlign w:val="bottom"/>
          </w:tcPr>
          <w:p>
            <w:pPr>
              <w:spacing w:after="0"/>
              <w:rPr>
                <w:sz w:val="20"/>
                <w:szCs w:val="20"/>
                <w:color w:val="auto"/>
              </w:rPr>
            </w:pPr>
            <w:r>
              <w:rPr>
                <w:rFonts w:ascii="Arial" w:cs="Arial" w:eastAsia="Arial" w:hAnsi="Arial"/>
                <w:sz w:val="18"/>
                <w:szCs w:val="18"/>
                <w:color w:val="auto"/>
              </w:rPr>
              <w:t>August 13, 2018</w:t>
            </w:r>
          </w:p>
        </w:tc>
        <w:tc>
          <w:tcPr>
            <w:tcW w:w="220" w:type="dxa"/>
            <w:vAlign w:val="bottom"/>
          </w:tcPr>
          <w:p>
            <w:pPr>
              <w:spacing w:after="0"/>
              <w:rPr>
                <w:sz w:val="24"/>
                <w:szCs w:val="24"/>
                <w:color w:val="auto"/>
              </w:rPr>
            </w:pPr>
          </w:p>
        </w:tc>
      </w:tr>
      <w:tr>
        <w:trPr>
          <w:trHeight w:val="182"/>
        </w:trPr>
        <w:tc>
          <w:tcPr>
            <w:tcW w:w="4300" w:type="dxa"/>
            <w:vAlign w:val="bottom"/>
          </w:tcPr>
          <w:p>
            <w:pPr>
              <w:jc w:val="center"/>
              <w:spacing w:after="0" w:line="182" w:lineRule="exact"/>
              <w:rPr>
                <w:sz w:val="20"/>
                <w:szCs w:val="20"/>
                <w:color w:val="auto"/>
              </w:rPr>
            </w:pPr>
            <w:r>
              <w:rPr>
                <w:rFonts w:ascii="Arial" w:cs="Arial" w:eastAsia="Arial" w:hAnsi="Arial"/>
                <w:sz w:val="18"/>
                <w:szCs w:val="18"/>
                <w:color w:val="auto"/>
                <w:w w:val="95"/>
              </w:rPr>
              <w:t>Nick Pizzie, CPA, MBA</w:t>
            </w:r>
          </w:p>
        </w:tc>
        <w:tc>
          <w:tcPr>
            <w:tcW w:w="4760" w:type="dxa"/>
            <w:vAlign w:val="bottom"/>
            <w:gridSpan w:val="3"/>
          </w:tcPr>
          <w:p>
            <w:pPr>
              <w:ind w:left="380"/>
              <w:spacing w:after="0" w:line="182" w:lineRule="exact"/>
              <w:rPr>
                <w:sz w:val="20"/>
                <w:szCs w:val="20"/>
                <w:color w:val="auto"/>
              </w:rPr>
            </w:pPr>
            <w:r>
              <w:rPr>
                <w:rFonts w:ascii="Arial" w:cs="Arial" w:eastAsia="Arial" w:hAnsi="Arial"/>
                <w:sz w:val="18"/>
                <w:szCs w:val="18"/>
                <w:color w:val="auto"/>
              </w:rPr>
              <w:t>(Principal Financial and Accounting</w:t>
            </w: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4300" w:type="dxa"/>
            <w:vAlign w:val="bottom"/>
          </w:tcPr>
          <w:p>
            <w:pPr>
              <w:spacing w:after="0"/>
              <w:rPr>
                <w:sz w:val="20"/>
                <w:szCs w:val="20"/>
                <w:color w:val="auto"/>
              </w:rPr>
            </w:pP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Officer)</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Coleman, M.D.</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August 13, 2018</w:t>
            </w:r>
          </w:p>
        </w:tc>
        <w:tc>
          <w:tcPr>
            <w:tcW w:w="220" w:type="dxa"/>
            <w:vAlign w:val="bottom"/>
          </w:tcPr>
          <w:p>
            <w:pPr>
              <w:spacing w:after="0"/>
              <w:rPr>
                <w:sz w:val="24"/>
                <w:szCs w:val="24"/>
                <w:color w:val="auto"/>
              </w:rPr>
            </w:pP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4"/>
              </w:rPr>
              <w:t>Mark Coleman, M.D.</w:t>
            </w: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Roger Jeffs, Ph.D.</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August 13, 2018</w:t>
            </w:r>
          </w:p>
        </w:tc>
        <w:tc>
          <w:tcPr>
            <w:tcW w:w="220" w:type="dxa"/>
            <w:vAlign w:val="bottom"/>
          </w:tcPr>
          <w:p>
            <w:pPr>
              <w:spacing w:after="0"/>
              <w:rPr>
                <w:sz w:val="24"/>
                <w:szCs w:val="24"/>
                <w:color w:val="auto"/>
              </w:rPr>
            </w:pP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89"/>
              </w:rPr>
              <w:t>Roger Jeffs, Ph.D.</w:t>
            </w: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Myrtle Potter</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August 13, 2018</w:t>
            </w:r>
          </w:p>
        </w:tc>
        <w:tc>
          <w:tcPr>
            <w:tcW w:w="220" w:type="dxa"/>
            <w:vAlign w:val="bottom"/>
          </w:tcPr>
          <w:p>
            <w:pPr>
              <w:spacing w:after="0"/>
              <w:rPr>
                <w:sz w:val="24"/>
                <w:szCs w:val="24"/>
                <w:color w:val="auto"/>
              </w:rPr>
            </w:pP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4"/>
              </w:rPr>
              <w:t>Myrtle Potter</w:t>
            </w: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Mark Saad</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August 13, 2018</w:t>
            </w:r>
          </w:p>
        </w:tc>
        <w:tc>
          <w:tcPr>
            <w:tcW w:w="220" w:type="dxa"/>
            <w:vAlign w:val="bottom"/>
          </w:tcPr>
          <w:p>
            <w:pPr>
              <w:spacing w:after="0"/>
              <w:rPr>
                <w:sz w:val="24"/>
                <w:szCs w:val="24"/>
                <w:color w:val="auto"/>
              </w:rPr>
            </w:pP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89"/>
              </w:rPr>
              <w:t>Mark Saad</w:t>
            </w: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8"/>
        </w:trPr>
        <w:tc>
          <w:tcPr>
            <w:tcW w:w="4300" w:type="dxa"/>
            <w:vAlign w:val="bottom"/>
          </w:tcPr>
          <w:p>
            <w:pPr>
              <w:spacing w:after="0"/>
              <w:rPr>
                <w:sz w:val="24"/>
                <w:szCs w:val="24"/>
                <w:color w:val="auto"/>
              </w:rPr>
            </w:pPr>
          </w:p>
        </w:tc>
        <w:tc>
          <w:tcPr>
            <w:tcW w:w="4380" w:type="dxa"/>
            <w:vAlign w:val="bottom"/>
            <w:gridSpan w:val="2"/>
          </w:tcPr>
          <w:p>
            <w:pPr>
              <w:jc w:val="right"/>
              <w:ind w:right="2848"/>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2"/>
        </w:trPr>
        <w:tc>
          <w:tcPr>
            <w:tcW w:w="4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www.dlapiper.com</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 973-520-2550</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 973-520-2551</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Attorneys Responsible for Short Hills Office: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Andrew P. Gilbert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Michael E. Helmer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Broadway,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Axsome Therapeutics, Inc. –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1,019,719 shares (the “Plan Shares”) of the Company’s common stock, par value $0.0001 per share (the “Common Stock”), issuable under the Axsome Therapeutics, Inc. 2015 Omnibus Incentive Compensation Plan (the “2015 Plan”), as referenced in the Registration Statement.</w:t>
      </w:r>
    </w:p>
    <w:p>
      <w:pPr>
        <w:spacing w:after="0" w:line="154"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66"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1"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Based upon the foregoing, we are of the opinion that the Plan Shares have been duly authorized and, when and to the extent issued in accordance with the terms of the 2015 Plan and any award agreement entered into under the 2015 Plan, the Plan Shares will be validly issued, fully paid and nonassessable.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22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Axsome Therapeutics, Inc. 2015 Omnibus Incentive Compensation Plan of our report dated March 7, 2018, with respect to the consolidated financial statements of Axsome Therapeutics, Inc. included in its Annual Report (Form 10-K) for the year ended December 31, 2017,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5"/>
    </w:lvl>
  </w:abstractNum>
  <w:abstractNum w:abstractNumId="1">
    <w:nsid w:val="66334873"/>
    <w:multiLevelType w:val="hybridMultilevel"/>
    <w:lvl w:ilvl="0">
      <w:lvlJc w:val="left"/>
      <w:lvlText w:val="%1"/>
      <w:numFmt w:val="decimal"/>
      <w:start w:val="2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21" Type="http://schemas.openxmlformats.org/officeDocument/2006/relationships/hyperlink" Target="file:///data/convert/a18-18740_1ex5d1.htm#Exhibit5_1_084503" TargetMode="External"/><Relationship Id="rId22" Type="http://schemas.openxmlformats.org/officeDocument/2006/relationships/hyperlink" Target="file:///data/convert/a18-18740_1ex23d2.htm#Exhibit23_2_084550" TargetMode="External"/><Relationship Id="rId23" Type="http://schemas.openxmlformats.org/officeDocument/2006/relationships/hyperlink" Target="http://www.sec.gov/Archives/edgar/data/1579428/000104746915008199/a2226320zex-10_6.htm" TargetMode="External"/><Relationship Id="rId24" Type="http://schemas.openxmlformats.org/officeDocument/2006/relationships/hyperlink" Target="http://www.sec.gov/Archives/edgar/data/1579428/000110465915085196/a15-249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2019-12-08T07:26:40Z</dcterms:created>
  <dcterms:modified xsi:type="dcterms:W3CDTF">2019-12-08T07:26:40Z</dcterms:modified>
</cp:coreProperties>
</file>