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june_2023_offering_price.htm"/>
      <w:bookmarkStart w:id="1" w:name="ksjune_2023_offering_price"/>
      <w:bookmarkEnd w:id="0"/>
      <w:bookmarkEnd w:id="1"/>
      <w:r>
        <w:rPr/>
        <w:t> </w:t>
      </w:r>
    </w:p>
    <w:p>
      <w:pPr>
        <w:pStyle w:val="TextBody"/>
        <w:bidi w:val="0"/>
        <w:spacing w:before="0" w:after="0"/>
        <w:jc w:val="right"/>
        <w:rPr>
          <w:rFonts w:ascii="Times New Roman;serif" w:hAnsi="Times New Roman;serif"/>
          <w:b/>
          <w:sz w:val="20"/>
        </w:rPr>
      </w:pPr>
      <w:r>
        <w:rPr>
          <w:rFonts w:ascii="Times New Roman;serif" w:hAnsi="Times New Roman;serif"/>
          <w:b/>
          <w:sz w:val="20"/>
        </w:rPr>
        <w:t>Filed Pursuant to Rule 424(b)(5)</w:t>
      </w:r>
    </w:p>
    <w:p>
      <w:pPr>
        <w:pStyle w:val="TextBody"/>
        <w:bidi w:val="0"/>
        <w:spacing w:before="0" w:after="0"/>
        <w:jc w:val="right"/>
        <w:rPr>
          <w:rFonts w:ascii="Times New Roman;serif" w:hAnsi="Times New Roman;serif"/>
          <w:b/>
          <w:sz w:val="20"/>
        </w:rPr>
      </w:pPr>
      <w:r>
        <w:rPr>
          <w:rFonts w:ascii="Times New Roman;serif" w:hAnsi="Times New Roman;serif"/>
          <w:b/>
          <w:sz w:val="20"/>
        </w:rPr>
        <w:t>Registration No. 333-268664</w:t>
      </w:r>
    </w:p>
    <w:p>
      <w:pPr>
        <w:pStyle w:val="TextBody"/>
        <w:bidi w:val="0"/>
        <w:spacing w:before="0" w:after="0"/>
        <w:jc w:val="righ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PROSPECTUS SUPPLEMENT</w:t>
      </w:r>
    </w:p>
    <w:p>
      <w:pPr>
        <w:pStyle w:val="TextBody"/>
        <w:bidi w:val="0"/>
        <w:spacing w:before="0" w:after="0"/>
        <w:jc w:val="left"/>
        <w:rPr>
          <w:rFonts w:ascii="Times New Roman;serif" w:hAnsi="Times New Roman;serif"/>
          <w:b/>
          <w:sz w:val="20"/>
        </w:rPr>
      </w:pPr>
      <w:r>
        <w:rPr>
          <w:rFonts w:ascii="Times New Roman;serif" w:hAnsi="Times New Roman;serif"/>
          <w:b/>
          <w:sz w:val="20"/>
        </w:rPr>
        <w:t>(To Prospectus dated December 2, 2022)</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3,000,000 Shares</w:t>
      </w:r>
    </w:p>
    <w:p>
      <w:pPr>
        <w:pStyle w:val="TextBody"/>
        <w:bidi w:val="0"/>
        <w:spacing w:before="0" w:after="0"/>
        <w:jc w:val="center"/>
        <w:rPr/>
      </w:pPr>
      <w:r>
        <w:rPr/>
        <w:t> </w:t>
      </w:r>
    </w:p>
    <w:p>
      <w:pPr>
        <w:pStyle w:val="TextBody"/>
        <w:bidi w:val="0"/>
        <w:spacing w:before="0" w:after="240"/>
        <w:jc w:val="center"/>
        <w:rPr/>
      </w:pPr>
      <w:r>
        <w:rPr/>
        <w:drawing>
          <wp:inline distT="0" distB="0" distL="0" distR="0">
            <wp:extent cx="2038350" cy="1162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8350" cy="1162050"/>
                    </a:xfrm>
                    <a:prstGeom prst="rect">
                      <a:avLst/>
                    </a:prstGeom>
                  </pic:spPr>
                </pic:pic>
              </a:graphicData>
            </a:graphic>
          </wp:inline>
        </w:drawing>
      </w:r>
      <w:r>
        <w:rPr/>
        <w:t> </w:t>
      </w:r>
    </w:p>
    <w:p>
      <w:pPr>
        <w:pStyle w:val="TextBody"/>
        <w:bidi w:val="0"/>
        <w:spacing w:before="0" w:after="0"/>
        <w:jc w:val="center"/>
        <w:rPr>
          <w:rFonts w:ascii="Times New Roman;serif" w:hAnsi="Times New Roman;serif"/>
          <w:b/>
          <w:sz w:val="24"/>
        </w:rPr>
      </w:pPr>
      <w:r>
        <w:rPr>
          <w:rFonts w:ascii="Times New Roman;serif" w:hAnsi="Times New Roman;serif"/>
          <w:b/>
          <w:sz w:val="24"/>
        </w:rPr>
        <w:t>Axsome Therapeutics, Inc.</w:t>
      </w:r>
    </w:p>
    <w:p>
      <w:pPr>
        <w:pStyle w:val="TextBody"/>
        <w:bidi w:val="0"/>
        <w:spacing w:before="0" w:after="0"/>
        <w:jc w:val="center"/>
        <w:rPr>
          <w:rFonts w:ascii="Times New Roman;serif" w:hAnsi="Times New Roman;serif"/>
          <w:b/>
          <w:sz w:val="24"/>
        </w:rPr>
      </w:pPr>
      <w:r>
        <w:rPr>
          <w:rFonts w:ascii="Times New Roman;serif" w:hAnsi="Times New Roman;serif"/>
          <w:b/>
          <w:sz w:val="24"/>
        </w:rPr>
        <w:t>Common Stock</w:t>
      </w:r>
    </w:p>
    <w:p>
      <w:pPr>
        <w:pStyle w:val="TextBody"/>
        <w:pBdr>
          <w:bottom w:val="single" w:sz="6" w:space="1" w:color="000000"/>
        </w:pBdr>
        <w:bidi w:val="0"/>
        <w:spacing w:before="0" w:after="0"/>
        <w:jc w:val="left"/>
        <w:rPr/>
      </w:pPr>
      <w:r>
        <w:rPr/>
        <w:t> </w:t>
      </w:r>
    </w:p>
    <w:p>
      <w:pPr>
        <w:pStyle w:val="TextBody"/>
        <w:bidi w:val="0"/>
        <w:spacing w:before="0" w:after="0"/>
        <w:jc w:val="left"/>
        <w:rPr/>
      </w:pPr>
      <w:r>
        <w:rPr/>
        <w:t> </w:t>
      </w:r>
    </w:p>
    <w:p>
      <w:pPr>
        <w:pStyle w:val="TextBody"/>
        <w:bidi w:val="0"/>
        <w:spacing w:before="0" w:after="120"/>
        <w:jc w:val="left"/>
        <w:rPr>
          <w:rFonts w:ascii="Times New Roman;serif" w:hAnsi="Times New Roman;serif"/>
          <w:b w:val="false"/>
          <w:sz w:val="18"/>
        </w:rPr>
      </w:pPr>
      <w:r>
        <w:rPr>
          <w:rFonts w:ascii="Times New Roman;serif" w:hAnsi="Times New Roman;serif"/>
          <w:b w:val="false"/>
          <w:sz w:val="18"/>
        </w:rPr>
        <w:t>We are offering 3,000,000 shares of our common stock. Our common stock is listed on the Nasdaq Global Market under the symbol “AXSM.” On June 27, 2023, the last reported sale price of our common stock was $83.37 per share.</w:t>
      </w:r>
    </w:p>
    <w:p>
      <w:pPr>
        <w:pStyle w:val="TextBody"/>
        <w:bidi w:val="0"/>
        <w:spacing w:before="0" w:after="120"/>
        <w:jc w:val="left"/>
        <w:rPr/>
      </w:pPr>
      <w:r>
        <w:rPr>
          <w:rFonts w:ascii="Times New Roman;serif" w:hAnsi="Times New Roman;serif"/>
          <w:b/>
          <w:sz w:val="18"/>
        </w:rPr>
        <w:t>Investing in our common stock involves a high degree of risk. See “</w:t>
      </w:r>
      <w:hyperlink w:anchor="riskfactors">
        <w:r>
          <w:rPr>
            <w:rStyle w:val="InternetLink"/>
            <w:rFonts w:ascii="Times New Roman;serif" w:hAnsi="Times New Roman;serif"/>
            <w:b/>
            <w:sz w:val="18"/>
            <w:u w:val="single"/>
          </w:rPr>
          <w:t>Risk Factors</w:t>
        </w:r>
      </w:hyperlink>
      <w:r>
        <w:rPr>
          <w:rFonts w:ascii="Times New Roman" w:hAnsi="Times New Roman"/>
          <w:sz w:val="20"/>
        </w:rPr>
        <w:t xml:space="preserve">” </w:t>
      </w:r>
      <w:r>
        <w:rPr>
          <w:rFonts w:ascii="Times New Roman;serif" w:hAnsi="Times New Roman;serif"/>
          <w:b/>
          <w:sz w:val="18"/>
        </w:rPr>
        <w:t>beginning on page S-4</w:t>
      </w:r>
      <w:r>
        <w:rPr>
          <w:rFonts w:ascii="Times New Roman" w:hAnsi="Times New Roman"/>
          <w:sz w:val="20"/>
        </w:rPr>
        <w:t xml:space="preserve"> </w:t>
      </w:r>
      <w:r>
        <w:rPr>
          <w:rFonts w:ascii="Times New Roman;serif" w:hAnsi="Times New Roman;serif"/>
          <w:b/>
          <w:sz w:val="18"/>
        </w:rPr>
        <w:t>of this prospectus supplement and the risk factors in the documents incorporated by reference in this prospectus supplement and the accompanying prospectus.</w:t>
      </w:r>
    </w:p>
    <w:p>
      <w:pPr>
        <w:pStyle w:val="TextBody"/>
        <w:bidi w:val="0"/>
        <w:spacing w:before="0" w:after="0"/>
        <w:jc w:val="left"/>
        <w:rPr>
          <w:rFonts w:ascii="Times New Roman;serif" w:hAnsi="Times New Roman;serif"/>
          <w:b/>
          <w:sz w:val="18"/>
        </w:rPr>
      </w:pPr>
      <w:r>
        <w:rPr>
          <w:rFonts w:ascii="Times New Roman;serif" w:hAnsi="Times New Roman;serif"/>
          <w:b/>
          <w:sz w:val="18"/>
        </w:rPr>
        <w:t>Neither the Securities and Exchange Commission nor any state securities commission has approved or disapproved of these securities or determined if this prospectus is truthful or complete. Any representation to the contrary is a criminal offense.</w:t>
      </w:r>
    </w:p>
    <w:tbl>
      <w:tblPr>
        <w:tblW w:w="6032" w:type="dxa"/>
        <w:jc w:val="left"/>
        <w:tblInd w:w="0" w:type="dxa"/>
        <w:tblLayout w:type="fixed"/>
        <w:tblCellMar>
          <w:top w:w="28" w:type="dxa"/>
          <w:left w:w="28" w:type="dxa"/>
          <w:bottom w:w="28" w:type="dxa"/>
          <w:right w:w="28" w:type="dxa"/>
        </w:tblCellMar>
      </w:tblPr>
      <w:tblGrid>
        <w:gridCol w:w="3196"/>
        <w:gridCol w:w="146"/>
        <w:gridCol w:w="196"/>
        <w:gridCol w:w="901"/>
        <w:gridCol w:w="146"/>
        <w:gridCol w:w="196"/>
        <w:gridCol w:w="125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319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319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319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9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0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8"/>
              </w:rPr>
            </w:pPr>
            <w:r>
              <w:rPr>
                <w:rFonts w:ascii="Times New Roman;serif" w:hAnsi="Times New Roman;serif"/>
                <w:b/>
                <w:sz w:val="18"/>
              </w:rPr>
              <w:t>Per Share</w:t>
            </w:r>
            <w:r>
              <w:rPr>
                <w:rFonts w:ascii="Times New Roman" w:hAnsi="Times New Roman"/>
                <w:sz w:val="18"/>
              </w:rPr>
              <w:t xml:space="preserve"> </w:t>
            </w:r>
          </w:p>
        </w:tc>
        <w:tc>
          <w:tcPr>
            <w:tcW w:w="14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51" w:type="dxa"/>
            <w:tcBorders>
              <w:bottom w:val="single" w:sz="8" w:space="0" w:color="000000"/>
            </w:tcBorders>
            <w:tcMar>
              <w:top w:w="0" w:type="dxa"/>
              <w:left w:w="0" w:type="dxa"/>
              <w:right w:w="0" w:type="dxa"/>
            </w:tcMar>
            <w:vAlign w:val="center"/>
          </w:tcPr>
          <w:p>
            <w:pPr>
              <w:pStyle w:val="TableContents"/>
              <w:bidi w:val="0"/>
              <w:spacing w:before="0" w:after="0"/>
              <w:ind w:left="0" w:right="0" w:firstLine="160"/>
              <w:jc w:val="center"/>
              <w:rPr>
                <w:rFonts w:ascii="Times New Roman" w:hAnsi="Times New Roman"/>
                <w:sz w:val="18"/>
              </w:rPr>
            </w:pPr>
            <w:r>
              <w:rPr>
                <w:rFonts w:ascii="Times New Roman;serif" w:hAnsi="Times New Roman;serif"/>
                <w:b/>
                <w:sz w:val="18"/>
              </w:rPr>
              <w:t>Total</w:t>
            </w:r>
            <w:r>
              <w:rPr>
                <w:rFonts w:ascii="Times New Roman" w:hAnsi="Times New Roman"/>
                <w:sz w:val="18"/>
              </w:rPr>
              <w:t xml:space="preserve"> </w:t>
            </w:r>
          </w:p>
        </w:tc>
      </w:tr>
      <w:tr>
        <w:trPr/>
        <w:tc>
          <w:tcPr>
            <w:tcW w:w="3196" w:type="dxa"/>
            <w:tcBorders/>
            <w:tcMar>
              <w:top w:w="0" w:type="dxa"/>
              <w:left w:w="0" w:type="dxa"/>
              <w:bottom w:w="0" w:type="dxa"/>
              <w:right w:w="0" w:type="dxa"/>
            </w:tcMar>
            <w:vAlign w:val="center"/>
          </w:tcPr>
          <w:p>
            <w:pPr>
              <w:pStyle w:val="TableContents"/>
              <w:pBdr/>
              <w:bidi w:val="0"/>
              <w:spacing w:before="0" w:after="0"/>
              <w:ind w:left="0" w:right="0" w:hanging="160"/>
              <w:jc w:val="left"/>
              <w:rPr>
                <w:rFonts w:ascii="Times New Roman;serif" w:hAnsi="Times New Roman;serif"/>
                <w:b w:val="false"/>
                <w:sz w:val="18"/>
              </w:rPr>
            </w:pPr>
            <w:r>
              <w:rPr>
                <w:rFonts w:ascii="Times New Roman;serif" w:hAnsi="Times New Roman;serif"/>
                <w:b w:val="false"/>
                <w:sz w:val="18"/>
              </w:rPr>
              <w:t>Public offering price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75.00</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251" w:type="dxa"/>
            <w:tcBorders/>
            <w:tcMar>
              <w:top w:w="0" w:type="dxa"/>
              <w:left w:w="0" w:type="dxa"/>
              <w:bottom w:w="0" w:type="dxa"/>
              <w:right w:w="0" w:type="dxa"/>
            </w:tcMar>
            <w:vAlign w:val="center"/>
          </w:tcPr>
          <w:p>
            <w:pPr>
              <w:pStyle w:val="TableContents"/>
              <w:bidi w:val="0"/>
              <w:spacing w:before="0" w:after="0"/>
              <w:ind w:left="0" w:right="0" w:firstLine="200"/>
              <w:jc w:val="right"/>
              <w:rPr>
                <w:rFonts w:ascii="Times New Roman;serif" w:hAnsi="Times New Roman;serif"/>
                <w:b w:val="false"/>
                <w:sz w:val="18"/>
              </w:rPr>
            </w:pPr>
            <w:r>
              <w:rPr>
                <w:rFonts w:ascii="Times New Roman;serif" w:hAnsi="Times New Roman;serif"/>
                <w:b w:val="false"/>
                <w:sz w:val="18"/>
              </w:rPr>
              <w:t>225,000,000</w:t>
            </w:r>
          </w:p>
        </w:tc>
      </w:tr>
      <w:tr>
        <w:trPr/>
        <w:tc>
          <w:tcPr>
            <w:tcW w:w="3196" w:type="dxa"/>
            <w:tcBorders/>
            <w:tcMar>
              <w:top w:w="0" w:type="dxa"/>
              <w:left w:w="0" w:type="dxa"/>
              <w:bottom w:w="0" w:type="dxa"/>
              <w:right w:w="0" w:type="dxa"/>
            </w:tcMar>
            <w:vAlign w:val="center"/>
          </w:tcPr>
          <w:p>
            <w:pPr>
              <w:pStyle w:val="TableContents"/>
              <w:pBdr/>
              <w:bidi w:val="0"/>
              <w:spacing w:before="0" w:after="0"/>
              <w:ind w:left="0" w:right="0" w:hanging="200"/>
              <w:jc w:val="left"/>
              <w:rPr>
                <w:rFonts w:ascii="Times New Roman" w:hAnsi="Times New Roman"/>
                <w:sz w:val="18"/>
              </w:rPr>
            </w:pPr>
            <w:r>
              <w:rPr>
                <w:rFonts w:ascii="Times New Roman;serif" w:hAnsi="Times New Roman;serif"/>
                <w:b w:val="false"/>
                <w:sz w:val="18"/>
              </w:rPr>
              <w:t>Underwriting discounts and commissions</w:t>
            </w:r>
            <w:r>
              <w:rPr>
                <w:rFonts w:ascii="Times New Roman;serif" w:hAnsi="Times New Roman;serif"/>
                <w:b w:val="false"/>
                <w:sz w:val="10"/>
              </w:rPr>
              <w:t>(1)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4.50</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251" w:type="dxa"/>
            <w:tcBorders/>
            <w:tcMar>
              <w:top w:w="0" w:type="dxa"/>
              <w:left w:w="0" w:type="dxa"/>
              <w:bottom w:w="0" w:type="dxa"/>
              <w:right w:w="0" w:type="dxa"/>
            </w:tcMar>
            <w:vAlign w:val="center"/>
          </w:tcPr>
          <w:p>
            <w:pPr>
              <w:pStyle w:val="TableContents"/>
              <w:bidi w:val="0"/>
              <w:spacing w:before="0" w:after="0"/>
              <w:ind w:left="0" w:right="0" w:firstLine="200"/>
              <w:jc w:val="right"/>
              <w:rPr>
                <w:rFonts w:ascii="Times New Roman;serif" w:hAnsi="Times New Roman;serif"/>
                <w:b w:val="false"/>
                <w:sz w:val="18"/>
              </w:rPr>
            </w:pPr>
            <w:r>
              <w:rPr>
                <w:rFonts w:ascii="Times New Roman;serif" w:hAnsi="Times New Roman;serif"/>
                <w:b w:val="false"/>
                <w:sz w:val="18"/>
              </w:rPr>
              <w:t>13,500,000</w:t>
            </w:r>
          </w:p>
        </w:tc>
      </w:tr>
      <w:tr>
        <w:trPr/>
        <w:tc>
          <w:tcPr>
            <w:tcW w:w="3196" w:type="dxa"/>
            <w:tcBorders/>
            <w:tcMar>
              <w:top w:w="0" w:type="dxa"/>
              <w:left w:w="0" w:type="dxa"/>
              <w:bottom w:w="0" w:type="dxa"/>
              <w:right w:w="0" w:type="dxa"/>
            </w:tcMar>
            <w:vAlign w:val="center"/>
          </w:tcPr>
          <w:p>
            <w:pPr>
              <w:pStyle w:val="TableContents"/>
              <w:pBdr/>
              <w:bidi w:val="0"/>
              <w:spacing w:before="0" w:after="0"/>
              <w:ind w:left="0" w:right="0" w:hanging="200"/>
              <w:jc w:val="left"/>
              <w:rPr>
                <w:rFonts w:ascii="Times New Roman;serif" w:hAnsi="Times New Roman;serif"/>
                <w:b w:val="false"/>
                <w:sz w:val="18"/>
              </w:rPr>
            </w:pPr>
            <w:r>
              <w:rPr>
                <w:rFonts w:ascii="Times New Roman;serif" w:hAnsi="Times New Roman;serif"/>
                <w:b w:val="false"/>
                <w:sz w:val="18"/>
              </w:rPr>
              <w:t>Proceeds, before expenses, to us</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70.50</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25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211,500,000</w:t>
            </w:r>
          </w:p>
        </w:tc>
      </w:tr>
    </w:tbl>
    <w:p>
      <w:pPr>
        <w:pStyle w:val="TextBody"/>
        <w:bidi w:val="0"/>
        <w:spacing w:before="120" w:after="120"/>
        <w:jc w:val="left"/>
        <w:rPr>
          <w:rFonts w:ascii="Times New Roman" w:hAnsi="Times New Roman"/>
          <w:sz w:val="20"/>
        </w:rPr>
      </w:pPr>
      <w:r>
        <w:rPr>
          <w:rFonts w:ascii="Times New Roman;serif" w:hAnsi="Times New Roman;serif"/>
          <w:b/>
          <w:sz w:val="18"/>
        </w:rPr>
        <w:t xml:space="preserve">(1) </w:t>
      </w:r>
      <w:r>
        <w:rPr>
          <w:rFonts w:ascii="Times New Roman;serif" w:hAnsi="Times New Roman;serif"/>
          <w:b w:val="false"/>
          <w:sz w:val="18"/>
        </w:rPr>
        <w:t>We have agreed to reimburse the underwriters for certain expenses. See “Underwriting.”</w:t>
      </w:r>
    </w:p>
    <w:p>
      <w:pPr>
        <w:pStyle w:val="TextBody"/>
        <w:bidi w:val="0"/>
        <w:spacing w:before="0" w:after="120"/>
        <w:jc w:val="left"/>
        <w:rPr>
          <w:rFonts w:ascii="Times New Roman" w:hAnsi="Times New Roman"/>
          <w:sz w:val="20"/>
        </w:rPr>
      </w:pPr>
      <w:r>
        <w:rPr>
          <w:rFonts w:ascii="Times New Roman;serif" w:hAnsi="Times New Roman;serif"/>
          <w:b w:val="false"/>
          <w:sz w:val="18"/>
        </w:rPr>
        <w:t>We have granted the underwriters an option for 30 days from the date of this prospectus supplement to purchase up to 450,000 additional shares of our common stock. See “Underwriting” for more information.</w:t>
      </w:r>
      <w:r>
        <w:rPr>
          <w:rFonts w:ascii="Times New Roman" w:hAnsi="Times New Roman"/>
          <w:sz w:val="20"/>
        </w:rPr>
        <w:t xml:space="preserve"> </w:t>
      </w:r>
    </w:p>
    <w:p>
      <w:pPr>
        <w:pStyle w:val="TextBody"/>
        <w:bidi w:val="0"/>
        <w:spacing w:before="0" w:after="120"/>
        <w:jc w:val="left"/>
        <w:rPr>
          <w:rFonts w:ascii="Times New Roman" w:hAnsi="Times New Roman"/>
          <w:sz w:val="20"/>
        </w:rPr>
      </w:pPr>
      <w:r>
        <w:rPr>
          <w:rFonts w:ascii="Times New Roman;serif" w:hAnsi="Times New Roman;serif"/>
          <w:b w:val="false"/>
          <w:sz w:val="18"/>
        </w:rPr>
        <w:t>The underwriters expect to deliver the shares to the investors on or about June</w:t>
      </w:r>
      <w:r>
        <w:rPr>
          <w:rFonts w:ascii="Times New Roman" w:hAnsi="Times New Roman"/>
          <w:sz w:val="20"/>
        </w:rPr>
        <w:t xml:space="preserve"> </w:t>
      </w:r>
      <w:r>
        <w:rPr>
          <w:rFonts w:ascii="Times New Roman;serif" w:hAnsi="Times New Roman;serif"/>
          <w:b w:val="false"/>
          <w:sz w:val="20"/>
        </w:rPr>
        <w:t>30</w:t>
      </w:r>
      <w:r>
        <w:rPr>
          <w:rFonts w:ascii="Times New Roman;serif" w:hAnsi="Times New Roman;serif"/>
          <w:b w:val="false"/>
          <w:sz w:val="18"/>
        </w:rPr>
        <w:t>, 2023.</w:t>
      </w:r>
      <w:r>
        <w:rPr>
          <w:rFonts w:ascii="Times New Roman" w:hAnsi="Times New Roman"/>
          <w:sz w:val="20"/>
        </w:rPr>
        <w:t xml:space="preserve"> </w:t>
      </w:r>
    </w:p>
    <w:p>
      <w:pPr>
        <w:pStyle w:val="TextBody"/>
        <w:bidi w:val="0"/>
        <w:spacing w:before="0" w:after="120"/>
        <w:jc w:val="center"/>
        <w:rPr>
          <w:rFonts w:ascii="Times New Roman;serif" w:hAnsi="Times New Roman;serif"/>
          <w:b/>
          <w:i/>
          <w:sz w:val="20"/>
        </w:rPr>
      </w:pPr>
      <w:r>
        <w:rPr>
          <w:rFonts w:ascii="Times New Roman;serif" w:hAnsi="Times New Roman;serif"/>
          <w:b/>
          <w:i/>
          <w:sz w:val="20"/>
        </w:rPr>
        <w:t>Lead Bookrunning Manager</w:t>
      </w:r>
    </w:p>
    <w:p>
      <w:pPr>
        <w:pStyle w:val="TextBody"/>
        <w:bidi w:val="0"/>
        <w:spacing w:before="0" w:after="0"/>
        <w:jc w:val="center"/>
        <w:rPr>
          <w:rFonts w:ascii="Times New Roman;serif" w:hAnsi="Times New Roman;serif"/>
          <w:b/>
          <w:sz w:val="32"/>
        </w:rPr>
      </w:pPr>
      <w:r>
        <w:rPr>
          <w:rFonts w:ascii="Times New Roman;serif" w:hAnsi="Times New Roman;serif"/>
          <w:b/>
          <w:sz w:val="32"/>
        </w:rPr>
        <w:t>SVB Securities</w:t>
      </w:r>
    </w:p>
    <w:p>
      <w:pPr>
        <w:pStyle w:val="TextBody"/>
        <w:bidi w:val="0"/>
        <w:spacing w:before="0" w:after="0"/>
        <w:jc w:val="center"/>
        <w:rPr/>
      </w:pPr>
      <w:r>
        <w:rPr/>
        <w:t> </w:t>
      </w:r>
    </w:p>
    <w:p>
      <w:pPr>
        <w:pStyle w:val="TextBody"/>
        <w:bidi w:val="0"/>
        <w:spacing w:before="0" w:after="120"/>
        <w:jc w:val="center"/>
        <w:rPr>
          <w:rFonts w:ascii="Times New Roman;serif" w:hAnsi="Times New Roman;serif"/>
          <w:b/>
          <w:i/>
          <w:sz w:val="20"/>
        </w:rPr>
      </w:pPr>
      <w:r>
        <w:rPr>
          <w:rFonts w:ascii="Times New Roman;serif" w:hAnsi="Times New Roman;serif"/>
          <w:b/>
          <w:i/>
          <w:sz w:val="20"/>
        </w:rPr>
        <w:t>Joint Bookrunning Managers</w:t>
      </w:r>
    </w:p>
    <w:p>
      <w:pPr>
        <w:pStyle w:val="TextBody"/>
        <w:bidi w:val="0"/>
        <w:spacing w:before="0" w:after="0"/>
        <w:jc w:val="center"/>
        <w:rPr>
          <w:rFonts w:ascii="Times New Roman;serif" w:hAnsi="Times New Roman;serif"/>
          <w:b/>
          <w:sz w:val="28"/>
        </w:rPr>
      </w:pPr>
      <w:r>
        <w:rPr>
          <w:rFonts w:ascii="Times New Roman;serif" w:hAnsi="Times New Roman;serif"/>
          <w:b/>
          <w:sz w:val="28"/>
        </w:rPr>
        <w:t>Guggenheim Securities Truist Securities William Blair Cantor</w:t>
      </w:r>
    </w:p>
    <w:p>
      <w:pPr>
        <w:pStyle w:val="TextBody"/>
        <w:bidi w:val="0"/>
        <w:spacing w:before="0" w:after="0"/>
        <w:jc w:val="center"/>
        <w:rPr/>
      </w:pPr>
      <w:r>
        <w:rPr/>
        <w:t> </w:t>
      </w:r>
    </w:p>
    <w:p>
      <w:pPr>
        <w:pStyle w:val="TextBody"/>
        <w:bidi w:val="0"/>
        <w:spacing w:before="0" w:after="120"/>
        <w:jc w:val="center"/>
        <w:rPr>
          <w:rFonts w:ascii="Times New Roman;serif" w:hAnsi="Times New Roman;serif"/>
          <w:b/>
          <w:i/>
          <w:sz w:val="20"/>
        </w:rPr>
      </w:pPr>
      <w:r>
        <w:rPr>
          <w:rFonts w:ascii="Times New Roman;serif" w:hAnsi="Times New Roman;serif"/>
          <w:b/>
          <w:i/>
          <w:sz w:val="20"/>
        </w:rPr>
        <w:t>Lead Managers</w:t>
      </w:r>
    </w:p>
    <w:p>
      <w:pPr>
        <w:pStyle w:val="TextBody"/>
        <w:bidi w:val="0"/>
        <w:spacing w:before="0" w:after="0"/>
        <w:jc w:val="center"/>
        <w:rPr>
          <w:rFonts w:ascii="Times New Roman;serif" w:hAnsi="Times New Roman;serif"/>
          <w:b/>
          <w:sz w:val="24"/>
        </w:rPr>
      </w:pPr>
      <w:r>
        <w:rPr>
          <w:rFonts w:ascii="Times New Roman;serif" w:hAnsi="Times New Roman;serif"/>
          <w:b/>
          <w:sz w:val="24"/>
        </w:rPr>
        <w:t>Ladenburg Thalmann Mizuho H.C. Wainwright &amp; Co.</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date of this prospectus supplement is June 28, 2023.</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240"/>
        <w:jc w:val="center"/>
        <w:rPr>
          <w:rFonts w:ascii="Times New Roman;serif" w:hAnsi="Times New Roman;serif"/>
          <w:b/>
          <w:sz w:val="20"/>
        </w:rPr>
      </w:pPr>
      <w:bookmarkStart w:id="2" w:name="table_of_contents"/>
      <w:bookmarkStart w:id="3" w:name="toc_page_1"/>
      <w:bookmarkEnd w:id="2"/>
      <w:bookmarkEnd w:id="3"/>
      <w:r>
        <w:rPr>
          <w:rFonts w:ascii="Times New Roman;serif" w:hAnsi="Times New Roman;serif"/>
          <w:b/>
          <w:sz w:val="20"/>
        </w:rPr>
        <w:t>TABLE OF CONTENTS</w:t>
      </w:r>
    </w:p>
    <w:tbl>
      <w:tblPr>
        <w:tblW w:w="7048" w:type="dxa"/>
        <w:jc w:val="left"/>
        <w:tblInd w:w="0" w:type="dxa"/>
        <w:tblLayout w:type="fixed"/>
        <w:tblCellMar>
          <w:top w:w="28" w:type="dxa"/>
          <w:left w:w="28" w:type="dxa"/>
          <w:bottom w:w="28" w:type="dxa"/>
          <w:right w:w="28" w:type="dxa"/>
        </w:tblCellMar>
      </w:tblPr>
      <w:tblGrid>
        <w:gridCol w:w="6331"/>
        <w:gridCol w:w="146"/>
        <w:gridCol w:w="571"/>
      </w:tblGrid>
      <w:tr>
        <w:trPr/>
        <w:tc>
          <w:tcPr>
            <w:tcW w:w="6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Page</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Prospectus Supplement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aboutthisprospectussupplement">
              <w:r>
                <w:rPr>
                  <w:rStyle w:val="InternetLink"/>
                  <w:rFonts w:ascii="Times New Roman;serif" w:hAnsi="Times New Roman;serif"/>
                  <w:b w:val="false"/>
                  <w:caps/>
                  <w:sz w:val="20"/>
                  <w:u w:val="single"/>
                </w:rPr>
                <w:t>About this Prospectus Supplement</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caps/>
                <w:sz w:val="20"/>
              </w:rPr>
              <w:t>S-</w:t>
            </w:r>
            <w:r>
              <w:rPr>
                <w:rFonts w:ascii="Times New Roman;serif" w:hAnsi="Times New Roman;serif"/>
                <w:b w:val="false"/>
                <w:sz w:val="20"/>
              </w:rPr>
              <w:t>ii</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autionarynoteregardingforward">
              <w:r>
                <w:rPr>
                  <w:rStyle w:val="InternetLink"/>
                  <w:rFonts w:ascii="Times New Roman;serif" w:hAnsi="Times New Roman;serif"/>
                  <w:b w:val="false"/>
                  <w:caps/>
                  <w:sz w:val="20"/>
                  <w:u w:val="single"/>
                </w:rPr>
                <w:t>Cautionary Note Regarding Forward-Looking Statements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caps/>
                <w:sz w:val="20"/>
              </w:rPr>
              <w:t>S-</w:t>
            </w:r>
            <w:r>
              <w:rPr>
                <w:rFonts w:ascii="Times New Roman;serif" w:hAnsi="Times New Roman;serif"/>
                <w:b w:val="false"/>
                <w:sz w:val="20"/>
              </w:rPr>
              <w:t>iii</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rospectussupplementsummary">
              <w:r>
                <w:rPr>
                  <w:rStyle w:val="InternetLink"/>
                  <w:rFonts w:ascii="Times New Roman;serif" w:hAnsi="Times New Roman;serif"/>
                  <w:b w:val="false"/>
                  <w:caps/>
                  <w:sz w:val="20"/>
                  <w:u w:val="single"/>
                </w:rPr>
                <w:t>Prospectus Supplement Summary</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caps/>
                <w:sz w:val="20"/>
              </w:rPr>
            </w:pPr>
            <w:r>
              <w:rPr>
                <w:rFonts w:ascii="Times New Roman;serif" w:hAnsi="Times New Roman;serif"/>
                <w:b w:val="false"/>
                <w:caps/>
                <w:sz w:val="20"/>
              </w:rPr>
              <w:t>S-1</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riskfactors">
              <w:r>
                <w:rPr>
                  <w:rStyle w:val="InternetLink"/>
                  <w:rFonts w:ascii="Times New Roman;serif" w:hAnsi="Times New Roman;serif"/>
                  <w:b w:val="false"/>
                  <w:caps/>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caps/>
                <w:sz w:val="20"/>
              </w:rPr>
            </w:pPr>
            <w:r>
              <w:rPr>
                <w:rFonts w:ascii="Times New Roman;serif" w:hAnsi="Times New Roman;serif"/>
                <w:b w:val="false"/>
                <w:caps/>
                <w:sz w:val="20"/>
              </w:rPr>
              <w:t>S-4</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useofproceeds">
              <w:r>
                <w:rPr>
                  <w:rStyle w:val="InternetLink"/>
                  <w:rFonts w:ascii="Times New Roman;serif" w:hAnsi="Times New Roman;serif"/>
                  <w:b w:val="false"/>
                  <w:caps/>
                  <w:sz w:val="20"/>
                  <w:u w:val="single"/>
                </w:rPr>
                <w:t>Use of Proceeds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caps/>
                <w:sz w:val="20"/>
              </w:rPr>
            </w:pPr>
            <w:r>
              <w:rPr>
                <w:rFonts w:ascii="Times New Roman;serif" w:hAnsi="Times New Roman;serif"/>
                <w:b w:val="false"/>
                <w:caps/>
                <w:sz w:val="20"/>
              </w:rPr>
              <w:t>S-7</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dilution">
              <w:r>
                <w:rPr>
                  <w:rStyle w:val="InternetLink"/>
                  <w:rFonts w:ascii="Times New Roman;serif" w:hAnsi="Times New Roman;serif"/>
                  <w:b w:val="false"/>
                  <w:caps/>
                  <w:sz w:val="20"/>
                  <w:u w:val="single"/>
                </w:rPr>
                <w:t>Dilution</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caps/>
                <w:sz w:val="20"/>
              </w:rPr>
            </w:pPr>
            <w:r>
              <w:rPr>
                <w:rFonts w:ascii="Times New Roman;serif" w:hAnsi="Times New Roman;serif"/>
                <w:b w:val="false"/>
                <w:caps/>
                <w:sz w:val="20"/>
              </w:rPr>
              <w:t>S-8</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underwriting">
              <w:r>
                <w:rPr>
                  <w:rStyle w:val="InternetLink"/>
                  <w:rFonts w:ascii="Times New Roman;serif" w:hAnsi="Times New Roman;serif"/>
                  <w:b w:val="false"/>
                  <w:caps/>
                  <w:sz w:val="20"/>
                  <w:u w:val="single"/>
                </w:rPr>
                <w:t>Underwriting</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caps/>
                <w:sz w:val="20"/>
              </w:rPr>
            </w:pPr>
            <w:r>
              <w:rPr>
                <w:rFonts w:ascii="Times New Roman;serif" w:hAnsi="Times New Roman;serif"/>
                <w:b w:val="false"/>
                <w:caps/>
                <w:sz w:val="20"/>
              </w:rPr>
              <w:t>S-9</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legalmatters">
              <w:r>
                <w:rPr>
                  <w:rStyle w:val="InternetLink"/>
                  <w:rFonts w:ascii="Times New Roman;serif" w:hAnsi="Times New Roman;serif"/>
                  <w:b w:val="false"/>
                  <w:caps/>
                  <w:sz w:val="20"/>
                  <w:u w:val="single"/>
                </w:rPr>
                <w:t>Legal Matters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caps/>
                <w:sz w:val="20"/>
              </w:rPr>
            </w:pPr>
            <w:r>
              <w:rPr>
                <w:rFonts w:ascii="Times New Roman;serif" w:hAnsi="Times New Roman;serif"/>
                <w:b w:val="false"/>
                <w:caps/>
                <w:sz w:val="20"/>
              </w:rPr>
              <w:t>S-14</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experts">
              <w:r>
                <w:rPr>
                  <w:rStyle w:val="InternetLink"/>
                  <w:rFonts w:ascii="Times New Roman;serif" w:hAnsi="Times New Roman;serif"/>
                  <w:b w:val="false"/>
                  <w:caps/>
                  <w:sz w:val="20"/>
                  <w:u w:val="single"/>
                </w:rPr>
                <w:t>Experts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caps/>
                <w:sz w:val="20"/>
              </w:rPr>
            </w:pPr>
            <w:r>
              <w:rPr>
                <w:rFonts w:ascii="Times New Roman;serif" w:hAnsi="Times New Roman;serif"/>
                <w:b w:val="false"/>
                <w:caps/>
                <w:sz w:val="20"/>
              </w:rPr>
              <w:t>S-14</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whereyoucanfindmoreinformation">
              <w:r>
                <w:rPr>
                  <w:rStyle w:val="InternetLink"/>
                  <w:rFonts w:ascii="Times New Roman;serif" w:hAnsi="Times New Roman;serif"/>
                  <w:b w:val="false"/>
                  <w:caps/>
                  <w:sz w:val="20"/>
                  <w:u w:val="single"/>
                </w:rPr>
                <w:t>Where You Can Find More Information</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caps/>
                <w:sz w:val="20"/>
              </w:rPr>
            </w:pPr>
            <w:r>
              <w:rPr>
                <w:rFonts w:ascii="Times New Roman;serif" w:hAnsi="Times New Roman;serif"/>
                <w:b w:val="false"/>
                <w:caps/>
                <w:sz w:val="20"/>
              </w:rPr>
              <w:t>S-14</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nformationincorporatedbyreference">
              <w:r>
                <w:rPr>
                  <w:rStyle w:val="InternetLink"/>
                  <w:rFonts w:ascii="Times New Roman;serif" w:hAnsi="Times New Roman;serif"/>
                  <w:b w:val="false"/>
                  <w:caps/>
                  <w:sz w:val="20"/>
                  <w:u w:val="single"/>
                </w:rPr>
                <w:t>Information Incorporated by Reference</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S-15</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Prospectus</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about_this_prospectus">
              <w:r>
                <w:rPr>
                  <w:rStyle w:val="InternetLink"/>
                  <w:rFonts w:ascii="Times New Roman;serif" w:hAnsi="Times New Roman;serif"/>
                  <w:b w:val="false"/>
                  <w:sz w:val="20"/>
                  <w:u w:val="single"/>
                </w:rPr>
                <w:t>ABOUT THIS PROSPECTUS</w:t>
              </w:r>
            </w:hyperlink>
            <w:r>
              <w:rPr>
                <w:rFonts w:ascii="Times New Roman" w:hAnsi="Times New Roman"/>
                <w:sz w:val="20"/>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axsome_rapeutics_inc">
              <w:r>
                <w:rPr>
                  <w:rStyle w:val="InternetLink"/>
                  <w:rFonts w:ascii="Times New Roman;serif" w:hAnsi="Times New Roman;serif"/>
                  <w:b w:val="false"/>
                  <w:sz w:val="20"/>
                  <w:u w:val="single"/>
                </w:rPr>
                <w:t>AXSOME THERAPEUTICS, INC</w:t>
              </w:r>
            </w:hyperlink>
            <w:r>
              <w:rPr>
                <w:rFonts w:ascii="Times New Roman" w:hAnsi="Times New Roman"/>
                <w:sz w:val="20"/>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risk_factors">
              <w:r>
                <w:rPr>
                  <w:rStyle w:val="InternetLink"/>
                  <w:rFonts w:ascii="Times New Roman;serif" w:hAnsi="Times New Roman;serif"/>
                  <w:b w:val="false"/>
                  <w:sz w:val="20"/>
                  <w:u w:val="single"/>
                </w:rPr>
                <w:t>RISK FACTORS</w:t>
              </w:r>
            </w:hyperlink>
            <w:r>
              <w:rPr>
                <w:rFonts w:ascii="Times New Roman" w:hAnsi="Times New Roman"/>
                <w:sz w:val="20"/>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forwardlooking_statements">
              <w:r>
                <w:rPr>
                  <w:rStyle w:val="InternetLink"/>
                  <w:rFonts w:ascii="Times New Roman;serif" w:hAnsi="Times New Roman;serif"/>
                  <w:b w:val="false"/>
                  <w:sz w:val="20"/>
                  <w:u w:val="single"/>
                </w:rPr>
                <w:t>FORWARD-LOOKING STATEMENTS</w:t>
              </w:r>
            </w:hyperlink>
            <w:r>
              <w:rPr>
                <w:rFonts w:ascii="Times New Roman" w:hAnsi="Times New Roman"/>
                <w:sz w:val="20"/>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use_proceeds">
              <w:r>
                <w:rPr>
                  <w:rStyle w:val="InternetLink"/>
                  <w:rFonts w:ascii="Times New Roman;serif" w:hAnsi="Times New Roman;serif"/>
                  <w:b w:val="false"/>
                  <w:sz w:val="20"/>
                  <w:u w:val="single"/>
                </w:rPr>
                <w:t>USE OF PROCEEDS</w:t>
              </w:r>
            </w:hyperlink>
            <w:r>
              <w:rPr>
                <w:rFonts w:ascii="Times New Roman" w:hAnsi="Times New Roman"/>
                <w:sz w:val="20"/>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description_capital_stock">
              <w:r>
                <w:rPr>
                  <w:rStyle w:val="InternetLink"/>
                  <w:rFonts w:ascii="Times New Roman;serif" w:hAnsi="Times New Roman;serif"/>
                  <w:b w:val="false"/>
                  <w:sz w:val="20"/>
                  <w:u w:val="single"/>
                </w:rPr>
                <w:t>DESCRIPTION OF CAPITAL STOCK</w:t>
              </w:r>
            </w:hyperlink>
            <w:r>
              <w:rPr>
                <w:rFonts w:ascii="Times New Roman" w:hAnsi="Times New Roman"/>
                <w:sz w:val="20"/>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description_warrants">
              <w:r>
                <w:rPr>
                  <w:rStyle w:val="InternetLink"/>
                  <w:rFonts w:ascii="Times New Roman;serif" w:hAnsi="Times New Roman;serif"/>
                  <w:b w:val="false"/>
                  <w:sz w:val="20"/>
                  <w:u w:val="single"/>
                </w:rPr>
                <w:t>DESCRIPTION OF WARRANTS</w:t>
              </w:r>
            </w:hyperlink>
            <w:r>
              <w:rPr>
                <w:rFonts w:ascii="Times New Roman" w:hAnsi="Times New Roman"/>
                <w:sz w:val="20"/>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description_debt_securities">
              <w:r>
                <w:rPr>
                  <w:rStyle w:val="InternetLink"/>
                  <w:rFonts w:ascii="Times New Roman;serif" w:hAnsi="Times New Roman;serif"/>
                  <w:b w:val="false"/>
                  <w:sz w:val="20"/>
                  <w:u w:val="single"/>
                </w:rPr>
                <w:t>DESCRIPTION OF DEBT SECURITIES</w:t>
              </w:r>
            </w:hyperlink>
            <w:r>
              <w:rPr>
                <w:rFonts w:ascii="Times New Roman" w:hAnsi="Times New Roman"/>
                <w:sz w:val="20"/>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description_rights">
              <w:r>
                <w:rPr>
                  <w:rStyle w:val="InternetLink"/>
                  <w:rFonts w:ascii="Times New Roman;serif" w:hAnsi="Times New Roman;serif"/>
                  <w:b w:val="false"/>
                  <w:sz w:val="20"/>
                  <w:u w:val="single"/>
                </w:rPr>
                <w:t>DESCRIPTION OF RIGHTS</w:t>
              </w:r>
            </w:hyperlink>
            <w:r>
              <w:rPr>
                <w:rFonts w:ascii="Times New Roman" w:hAnsi="Times New Roman"/>
                <w:sz w:val="20"/>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description_units">
              <w:r>
                <w:rPr>
                  <w:rStyle w:val="InternetLink"/>
                  <w:rFonts w:ascii="Times New Roman;serif" w:hAnsi="Times New Roman;serif"/>
                  <w:b w:val="false"/>
                  <w:sz w:val="20"/>
                  <w:u w:val="single"/>
                </w:rPr>
                <w:t>DESCRIPTION OF UNITS</w:t>
              </w:r>
            </w:hyperlink>
            <w:r>
              <w:rPr>
                <w:rFonts w:ascii="Times New Roman" w:hAnsi="Times New Roman"/>
                <w:sz w:val="20"/>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lan_distribution">
              <w:r>
                <w:rPr>
                  <w:rStyle w:val="InternetLink"/>
                  <w:rFonts w:ascii="Times New Roman;serif" w:hAnsi="Times New Roman;serif"/>
                  <w:b w:val="false"/>
                  <w:sz w:val="20"/>
                  <w:u w:val="single"/>
                </w:rPr>
                <w:t>PLAN OF DISTRIBUTION</w:t>
              </w:r>
            </w:hyperlink>
            <w:r>
              <w:rPr>
                <w:rFonts w:ascii="Times New Roman" w:hAnsi="Times New Roman"/>
                <w:sz w:val="20"/>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legal_matters">
              <w:r>
                <w:rPr>
                  <w:rStyle w:val="InternetLink"/>
                  <w:rFonts w:ascii="Times New Roman;serif" w:hAnsi="Times New Roman;serif"/>
                  <w:b w:val="false"/>
                  <w:sz w:val="20"/>
                  <w:u w:val="single"/>
                </w:rPr>
                <w:t>LEGAL MATTERS</w:t>
              </w:r>
            </w:hyperlink>
            <w:r>
              <w:rPr>
                <w:rFonts w:ascii="Times New Roman" w:hAnsi="Times New Roman"/>
                <w:sz w:val="20"/>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experts">
              <w:r>
                <w:rPr>
                  <w:rStyle w:val="InternetLink"/>
                  <w:rFonts w:ascii="Times New Roman;serif" w:hAnsi="Times New Roman;serif"/>
                  <w:b w:val="false"/>
                  <w:sz w:val="20"/>
                  <w:u w:val="single"/>
                </w:rPr>
                <w:t>EXPERTS</w:t>
              </w:r>
            </w:hyperlink>
            <w:r>
              <w:rPr>
                <w:rFonts w:ascii="Times New Roman" w:hAnsi="Times New Roman"/>
                <w:sz w:val="20"/>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where_you_can_find_more_information">
              <w:r>
                <w:rPr>
                  <w:rStyle w:val="InternetLink"/>
                  <w:rFonts w:ascii="Times New Roman;serif" w:hAnsi="Times New Roman;serif"/>
                  <w:b w:val="false"/>
                  <w:sz w:val="20"/>
                  <w:u w:val="single"/>
                </w:rPr>
                <w:t>WHERE YOU CAN FIND MORE INFORMATION</w:t>
              </w:r>
            </w:hyperlink>
            <w:r>
              <w:rPr>
                <w:rFonts w:ascii="Times New Roman" w:hAnsi="Times New Roman"/>
                <w:sz w:val="20"/>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nformation_incorporated_by_reference">
              <w:r>
                <w:rPr>
                  <w:rStyle w:val="InternetLink"/>
                  <w:rFonts w:ascii="Times New Roman;serif" w:hAnsi="Times New Roman;serif"/>
                  <w:b w:val="false"/>
                  <w:sz w:val="20"/>
                  <w:u w:val="single"/>
                </w:rPr>
                <w:t>INFORMATION INCORPORATED BY REFERENCE</w:t>
              </w:r>
            </w:hyperlink>
            <w:r>
              <w:rPr>
                <w:rFonts w:ascii="Times New Roman" w:hAnsi="Times New Roman"/>
                <w:sz w:val="20"/>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r>
      <w:tr>
        <w:trPr/>
        <w:tc>
          <w:tcPr>
            <w:tcW w:w="63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120" w:after="0"/>
        <w:jc w:val="left"/>
        <w:rPr>
          <w:rFonts w:ascii="Times New Roman;serif" w:hAnsi="Times New Roman;serif"/>
          <w:b/>
          <w:sz w:val="20"/>
        </w:rPr>
      </w:pPr>
      <w:r>
        <w:rPr>
          <w:rFonts w:ascii="Times New Roman;serif" w:hAnsi="Times New Roman;serif"/>
          <w:b/>
          <w:sz w:val="20"/>
        </w:rPr>
        <w:t>Neither we nor any of the underwriters have authorized anyone to provide any information or to make any representations other than those contained or incorporated by reference in this prospectus supplement, the accompanying prospectus or in any free writing prospectus that we have authorized for use in connection with this offering. We and the underwriters take no responsibility for, and can provide no assurance as to the reliability of, any other information that others may give you. This prospectus supplement and the accompanying prospectus together constitute an offer to sell only the securities offered hereby, but only under circumstances and in jurisdictions where it is lawful to do so. The information contained in this prospectus supplement, the accompanying prospectus and any free writing prospectus that we have authorized for use in connection with this offering is current only as of its date. Our business, financial condition, results of operations and prospects may have changed since those dates. You should read this prospectus supplement, the accompanying prospectus, the documents incorporated by reference herein, and any free writing prospectus that we have authorized for use in connection with this offering when making your investment decision. You should also read and consider the information in the documents we have referred you to in the sections of this prospectus supplement entitled “Where You Can Find More Information” and “Information Incorporated by Reference.”</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S-i</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240"/>
        <w:jc w:val="center"/>
        <w:rPr>
          <w:rFonts w:ascii="Times New Roman;serif" w:hAnsi="Times New Roman;serif"/>
          <w:b/>
          <w:sz w:val="20"/>
        </w:rPr>
      </w:pPr>
      <w:bookmarkStart w:id="4" w:name="aboutthisprospectussupplement"/>
      <w:bookmarkEnd w:id="4"/>
      <w:r>
        <w:rPr>
          <w:rFonts w:ascii="Times New Roman;serif" w:hAnsi="Times New Roman;serif"/>
          <w:b/>
          <w:sz w:val="20"/>
        </w:rPr>
        <w:t>ABOUT THIS PROSPECTUS SUPPLEMENT</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This prospectus supplement and the accompanying prospectus form part of an automatic “shelf” registration statement on Form S-3 (File No. 333-268664) that we filed with the Securities and Exchange Commission, or SEC, as a “well-known seasoned issuer” as defined in Rule 405 under the Securities Act of 1933, as amended, or the Securities Act. This document contains two parts. The first part consists of this prospectus supplement, which provides you with specific information about this offering. The second part, the accompanying prospectus, provides more general information, some of which may not apply to this offering. Generally, when we refer only to the “prospectus,” we are referring to both parts combined.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herein or therein, the statements made in this prospectus supplement will be deemed to modify or supersede those made in the accompanying prospectus and such documents incorporated by reference herein and therein. You should read this prospectus supplement and the accompanying prospectus, including the information incorporated by reference herein and therein, and any related free writing prospectus that we have authorized for use in connection with this offering. Neither we nor the underwriters have authorized any dealer, salesman or other person to give any information or to make any representation other than those contained or incorporated by reference in this prospectus supplement, the accompanying prospectus or any related free writing prospectus that we have authorized for use in connection with this offering.</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This prospectus supplement, the accompanying prospectus and any related free writing prospectus do not constitute an offer to sell or the solicitation of an offer to buy any securities other than the registered securities to which they relate, nor do this prospectus supplement, the accompanying prospectus or any related free writing prospectus constitute an offer to sell or the solicitation of an offer to buy securities in any jurisdiction to any person to whom it is unlawful to make such offer or solicitation in such jurisdiction.</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You should not assume that the information contained in this prospectus supplement, the accompanying prospectus or any related free writing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supplement, the accompanying prospectus or any related free writing prospectus is delivered, or securities are sold, on a later date. You should assume that the information appearing in this prospectus supplement, the accompanying prospectus, the documents incorporated by reference and any related free writing prospectus is accurate only as of their respective dates. Our business, financial condition, results of operations and prospects may have changed materially since those dates.</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This prospectus supplement contains or incorporates by reference summaries of certain provisions contained in some of the documents described herein, but all such summaries are qualified in their entirety by the actual documents. Copies of some of the documents referred to herein have been or will be filed or have been or will be incorporated by reference as exhibits to the registration statement of which this prospectus supplement forms a part, and you may obtain copies of those documents as described in this prospectus supplement under the heading “Where You Can Find More Information.”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S-ii</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240"/>
        <w:jc w:val="center"/>
        <w:rPr>
          <w:rFonts w:ascii="Times New Roman;serif" w:hAnsi="Times New Roman;serif"/>
          <w:b/>
          <w:sz w:val="20"/>
        </w:rPr>
      </w:pPr>
      <w:bookmarkStart w:id="5" w:name="cautionarynoteregardingforward"/>
      <w:bookmarkEnd w:id="5"/>
      <w:r>
        <w:rPr>
          <w:rFonts w:ascii="Times New Roman;serif" w:hAnsi="Times New Roman;serif"/>
          <w:b/>
          <w:sz w:val="20"/>
        </w:rPr>
        <w:t>CAUTIONARY NOTE REGARDING FORWARD-LOOKING STATEMENTS</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Certain matters discussed in this prospectus supplement and the accompanying prospectus, including matters discussed under the heading “Management’s Discussion and Analysis of Financial Condition and Results of Operations,” incorporated by reference herein from our most recent Annual Report on Form 10-K and Quarterly Reports on Form 10-Q for the quarterly periods ended subsequent to our filing of such Annual Report on Form 10-K, may constitute forward-looking statements for purposes of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Our actual results may differ materially from the results anticipated in these forward-looking statements due to a variety of factors, including, without limitation, those discussed under the headings “Risk Factors” and “Management’s Discussion and Analysis of Financial Condition and Results of Operations” and elsewhere in this prospectus supplement and the documents incorporated by reference herein, as well as other factors which may be identified from time to time in our other filings with the SEC, or in the documents in which such forward-looking statements appear. All written or oral forward-looking statements attributable to us are expressly qualified in their entirety by these cautionary statements.</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In particular, our statements regarding trends and potential future results are examples of such forward-looking statements. The forward-looking statements include risks and uncertainties, including, but not limited to the continued commercial success of our Sunosi® and Auvelity® products and the success of our efforts to obtain any additional indication(s) with respect to solriamfetol and/or AXS-05; the success, timing and cost of our ongoing clinical trials and anticipated clinical trials for our current product candidates, including statements regarding the timing of initiation, pace of enrollment and completion of the trials, futility analyses and receipt of interim results; our ability to fund additional clinical trials to continue the advancement of our product candidates; the timing of and our ability to obtain and maintain regulatory approval from the U.S. Food and Drug Administration, or FDA, or other regulatory authority approval of, or other action with respect to, our product candidates; our ability to defend our intellectual property successfully or obtain the necessary licenses at a cost acceptable to us, if at all; the successful implementation of our research and development programs and collaborations; the success of our license agreements; the acceptance by the market of our products and product candidates, if approved; our anticipated capital requirements, including the amount of capital required for the continued commercialization of Sunosi and Auvelity and for our commercial launch of our other product candidates, and the potential impact on our anticipated cash runway; and other factors, including general economic conditions and regulatory developments, not within our control and discussed under the heading “Risk Factors,” including those risk factors that are incorporated by reference in this prospectus supplement and the accompanying prospectus.</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The forward-looking statements contained in this prospectus supplement and the accompanying prospectus reflect our views and assumptions only as of the date of this prospectus supplement. Except as required by law, we assume no responsibility for updating any forward-looking statements.</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S-iii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able_of_contents">
        <w:r>
          <w:rPr>
            <w:rStyle w:val="InternetLink"/>
            <w:rFonts w:ascii="Times New Roman;serif" w:hAnsi="Times New Roman;serif"/>
            <w:b w:val="false"/>
            <w:sz w:val="20"/>
            <w:u w:val="single"/>
            <w:bdr w:val="single" w:sz="4" w:space="1" w:color="000000"/>
          </w:rPr>
          <w:t>Table of Contents</w:t>
        </w:r>
      </w:hyperlink>
    </w:p>
    <w:p>
      <w:pPr>
        <w:pStyle w:val="TextBody"/>
        <w:bidi w:val="0"/>
        <w:spacing w:before="0" w:after="0"/>
        <w:ind w:left="0" w:right="0" w:hanging="0"/>
        <w:jc w:val="left"/>
        <w:rPr>
          <w:bdr w:val="single" w:sz="4" w:space="1" w:color="000000"/>
        </w:rPr>
      </w:pPr>
      <w:r>
        <w:rPr>
          <w:bdr w:val="single" w:sz="4" w:space="1" w:color="000000"/>
        </w:rPr>
        <w:t> </w:t>
      </w:r>
    </w:p>
    <w:p>
      <w:pPr>
        <w:pStyle w:val="TextBody"/>
        <w:bidi w:val="0"/>
        <w:spacing w:before="0" w:after="200"/>
        <w:ind w:left="0" w:right="0" w:hanging="0"/>
        <w:jc w:val="center"/>
        <w:rPr>
          <w:rFonts w:ascii="Times New Roman;serif" w:hAnsi="Times New Roman;serif"/>
          <w:b/>
          <w:sz w:val="20"/>
          <w:bdr w:val="single" w:sz="4" w:space="1" w:color="000000"/>
        </w:rPr>
      </w:pPr>
      <w:bookmarkStart w:id="6" w:name="prospectussupplementsummary"/>
      <w:bookmarkEnd w:id="6"/>
      <w:r>
        <w:rPr>
          <w:rFonts w:ascii="Times New Roman;serif" w:hAnsi="Times New Roman;serif"/>
          <w:b/>
          <w:sz w:val="20"/>
          <w:bdr w:val="single" w:sz="4" w:space="1" w:color="000000"/>
        </w:rPr>
        <w:t>PROSPECTUS SUPPLEMENT SUMMARY</w:t>
      </w:r>
    </w:p>
    <w:p>
      <w:pPr>
        <w:pStyle w:val="TextBody"/>
        <w:bidi w:val="0"/>
        <w:spacing w:before="0" w:after="200"/>
        <w:ind w:left="0" w:right="0" w:hanging="0"/>
        <w:jc w:val="left"/>
        <w:rPr>
          <w:rFonts w:ascii="Times New Roman;serif" w:hAnsi="Times New Roman;serif"/>
          <w:b w:val="false"/>
          <w:i/>
          <w:sz w:val="20"/>
          <w:bdr w:val="single" w:sz="4" w:space="1" w:color="000000"/>
        </w:rPr>
      </w:pPr>
      <w:r>
        <w:rPr>
          <w:rFonts w:ascii="Times New Roman;serif" w:hAnsi="Times New Roman;serif"/>
          <w:b w:val="false"/>
          <w:i/>
          <w:sz w:val="20"/>
          <w:bdr w:val="single" w:sz="4" w:space="1" w:color="000000"/>
        </w:rPr>
        <w:t>This summary highlights selected information contained elsewhere in, or incorporated by reference into, this prospectus supplement and the accompanying prospectus. Because it is only a summary, it does not contain all of the information that you should consider before investing in shares of our common stock and it is qualified in its entirety by, and should be read in conjunction with, the more detailed information appearing elsewhere in this prospectus supplement, the accompanying prospectus, any free writing prospectus that we have authorized for use in connection with this offering and the documents incorporated by reference in this prospectus supplement and the accompanying prospectus. You should read all such documents carefully and you should pay special attention to the information contained under the caption entitled “Risk Factors” in this prospectus, in our most recent Annual Report on Form 10-K, in any subsequent Quarterly Reports on Form 10-Q and in our other reports filed from time to time with the SEC, which are incorporated by reference into this prospectus, before deciding to buy shares of our common stock. Unless the context requires otherwise, references in this prospectus supplement and the accompanying prospectus to “Axsome,” “we,” “us” and “our” refer to Axsome Therapeutics, Inc. and our subsidiaries.</w:t>
      </w:r>
    </w:p>
    <w:p>
      <w:pPr>
        <w:pStyle w:val="TextBody"/>
        <w:bidi w:val="0"/>
        <w:spacing w:before="0" w:after="200"/>
        <w:ind w:left="0" w:right="0" w:hanging="0"/>
        <w:jc w:val="left"/>
        <w:rPr>
          <w:rFonts w:ascii="Times New Roman;serif" w:hAnsi="Times New Roman;serif"/>
          <w:b/>
          <w:sz w:val="20"/>
          <w:bdr w:val="single" w:sz="4" w:space="1" w:color="000000"/>
        </w:rPr>
      </w:pPr>
      <w:r>
        <w:rPr>
          <w:rFonts w:ascii="Times New Roman;serif" w:hAnsi="Times New Roman;serif"/>
          <w:b/>
          <w:sz w:val="20"/>
          <w:bdr w:val="single" w:sz="4" w:space="1" w:color="000000"/>
        </w:rPr>
        <w:t>Company Overview</w:t>
      </w:r>
    </w:p>
    <w:p>
      <w:pPr>
        <w:pStyle w:val="TextBody"/>
        <w:bidi w:val="0"/>
        <w:spacing w:before="0" w:after="0"/>
        <w:ind w:left="0" w:right="0" w:hanging="0"/>
        <w:jc w:val="left"/>
        <w:rPr>
          <w:rFonts w:ascii="Times New Roman;serif" w:hAnsi="Times New Roman;serif"/>
          <w:b w:val="false"/>
          <w:sz w:val="20"/>
          <w:bdr w:val="single" w:sz="4" w:space="1" w:color="000000"/>
        </w:rPr>
      </w:pPr>
      <w:r>
        <w:rPr>
          <w:rFonts w:ascii="Times New Roman;serif" w:hAnsi="Times New Roman;serif"/>
          <w:b w:val="false"/>
          <w:sz w:val="20"/>
          <w:bdr w:val="single" w:sz="4" w:space="1" w:color="000000"/>
        </w:rPr>
        <w:t>We are a commercial-stage biopharmaceutical company developing and delivering novel therapies for central nervous system, or CNS, conditions that have limited treatment options. By focusing on this therapeutic area, we are addressing significant and growing markets where current treatment options are limited or inadequate. We were incorporated on January 12, 2012 in the State of Delaware. Our portfolio primarily consists of two commercial products and the development programs described below.</w:t>
      </w:r>
    </w:p>
    <w:p>
      <w:pPr>
        <w:pStyle w:val="TextBody"/>
        <w:bidi w:val="0"/>
        <w:spacing w:before="0" w:after="0"/>
        <w:ind w:left="0" w:right="0" w:hanging="0"/>
        <w:jc w:val="left"/>
        <w:rPr>
          <w:bdr w:val="single" w:sz="4" w:space="1" w:color="000000"/>
        </w:rPr>
      </w:pPr>
      <w:r>
        <w:rPr>
          <w:bdr w:val="single" w:sz="4" w:space="1" w:color="000000"/>
        </w:rPr>
        <w:t> </w:t>
      </w:r>
    </w:p>
    <w:p>
      <w:pPr>
        <w:pStyle w:val="TextBody"/>
        <w:bidi w:val="0"/>
        <w:spacing w:before="0" w:after="0"/>
        <w:ind w:left="0" w:right="0" w:hanging="0"/>
        <w:jc w:val="left"/>
        <w:rPr>
          <w:rFonts w:ascii="Times New Roman;serif" w:hAnsi="Times New Roman;serif"/>
          <w:b/>
          <w:i/>
          <w:sz w:val="20"/>
          <w:bdr w:val="single" w:sz="4" w:space="1" w:color="000000"/>
        </w:rPr>
      </w:pPr>
      <w:r>
        <w:rPr>
          <w:rFonts w:ascii="Times New Roman;serif" w:hAnsi="Times New Roman;serif"/>
          <w:b/>
          <w:i/>
          <w:sz w:val="20"/>
          <w:bdr w:val="single" w:sz="4" w:space="1" w:color="000000"/>
        </w:rPr>
        <w:t>Commercial Products</w:t>
      </w:r>
    </w:p>
    <w:p>
      <w:pPr>
        <w:pStyle w:val="TextBody"/>
        <w:bidi w:val="0"/>
        <w:spacing w:before="120" w:after="0"/>
        <w:ind w:left="489" w:right="0" w:hanging="0"/>
        <w:jc w:val="left"/>
        <w:rPr>
          <w:rFonts w:ascii="Times New Roman" w:hAnsi="Times New Roman"/>
          <w:b/>
          <w:sz w:val="20"/>
          <w:bdr w:val="single" w:sz="4" w:space="1" w:color="000000"/>
        </w:rPr>
      </w:pPr>
      <w:r>
        <w:rPr>
          <w:rFonts w:ascii="Times New Roman" w:hAnsi="Times New Roman"/>
          <w:b/>
          <w:sz w:val="20"/>
          <w:bdr w:val="single" w:sz="4" w:space="1" w:color="000000"/>
        </w:rPr>
        <w:t>1.</w:t>
      </w:r>
    </w:p>
    <w:p>
      <w:pPr>
        <w:pStyle w:val="TextBody"/>
        <w:bidi w:val="0"/>
        <w:spacing w:before="120" w:after="283"/>
        <w:jc w:val="left"/>
        <w:rPr>
          <w:bdr w:val="single" w:sz="4" w:space="1" w:color="000000"/>
        </w:rPr>
      </w:pPr>
      <w:r>
        <w:rPr>
          <w:rFonts w:ascii="Times New Roman;serif" w:hAnsi="Times New Roman;serif"/>
          <w:b/>
          <w:sz w:val="20"/>
          <w:bdr w:val="single" w:sz="4" w:space="1" w:color="000000"/>
        </w:rPr>
        <w:t>Auvelity®</w:t>
      </w:r>
      <w:r>
        <w:rPr>
          <w:rFonts w:ascii="Times New Roman;serif" w:hAnsi="Times New Roman;serif"/>
          <w:b w:val="false"/>
          <w:sz w:val="20"/>
          <w:bdr w:val="single" w:sz="4" w:space="1" w:color="000000"/>
        </w:rPr>
        <w:t xml:space="preserve">. Auvelity (dextromethorphan-bupropion) is a novel, oral, N-methyl-D-aspartate (NMDA) receptor antagonist with multimodal activity indicated for the treatment of major depressive disorder, also known as MDD. Auvelity was developed by us and approved by the FDA for the treatment of MDD in August 2022. </w:t>
      </w:r>
    </w:p>
    <w:p>
      <w:pPr>
        <w:pStyle w:val="TextBody"/>
        <w:bidi w:val="0"/>
        <w:spacing w:before="120" w:after="0"/>
        <w:ind w:left="489" w:right="0" w:hanging="0"/>
        <w:jc w:val="left"/>
        <w:rPr>
          <w:rFonts w:ascii="Times New Roman" w:hAnsi="Times New Roman"/>
          <w:b/>
          <w:sz w:val="20"/>
          <w:bdr w:val="single" w:sz="4" w:space="1" w:color="000000"/>
        </w:rPr>
      </w:pPr>
      <w:r>
        <w:rPr>
          <w:rFonts w:ascii="Times New Roman" w:hAnsi="Times New Roman"/>
          <w:b/>
          <w:sz w:val="20"/>
          <w:bdr w:val="single" w:sz="4" w:space="1" w:color="000000"/>
        </w:rPr>
        <w:t>2.</w:t>
      </w:r>
    </w:p>
    <w:p>
      <w:pPr>
        <w:pStyle w:val="TextBody"/>
        <w:bidi w:val="0"/>
        <w:spacing w:before="120" w:after="283"/>
        <w:jc w:val="left"/>
        <w:rPr>
          <w:bdr w:val="single" w:sz="4" w:space="1" w:color="000000"/>
        </w:rPr>
      </w:pPr>
      <w:r>
        <w:rPr>
          <w:rFonts w:ascii="Times New Roman;serif" w:hAnsi="Times New Roman;serif"/>
          <w:b/>
          <w:sz w:val="20"/>
          <w:bdr w:val="single" w:sz="4" w:space="1" w:color="000000"/>
        </w:rPr>
        <w:t>Sunosi®</w:t>
      </w:r>
      <w:r>
        <w:rPr>
          <w:rFonts w:ascii="Times New Roman;serif" w:hAnsi="Times New Roman;serif"/>
          <w:b w:val="false"/>
          <w:sz w:val="20"/>
          <w:bdr w:val="single" w:sz="4" w:space="1" w:color="000000"/>
        </w:rPr>
        <w:t>. Sunosi (solriamfetol) is a novel, oral medication indicated to the treatment of excessive daytime sleepiness, also known as EDS, in patients with narcolepsy or obstructive sleep apnea. Sunosi was approved for the treatment of EDS in the United States in 2019 and by the European Commission in 2020. We acquired the U.S. rights to Sunosi from Jazz Pharmaceuticals plc, or Jazz, in May 2022 and worldwide ex-U.S. rights (excluding certain Asian markets) from Jazz in November 2022. We have been commercializing Sunosi since we completed these acquisitions. SK Biopharmaceuticals Co. Ltd., is the originator of Sunosi and retains rights in 12 Asian markets, including China, Korea, and Japan. In February 2023, we announced a licensing transaction with Pharmanovia to market Sunosi in Europe and certain countries in the Middle East and North Africa.</w:t>
      </w:r>
    </w:p>
    <w:p>
      <w:pPr>
        <w:pStyle w:val="TextBody"/>
        <w:bidi w:val="0"/>
        <w:spacing w:before="0" w:after="0"/>
        <w:ind w:left="0" w:right="0" w:hanging="0"/>
        <w:jc w:val="left"/>
        <w:rPr>
          <w:rFonts w:ascii="Times New Roman;serif" w:hAnsi="Times New Roman;serif"/>
          <w:b/>
          <w:i/>
          <w:sz w:val="20"/>
          <w:bdr w:val="single" w:sz="4" w:space="1" w:color="000000"/>
        </w:rPr>
      </w:pPr>
      <w:r>
        <w:rPr>
          <w:rFonts w:ascii="Times New Roman;serif" w:hAnsi="Times New Roman;serif"/>
          <w:b/>
          <w:i/>
          <w:sz w:val="20"/>
          <w:bdr w:val="single" w:sz="4" w:space="1" w:color="000000"/>
        </w:rPr>
        <w:t>Development Programs</w:t>
      </w:r>
    </w:p>
    <w:p>
      <w:pPr>
        <w:pStyle w:val="TextBody"/>
        <w:bidi w:val="0"/>
        <w:spacing w:before="0" w:after="0"/>
        <w:ind w:left="0" w:right="0" w:hanging="0"/>
        <w:jc w:val="left"/>
        <w:rPr>
          <w:bdr w:val="single" w:sz="4" w:space="1" w:color="000000"/>
        </w:rPr>
      </w:pPr>
      <w:r>
        <w:rPr>
          <w:bdr w:val="single" w:sz="4" w:space="1" w:color="000000"/>
        </w:rPr>
        <w:t> </w:t>
      </w:r>
    </w:p>
    <w:p>
      <w:pPr>
        <w:pStyle w:val="TextBody"/>
        <w:bidi w:val="0"/>
        <w:spacing w:before="0" w:after="0"/>
        <w:ind w:left="0" w:right="0" w:hanging="0"/>
        <w:jc w:val="left"/>
        <w:rPr>
          <w:rFonts w:ascii="Times New Roman;serif" w:hAnsi="Times New Roman;serif"/>
          <w:b w:val="false"/>
          <w:sz w:val="20"/>
          <w:bdr w:val="single" w:sz="4" w:space="1" w:color="000000"/>
        </w:rPr>
      </w:pPr>
      <w:r>
        <w:rPr>
          <w:rFonts w:ascii="Times New Roman;serif" w:hAnsi="Times New Roman;serif"/>
          <w:b w:val="false"/>
          <w:sz w:val="20"/>
          <w:bdr w:val="single" w:sz="4" w:space="1" w:color="000000"/>
        </w:rPr>
        <w:t>When used in product candidates under clinical or preclinical development, we refer to the proprietary dextromethorphan-bupropion combination contained in Auvelity as “AXS-05.” AXS-05 is a novel, oral, investigational NMDA receptor antagonist with multimodal activity under development for the treatment of Alzheimer’s disease agitation, or AD agitation, and smoking cessation. AXS-05 utilizes a proprietary combination and dose of dextromethorphan and bupropion, and Axsome’s metabolic inhibition technology, to modulate the delivery of the components. We have completed a Phase 2/3 trial of AXS-05 in AD agitation, which we refer to as the ADVANCE-1 trial. AXS-05 achieved the primary endpoint in the ADVANCE-1 trial. We have also completed the ACCORD trial, a Phase 3, double blind, placebo-controlled, randomized withdrawal trial in patients with AD agitation, and we are conducting an open-label long-term safety study in AD agitation. We are currently conducting the ADVANCE-2 trial, another Phase 3, double blind, placebo-controlled, randomized withdrawal trial in patients with AD agitation. A positive Phase 2 trial for the use of AXS-05 in smoking cessation has been completed under a research collaboration with Duke University.</w:t>
      </w:r>
    </w:p>
    <w:p>
      <w:pPr>
        <w:pStyle w:val="TextBody"/>
        <w:bidi w:val="0"/>
        <w:spacing w:before="0" w:after="0"/>
        <w:ind w:left="0" w:right="0" w:hanging="0"/>
        <w:jc w:val="left"/>
        <w:rPr>
          <w:rFonts w:ascii="Times New Roman;serif" w:hAnsi="Times New Roman;serif"/>
          <w:b w:val="false"/>
          <w:sz w:val="20"/>
          <w:bdr w:val="single" w:sz="4" w:space="1" w:color="000000"/>
        </w:rPr>
      </w:pPr>
      <w:r>
        <w:rPr>
          <w:rFonts w:ascii="Times New Roman;serif" w:hAnsi="Times New Roman;serif"/>
          <w:b w:val="false"/>
          <w:sz w:val="20"/>
          <w:bdr w:val="single" w:sz="4" w:space="1" w:color="000000"/>
        </w:rPr>
        <w:t>AXS-07 is a novel, oral, rapidly absorbed, multi-mechanistic, investigational medicine under development for the acute treatment of migraine. AXS-07 consists of MoSEIC, or Molecular Solubility Enhanced Inclusion Complex, meloxicam and rizatriptan. We have completed two Phase 3 trials of AXS-07 for the acute treatment of migraine, which we refer to as the MOMENTUM and INTERCEPT trials. AXS-07 achieved the co-primary endpoints in both the MOMENTUM and INTERCEPT trials. We have also completed an open-label, long-term, safety study of AXS-07 in patients with migraine known as the MOVEMENT trial. In the MOVEMENT trial, administration of AXS-07 resulted in rapid, and substantial relief of migraine pain and associated symptoms and was well tolerated with long term dosing. We submitted an NDA for AXS-07 in 2021, which was accepted, and received a complete response letter, or CRL, from the FDA in April 2022. The principal reasons given in the CRL relate to chemistry, manufacturing, and controls, or CMC considerations.</w:t>
      </w:r>
    </w:p>
    <w:p>
      <w:pPr>
        <w:pStyle w:val="TextBody"/>
        <w:bidi w:val="0"/>
        <w:spacing w:before="240" w:after="0"/>
        <w:ind w:left="0" w:right="0" w:hanging="0"/>
        <w:jc w:val="center"/>
        <w:rPr>
          <w:rFonts w:ascii="Times New Roman;serif" w:hAnsi="Times New Roman;serif"/>
          <w:b w:val="false"/>
          <w:sz w:val="20"/>
          <w:bdr w:val="single" w:sz="4" w:space="1" w:color="000000"/>
        </w:rPr>
      </w:pPr>
      <w:r>
        <w:rPr>
          <w:rFonts w:ascii="Times New Roman;serif" w:hAnsi="Times New Roman;serif"/>
          <w:b w:val="false"/>
          <w:sz w:val="20"/>
          <w:bdr w:val="single" w:sz="4" w:space="1" w:color="000000"/>
        </w:rPr>
        <w:t>S-1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able_of_contents">
        <w:r>
          <w:rPr>
            <w:rStyle w:val="InternetLink"/>
            <w:rFonts w:ascii="Times New Roman;serif" w:hAnsi="Times New Roman;serif"/>
            <w:b w:val="false"/>
            <w:sz w:val="20"/>
            <w:u w:val="single"/>
            <w:bdr w:val="single" w:sz="4" w:space="1" w:color="000000"/>
          </w:rPr>
          <w:t>Table of Contents</w:t>
        </w:r>
      </w:hyperlink>
    </w:p>
    <w:p>
      <w:pPr>
        <w:pStyle w:val="TextBody"/>
        <w:bidi w:val="0"/>
        <w:spacing w:before="0" w:after="0"/>
        <w:ind w:left="0" w:right="0" w:hanging="0"/>
        <w:jc w:val="left"/>
        <w:rPr>
          <w:bdr w:val="single" w:sz="4" w:space="1" w:color="000000"/>
        </w:rPr>
      </w:pPr>
      <w:r>
        <w:rPr>
          <w:bdr w:val="single" w:sz="4" w:space="1" w:color="000000"/>
        </w:rPr>
        <w:t> </w:t>
      </w:r>
    </w:p>
    <w:p>
      <w:pPr>
        <w:pStyle w:val="TextBody"/>
        <w:bidi w:val="0"/>
        <w:spacing w:before="0" w:after="0"/>
        <w:ind w:left="0" w:right="0" w:hanging="0"/>
        <w:jc w:val="left"/>
        <w:rPr>
          <w:bdr w:val="single" w:sz="4" w:space="1" w:color="000000"/>
        </w:rPr>
      </w:pPr>
      <w:r>
        <w:rPr>
          <w:bdr w:val="single" w:sz="4" w:space="1" w:color="000000"/>
        </w:rPr>
        <w:t> </w:t>
      </w:r>
    </w:p>
    <w:p>
      <w:pPr>
        <w:pStyle w:val="TextBody"/>
        <w:bidi w:val="0"/>
        <w:spacing w:before="0" w:after="0"/>
        <w:ind w:left="0" w:right="0" w:hanging="0"/>
        <w:jc w:val="left"/>
        <w:rPr>
          <w:rFonts w:ascii="Times New Roman;serif" w:hAnsi="Times New Roman;serif"/>
          <w:b w:val="false"/>
          <w:sz w:val="20"/>
          <w:bdr w:val="single" w:sz="4" w:space="1" w:color="000000"/>
        </w:rPr>
      </w:pPr>
      <w:r>
        <w:rPr>
          <w:rFonts w:ascii="Times New Roman;serif" w:hAnsi="Times New Roman;serif"/>
          <w:b w:val="false"/>
          <w:sz w:val="20"/>
          <w:bdr w:val="single" w:sz="4" w:space="1" w:color="000000"/>
        </w:rPr>
        <w:t>AXS-12, reboxetine, is a novel, oral, investigational medicine in development for the treatment of cataplexy in narcolepsy. AXS-12 is a highly selective and potent norepinephrine reuptake inhibitor. AXS-12 has been granted FDA Orphan Drug Designation for the treatment of narcolepsy. We have completed a Phase 2 trial with AXS-12, which we refer to as the CONCERT study. We are currently conducting a randomized, placebo-controlled Phase 3 trial with AXS-12 in narcolepsy, which we refer to as the SYMPHONY study, and one open-label long-term safety extension study.</w:t>
      </w:r>
    </w:p>
    <w:p>
      <w:pPr>
        <w:pStyle w:val="TextBody"/>
        <w:bidi w:val="0"/>
        <w:spacing w:before="0" w:after="0"/>
        <w:ind w:left="0" w:right="0" w:hanging="0"/>
        <w:jc w:val="left"/>
        <w:rPr>
          <w:bdr w:val="single" w:sz="4" w:space="1" w:color="000000"/>
        </w:rPr>
      </w:pPr>
      <w:r>
        <w:rPr>
          <w:bdr w:val="single" w:sz="4" w:space="1" w:color="000000"/>
        </w:rPr>
        <w:t> </w:t>
      </w:r>
    </w:p>
    <w:p>
      <w:pPr>
        <w:pStyle w:val="TextBody"/>
        <w:bidi w:val="0"/>
        <w:spacing w:before="0" w:after="0"/>
        <w:ind w:left="0" w:right="0" w:hanging="0"/>
        <w:jc w:val="left"/>
        <w:rPr>
          <w:rFonts w:ascii="Times New Roman;serif" w:hAnsi="Times New Roman;serif"/>
          <w:b w:val="false"/>
          <w:sz w:val="20"/>
          <w:bdr w:val="single" w:sz="4" w:space="1" w:color="000000"/>
        </w:rPr>
      </w:pPr>
      <w:r>
        <w:rPr>
          <w:rFonts w:ascii="Times New Roman;serif" w:hAnsi="Times New Roman;serif"/>
          <w:b w:val="false"/>
          <w:sz w:val="20"/>
          <w:bdr w:val="single" w:sz="4" w:space="1" w:color="000000"/>
        </w:rPr>
        <w:t>AXS-14, esreboxetine, is a novel, oral, investigational medicine in development for the treatment of fibromyalgia. AXS-14 is a highly selective and potent norepinephrine reuptake inhibitor. Esreboxetine, the SS-enantiomer of reboxetine, is more potent and selective than racemic reboxetine. We have in-licensed data from Pfizer Inc., or Pfizer, that includes a completed Phase 2 trial and Phase 3 trial in fibromyalgia, both of which were positive.</w:t>
      </w:r>
    </w:p>
    <w:p>
      <w:pPr>
        <w:pStyle w:val="TextBody"/>
        <w:bidi w:val="0"/>
        <w:spacing w:before="0" w:after="0"/>
        <w:ind w:left="0" w:right="0" w:hanging="0"/>
        <w:jc w:val="left"/>
        <w:rPr>
          <w:bdr w:val="single" w:sz="4" w:space="1" w:color="000000"/>
        </w:rPr>
      </w:pPr>
      <w:r>
        <w:rPr>
          <w:bdr w:val="single" w:sz="4" w:space="1" w:color="000000"/>
        </w:rPr>
        <w:t> </w:t>
      </w:r>
    </w:p>
    <w:p>
      <w:pPr>
        <w:pStyle w:val="TextBody"/>
        <w:bidi w:val="0"/>
        <w:spacing w:before="0" w:after="0"/>
        <w:ind w:left="0" w:right="0" w:hanging="0"/>
        <w:jc w:val="left"/>
        <w:rPr>
          <w:rFonts w:ascii="Times New Roman;serif" w:hAnsi="Times New Roman;serif"/>
          <w:b w:val="false"/>
          <w:sz w:val="20"/>
          <w:bdr w:val="single" w:sz="4" w:space="1" w:color="000000"/>
        </w:rPr>
      </w:pPr>
      <w:r>
        <w:rPr>
          <w:rFonts w:ascii="Times New Roman;serif" w:hAnsi="Times New Roman;serif"/>
          <w:b w:val="false"/>
          <w:sz w:val="20"/>
          <w:bdr w:val="single" w:sz="4" w:space="1" w:color="000000"/>
        </w:rPr>
        <w:t>Solriamfetol is the active ingredient in Sunosi. It is an oral, dual-acting dopamine and norepinephrine reuptake inhibitor. We recently announced our intent to conduct a Phase 3 trial of solriamfetol in adults with attention-deficit/hyperactivity disorder.</w:t>
      </w:r>
    </w:p>
    <w:p>
      <w:pPr>
        <w:pStyle w:val="TextBody"/>
        <w:bidi w:val="0"/>
        <w:spacing w:before="0" w:after="0"/>
        <w:ind w:left="0" w:right="0" w:hanging="0"/>
        <w:jc w:val="left"/>
        <w:rPr>
          <w:bdr w:val="single" w:sz="4" w:space="1" w:color="000000"/>
        </w:rPr>
      </w:pPr>
      <w:r>
        <w:rPr>
          <w:bdr w:val="single" w:sz="4" w:space="1" w:color="000000"/>
        </w:rPr>
        <w:t> </w:t>
      </w:r>
    </w:p>
    <w:p>
      <w:pPr>
        <w:pStyle w:val="TextBody"/>
        <w:bidi w:val="0"/>
        <w:spacing w:before="0" w:after="0"/>
        <w:ind w:left="0" w:right="0" w:hanging="0"/>
        <w:jc w:val="left"/>
        <w:rPr>
          <w:rFonts w:ascii="Times New Roman;serif" w:hAnsi="Times New Roman;serif"/>
          <w:b w:val="false"/>
          <w:sz w:val="20"/>
          <w:bdr w:val="single" w:sz="4" w:space="1" w:color="000000"/>
        </w:rPr>
      </w:pPr>
      <w:r>
        <w:rPr>
          <w:rFonts w:ascii="Times New Roman;serif" w:hAnsi="Times New Roman;serif"/>
          <w:b w:val="false"/>
          <w:sz w:val="20"/>
          <w:bdr w:val="single" w:sz="4" w:space="1" w:color="000000"/>
        </w:rPr>
        <w:t>Additionally, we are currently evaluating other product candidates, which we intend to develop for CNS disorders. We aim to become a fully integrated biopharmaceutical company that develops and commercializes differentiated therapies that increase available treatment options and improve the lives of patients living with CNS disorders.</w:t>
      </w:r>
    </w:p>
    <w:p>
      <w:pPr>
        <w:pStyle w:val="TextBody"/>
        <w:bidi w:val="0"/>
        <w:spacing w:before="0" w:after="0"/>
        <w:ind w:left="0" w:right="0" w:hanging="0"/>
        <w:jc w:val="left"/>
        <w:rPr>
          <w:bdr w:val="single" w:sz="4" w:space="1" w:color="000000"/>
        </w:rPr>
      </w:pPr>
      <w:r>
        <w:rPr>
          <w:bdr w:val="single" w:sz="4" w:space="1" w:color="000000"/>
        </w:rPr>
        <w:t> </w:t>
      </w:r>
    </w:p>
    <w:p>
      <w:pPr>
        <w:pStyle w:val="TextBody"/>
        <w:bidi w:val="0"/>
        <w:spacing w:before="0" w:after="0"/>
        <w:ind w:left="0" w:right="0" w:hanging="0"/>
        <w:jc w:val="left"/>
        <w:rPr>
          <w:rFonts w:ascii="Times New Roman;serif" w:hAnsi="Times New Roman;serif"/>
          <w:b/>
          <w:sz w:val="20"/>
          <w:bdr w:val="single" w:sz="4" w:space="1" w:color="000000"/>
        </w:rPr>
      </w:pPr>
      <w:r>
        <w:rPr>
          <w:rFonts w:ascii="Times New Roman;serif" w:hAnsi="Times New Roman;serif"/>
          <w:b/>
          <w:sz w:val="20"/>
          <w:bdr w:val="single" w:sz="4" w:space="1" w:color="000000"/>
        </w:rPr>
        <w:t>Recent Developments</w:t>
      </w:r>
    </w:p>
    <w:p>
      <w:pPr>
        <w:pStyle w:val="TextBody"/>
        <w:bidi w:val="0"/>
        <w:spacing w:before="0" w:after="0"/>
        <w:ind w:left="0" w:right="0" w:hanging="0"/>
        <w:jc w:val="left"/>
        <w:rPr>
          <w:bdr w:val="single" w:sz="4" w:space="1" w:color="000000"/>
        </w:rPr>
      </w:pPr>
      <w:r>
        <w:rPr>
          <w:bdr w:val="single" w:sz="4" w:space="1" w:color="000000"/>
        </w:rPr>
        <w:t> </w:t>
      </w:r>
    </w:p>
    <w:p>
      <w:pPr>
        <w:pStyle w:val="TextBody"/>
        <w:bidi w:val="0"/>
        <w:spacing w:before="0" w:after="0"/>
        <w:ind w:left="0" w:right="0" w:hanging="0"/>
        <w:jc w:val="left"/>
        <w:rPr>
          <w:rFonts w:ascii="Times New Roman;serif" w:hAnsi="Times New Roman;serif"/>
          <w:b w:val="false"/>
          <w:sz w:val="20"/>
          <w:bdr w:val="single" w:sz="4" w:space="1" w:color="000000"/>
        </w:rPr>
      </w:pPr>
      <w:r>
        <w:rPr>
          <w:rFonts w:ascii="Times New Roman;serif" w:hAnsi="Times New Roman;serif"/>
          <w:b w:val="false"/>
          <w:sz w:val="20"/>
          <w:bdr w:val="single" w:sz="4" w:space="1" w:color="000000"/>
        </w:rPr>
        <w:t>Under our Loan and Security Agreement, or Loan Agreement, with Hercules Capital, Inc., dated as of September 25, 2020 and as subsequently amended on October 14, 2021, March 27, 2022 and January 9, 2023, we had $150.0 million in outstanding principal as of March 31, 2023 (out of $350.0 million in aggregate principal amount that was, or may be in the future, be available). On June 15, 2023, we drew down an additional $30.0 million in term loan advances under the Loan Agreement.</w:t>
      </w:r>
    </w:p>
    <w:p>
      <w:pPr>
        <w:pStyle w:val="TextBody"/>
        <w:bidi w:val="0"/>
        <w:spacing w:before="0" w:after="0"/>
        <w:ind w:left="0" w:right="0" w:hanging="0"/>
        <w:jc w:val="left"/>
        <w:rPr>
          <w:bdr w:val="single" w:sz="4" w:space="1" w:color="000000"/>
        </w:rPr>
      </w:pPr>
      <w:r>
        <w:rPr>
          <w:bdr w:val="single" w:sz="4" w:space="1" w:color="000000"/>
        </w:rPr>
        <w:t> </w:t>
      </w:r>
    </w:p>
    <w:p>
      <w:pPr>
        <w:pStyle w:val="TextBody"/>
        <w:bidi w:val="0"/>
        <w:spacing w:before="0" w:after="0"/>
        <w:ind w:left="0" w:right="0" w:hanging="0"/>
        <w:jc w:val="left"/>
        <w:rPr>
          <w:rFonts w:ascii="Times New Roman;serif" w:hAnsi="Times New Roman;serif"/>
          <w:b w:val="false"/>
          <w:sz w:val="20"/>
          <w:bdr w:val="single" w:sz="4" w:space="1" w:color="000000"/>
        </w:rPr>
      </w:pPr>
      <w:r>
        <w:rPr>
          <w:rFonts w:ascii="Times New Roman;serif" w:hAnsi="Times New Roman;serif"/>
          <w:b w:val="false"/>
          <w:sz w:val="20"/>
          <w:bdr w:val="single" w:sz="4" w:space="1" w:color="000000"/>
        </w:rPr>
        <w:t>On June 22, 2023, the Audit Committee of the Board of Directors, or the Audit Committee, determined that it would be in the best interest of Axsome and our stockholders to engage a new independent registered public accounting firm for the fiscal year ending December 31, 2023. Accordingly, the Audit Committee approved the engagement of Deloitte &amp; Touche LLP and the dismissal of Ernst &amp; Young LLP as our independent registered public accounting firm for the fiscal year ending December 31, 2023, each to be effective as of June 30, 2023.</w:t>
      </w:r>
    </w:p>
    <w:p>
      <w:pPr>
        <w:pStyle w:val="TextBody"/>
        <w:bidi w:val="0"/>
        <w:spacing w:before="0" w:after="0"/>
        <w:ind w:left="0" w:right="0" w:hanging="0"/>
        <w:jc w:val="left"/>
        <w:rPr>
          <w:bdr w:val="single" w:sz="4" w:space="1" w:color="000000"/>
        </w:rPr>
      </w:pPr>
      <w:r>
        <w:rPr>
          <w:bdr w:val="single" w:sz="4" w:space="1" w:color="000000"/>
        </w:rPr>
        <w:t> </w:t>
      </w:r>
    </w:p>
    <w:p>
      <w:pPr>
        <w:pStyle w:val="TextBody"/>
        <w:bidi w:val="0"/>
        <w:spacing w:before="0" w:after="240"/>
        <w:ind w:left="0" w:right="0" w:hanging="0"/>
        <w:jc w:val="left"/>
        <w:rPr>
          <w:rFonts w:ascii="Times New Roman;serif" w:hAnsi="Times New Roman;serif"/>
          <w:b/>
          <w:sz w:val="20"/>
          <w:bdr w:val="single" w:sz="4" w:space="1" w:color="000000"/>
        </w:rPr>
      </w:pPr>
      <w:r>
        <w:rPr>
          <w:rFonts w:ascii="Times New Roman;serif" w:hAnsi="Times New Roman;serif"/>
          <w:b/>
          <w:sz w:val="20"/>
          <w:bdr w:val="single" w:sz="4" w:space="1" w:color="000000"/>
        </w:rPr>
        <w:t>Corporate Information</w:t>
      </w:r>
    </w:p>
    <w:p>
      <w:pPr>
        <w:pStyle w:val="TextBody"/>
        <w:bidi w:val="0"/>
        <w:spacing w:before="0" w:after="240"/>
        <w:ind w:left="0" w:right="0" w:hanging="0"/>
        <w:jc w:val="left"/>
        <w:rPr>
          <w:rFonts w:ascii="Times New Roman;serif" w:hAnsi="Times New Roman;serif"/>
          <w:b w:val="false"/>
          <w:sz w:val="20"/>
          <w:bdr w:val="single" w:sz="4" w:space="1" w:color="000000"/>
        </w:rPr>
      </w:pPr>
      <w:r>
        <w:rPr>
          <w:rFonts w:ascii="Times New Roman;serif" w:hAnsi="Times New Roman;serif"/>
          <w:b w:val="false"/>
          <w:sz w:val="20"/>
          <w:bdr w:val="single" w:sz="4" w:space="1" w:color="000000"/>
        </w:rPr>
        <w:t>Our principal executive offices are located at One World Trade Center, 22nd Floor, New York, New York 10007, and our telephone number is (212) 332</w:t>
        <w:noBreakHyphen/>
        <w:t>3241.</w:t>
      </w:r>
    </w:p>
    <w:p>
      <w:pPr>
        <w:pStyle w:val="TextBody"/>
        <w:bidi w:val="0"/>
        <w:spacing w:before="0" w:after="240"/>
        <w:ind w:left="0" w:right="0" w:hanging="0"/>
        <w:jc w:val="left"/>
        <w:rPr>
          <w:rFonts w:ascii="Times New Roman" w:hAnsi="Times New Roman"/>
          <w:sz w:val="20"/>
          <w:bdr w:val="single" w:sz="4" w:space="1" w:color="000000"/>
        </w:rPr>
      </w:pPr>
      <w:r>
        <w:rPr>
          <w:rFonts w:ascii="Times New Roman;serif" w:hAnsi="Times New Roman;serif"/>
          <w:b w:val="false"/>
          <w:sz w:val="20"/>
          <w:bdr w:val="single" w:sz="4" w:space="1" w:color="000000"/>
        </w:rPr>
        <w:t xml:space="preserve">Information concerning our business and our prospects is included in the documents that we file with the SEC as a reporting company under the Exchange Act, which are accessible at </w:t>
      </w:r>
      <w:r>
        <w:rPr>
          <w:rFonts w:ascii="Times New Roman;serif" w:hAnsi="Times New Roman;serif"/>
          <w:b w:val="false"/>
          <w:i/>
          <w:sz w:val="20"/>
          <w:bdr w:val="single" w:sz="4" w:space="1" w:color="000000"/>
        </w:rPr>
        <w:t>www.sec.gov</w:t>
      </w:r>
      <w:r>
        <w:rPr>
          <w:rFonts w:ascii="Times New Roman;serif" w:hAnsi="Times New Roman;serif"/>
          <w:b w:val="false"/>
          <w:sz w:val="20"/>
          <w:bdr w:val="single" w:sz="4" w:space="1" w:color="000000"/>
        </w:rPr>
        <w:t xml:space="preserve">, and on our website at </w:t>
      </w:r>
      <w:r>
        <w:rPr>
          <w:rFonts w:ascii="Times New Roman;serif" w:hAnsi="Times New Roman;serif"/>
          <w:b w:val="false"/>
          <w:i/>
          <w:sz w:val="20"/>
          <w:bdr w:val="single" w:sz="4" w:space="1" w:color="000000"/>
        </w:rPr>
        <w:t>www.axsome.com</w:t>
      </w:r>
      <w:r>
        <w:rPr>
          <w:rFonts w:ascii="Times New Roman;serif" w:hAnsi="Times New Roman;serif"/>
          <w:b w:val="false"/>
          <w:sz w:val="20"/>
          <w:bdr w:val="single" w:sz="4" w:space="1" w:color="000000"/>
        </w:rPr>
        <w:t>. The information contained on, or that can be accessed through, our website is not a part of this prospectus supplement. Investors should not rely on any such information in deciding whether to purchase our common stock. We have included our website address in this prospectus supplement solely as an inactive textual reference.</w:t>
      </w:r>
    </w:p>
    <w:p>
      <w:pPr>
        <w:pStyle w:val="TextBody"/>
        <w:bidi w:val="0"/>
        <w:spacing w:before="0" w:after="0"/>
        <w:ind w:left="0" w:right="0" w:hanging="0"/>
        <w:jc w:val="left"/>
        <w:rPr>
          <w:bdr w:val="single" w:sz="4" w:space="1" w:color="000000"/>
        </w:rPr>
      </w:pPr>
      <w:r>
        <w:rPr>
          <w:bdr w:val="single" w:sz="4" w:space="1" w:color="000000"/>
        </w:rPr>
        <w:t> </w:t>
      </w:r>
    </w:p>
    <w:p>
      <w:pPr>
        <w:pStyle w:val="TextBody"/>
        <w:bidi w:val="0"/>
        <w:spacing w:before="240" w:after="0"/>
        <w:ind w:left="0" w:right="0" w:hanging="0"/>
        <w:jc w:val="center"/>
        <w:rPr>
          <w:rFonts w:ascii="Times New Roman;serif" w:hAnsi="Times New Roman;serif"/>
          <w:b w:val="false"/>
          <w:sz w:val="20"/>
          <w:bdr w:val="single" w:sz="4" w:space="1" w:color="000000"/>
        </w:rPr>
      </w:pPr>
      <w:r>
        <w:rPr>
          <w:rFonts w:ascii="Times New Roman;serif" w:hAnsi="Times New Roman;serif"/>
          <w:b w:val="false"/>
          <w:sz w:val="20"/>
          <w:bdr w:val="single" w:sz="4" w:space="1" w:color="000000"/>
        </w:rPr>
        <w:t>S-2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able_of_contents">
        <w:r>
          <w:rPr>
            <w:rStyle w:val="InternetLink"/>
            <w:rFonts w:ascii="Times New Roman;serif" w:hAnsi="Times New Roman;serif"/>
            <w:b w:val="false"/>
            <w:sz w:val="20"/>
            <w:u w:val="single"/>
            <w:bdr w:val="single" w:sz="4" w:space="1" w:color="000000"/>
          </w:rPr>
          <w:t>Table of Contents</w:t>
        </w:r>
      </w:hyperlink>
    </w:p>
    <w:p>
      <w:pPr>
        <w:pStyle w:val="TextBody"/>
        <w:bidi w:val="0"/>
        <w:spacing w:before="0" w:after="0"/>
        <w:ind w:left="0" w:right="0" w:hanging="0"/>
        <w:jc w:val="left"/>
        <w:rPr>
          <w:bdr w:val="single" w:sz="4" w:space="1" w:color="000000"/>
        </w:rPr>
      </w:pPr>
      <w:r>
        <w:rPr>
          <w:bdr w:val="single" w:sz="4" w:space="1" w:color="000000"/>
        </w:rPr>
        <w:t> </w:t>
      </w:r>
    </w:p>
    <w:p>
      <w:pPr>
        <w:pStyle w:val="TextBody"/>
        <w:bidi w:val="0"/>
        <w:spacing w:before="0" w:after="0"/>
        <w:ind w:left="0" w:right="0" w:hanging="0"/>
        <w:jc w:val="left"/>
        <w:rPr>
          <w:bdr w:val="single" w:sz="4" w:space="1" w:color="000000"/>
        </w:rPr>
      </w:pPr>
      <w:r>
        <w:rPr>
          <w:bdr w:val="single" w:sz="4" w:space="1" w:color="000000"/>
        </w:rPr>
        <w:t> </w:t>
      </w:r>
    </w:p>
    <w:p>
      <w:pPr>
        <w:pStyle w:val="TextBody"/>
        <w:bidi w:val="0"/>
        <w:spacing w:before="0" w:after="240"/>
        <w:ind w:left="0" w:right="0" w:hanging="0"/>
        <w:jc w:val="center"/>
        <w:rPr>
          <w:rFonts w:ascii="Times New Roman;serif" w:hAnsi="Times New Roman;serif"/>
          <w:b/>
          <w:sz w:val="20"/>
          <w:bdr w:val="single" w:sz="4" w:space="1" w:color="000000"/>
        </w:rPr>
      </w:pPr>
      <w:r>
        <w:rPr>
          <w:rFonts w:ascii="Times New Roman;serif" w:hAnsi="Times New Roman;serif"/>
          <w:b/>
          <w:sz w:val="20"/>
          <w:bdr w:val="single" w:sz="4" w:space="1" w:color="000000"/>
        </w:rPr>
        <w:t>THE OFFERING</w:t>
      </w:r>
    </w:p>
    <w:tbl>
      <w:tblPr>
        <w:tblW w:w="10205" w:type="dxa"/>
        <w:jc w:val="left"/>
        <w:tblInd w:w="0" w:type="dxa"/>
        <w:tblLayout w:type="fixed"/>
        <w:tblCellMar>
          <w:top w:w="28" w:type="dxa"/>
          <w:left w:w="28" w:type="dxa"/>
          <w:bottom w:w="28" w:type="dxa"/>
          <w:right w:w="28" w:type="dxa"/>
        </w:tblCellMar>
      </w:tblPr>
      <w:tblGrid>
        <w:gridCol w:w="1650"/>
        <w:gridCol w:w="146"/>
        <w:gridCol w:w="8409"/>
      </w:tblGrid>
      <w:tr>
        <w:trPr/>
        <w:tc>
          <w:tcPr>
            <w:tcW w:w="16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09" w:type="dxa"/>
            <w:tcBorders/>
            <w:vAlign w:val="center"/>
          </w:tcPr>
          <w:p>
            <w:pPr>
              <w:pStyle w:val="TableContents"/>
              <w:bidi w:val="0"/>
              <w:spacing w:before="0" w:after="283"/>
              <w:jc w:val="left"/>
              <w:rPr>
                <w:sz w:val="4"/>
                <w:szCs w:val="4"/>
              </w:rPr>
            </w:pPr>
            <w:r>
              <w:rPr>
                <w:sz w:val="4"/>
                <w:szCs w:val="4"/>
              </w:rPr>
            </w:r>
          </w:p>
        </w:tc>
      </w:tr>
      <w:tr>
        <w:trPr/>
        <w:tc>
          <w:tcPr>
            <w:tcW w:w="16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409" w:type="dxa"/>
            <w:tcBorders/>
            <w:tcMar>
              <w:top w:w="0" w:type="dxa"/>
              <w:left w:w="0" w:type="dxa"/>
              <w:bottom w:w="0" w:type="dxa"/>
              <w:right w:w="0" w:type="dxa"/>
            </w:tcMar>
            <w:vAlign w:val="center"/>
          </w:tcPr>
          <w:p>
            <w:pPr>
              <w:pStyle w:val="TableContents"/>
              <w:bidi w:val="0"/>
              <w:spacing w:before="0" w:after="0"/>
              <w:ind w:left="0" w:right="0" w:firstLine="200"/>
              <w:jc w:val="left"/>
              <w:rPr/>
            </w:pPr>
            <w:r>
              <w:rPr/>
              <w:t> </w:t>
            </w:r>
          </w:p>
        </w:tc>
      </w:tr>
      <w:tr>
        <w:trPr/>
        <w:tc>
          <w:tcPr>
            <w:tcW w:w="1650" w:type="dxa"/>
            <w:tcBorders/>
            <w:tcMar>
              <w:top w:w="0" w:type="dxa"/>
              <w:left w:w="0" w:type="dxa"/>
              <w:bottom w:w="0" w:type="dxa"/>
              <w:right w:w="0" w:type="dxa"/>
            </w:tcMar>
            <w:vAlign w:val="center"/>
          </w:tcPr>
          <w:p>
            <w:pPr>
              <w:pStyle w:val="TableContents"/>
              <w:pBdr/>
              <w:bidi w:val="0"/>
              <w:spacing w:before="0" w:after="0"/>
              <w:ind w:left="0" w:right="0" w:hanging="200"/>
              <w:jc w:val="left"/>
              <w:rPr>
                <w:rFonts w:ascii="Times New Roman;serif" w:hAnsi="Times New Roman;serif"/>
                <w:b w:val="false"/>
                <w:sz w:val="20"/>
              </w:rPr>
            </w:pPr>
            <w:r>
              <w:rPr>
                <w:rFonts w:ascii="Times New Roman;serif" w:hAnsi="Times New Roman;serif"/>
                <w:b w:val="false"/>
                <w:sz w:val="20"/>
              </w:rPr>
              <w:t>Common stock offered by us</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4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3,000,000 shares.</w:t>
            </w:r>
          </w:p>
          <w:p>
            <w:pPr>
              <w:pStyle w:val="TableContents"/>
              <w:bidi w:val="0"/>
              <w:spacing w:before="0" w:after="0"/>
              <w:ind w:left="0" w:right="0" w:hanging="0"/>
              <w:jc w:val="left"/>
              <w:rPr/>
            </w:pPr>
            <w:r>
              <w:rPr/>
              <w:t> </w:t>
            </w:r>
          </w:p>
          <w:p>
            <w:pPr>
              <w:pStyle w:val="TableContents"/>
              <w:bidi w:val="0"/>
              <w:spacing w:before="0" w:after="0"/>
              <w:ind w:left="0" w:right="0" w:firstLine="200"/>
              <w:jc w:val="left"/>
              <w:rPr/>
            </w:pPr>
            <w:r>
              <w:rPr/>
              <w:t> </w:t>
            </w:r>
          </w:p>
        </w:tc>
      </w:tr>
      <w:tr>
        <w:trPr/>
        <w:tc>
          <w:tcPr>
            <w:tcW w:w="1650" w:type="dxa"/>
            <w:tcBorders/>
            <w:tcMar>
              <w:top w:w="0" w:type="dxa"/>
              <w:left w:w="0" w:type="dxa"/>
              <w:bottom w:w="0" w:type="dxa"/>
              <w:right w:w="0" w:type="dxa"/>
            </w:tcMar>
            <w:vAlign w:val="center"/>
          </w:tcPr>
          <w:p>
            <w:pPr>
              <w:pStyle w:val="TableContents"/>
              <w:pBdr/>
              <w:bidi w:val="0"/>
              <w:spacing w:before="0" w:after="0"/>
              <w:ind w:left="0" w:right="0" w:hanging="20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409" w:type="dxa"/>
            <w:tcBorders/>
            <w:tcMar>
              <w:top w:w="0" w:type="dxa"/>
              <w:left w:w="0" w:type="dxa"/>
              <w:bottom w:w="0" w:type="dxa"/>
              <w:right w:w="0" w:type="dxa"/>
            </w:tcMar>
            <w:vAlign w:val="center"/>
          </w:tcPr>
          <w:p>
            <w:pPr>
              <w:pStyle w:val="TableContents"/>
              <w:bidi w:val="0"/>
              <w:spacing w:before="0" w:after="0"/>
              <w:ind w:left="0" w:right="0" w:firstLine="200"/>
              <w:jc w:val="left"/>
              <w:rPr/>
            </w:pPr>
            <w:r>
              <w:rPr/>
              <w:t> </w:t>
            </w:r>
          </w:p>
        </w:tc>
      </w:tr>
      <w:tr>
        <w:trPr/>
        <w:tc>
          <w:tcPr>
            <w:tcW w:w="1650" w:type="dxa"/>
            <w:tcBorders/>
            <w:tcMar>
              <w:top w:w="0" w:type="dxa"/>
              <w:left w:w="0" w:type="dxa"/>
              <w:bottom w:w="0" w:type="dxa"/>
              <w:right w:w="0" w:type="dxa"/>
            </w:tcMar>
            <w:vAlign w:val="center"/>
          </w:tcPr>
          <w:p>
            <w:pPr>
              <w:pStyle w:val="TableContents"/>
              <w:pBdr/>
              <w:bidi w:val="0"/>
              <w:spacing w:before="0" w:after="0"/>
              <w:ind w:left="0" w:right="0" w:hanging="200"/>
              <w:jc w:val="left"/>
              <w:rPr>
                <w:rFonts w:ascii="Times New Roman;serif" w:hAnsi="Times New Roman;serif"/>
                <w:b w:val="false"/>
                <w:sz w:val="20"/>
              </w:rPr>
            </w:pPr>
            <w:r>
              <w:rPr>
                <w:rFonts w:ascii="Times New Roman;serif" w:hAnsi="Times New Roman;serif"/>
                <w:b w:val="false"/>
                <w:sz w:val="20"/>
              </w:rPr>
              <w:t>Option to purchase additional shares</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4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 have granted the underwriters an option for a period of 30 days from the date of this prospectus supplement to purchase up to 450,000 additional shares of our common stock.</w:t>
            </w:r>
          </w:p>
          <w:p>
            <w:pPr>
              <w:pStyle w:val="TableContents"/>
              <w:bidi w:val="0"/>
              <w:spacing w:before="0" w:after="0"/>
              <w:ind w:left="0" w:right="0" w:hanging="0"/>
              <w:jc w:val="left"/>
              <w:rPr/>
            </w:pPr>
            <w:r>
              <w:rPr/>
              <w:t> </w:t>
            </w:r>
          </w:p>
          <w:p>
            <w:pPr>
              <w:pStyle w:val="TableContents"/>
              <w:bidi w:val="0"/>
              <w:spacing w:before="0" w:after="0"/>
              <w:ind w:left="0" w:right="0" w:firstLine="200"/>
              <w:jc w:val="left"/>
              <w:rPr/>
            </w:pPr>
            <w:r>
              <w:rPr/>
              <w:t> </w:t>
            </w:r>
          </w:p>
        </w:tc>
      </w:tr>
      <w:tr>
        <w:trPr/>
        <w:tc>
          <w:tcPr>
            <w:tcW w:w="1650" w:type="dxa"/>
            <w:tcBorders/>
            <w:tcMar>
              <w:top w:w="0" w:type="dxa"/>
              <w:left w:w="0" w:type="dxa"/>
              <w:bottom w:w="0" w:type="dxa"/>
              <w:right w:w="0" w:type="dxa"/>
            </w:tcMar>
            <w:vAlign w:val="center"/>
          </w:tcPr>
          <w:p>
            <w:pPr>
              <w:pStyle w:val="TableContents"/>
              <w:pBdr/>
              <w:bidi w:val="0"/>
              <w:spacing w:before="0" w:after="0"/>
              <w:ind w:left="0" w:right="0" w:hanging="20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409" w:type="dxa"/>
            <w:tcBorders/>
            <w:tcMar>
              <w:top w:w="0" w:type="dxa"/>
              <w:left w:w="0" w:type="dxa"/>
              <w:bottom w:w="0" w:type="dxa"/>
              <w:right w:w="0" w:type="dxa"/>
            </w:tcMar>
            <w:vAlign w:val="center"/>
          </w:tcPr>
          <w:p>
            <w:pPr>
              <w:pStyle w:val="TableContents"/>
              <w:bidi w:val="0"/>
              <w:spacing w:before="0" w:after="0"/>
              <w:ind w:left="0" w:right="0" w:firstLine="200"/>
              <w:jc w:val="left"/>
              <w:rPr/>
            </w:pPr>
            <w:r>
              <w:rPr/>
              <w:t> </w:t>
            </w:r>
          </w:p>
        </w:tc>
      </w:tr>
      <w:tr>
        <w:trPr/>
        <w:tc>
          <w:tcPr>
            <w:tcW w:w="1650" w:type="dxa"/>
            <w:tcBorders/>
            <w:tcMar>
              <w:top w:w="0" w:type="dxa"/>
              <w:left w:w="0" w:type="dxa"/>
              <w:bottom w:w="0" w:type="dxa"/>
              <w:right w:w="0" w:type="dxa"/>
            </w:tcMar>
            <w:vAlign w:val="center"/>
          </w:tcPr>
          <w:p>
            <w:pPr>
              <w:pStyle w:val="TableContents"/>
              <w:pBdr/>
              <w:bidi w:val="0"/>
              <w:spacing w:before="0" w:after="0"/>
              <w:ind w:left="0" w:right="0" w:hanging="200"/>
              <w:jc w:val="left"/>
              <w:rPr>
                <w:rFonts w:ascii="Times New Roman;serif" w:hAnsi="Times New Roman;serif"/>
                <w:b w:val="false"/>
                <w:sz w:val="20"/>
              </w:rPr>
            </w:pPr>
            <w:r>
              <w:rPr>
                <w:rFonts w:ascii="Times New Roman;serif" w:hAnsi="Times New Roman;serif"/>
                <w:b w:val="false"/>
                <w:sz w:val="20"/>
              </w:rPr>
              <w:t>Common stock to be outstanding after this offering</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4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46,548,466 shares (or 46,998,466 shares, if the underwriters exercise in full their option to purchase additional shares).</w:t>
            </w:r>
          </w:p>
          <w:p>
            <w:pPr>
              <w:pStyle w:val="TableContents"/>
              <w:bidi w:val="0"/>
              <w:spacing w:before="0" w:after="0"/>
              <w:ind w:left="0" w:right="0" w:hanging="0"/>
              <w:jc w:val="left"/>
              <w:rPr/>
            </w:pPr>
            <w:r>
              <w:rPr/>
              <w:t> </w:t>
            </w:r>
          </w:p>
          <w:p>
            <w:pPr>
              <w:pStyle w:val="TableContents"/>
              <w:bidi w:val="0"/>
              <w:spacing w:before="0" w:after="0"/>
              <w:ind w:left="0" w:right="0" w:firstLine="200"/>
              <w:jc w:val="left"/>
              <w:rPr/>
            </w:pPr>
            <w:r>
              <w:rPr/>
              <w:t> </w:t>
            </w:r>
          </w:p>
        </w:tc>
      </w:tr>
      <w:tr>
        <w:trPr/>
        <w:tc>
          <w:tcPr>
            <w:tcW w:w="1650" w:type="dxa"/>
            <w:tcBorders/>
            <w:tcMar>
              <w:top w:w="0" w:type="dxa"/>
              <w:left w:w="0" w:type="dxa"/>
              <w:bottom w:w="0" w:type="dxa"/>
              <w:right w:w="0" w:type="dxa"/>
            </w:tcMar>
            <w:vAlign w:val="center"/>
          </w:tcPr>
          <w:p>
            <w:pPr>
              <w:pStyle w:val="TableContents"/>
              <w:pBdr/>
              <w:bidi w:val="0"/>
              <w:spacing w:before="0" w:after="0"/>
              <w:ind w:left="0" w:right="0" w:hanging="20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409" w:type="dxa"/>
            <w:tcBorders/>
            <w:tcMar>
              <w:top w:w="0" w:type="dxa"/>
              <w:left w:w="0" w:type="dxa"/>
              <w:bottom w:w="0" w:type="dxa"/>
              <w:right w:w="0" w:type="dxa"/>
            </w:tcMar>
            <w:vAlign w:val="center"/>
          </w:tcPr>
          <w:p>
            <w:pPr>
              <w:pStyle w:val="TableContents"/>
              <w:bidi w:val="0"/>
              <w:spacing w:before="0" w:after="0"/>
              <w:ind w:left="0" w:right="0" w:firstLine="200"/>
              <w:jc w:val="left"/>
              <w:rPr/>
            </w:pPr>
            <w:r>
              <w:rPr/>
              <w:t> </w:t>
            </w:r>
          </w:p>
        </w:tc>
      </w:tr>
      <w:tr>
        <w:trPr/>
        <w:tc>
          <w:tcPr>
            <w:tcW w:w="1650" w:type="dxa"/>
            <w:tcBorders/>
            <w:tcMar>
              <w:top w:w="0" w:type="dxa"/>
              <w:left w:w="0" w:type="dxa"/>
              <w:bottom w:w="0" w:type="dxa"/>
              <w:right w:w="0" w:type="dxa"/>
            </w:tcMar>
            <w:vAlign w:val="center"/>
          </w:tcPr>
          <w:p>
            <w:pPr>
              <w:pStyle w:val="TableContents"/>
              <w:pBdr/>
              <w:bidi w:val="0"/>
              <w:spacing w:before="0" w:after="0"/>
              <w:ind w:left="0" w:right="0" w:hanging="200"/>
              <w:jc w:val="left"/>
              <w:rPr>
                <w:rFonts w:ascii="Times New Roman;serif" w:hAnsi="Times New Roman;serif"/>
                <w:b w:val="false"/>
                <w:sz w:val="20"/>
              </w:rPr>
            </w:pPr>
            <w:r>
              <w:rPr>
                <w:rFonts w:ascii="Times New Roman;serif" w:hAnsi="Times New Roman;serif"/>
                <w:b w:val="false"/>
                <w:sz w:val="20"/>
              </w:rPr>
              <w:t>Use of proceeds</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4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 intend to use the proceeds from this offering to advance our late-stage pipeline, including funding existing and potential new clinical programs, products, and product candidates, to expand our commercialization efforts, and for other general corporate purposes. See “Use of Proceeds.”</w:t>
            </w:r>
          </w:p>
          <w:p>
            <w:pPr>
              <w:pStyle w:val="TableContents"/>
              <w:bidi w:val="0"/>
              <w:spacing w:before="0" w:after="0"/>
              <w:ind w:left="0" w:right="0" w:firstLine="200"/>
              <w:jc w:val="left"/>
              <w:rPr/>
            </w:pPr>
            <w:r>
              <w:rPr/>
              <w:t> </w:t>
            </w:r>
          </w:p>
        </w:tc>
      </w:tr>
      <w:tr>
        <w:trPr/>
        <w:tc>
          <w:tcPr>
            <w:tcW w:w="1650" w:type="dxa"/>
            <w:tcBorders/>
            <w:tcMar>
              <w:top w:w="0" w:type="dxa"/>
              <w:left w:w="0" w:type="dxa"/>
              <w:bottom w:w="0" w:type="dxa"/>
              <w:right w:w="0" w:type="dxa"/>
            </w:tcMar>
            <w:vAlign w:val="center"/>
          </w:tcPr>
          <w:p>
            <w:pPr>
              <w:pStyle w:val="TableContents"/>
              <w:pBdr/>
              <w:bidi w:val="0"/>
              <w:spacing w:before="0" w:after="0"/>
              <w:ind w:left="0" w:right="0" w:hanging="20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409" w:type="dxa"/>
            <w:tcBorders/>
            <w:tcMar>
              <w:top w:w="0" w:type="dxa"/>
              <w:left w:w="0" w:type="dxa"/>
              <w:bottom w:w="0" w:type="dxa"/>
              <w:right w:w="0" w:type="dxa"/>
            </w:tcMar>
            <w:vAlign w:val="center"/>
          </w:tcPr>
          <w:p>
            <w:pPr>
              <w:pStyle w:val="TableContents"/>
              <w:bidi w:val="0"/>
              <w:spacing w:before="0" w:after="0"/>
              <w:ind w:left="0" w:right="0" w:firstLine="200"/>
              <w:jc w:val="left"/>
              <w:rPr/>
            </w:pPr>
            <w:r>
              <w:rPr/>
              <w:t> </w:t>
            </w:r>
          </w:p>
        </w:tc>
      </w:tr>
      <w:tr>
        <w:trPr/>
        <w:tc>
          <w:tcPr>
            <w:tcW w:w="1650" w:type="dxa"/>
            <w:tcBorders/>
            <w:tcMar>
              <w:top w:w="0" w:type="dxa"/>
              <w:left w:w="0" w:type="dxa"/>
              <w:bottom w:w="0" w:type="dxa"/>
              <w:right w:w="0" w:type="dxa"/>
            </w:tcMar>
            <w:vAlign w:val="center"/>
          </w:tcPr>
          <w:p>
            <w:pPr>
              <w:pStyle w:val="TableContents"/>
              <w:pBdr/>
              <w:bidi w:val="0"/>
              <w:spacing w:before="0" w:after="0"/>
              <w:ind w:left="0" w:right="0" w:hanging="200"/>
              <w:jc w:val="left"/>
              <w:rPr>
                <w:rFonts w:ascii="Times New Roman;serif" w:hAnsi="Times New Roman;serif"/>
                <w:b w:val="false"/>
                <w:sz w:val="20"/>
              </w:rPr>
            </w:pPr>
            <w:r>
              <w:rPr>
                <w:rFonts w:ascii="Times New Roman;serif" w:hAnsi="Times New Roman;serif"/>
                <w:b w:val="false"/>
                <w:sz w:val="20"/>
              </w:rPr>
              <w:t>Risk factors</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4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Investing in our common stock involves a high degree of risk. You should read the “Risk Factors” section of this prospectus supplement beginning on page S-4</w:t>
            </w:r>
            <w:r>
              <w:rPr>
                <w:rFonts w:ascii="Times New Roman" w:hAnsi="Times New Roman"/>
                <w:sz w:val="20"/>
              </w:rPr>
              <w:t> </w:t>
            </w:r>
            <w:r>
              <w:rPr>
                <w:rFonts w:ascii="Times New Roman;serif" w:hAnsi="Times New Roman;serif"/>
                <w:b w:val="false"/>
                <w:sz w:val="20"/>
              </w:rPr>
              <w:t>as well as those risk factors that are incorporated by reference in this prospectus supplement and the accompanying prospectus for a discussion of factors to consider carefully before deciding to invest in shares of our common stock.</w:t>
            </w:r>
          </w:p>
          <w:p>
            <w:pPr>
              <w:pStyle w:val="TableContents"/>
              <w:bidi w:val="0"/>
              <w:spacing w:before="0" w:after="0"/>
              <w:ind w:left="0" w:right="0" w:firstLine="200"/>
              <w:jc w:val="left"/>
              <w:rPr/>
            </w:pPr>
            <w:r>
              <w:rPr/>
              <w:t> </w:t>
            </w:r>
          </w:p>
        </w:tc>
      </w:tr>
      <w:tr>
        <w:trPr/>
        <w:tc>
          <w:tcPr>
            <w:tcW w:w="1650" w:type="dxa"/>
            <w:tcBorders/>
            <w:tcMar>
              <w:top w:w="0" w:type="dxa"/>
              <w:left w:w="0" w:type="dxa"/>
              <w:bottom w:w="0" w:type="dxa"/>
              <w:right w:w="0" w:type="dxa"/>
            </w:tcMar>
            <w:vAlign w:val="center"/>
          </w:tcPr>
          <w:p>
            <w:pPr>
              <w:pStyle w:val="TableContents"/>
              <w:pBdr/>
              <w:bidi w:val="0"/>
              <w:spacing w:before="0" w:after="0"/>
              <w:ind w:left="0" w:right="0" w:hanging="20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409" w:type="dxa"/>
            <w:tcBorders/>
            <w:tcMar>
              <w:top w:w="0" w:type="dxa"/>
              <w:left w:w="0" w:type="dxa"/>
              <w:bottom w:w="0" w:type="dxa"/>
              <w:right w:w="0" w:type="dxa"/>
            </w:tcMar>
            <w:vAlign w:val="center"/>
          </w:tcPr>
          <w:p>
            <w:pPr>
              <w:pStyle w:val="TableContents"/>
              <w:bidi w:val="0"/>
              <w:spacing w:before="0" w:after="0"/>
              <w:ind w:left="0" w:right="0" w:firstLine="200"/>
              <w:jc w:val="left"/>
              <w:rPr/>
            </w:pPr>
            <w:r>
              <w:rPr/>
              <w:t> </w:t>
            </w:r>
          </w:p>
        </w:tc>
      </w:tr>
      <w:tr>
        <w:trPr/>
        <w:tc>
          <w:tcPr>
            <w:tcW w:w="1650" w:type="dxa"/>
            <w:tcBorders/>
            <w:tcMar>
              <w:top w:w="0" w:type="dxa"/>
              <w:left w:w="0" w:type="dxa"/>
              <w:bottom w:w="0" w:type="dxa"/>
              <w:right w:w="0" w:type="dxa"/>
            </w:tcMar>
            <w:vAlign w:val="center"/>
          </w:tcPr>
          <w:p>
            <w:pPr>
              <w:pStyle w:val="TableContents"/>
              <w:pBdr/>
              <w:bidi w:val="0"/>
              <w:spacing w:before="0" w:after="0"/>
              <w:ind w:left="0" w:right="0" w:hanging="200"/>
              <w:jc w:val="left"/>
              <w:rPr>
                <w:rFonts w:ascii="Times New Roman;serif" w:hAnsi="Times New Roman;serif"/>
                <w:b w:val="false"/>
                <w:sz w:val="20"/>
              </w:rPr>
            </w:pPr>
            <w:r>
              <w:rPr>
                <w:rFonts w:ascii="Times New Roman;serif" w:hAnsi="Times New Roman;serif"/>
                <w:b w:val="false"/>
                <w:sz w:val="20"/>
              </w:rPr>
              <w:t>Nasdaq Global Market ticker symbol</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409"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0"/>
              </w:rPr>
              <w:t>AXSM”</w:t>
            </w:r>
          </w:p>
        </w:tc>
      </w:tr>
    </w:tbl>
    <w:p>
      <w:pPr>
        <w:pStyle w:val="TextBody"/>
        <w:bidi w:val="0"/>
        <w:spacing w:before="240" w:after="0"/>
        <w:ind w:left="0" w:right="0" w:hanging="0"/>
        <w:jc w:val="left"/>
        <w:rPr>
          <w:rFonts w:ascii="Times New Roman;serif" w:hAnsi="Times New Roman;serif"/>
          <w:b w:val="false"/>
          <w:sz w:val="20"/>
          <w:bdr w:val="single" w:sz="4" w:space="1" w:color="000000"/>
        </w:rPr>
      </w:pPr>
      <w:r>
        <w:rPr>
          <w:rFonts w:ascii="Times New Roman;serif" w:hAnsi="Times New Roman;serif"/>
          <w:b w:val="false"/>
          <w:sz w:val="20"/>
          <w:bdr w:val="single" w:sz="4" w:space="1" w:color="000000"/>
        </w:rPr>
        <w:t>The number of shares of our common stock that will be outstanding immediately after this offering as shown above is based on 43,548,466 shares of our common stock outstanding as of March 31, 2023, and excludes:</w:t>
      </w:r>
    </w:p>
    <w:p>
      <w:pPr>
        <w:pStyle w:val="TextBody"/>
        <w:bidi w:val="0"/>
        <w:spacing w:before="120" w:after="0"/>
        <w:ind w:left="720" w:right="0" w:hanging="0"/>
        <w:jc w:val="left"/>
        <w:rPr>
          <w:bdr w:val="single" w:sz="4" w:space="1" w:color="000000"/>
        </w:rPr>
      </w:pPr>
      <w:r>
        <w:rPr>
          <w:bdr w:val="single" w:sz="4" w:space="1" w:color="000000"/>
        </w:rPr>
        <w:t>•</w:t>
      </w:r>
    </w:p>
    <w:p>
      <w:pPr>
        <w:pStyle w:val="TextBody"/>
        <w:bidi w:val="0"/>
        <w:spacing w:before="120" w:after="0"/>
        <w:jc w:val="left"/>
        <w:rPr>
          <w:rFonts w:ascii="Times New Roman;serif" w:hAnsi="Times New Roman;serif"/>
          <w:b w:val="false"/>
          <w:sz w:val="20"/>
          <w:bdr w:val="single" w:sz="4" w:space="1" w:color="000000"/>
        </w:rPr>
      </w:pPr>
      <w:r>
        <w:rPr>
          <w:rFonts w:ascii="Times New Roman;serif" w:hAnsi="Times New Roman;serif"/>
          <w:b w:val="false"/>
          <w:sz w:val="20"/>
          <w:bdr w:val="single" w:sz="4" w:space="1" w:color="000000"/>
        </w:rPr>
        <w:t>787,134 shares of common stock issuable upon vesting of restricted stock units outstanding as of March 31, 2023;</w:t>
      </w:r>
    </w:p>
    <w:p>
      <w:pPr>
        <w:pStyle w:val="TextBody"/>
        <w:bidi w:val="0"/>
        <w:spacing w:before="120" w:after="0"/>
        <w:ind w:left="720" w:right="0" w:hanging="0"/>
        <w:jc w:val="left"/>
        <w:rPr>
          <w:bdr w:val="single" w:sz="4" w:space="1" w:color="000000"/>
        </w:rPr>
      </w:pPr>
      <w:r>
        <w:rPr>
          <w:bdr w:val="single" w:sz="4" w:space="1" w:color="000000"/>
        </w:rPr>
        <w:t>•</w:t>
      </w:r>
    </w:p>
    <w:p>
      <w:pPr>
        <w:pStyle w:val="TextBody"/>
        <w:bidi w:val="0"/>
        <w:spacing w:before="120" w:after="0"/>
        <w:jc w:val="left"/>
        <w:rPr>
          <w:rFonts w:ascii="Times New Roman;serif" w:hAnsi="Times New Roman;serif"/>
          <w:b w:val="false"/>
          <w:sz w:val="20"/>
          <w:bdr w:val="single" w:sz="4" w:space="1" w:color="000000"/>
        </w:rPr>
      </w:pPr>
      <w:r>
        <w:rPr>
          <w:rFonts w:ascii="Times New Roman;serif" w:hAnsi="Times New Roman;serif"/>
          <w:b w:val="false"/>
          <w:sz w:val="20"/>
          <w:bdr w:val="single" w:sz="4" w:space="1" w:color="000000"/>
        </w:rPr>
        <w:t>8,038,119 shares of common stock issuable upon exercise of stock options outstanding as of March 31, 2023, at a weighted average exercise price of $38.06 per share;</w:t>
      </w:r>
    </w:p>
    <w:p>
      <w:pPr>
        <w:pStyle w:val="TextBody"/>
        <w:bidi w:val="0"/>
        <w:spacing w:before="120" w:after="0"/>
        <w:ind w:left="720" w:right="0" w:hanging="0"/>
        <w:jc w:val="left"/>
        <w:rPr>
          <w:bdr w:val="single" w:sz="4" w:space="1" w:color="000000"/>
        </w:rPr>
      </w:pPr>
      <w:r>
        <w:rPr>
          <w:bdr w:val="single" w:sz="4" w:space="1" w:color="000000"/>
        </w:rPr>
        <w:t>•</w:t>
      </w:r>
    </w:p>
    <w:p>
      <w:pPr>
        <w:pStyle w:val="TextBody"/>
        <w:bidi w:val="0"/>
        <w:spacing w:before="120" w:after="0"/>
        <w:jc w:val="left"/>
        <w:rPr>
          <w:rFonts w:ascii="Times New Roman;serif" w:hAnsi="Times New Roman;serif"/>
          <w:b w:val="false"/>
          <w:sz w:val="20"/>
          <w:bdr w:val="single" w:sz="4" w:space="1" w:color="000000"/>
        </w:rPr>
      </w:pPr>
      <w:r>
        <w:rPr>
          <w:rFonts w:ascii="Times New Roman;serif" w:hAnsi="Times New Roman;serif"/>
          <w:b w:val="false"/>
          <w:sz w:val="20"/>
          <w:bdr w:val="single" w:sz="4" w:space="1" w:color="000000"/>
        </w:rPr>
        <w:t xml:space="preserve">69,520 shares of common stock issuable upon the exercise of outstanding warrants as of March 31, 2023, at a weighted average exercise price of $48.97 per share; </w:t>
      </w:r>
    </w:p>
    <w:p>
      <w:pPr>
        <w:pStyle w:val="TextBody"/>
        <w:bidi w:val="0"/>
        <w:spacing w:before="120" w:after="0"/>
        <w:ind w:left="720" w:right="0" w:hanging="0"/>
        <w:jc w:val="left"/>
        <w:rPr>
          <w:bdr w:val="single" w:sz="4" w:space="1" w:color="000000"/>
        </w:rPr>
      </w:pPr>
      <w:r>
        <w:rPr>
          <w:bdr w:val="single" w:sz="4" w:space="1" w:color="000000"/>
        </w:rPr>
        <w:t>•</w:t>
      </w:r>
    </w:p>
    <w:p>
      <w:pPr>
        <w:pStyle w:val="TextBody"/>
        <w:bidi w:val="0"/>
        <w:spacing w:before="120" w:after="0"/>
        <w:jc w:val="left"/>
        <w:rPr>
          <w:rFonts w:ascii="Times New Roman;serif" w:hAnsi="Times New Roman;serif"/>
          <w:b w:val="false"/>
          <w:sz w:val="20"/>
          <w:bdr w:val="single" w:sz="4" w:space="1" w:color="000000"/>
        </w:rPr>
      </w:pPr>
      <w:r>
        <w:rPr>
          <w:rFonts w:ascii="Times New Roman;serif" w:hAnsi="Times New Roman;serif"/>
          <w:b w:val="false"/>
          <w:sz w:val="20"/>
          <w:bdr w:val="single" w:sz="4" w:space="1" w:color="000000"/>
        </w:rPr>
        <w:t>1,241,793 shares of common stock available for future grant under our 2015 Omnibus Incentive Compensation Plan as of March 31, 2023; and</w:t>
      </w:r>
    </w:p>
    <w:p>
      <w:pPr>
        <w:pStyle w:val="TextBody"/>
        <w:bidi w:val="0"/>
        <w:spacing w:before="120" w:after="0"/>
        <w:ind w:left="720" w:right="0" w:hanging="0"/>
        <w:jc w:val="left"/>
        <w:rPr>
          <w:bdr w:val="single" w:sz="4" w:space="1" w:color="000000"/>
        </w:rPr>
      </w:pPr>
      <w:r>
        <w:rPr>
          <w:bdr w:val="single" w:sz="4" w:space="1" w:color="000000"/>
        </w:rPr>
        <w:t>•</w:t>
      </w:r>
    </w:p>
    <w:p>
      <w:pPr>
        <w:pStyle w:val="TextBody"/>
        <w:bidi w:val="0"/>
        <w:spacing w:before="120" w:after="283"/>
        <w:jc w:val="left"/>
        <w:rPr>
          <w:rFonts w:ascii="Times New Roman;serif" w:hAnsi="Times New Roman;serif"/>
          <w:b w:val="false"/>
          <w:sz w:val="20"/>
          <w:bdr w:val="single" w:sz="4" w:space="1" w:color="000000"/>
        </w:rPr>
      </w:pPr>
      <w:r>
        <w:rPr>
          <w:rFonts w:ascii="Times New Roman;serif" w:hAnsi="Times New Roman;serif"/>
          <w:b w:val="false"/>
          <w:sz w:val="20"/>
          <w:bdr w:val="single" w:sz="4" w:space="1" w:color="000000"/>
        </w:rPr>
        <w:t>1,100,000 shares of common stock available for future grant under our 2023 Employee Stock Purchase Plan as of the date of this prospectus supplement.</w:t>
      </w:r>
    </w:p>
    <w:p>
      <w:pPr>
        <w:pStyle w:val="TextBody"/>
        <w:bidi w:val="0"/>
        <w:spacing w:before="240" w:after="0"/>
        <w:ind w:left="0" w:right="0" w:hanging="0"/>
        <w:jc w:val="left"/>
        <w:rPr>
          <w:rFonts w:ascii="Times New Roman;serif" w:hAnsi="Times New Roman;serif"/>
          <w:b w:val="false"/>
          <w:sz w:val="20"/>
          <w:bdr w:val="single" w:sz="4" w:space="1" w:color="000000"/>
        </w:rPr>
      </w:pPr>
      <w:r>
        <w:rPr>
          <w:rFonts w:ascii="Times New Roman;serif" w:hAnsi="Times New Roman;serif"/>
          <w:b w:val="false"/>
          <w:sz w:val="20"/>
          <w:bdr w:val="single" w:sz="4" w:space="1" w:color="000000"/>
        </w:rPr>
        <w:t>Except as otherwise indicated herein, all information in this prospectus supplement, including the number of shares that will be outstanding after this offering, does not assume or give effect to the exercise of the underwriters’ option to purchase 450,000 additional shares in this offering.</w:t>
      </w:r>
    </w:p>
    <w:p>
      <w:pPr>
        <w:pStyle w:val="TextBody"/>
        <w:bidi w:val="0"/>
        <w:spacing w:before="240" w:after="0"/>
        <w:ind w:left="0" w:right="0" w:hanging="0"/>
        <w:jc w:val="center"/>
        <w:rPr>
          <w:rFonts w:ascii="Times New Roman;serif" w:hAnsi="Times New Roman;serif"/>
          <w:b w:val="false"/>
          <w:sz w:val="20"/>
          <w:bdr w:val="single" w:sz="4" w:space="1" w:color="000000"/>
        </w:rPr>
      </w:pPr>
      <w:r>
        <w:rPr>
          <w:rFonts w:ascii="Times New Roman;serif" w:hAnsi="Times New Roman;serif"/>
          <w:b w:val="false"/>
          <w:sz w:val="20"/>
          <w:bdr w:val="single" w:sz="4" w:space="1" w:color="000000"/>
        </w:rPr>
        <w:t>S-3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240"/>
        <w:jc w:val="center"/>
        <w:rPr>
          <w:rFonts w:ascii="Times New Roman;serif" w:hAnsi="Times New Roman;serif"/>
          <w:b/>
          <w:sz w:val="20"/>
        </w:rPr>
      </w:pPr>
      <w:bookmarkStart w:id="7" w:name="riskfactors"/>
      <w:bookmarkEnd w:id="7"/>
      <w:r>
        <w:rPr>
          <w:rFonts w:ascii="Times New Roman;serif" w:hAnsi="Times New Roman;serif"/>
          <w:b/>
          <w:sz w:val="20"/>
        </w:rPr>
        <w:t>RISK FACTORS</w:t>
      </w:r>
    </w:p>
    <w:p>
      <w:pPr>
        <w:pStyle w:val="TextBody"/>
        <w:bidi w:val="0"/>
        <w:spacing w:before="0" w:after="240"/>
        <w:jc w:val="left"/>
        <w:rPr>
          <w:rFonts w:ascii="Times New Roman;serif" w:hAnsi="Times New Roman;serif"/>
          <w:b w:val="false"/>
          <w:i/>
          <w:sz w:val="20"/>
        </w:rPr>
      </w:pPr>
      <w:r>
        <w:rPr>
          <w:rFonts w:ascii="Times New Roman;serif" w:hAnsi="Times New Roman;serif"/>
          <w:b w:val="false"/>
          <w:i/>
          <w:sz w:val="20"/>
        </w:rPr>
        <w:t>An investment in our common stock involves a high degree of risk. Before deciding whether to invest in our common stock, you should carefully consider the risks described below and those discussed under the caption entitled “Risk Factors” in our most recent Annual Report on Form 10-K and any subsequent Quarterly Reports on Form 10-Q, which are incorporated by reference in this prospectus supplement and the accompanying prospectus, together with other information in this prospectus supplement and the accompanying prospectus, the information and documents incorporated by reference herein, and in any free writing prospectus that we have authorized for use in connection with this offering. If any of these risks actually occurs, our business, financial condition, results of operations or cash flow could be seriously harmed. This could cause the trading price of our common stock to decline, resulting in a loss of all or part of your investment.</w:t>
      </w:r>
    </w:p>
    <w:p>
      <w:pPr>
        <w:pStyle w:val="TextBody"/>
        <w:bidi w:val="0"/>
        <w:spacing w:before="0" w:after="240"/>
        <w:jc w:val="left"/>
        <w:rPr>
          <w:rFonts w:ascii="Times New Roman;serif" w:hAnsi="Times New Roman;serif"/>
          <w:b/>
          <w:sz w:val="20"/>
        </w:rPr>
      </w:pPr>
      <w:r>
        <w:rPr>
          <w:rFonts w:ascii="Times New Roman;serif" w:hAnsi="Times New Roman;serif"/>
          <w:b/>
          <w:sz w:val="20"/>
        </w:rPr>
        <w:t>Risks Related to this Offering</w:t>
      </w:r>
    </w:p>
    <w:p>
      <w:pPr>
        <w:pStyle w:val="TextBody"/>
        <w:bidi w:val="0"/>
        <w:spacing w:before="0" w:after="240"/>
        <w:jc w:val="left"/>
        <w:rPr>
          <w:rFonts w:ascii="Times New Roman;serif" w:hAnsi="Times New Roman;serif"/>
          <w:b/>
          <w:i/>
          <w:sz w:val="20"/>
        </w:rPr>
      </w:pPr>
      <w:r>
        <w:rPr>
          <w:rFonts w:ascii="Times New Roman;serif" w:hAnsi="Times New Roman;serif"/>
          <w:b/>
          <w:i/>
          <w:sz w:val="20"/>
        </w:rPr>
        <w:t>We have incurred significant losses since our inception, anticipate that we will incur substantial losses for the foreseeable future, and may never achieve or maintain profitability.</w:t>
      </w:r>
    </w:p>
    <w:p>
      <w:pPr>
        <w:pStyle w:val="TextBody"/>
        <w:bidi w:val="0"/>
        <w:spacing w:before="0" w:after="240"/>
        <w:jc w:val="left"/>
        <w:rPr>
          <w:rFonts w:ascii="Times New Roman" w:hAnsi="Times New Roman"/>
          <w:sz w:val="20"/>
        </w:rPr>
      </w:pPr>
      <w:r>
        <w:rPr>
          <w:rFonts w:ascii="Times New Roman;serif" w:hAnsi="Times New Roman;serif"/>
          <w:b w:val="false"/>
          <w:sz w:val="20"/>
        </w:rPr>
        <w:t>We are a biopharmaceutical company with a limited operating history. For the last several years, we have focused our efforts primarily on developing CNS product candidates, AXS-05, AXS-07, AXS-12, and AXS-14, with the goal of achieving regulatory approval and commercialization. Since inception, we have incurred significant operating losses. Our net loss was $11.2 million for the three months ended March 31, 2023. As of March 31, 2023, we had an accumulated deficit of $607.6 million. In 2022, we commenced the commercial sale of Auvelity in the United States and Sunosi in the United States and select global markets. Apart from Sunosi and Auvelity, we have no other products which have received regulatory approval.</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We expect to continue to incur substantial expenses and operating losses over the next several years, as we continue to develop our current and future product candidates. In addition, we expect to incur significant sales, marketing, and manufacturing expenses related to the commercialization of Sunosi, Auvelity, and any other product candidate which may be approved or which we may in-license. We anticipate that our expenses will increase substantially as we: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seek regulatory approval for additional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hire additional commercial, clinical, medical, quality, regulatory, and scientific personnel;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 operational, financial, and management information systems and personnel;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further establish a sales, marketing, and distribution infrastructure;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expand external manufacturing capabilities and production to commercialize any products for which we may obtain regulatory approval and that we choose not to license to a third-party;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undertake additional manufacturing activities of our product candidates to satisfy FDA requirements for marketing application submissions;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conduct our clinical trials with AXS</w:t>
        <w:noBreakHyphen/>
        <w:t>05 in AD agitation;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conduct our clinical trials with AXS-12 in narcolepsy;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continue to evaluate, plan for, and conduct, clinical trials for AXS-05 as an aid to smoking cessation treatment and other CNS disorders;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continue to evaluate, plan for, and conduct, clinical trials for solriamfetol in attention-deficit/hyperactivity disorder (“ADHD”);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continue to evaluate, plan for, and potentially submit an NDA for AXS-14 in fibromyalgia;</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continue to expand commercial sales of Sunosi and Auvelity;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develop, in</w:t>
        <w:noBreakHyphen/>
        <w:t>license, or acquire additional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conduct late</w:t>
        <w:noBreakHyphen/>
        <w:t>stage clinical trials for any product candidates that successfully complete early</w:t>
        <w:noBreakHyphen/>
        <w:t>stage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conduct additional non</w:t>
        <w:noBreakHyphen/>
        <w:t>clinical studies with any product candidates;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maintain, expand, and protect our intellectual property portfolio.</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S-4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To become and remain profitable, we must succeed in developing (or in-licensing) and commercializing products that generate significant revenue. This will require us to be successful in a range of challenging activities, which may include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with respect to certain products and product candidates. We may never succeed in some of these activities and, even if we do, may never achieve profitability.</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continue the commercialization of our products or even continue our operations. A decline in the value of our company could also cause you to lose all or part of your investment.</w:t>
      </w:r>
    </w:p>
    <w:p>
      <w:pPr>
        <w:pStyle w:val="TextBody"/>
        <w:bidi w:val="0"/>
        <w:spacing w:before="0" w:after="240"/>
        <w:jc w:val="left"/>
        <w:rPr>
          <w:rFonts w:ascii="Times New Roman;serif" w:hAnsi="Times New Roman;serif"/>
          <w:b/>
          <w:i/>
          <w:sz w:val="20"/>
        </w:rPr>
      </w:pPr>
      <w:r>
        <w:rPr>
          <w:rFonts w:ascii="Times New Roman;serif" w:hAnsi="Times New Roman;serif"/>
          <w:b/>
          <w:i/>
          <w:sz w:val="20"/>
        </w:rPr>
        <w:t>We may need additional funding to conduct our future clinical trials and to complete development and commercialization of our product candidates. If we are unable to raise capital when needed, we may be forced to delay, reduce, or eliminate our product development programs or commercialization efforts.</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Conducting clinical trials, pursuing regulatory approvals, establishing outsourced manufacturing relationships, and successfully manufacturing and commercializing our product candidates is, and will be, a very time</w:t>
        <w:noBreakHyphen/>
        <w:t>consuming, expensive, and uncertain process that takes years to complete. We may need to raise additional capital to:</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fund our future clinical trials for our current product candidates, especially if we encounter any unforeseen delays or difficulties in our planned development activities;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fund our operations and continue to commercialize our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qualify and outsource the commercial-scale manufacturing of our products under current good manufacturing practices, or cGMP;</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develop additional product candidates;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in-license other product candidates.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We believe that our current cash, along with the remaining committed capital from our $350.0 million term loan facility, is sufficient to fund anticipated operations into cash flow positivity, based on our current operating plan. Our assumptions may prove to be wrong, and we could spend our available financial resources faster than we currently expect. Further, we may not have sufficient financial resources to meet all of our objectives. Our future funding requirements will depend on many factors, including, but not limited to:</w:t>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rate of progress and costs related to the development of our product candidates, including the costs of preparing filings for regulatory approval;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associated with conducting additional clinical and non-clinical studies with any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potential for delays in our efforts to seek regulatory approval for our product candidates, and any costs associated with such delays;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associated with selling, marketing, and distributing our approved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of filing, prosecuting, defending and enforcing any patent claims and other intellectual property rights associated with our product candidates;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cost and timing of manufacturing, or having third parties manufacture, sufficient supplies of our product candidates in preparation for commercialization;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S-5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effect of competing technological and market developments;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revenue from commercial sales of our approved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terms and timing of any collaborative, licensing, co-promotion or other arrangements that we may establish;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success of the commercialization of any of our current products and, if approved, any of our product candidates.</w:t>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Future capital requirements will also depend on the extent to which we acquire or invest in additional businesses, products, and technologies.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pStyle w:val="TextBody"/>
        <w:bidi w:val="0"/>
        <w:spacing w:before="0" w:after="0"/>
        <w:jc w:val="left"/>
        <w:rPr>
          <w:rFonts w:ascii="Times New Roman;serif" w:hAnsi="Times New Roman;serif"/>
          <w:b/>
          <w:i/>
          <w:sz w:val="20"/>
        </w:rPr>
      </w:pPr>
      <w:r>
        <w:rPr>
          <w:rFonts w:ascii="Times New Roman;serif" w:hAnsi="Times New Roman;serif"/>
          <w:b/>
          <w:i/>
          <w:sz w:val="20"/>
        </w:rPr>
        <w:t>Management will have broad discretion as to the use of any proceeds from this offering, and we may not use the proceeds effectively.</w:t>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Our management will have broad discretion with respect to the use of any proceeds of this offering, including for any of the purposes described in “Use of Proceeds.” You will be relying on the judgment of our management regarding the application of any proceeds of this offering. The results and effectiveness of the use of proceeds are uncertain, and we could spend the proceeds in ways that you do not agree with or that do not improve our results of operations or enhance the value of our common stock. Our failure to apply these funds effectively could have a material adverse effect on our business, delay the development of our product candidates and cause the price of our common stock to decline.</w:t>
      </w:r>
    </w:p>
    <w:p>
      <w:pPr>
        <w:pStyle w:val="TextBody"/>
        <w:bidi w:val="0"/>
        <w:spacing w:before="0" w:after="240"/>
        <w:jc w:val="left"/>
        <w:rPr>
          <w:rFonts w:ascii="Times New Roman;serif" w:hAnsi="Times New Roman;serif"/>
          <w:b/>
          <w:i/>
          <w:sz w:val="20"/>
        </w:rPr>
      </w:pPr>
      <w:r>
        <w:rPr>
          <w:rFonts w:ascii="Times New Roman;serif" w:hAnsi="Times New Roman;serif"/>
          <w:b/>
          <w:i/>
          <w:sz w:val="20"/>
        </w:rPr>
        <w:t>If you purchase our common stock in this offering, you will incur immediate and substantial dilution in the book value of your shares.</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Since the price per share of our common stock being offered is substantially higher than the net tangible book value per share of our common stock, you will suffer substantial dilution in the net tangible book value of the common stock you purchase in this offering. Based on the public offering price of  $75.00 per share, and after deducting underwriting discounts and commissions and estimated offering expenses payable by us, and based on a net tangible book value of our common stock of  $1.00 per share as of March 31, 2023, if you purchase shares of common stock in this offering, you will suffer immediate and substantial dilution of  $69.53 per share in the net tangible book value of common stock.</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To the extent outstanding options or warrants are exercised, you will experience further dilution. See the section titled “Dilution” below for more detailed information regarding the dilution you would incur if you participate in this offering. Purchasers of the shares we sell, as well as our existing stockholders, will experience significant dilution if we sell shares at prices significantly below the price at which they invested.</w:t>
      </w:r>
    </w:p>
    <w:p>
      <w:pPr>
        <w:pStyle w:val="TextBody"/>
        <w:bidi w:val="0"/>
        <w:spacing w:before="0" w:after="0"/>
        <w:jc w:val="left"/>
        <w:rPr/>
      </w:pPr>
      <w:r>
        <w:rPr/>
        <w:t> </w:t>
      </w:r>
    </w:p>
    <w:p>
      <w:pPr>
        <w:pStyle w:val="TextBody"/>
        <w:bidi w:val="0"/>
        <w:spacing w:before="0" w:after="240"/>
        <w:jc w:val="left"/>
        <w:rPr>
          <w:rFonts w:ascii="Times New Roman;serif" w:hAnsi="Times New Roman;serif"/>
          <w:b/>
          <w:i/>
          <w:sz w:val="20"/>
        </w:rPr>
      </w:pPr>
      <w:r>
        <w:rPr>
          <w:rFonts w:ascii="Times New Roman;serif" w:hAnsi="Times New Roman;serif"/>
          <w:b/>
          <w:i/>
          <w:sz w:val="20"/>
        </w:rPr>
        <w:t>Future sales and issuances of our common stock or rights to purchase common stock pursuant to our equity compensation plans could result in additional dilution of the percentage ownership of our stockholders and could cause the price of our common stock to decline.</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We may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or if we issue common stock pursuant to our equity compensation plans, investors may be materially diluted by subsequent sales or issuances. These sales or issuances may also result in material dilution to our existing stockholders, and new investors could gain rights superior to our existing stockholders.</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S-6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240"/>
        <w:jc w:val="center"/>
        <w:rPr>
          <w:rFonts w:ascii="Times New Roman;serif" w:hAnsi="Times New Roman;serif"/>
          <w:b/>
          <w:sz w:val="20"/>
        </w:rPr>
      </w:pPr>
      <w:bookmarkStart w:id="8" w:name="useofproceeds"/>
      <w:bookmarkEnd w:id="8"/>
      <w:r>
        <w:rPr>
          <w:rFonts w:ascii="Times New Roman;serif" w:hAnsi="Times New Roman;serif"/>
          <w:b/>
          <w:sz w:val="20"/>
        </w:rPr>
        <w:t>USE OF PROCEEDS</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We estimate that the net proceeds from our issuance and sale of 3,000,000 shares of common stock in this offering will be approximately $211.0 million, or approximately $242.7 million if the underwriters exercise their option to purchase additional shares in full, after deducting the underwriting discounts and commissions and estimated offering expenses payable by us.</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We intend to use the net proceeds from this offering to continue to advance our late-stage pipeline, including funding existing and potential new clinical programs, products, and product candidates, to expand our commercialization efforts, and for other general corporate purposes.</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Our expected use of the net proceeds to us from this offering represents our current intentions based upon our present plans and business condition. The amounts and timing of our actual expenditures will depend on numerous factors, including the progress of our research and development efforts, the status of and results from our current or future clinical trials, the timing of regulatory submissions and any unforeseen cash needs. Accordingly, our management will have broad discretion in the application of any net proceeds from this offering.</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Until we use the net proceeds of this offering for the purposes described above, we intend to invest any funds we receive in short-term, investment-grade, interest-bearing instruments and U.S. government securities. We cannot predict whether these investments will yield a favorable return.</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S-7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120"/>
        <w:jc w:val="center"/>
        <w:rPr>
          <w:rFonts w:ascii="Times New Roman;serif" w:hAnsi="Times New Roman;serif"/>
          <w:b/>
          <w:sz w:val="20"/>
        </w:rPr>
      </w:pPr>
      <w:bookmarkStart w:id="9" w:name="dilution"/>
      <w:bookmarkEnd w:id="9"/>
      <w:r>
        <w:rPr>
          <w:rFonts w:ascii="Times New Roman;serif" w:hAnsi="Times New Roman;serif"/>
          <w:b/>
          <w:sz w:val="20"/>
        </w:rPr>
        <w:t>DILUTION</w:t>
      </w:r>
    </w:p>
    <w:p>
      <w:pPr>
        <w:pStyle w:val="TextBody"/>
        <w:bidi w:val="0"/>
        <w:spacing w:before="0" w:after="120"/>
        <w:jc w:val="left"/>
        <w:rPr>
          <w:rFonts w:ascii="Times New Roman;serif" w:hAnsi="Times New Roman;serif"/>
          <w:b w:val="false"/>
          <w:sz w:val="20"/>
        </w:rPr>
      </w:pPr>
      <w:r>
        <w:rPr>
          <w:rFonts w:ascii="Times New Roman;serif" w:hAnsi="Times New Roman;serif"/>
          <w:b w:val="false"/>
          <w:sz w:val="20"/>
        </w:rPr>
        <w:t>If you invest in our common stock in this offering, your interest will be diluted immediately to the extent of the difference between the price per share you pay in this offering and the as adjusted net tangible book value per share of our common stock after giving effect to this offering. Net tangible book value per share represents our total assets, less total liabilities, divided by the number of shares of our common stock outstanding.</w:t>
      </w:r>
    </w:p>
    <w:p>
      <w:pPr>
        <w:pStyle w:val="TextBody"/>
        <w:bidi w:val="0"/>
        <w:spacing w:before="0" w:after="120"/>
        <w:jc w:val="left"/>
        <w:rPr>
          <w:rFonts w:ascii="Times New Roman;serif" w:hAnsi="Times New Roman;serif"/>
          <w:b w:val="false"/>
          <w:sz w:val="20"/>
        </w:rPr>
      </w:pPr>
      <w:r>
        <w:rPr>
          <w:rFonts w:ascii="Times New Roman;serif" w:hAnsi="Times New Roman;serif"/>
          <w:b w:val="false"/>
          <w:sz w:val="20"/>
        </w:rPr>
        <w:t>At March 31, 2023, our net tangible book value was approximately $43.4 million, or $1.00 per share of common stock, based on 43,548,466 shares of common stock then outstanding. After giving effect to the sale by us of an aggregate of 3,000,000 shares of our common stock at the public offering price of $75.00 per share, and after deducting underwriting discounts and commissions and estimated offering expenses payable by us, our net tangible book value at March 31, 2023 would have been $254.4 million, or $5.47 per share of common stock. This represents an immediate increase in net tangible book value to existing stockholders of $4.47 per share and an immediate dilution of $69.53 per share to investors purchasing common stock at the public offering price of $75.00 per share in this offering.</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illustrates this per share dilution to the investors purchasing shares of common stock in this offering:</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047"/>
        <w:gridCol w:w="146"/>
        <w:gridCol w:w="211"/>
        <w:gridCol w:w="466"/>
        <w:gridCol w:w="146"/>
        <w:gridCol w:w="211"/>
        <w:gridCol w:w="571"/>
        <w:gridCol w:w="407"/>
      </w:tblGrid>
      <w:tr>
        <w:trPr/>
        <w:tc>
          <w:tcPr>
            <w:tcW w:w="80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80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Public offering price per share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407" w:type="dxa"/>
            <w:tcBorders/>
            <w:vAlign w:val="center"/>
          </w:tcPr>
          <w:p>
            <w:pPr>
              <w:pStyle w:val="TableContents"/>
              <w:bidi w:val="0"/>
              <w:spacing w:before="0" w:after="0"/>
              <w:ind w:left="0" w:right="0" w:firstLine="216"/>
              <w:jc w:val="right"/>
              <w:rPr/>
            </w:pPr>
            <w:r>
              <w:rPr/>
              <w:t> </w:t>
            </w:r>
          </w:p>
        </w:tc>
      </w:tr>
      <w:tr>
        <w:trPr/>
        <w:tc>
          <w:tcPr>
            <w:tcW w:w="8047" w:type="dxa"/>
            <w:tcBorders/>
            <w:vAlign w:val="center"/>
          </w:tcPr>
          <w:p>
            <w:pPr>
              <w:pStyle w:val="TableContents"/>
              <w:bidi w:val="0"/>
              <w:spacing w:before="0" w:after="0"/>
              <w:ind w:left="216" w:right="0" w:hanging="0"/>
              <w:jc w:val="left"/>
              <w:rPr>
                <w:rFonts w:ascii="Times New Roman;serif" w:hAnsi="Times New Roman;serif"/>
                <w:b w:val="false"/>
                <w:sz w:val="20"/>
              </w:rPr>
            </w:pPr>
            <w:r>
              <w:rPr>
                <w:rFonts w:ascii="Times New Roman;serif" w:hAnsi="Times New Roman;serif"/>
                <w:b w:val="false"/>
                <w:sz w:val="20"/>
              </w:rPr>
              <w:t>Net tangible book value per share at March 31, 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407" w:type="dxa"/>
            <w:tcBorders/>
            <w:vAlign w:val="center"/>
          </w:tcPr>
          <w:p>
            <w:pPr>
              <w:pStyle w:val="TableContents"/>
              <w:bidi w:val="0"/>
              <w:spacing w:before="0" w:after="0"/>
              <w:ind w:left="0" w:right="0" w:firstLine="216"/>
              <w:jc w:val="right"/>
              <w:rPr/>
            </w:pPr>
            <w:r>
              <w:rPr/>
              <w:t> </w:t>
            </w:r>
          </w:p>
        </w:tc>
      </w:tr>
      <w:tr>
        <w:trPr/>
        <w:tc>
          <w:tcPr>
            <w:tcW w:w="8047" w:type="dxa"/>
            <w:tcBorders/>
            <w:vAlign w:val="center"/>
          </w:tcPr>
          <w:p>
            <w:pPr>
              <w:pStyle w:val="TableContents"/>
              <w:bidi w:val="0"/>
              <w:spacing w:before="0" w:after="0"/>
              <w:ind w:left="216" w:right="0" w:hanging="0"/>
              <w:jc w:val="left"/>
              <w:rPr>
                <w:rFonts w:ascii="Times New Roman;serif" w:hAnsi="Times New Roman;serif"/>
                <w:b w:val="false"/>
                <w:sz w:val="20"/>
              </w:rPr>
            </w:pPr>
            <w:r>
              <w:rPr>
                <w:rFonts w:ascii="Times New Roman;serif" w:hAnsi="Times New Roman;serif"/>
                <w:b w:val="false"/>
                <w:sz w:val="20"/>
              </w:rPr>
              <w:t>Increase in net tangible book value per share attributable to investors purchasing shares in this offering</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407" w:type="dxa"/>
            <w:tcBorders/>
            <w:vAlign w:val="center"/>
          </w:tcPr>
          <w:p>
            <w:pPr>
              <w:pStyle w:val="TableContents"/>
              <w:bidi w:val="0"/>
              <w:spacing w:before="0" w:after="0"/>
              <w:ind w:left="0" w:right="0" w:hanging="0"/>
              <w:jc w:val="right"/>
              <w:rPr/>
            </w:pPr>
            <w:r>
              <w:rPr/>
              <w:t> </w:t>
            </w:r>
          </w:p>
        </w:tc>
      </w:tr>
      <w:tr>
        <w:trPr/>
        <w:tc>
          <w:tcPr>
            <w:tcW w:w="80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407" w:type="dxa"/>
            <w:tcBorders/>
            <w:vAlign w:val="center"/>
          </w:tcPr>
          <w:p>
            <w:pPr>
              <w:pStyle w:val="TableContents"/>
              <w:bidi w:val="0"/>
              <w:spacing w:before="0" w:after="0"/>
              <w:ind w:left="0" w:right="0" w:hanging="0"/>
              <w:jc w:val="right"/>
              <w:rPr/>
            </w:pPr>
            <w:r>
              <w:rPr/>
              <w:t> </w:t>
            </w:r>
          </w:p>
        </w:tc>
      </w:tr>
      <w:tr>
        <w:trPr/>
        <w:tc>
          <w:tcPr>
            <w:tcW w:w="80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 adjusted net tangible book value per share at March 31, 2023, after giving effect to this offering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w:t>
            </w:r>
          </w:p>
        </w:tc>
        <w:tc>
          <w:tcPr>
            <w:tcW w:w="407" w:type="dxa"/>
            <w:tcBorders/>
            <w:vAlign w:val="center"/>
          </w:tcPr>
          <w:p>
            <w:pPr>
              <w:pStyle w:val="TableContents"/>
              <w:bidi w:val="0"/>
              <w:spacing w:before="0" w:after="0"/>
              <w:ind w:left="0" w:right="0" w:hanging="0"/>
              <w:jc w:val="right"/>
              <w:rPr/>
            </w:pPr>
            <w:r>
              <w:rPr/>
              <w:t> </w:t>
            </w:r>
          </w:p>
        </w:tc>
      </w:tr>
      <w:tr>
        <w:trPr/>
        <w:tc>
          <w:tcPr>
            <w:tcW w:w="80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4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80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Dilution per share to investors purchasing shares in this offering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69.53</w:t>
            </w:r>
          </w:p>
        </w:tc>
        <w:tc>
          <w:tcPr>
            <w:tcW w:w="4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240" w:after="120"/>
        <w:jc w:val="left"/>
        <w:rPr>
          <w:rFonts w:ascii="Times New Roman;serif" w:hAnsi="Times New Roman;serif"/>
          <w:b w:val="false"/>
          <w:sz w:val="20"/>
        </w:rPr>
      </w:pPr>
      <w:r>
        <w:rPr>
          <w:rFonts w:ascii="Times New Roman;serif" w:hAnsi="Times New Roman;serif"/>
          <w:b w:val="false"/>
          <w:sz w:val="20"/>
        </w:rPr>
        <w:t>If the underwriters exercise in full their option to purchase 450,000 additional shares of common stock at the public offering price of $75.00 per share, the as adjusted net tangible book value after this offering would be $6.09 per share, representing an increase in net tangible book value of $5.09 per share to existing stockholders and immediate dilution in net tangible book value of $68.91 per share to investors purchasing shares in this offering at the public offering price.</w:t>
      </w:r>
    </w:p>
    <w:p>
      <w:pPr>
        <w:pStyle w:val="TextBody"/>
        <w:bidi w:val="0"/>
        <w:spacing w:before="240" w:after="120"/>
        <w:jc w:val="left"/>
        <w:rPr>
          <w:rFonts w:ascii="Times New Roman;serif" w:hAnsi="Times New Roman;serif"/>
          <w:b w:val="false"/>
          <w:sz w:val="20"/>
        </w:rPr>
      </w:pPr>
      <w:r>
        <w:rPr>
          <w:rFonts w:ascii="Times New Roman;serif" w:hAnsi="Times New Roman;serif"/>
          <w:b w:val="false"/>
          <w:sz w:val="20"/>
        </w:rPr>
        <w:t>The foregoing table and calculations are based on 43,548,466 shares of our common stock outstanding as of March 31, 2023, and exclude: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787,134 shares of common stock issuable upon vesting of restricted stock units outstanding as of March 31, 2023;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8,038,119 shares of common stock issuable upon exercise of stock options outstanding as of March 31, 2023, at a weighted average exercise price of $38.06 per share;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69,520 shares of common stock issuable upon the exercise of outstanding warrants as of March 31, 2023, at a weighted average exercise price of $48.97 per share;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1,241,793 shares of common stock available for future grant under our 2015 Omnibus Incentive Compensation Plan as of March 31, 2023;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1,100,000 shares of common stock available for future grant under our 2023 Employee Stock Purchase Plan as of the date of this prospectus supplement.</w:t>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0"/>
        </w:rPr>
        <w:t>The above table does not assume or give effect to the exercise of the underwriters’ option to purchase 450,000</w:t>
      </w:r>
      <w:r>
        <w:rPr>
          <w:rFonts w:ascii="Times New Roman" w:hAnsi="Times New Roman"/>
          <w:sz w:val="20"/>
        </w:rPr>
        <w:t xml:space="preserve"> </w:t>
      </w:r>
      <w:r>
        <w:rPr>
          <w:rFonts w:ascii="Times New Roman;serif" w:hAnsi="Times New Roman;serif"/>
          <w:b w:val="false"/>
          <w:sz w:val="20"/>
        </w:rPr>
        <w:t>additional shares in this offering. Furthermore, to the extent outstanding options or warrants are exercised, you will experience further dilution. In addition, we may choose to raise additional capital due to market conditions or strategic considerations even if we believe we have sufficient funds for our current or future operating plans. If we raise additional capital through the sale of equity or convertible debt securities, you will experience further dilution.</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S-8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240"/>
        <w:jc w:val="center"/>
        <w:rPr>
          <w:rFonts w:ascii="Times New Roman;serif" w:hAnsi="Times New Roman;serif"/>
          <w:b/>
          <w:sz w:val="20"/>
        </w:rPr>
      </w:pPr>
      <w:bookmarkStart w:id="10" w:name="underwriting"/>
      <w:bookmarkEnd w:id="10"/>
      <w:r>
        <w:rPr>
          <w:rFonts w:ascii="Times New Roman;serif" w:hAnsi="Times New Roman;serif"/>
          <w:b/>
          <w:sz w:val="20"/>
        </w:rPr>
        <w:t>UNDERWRITING</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SVB Securities LLC is acting as representative of each of the underwriters named below and as lead bookrunning manager for this offering. Subject to the terms and conditions set forth in the underwriting agreement among us and the underwriters, we have agreed to sell to the underwriters, and each of the underwriters has agreed, severally and not jointly, to purchase from us, the number of shares of common stock set forth opposite its name below.</w:t>
      </w:r>
    </w:p>
    <w:tbl>
      <w:tblPr>
        <w:tblW w:w="4783" w:type="dxa"/>
        <w:jc w:val="left"/>
        <w:tblInd w:w="0" w:type="dxa"/>
        <w:tblLayout w:type="fixed"/>
        <w:tblCellMar>
          <w:top w:w="28" w:type="dxa"/>
          <w:left w:w="28" w:type="dxa"/>
          <w:bottom w:w="28" w:type="dxa"/>
          <w:right w:w="28" w:type="dxa"/>
        </w:tblCellMar>
      </w:tblPr>
      <w:tblGrid>
        <w:gridCol w:w="2866"/>
        <w:gridCol w:w="866"/>
        <w:gridCol w:w="1051"/>
      </w:tblGrid>
      <w:tr>
        <w:trPr/>
        <w:tc>
          <w:tcPr>
            <w:tcW w:w="286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866"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pPr>
            <w:r>
              <w:rPr/>
              <w:t> </w:t>
            </w:r>
          </w:p>
        </w:tc>
      </w:tr>
      <w:tr>
        <w:trPr/>
        <w:tc>
          <w:tcPr>
            <w:tcW w:w="2866" w:type="dxa"/>
            <w:tcBorders/>
            <w:vAlign w:val="center"/>
          </w:tcPr>
          <w:p>
            <w:pPr>
              <w:pStyle w:val="TableContents"/>
              <w:bidi w:val="0"/>
              <w:spacing w:before="0" w:after="0"/>
              <w:ind w:left="0" w:right="720" w:hanging="0"/>
              <w:jc w:val="left"/>
              <w:rPr/>
            </w:pPr>
            <w:r>
              <w:rPr/>
              <w:t> </w:t>
            </w:r>
          </w:p>
        </w:tc>
        <w:tc>
          <w:tcPr>
            <w:tcW w:w="866" w:type="dxa"/>
            <w:tcBorders/>
            <w:vAlign w:val="center"/>
          </w:tcPr>
          <w:p>
            <w:pPr>
              <w:pStyle w:val="TableContents"/>
              <w:bidi w:val="0"/>
              <w:spacing w:before="0" w:after="0"/>
              <w:ind w:left="0" w:right="720" w:hanging="0"/>
              <w:jc w:val="left"/>
              <w:rPr/>
            </w:pPr>
            <w:r>
              <w:rPr/>
              <w:t> </w:t>
            </w:r>
          </w:p>
        </w:tc>
        <w:tc>
          <w:tcPr>
            <w:tcW w:w="105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Number of</w:t>
            </w:r>
          </w:p>
        </w:tc>
      </w:tr>
      <w:tr>
        <w:trPr/>
        <w:tc>
          <w:tcPr>
            <w:tcW w:w="2866" w:type="dxa"/>
            <w:tcBorders>
              <w:bottom w:val="single" w:sz="8" w:space="0" w:color="000000"/>
            </w:tcBorders>
            <w:tcMar>
              <w:top w:w="0" w:type="dxa"/>
              <w:left w:w="0" w:type="dxa"/>
              <w:right w:w="0" w:type="dxa"/>
            </w:tcMar>
            <w:vAlign w:val="center"/>
          </w:tcPr>
          <w:p>
            <w:pPr>
              <w:pStyle w:val="TableContents"/>
              <w:bidi w:val="0"/>
              <w:spacing w:before="0" w:after="0"/>
              <w:ind w:left="0" w:right="720" w:hanging="0"/>
              <w:jc w:val="left"/>
              <w:rPr>
                <w:rFonts w:ascii="Times New Roman;serif" w:hAnsi="Times New Roman;serif"/>
                <w:b/>
                <w:sz w:val="20"/>
              </w:rPr>
            </w:pPr>
            <w:r>
              <w:rPr>
                <w:rFonts w:ascii="Times New Roman;serif" w:hAnsi="Times New Roman;serif"/>
                <w:b/>
                <w:sz w:val="20"/>
              </w:rPr>
              <w:t>Underwriter</w:t>
            </w:r>
          </w:p>
        </w:tc>
        <w:tc>
          <w:tcPr>
            <w:tcW w:w="866" w:type="dxa"/>
            <w:tcBorders>
              <w:bottom w:val="single" w:sz="8" w:space="0" w:color="000000"/>
            </w:tcBorders>
            <w:tcMar>
              <w:top w:w="0" w:type="dxa"/>
              <w:left w:w="0" w:type="dxa"/>
              <w:right w:w="0" w:type="dxa"/>
            </w:tcMar>
            <w:vAlign w:val="center"/>
          </w:tcPr>
          <w:p>
            <w:pPr>
              <w:pStyle w:val="TableContents"/>
              <w:bidi w:val="0"/>
              <w:spacing w:before="0" w:after="0"/>
              <w:ind w:left="0" w:right="720" w:hanging="0"/>
              <w:jc w:val="left"/>
              <w:rPr/>
            </w:pPr>
            <w:r>
              <w:rPr/>
              <w:t> </w:t>
            </w:r>
          </w:p>
        </w:tc>
        <w:tc>
          <w:tcPr>
            <w:tcW w:w="10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Shares</w:t>
            </w:r>
          </w:p>
        </w:tc>
      </w:tr>
      <w:tr>
        <w:trPr/>
        <w:tc>
          <w:tcPr>
            <w:tcW w:w="2866" w:type="dxa"/>
            <w:tcBorders/>
            <w:vAlign w:val="center"/>
          </w:tcPr>
          <w:p>
            <w:pPr>
              <w:pStyle w:val="TableContents"/>
              <w:bidi w:val="0"/>
              <w:spacing w:before="0" w:after="0"/>
              <w:ind w:left="0" w:right="720" w:hanging="0"/>
              <w:jc w:val="left"/>
              <w:rPr>
                <w:rFonts w:ascii="Times New Roman;serif" w:hAnsi="Times New Roman;serif"/>
                <w:b w:val="false"/>
                <w:sz w:val="20"/>
              </w:rPr>
            </w:pPr>
            <w:r>
              <w:rPr>
                <w:rFonts w:ascii="Times New Roman;serif" w:hAnsi="Times New Roman;serif"/>
                <w:b w:val="false"/>
                <w:sz w:val="20"/>
              </w:rPr>
              <w:t>SVB Securities LLC</w:t>
            </w:r>
          </w:p>
        </w:tc>
        <w:tc>
          <w:tcPr>
            <w:tcW w:w="866" w:type="dxa"/>
            <w:tcBorders/>
            <w:vAlign w:val="center"/>
          </w:tcPr>
          <w:p>
            <w:pPr>
              <w:pStyle w:val="TableContents"/>
              <w:bidi w:val="0"/>
              <w:spacing w:before="0" w:after="0"/>
              <w:ind w:left="0" w:right="720" w:hanging="0"/>
              <w:jc w:val="left"/>
              <w:rPr/>
            </w:pPr>
            <w:r>
              <w:rPr/>
              <w:t> </w:t>
            </w:r>
          </w:p>
        </w:tc>
        <w:tc>
          <w:tcPr>
            <w:tcW w:w="10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915,000</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Guggenheim Securities, LLC</w:t>
            </w:r>
          </w:p>
        </w:tc>
        <w:tc>
          <w:tcPr>
            <w:tcW w:w="866" w:type="dxa"/>
            <w:tcBorders/>
            <w:vAlign w:val="center"/>
          </w:tcPr>
          <w:p>
            <w:pPr>
              <w:pStyle w:val="TableContents"/>
              <w:bidi w:val="0"/>
              <w:spacing w:before="0" w:after="0"/>
              <w:ind w:left="0" w:right="720" w:hanging="0"/>
              <w:jc w:val="left"/>
              <w:rPr/>
            </w:pPr>
            <w:r>
              <w:rPr/>
              <w:t> </w:t>
            </w:r>
          </w:p>
        </w:tc>
        <w:tc>
          <w:tcPr>
            <w:tcW w:w="10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375,000</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Truist Securities, Inc.</w:t>
            </w:r>
          </w:p>
        </w:tc>
        <w:tc>
          <w:tcPr>
            <w:tcW w:w="866" w:type="dxa"/>
            <w:tcBorders/>
            <w:vAlign w:val="center"/>
          </w:tcPr>
          <w:p>
            <w:pPr>
              <w:pStyle w:val="TableContents"/>
              <w:bidi w:val="0"/>
              <w:spacing w:before="0" w:after="0"/>
              <w:ind w:left="0" w:right="720" w:hanging="0"/>
              <w:jc w:val="left"/>
              <w:rPr/>
            </w:pPr>
            <w:r>
              <w:rPr/>
              <w:t> </w:t>
            </w:r>
          </w:p>
        </w:tc>
        <w:tc>
          <w:tcPr>
            <w:tcW w:w="10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330,000</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William Blair &amp; Company, L.L.C.</w:t>
            </w:r>
          </w:p>
        </w:tc>
        <w:tc>
          <w:tcPr>
            <w:tcW w:w="866" w:type="dxa"/>
            <w:tcBorders/>
            <w:vAlign w:val="center"/>
          </w:tcPr>
          <w:p>
            <w:pPr>
              <w:pStyle w:val="TableContents"/>
              <w:bidi w:val="0"/>
              <w:spacing w:before="0" w:after="0"/>
              <w:ind w:left="0" w:right="720" w:hanging="0"/>
              <w:jc w:val="left"/>
              <w:rPr/>
            </w:pPr>
            <w:r>
              <w:rPr/>
              <w:t> </w:t>
            </w:r>
          </w:p>
        </w:tc>
        <w:tc>
          <w:tcPr>
            <w:tcW w:w="10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330,000</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Cantor Fitzgerald &amp; Co.</w:t>
            </w:r>
          </w:p>
        </w:tc>
        <w:tc>
          <w:tcPr>
            <w:tcW w:w="866" w:type="dxa"/>
            <w:tcBorders/>
            <w:vAlign w:val="center"/>
          </w:tcPr>
          <w:p>
            <w:pPr>
              <w:pStyle w:val="TableContents"/>
              <w:bidi w:val="0"/>
              <w:spacing w:before="0" w:after="0"/>
              <w:ind w:left="0" w:right="720" w:hanging="0"/>
              <w:jc w:val="left"/>
              <w:rPr/>
            </w:pPr>
            <w:r>
              <w:rPr/>
              <w:t> </w:t>
            </w:r>
          </w:p>
        </w:tc>
        <w:tc>
          <w:tcPr>
            <w:tcW w:w="10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330,000</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Ladenburg Thalmann &amp; Co. Inc.</w:t>
            </w:r>
          </w:p>
        </w:tc>
        <w:tc>
          <w:tcPr>
            <w:tcW w:w="866" w:type="dxa"/>
            <w:tcBorders/>
            <w:vAlign w:val="center"/>
          </w:tcPr>
          <w:p>
            <w:pPr>
              <w:pStyle w:val="TableContents"/>
              <w:bidi w:val="0"/>
              <w:spacing w:before="0" w:after="0"/>
              <w:ind w:left="0" w:right="720" w:hanging="0"/>
              <w:jc w:val="left"/>
              <w:rPr/>
            </w:pPr>
            <w:r>
              <w:rPr/>
              <w:t> </w:t>
            </w:r>
          </w:p>
        </w:tc>
        <w:tc>
          <w:tcPr>
            <w:tcW w:w="10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300,000</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Mizuho Securities USA LLC</w:t>
            </w:r>
          </w:p>
        </w:tc>
        <w:tc>
          <w:tcPr>
            <w:tcW w:w="866" w:type="dxa"/>
            <w:tcBorders/>
            <w:vAlign w:val="center"/>
          </w:tcPr>
          <w:p>
            <w:pPr>
              <w:pStyle w:val="TableContents"/>
              <w:bidi w:val="0"/>
              <w:spacing w:before="0" w:after="0"/>
              <w:ind w:left="0" w:right="720" w:hanging="0"/>
              <w:jc w:val="left"/>
              <w:rPr/>
            </w:pPr>
            <w:r>
              <w:rPr/>
              <w:t> </w:t>
            </w:r>
          </w:p>
        </w:tc>
        <w:tc>
          <w:tcPr>
            <w:tcW w:w="10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210,000</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H.C. Wainwright &amp; Co., LLC</w:t>
            </w:r>
          </w:p>
        </w:tc>
        <w:tc>
          <w:tcPr>
            <w:tcW w:w="866" w:type="dxa"/>
            <w:tcBorders/>
            <w:vAlign w:val="center"/>
          </w:tcPr>
          <w:p>
            <w:pPr>
              <w:pStyle w:val="TableContents"/>
              <w:bidi w:val="0"/>
              <w:spacing w:before="0" w:after="0"/>
              <w:ind w:left="0" w:right="720" w:hanging="0"/>
              <w:jc w:val="left"/>
              <w:rPr/>
            </w:pPr>
            <w:r>
              <w:rPr/>
              <w:t> </w:t>
            </w:r>
          </w:p>
        </w:tc>
        <w:tc>
          <w:tcPr>
            <w:tcW w:w="10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210,000</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866" w:type="dxa"/>
            <w:tcBorders/>
            <w:vAlign w:val="center"/>
          </w:tcPr>
          <w:p>
            <w:pPr>
              <w:pStyle w:val="TableContents"/>
              <w:bidi w:val="0"/>
              <w:spacing w:before="0" w:after="0"/>
              <w:ind w:left="0" w:right="0" w:hanging="0"/>
              <w:jc w:val="left"/>
              <w:rPr/>
            </w:pPr>
            <w:r>
              <w:rPr/>
              <w:t> </w:t>
            </w:r>
          </w:p>
        </w:tc>
        <w:tc>
          <w:tcPr>
            <w:tcW w:w="10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3,000,000</w:t>
            </w:r>
          </w:p>
        </w:tc>
      </w:tr>
    </w:tbl>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0"/>
        </w:rPr>
        <w:t>Subject to the terms and conditions set forth in the underwriting agreement, the underwriters have agreed, severally and not jointly, to purchase all of the shares sold under the underwriting agreement if any of the shares are purchased. If an underwriter defaults, the underwriting agreement provides that the purchase commitments of the non-defaulting underwriters may be increased or the underwriting agreement may be terminated.</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0"/>
        </w:rPr>
        <w:t>We have agreed to indemnify the underwriters against certain liabilities, including liabilities under the Securities Act, or to contribute to payments the underwriters may be required to make in respect of those liabilities.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0"/>
        </w:rPr>
        <w:t>The underwriters are offering the shares, subject to prior sale, when, as and if issued to and accepted by them, subject to approval of legal matters by their counsel, including the validity of the shares,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r>
        <w:rPr>
          <w:rFonts w:ascii="Times New Roman" w:hAnsi="Times New Roman"/>
          <w:sz w:val="20"/>
        </w:rPr>
        <w:t xml:space="preserve"> </w:t>
      </w:r>
    </w:p>
    <w:p>
      <w:pPr>
        <w:pStyle w:val="TextBody"/>
        <w:bidi w:val="0"/>
        <w:spacing w:before="0" w:after="240"/>
        <w:jc w:val="left"/>
        <w:rPr>
          <w:rFonts w:ascii="Times New Roman;serif" w:hAnsi="Times New Roman;serif"/>
          <w:b/>
          <w:sz w:val="20"/>
        </w:rPr>
      </w:pPr>
      <w:r>
        <w:rPr>
          <w:rFonts w:ascii="Times New Roman;serif" w:hAnsi="Times New Roman;serif"/>
          <w:b/>
          <w:sz w:val="20"/>
        </w:rPr>
        <w:t>Discounts and Commissions</w:t>
      </w:r>
    </w:p>
    <w:p>
      <w:pPr>
        <w:pStyle w:val="TextBody"/>
        <w:bidi w:val="0"/>
        <w:spacing w:before="120" w:after="240"/>
        <w:jc w:val="left"/>
        <w:rPr>
          <w:rFonts w:ascii="Times New Roman" w:hAnsi="Times New Roman"/>
          <w:sz w:val="20"/>
        </w:rPr>
      </w:pPr>
      <w:r>
        <w:rPr>
          <w:rFonts w:ascii="Times New Roman;serif" w:hAnsi="Times New Roman;serif"/>
          <w:b w:val="false"/>
          <w:sz w:val="20"/>
        </w:rPr>
        <w:t>The representative has advised us that the underwriters propose initially to offer the shares to the public at the public offering price set forth on the cover page of this prospectus supplement and to dealers at that price less a concession not in excess of $2.70 per share. After the offering of the shares, the public offering price, concession or any other term of this offering may be changed by the representative.</w:t>
      </w:r>
      <w:r>
        <w:rPr>
          <w:rFonts w:ascii="Times New Roman" w:hAnsi="Times New Roman"/>
          <w:sz w:val="20"/>
        </w:rPr>
        <w:t xml:space="preserve"> </w:t>
      </w:r>
    </w:p>
    <w:p>
      <w:pPr>
        <w:pStyle w:val="TextBody"/>
        <w:bidi w:val="0"/>
        <w:spacing w:before="240" w:after="240"/>
        <w:jc w:val="left"/>
        <w:rPr>
          <w:rFonts w:ascii="Times New Roman" w:hAnsi="Times New Roman"/>
          <w:sz w:val="20"/>
        </w:rPr>
      </w:pPr>
      <w:r>
        <w:rPr>
          <w:rFonts w:ascii="Times New Roman;serif" w:hAnsi="Times New Roman;serif"/>
          <w:b w:val="false"/>
          <w:sz w:val="20"/>
        </w:rPr>
        <w:t>The following table shows the public offering price, underwriting discounts and commissions and proceeds, before expenses, to us. The information assumes either no exercise or full exercise by the underwriters of their option to purchase additional shares of our common stock.</w:t>
      </w:r>
      <w:r>
        <w:rPr>
          <w:rFonts w:ascii="Times New Roman" w:hAnsi="Times New Roman"/>
          <w:sz w:val="20"/>
        </w:rPr>
        <w:t xml:space="preserve"> </w:t>
      </w:r>
    </w:p>
    <w:tbl>
      <w:tblPr>
        <w:tblW w:w="8116" w:type="dxa"/>
        <w:jc w:val="left"/>
        <w:tblInd w:w="0" w:type="dxa"/>
        <w:tblLayout w:type="fixed"/>
        <w:tblCellMar>
          <w:top w:w="28" w:type="dxa"/>
          <w:left w:w="28" w:type="dxa"/>
          <w:bottom w:w="28" w:type="dxa"/>
          <w:right w:w="28" w:type="dxa"/>
        </w:tblCellMar>
      </w:tblPr>
      <w:tblGrid>
        <w:gridCol w:w="3466"/>
        <w:gridCol w:w="146"/>
        <w:gridCol w:w="222"/>
        <w:gridCol w:w="603"/>
        <w:gridCol w:w="146"/>
        <w:gridCol w:w="146"/>
        <w:gridCol w:w="211"/>
        <w:gridCol w:w="1141"/>
        <w:gridCol w:w="146"/>
        <w:gridCol w:w="146"/>
        <w:gridCol w:w="211"/>
        <w:gridCol w:w="1141"/>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2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1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1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9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2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996" w:type="dxa"/>
            <w:gridSpan w:val="6"/>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25"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 Share</w:t>
            </w:r>
          </w:p>
        </w:tc>
        <w:tc>
          <w:tcPr>
            <w:tcW w:w="14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352"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Without Option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352"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With Option</w:t>
            </w:r>
          </w:p>
        </w:tc>
        <w:tc>
          <w:tcPr>
            <w:tcW w:w="391" w:type="dxa"/>
            <w:tcBorders>
              <w:bottom w:val="single" w:sz="8"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466" w:type="dxa"/>
            <w:tcBorders/>
            <w:tcMar>
              <w:top w:w="0" w:type="dxa"/>
              <w:left w:w="0" w:type="dxa"/>
              <w:bottom w:w="0" w:type="dxa"/>
              <w:right w:w="0" w:type="dxa"/>
            </w:tcMar>
            <w:vAlign w:val="center"/>
          </w:tcPr>
          <w:p>
            <w:pPr>
              <w:pStyle w:val="TableContents"/>
              <w:pBdr/>
              <w:bidi w:val="0"/>
              <w:spacing w:before="0" w:after="0"/>
              <w:ind w:left="0" w:right="0" w:hanging="200"/>
              <w:jc w:val="left"/>
              <w:rPr>
                <w:rFonts w:ascii="Times New Roman;serif" w:hAnsi="Times New Roman;serif"/>
                <w:b w:val="false"/>
                <w:sz w:val="20"/>
              </w:rPr>
            </w:pPr>
            <w:r>
              <w:rPr>
                <w:rFonts w:ascii="Times New Roman;serif" w:hAnsi="Times New Roman;serif"/>
                <w:b w:val="false"/>
                <w:sz w:val="20"/>
              </w:rPr>
              <w:t>Public offering price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2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225,000,000</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258,750,000</w:t>
            </w:r>
          </w:p>
        </w:tc>
        <w:tc>
          <w:tcPr>
            <w:tcW w:w="391" w:type="dxa"/>
            <w:tcBorders/>
            <w:tcMar>
              <w:top w:w="0" w:type="dxa"/>
              <w:left w:w="0" w:type="dxa"/>
              <w:bottom w:w="0" w:type="dxa"/>
              <w:right w:w="0" w:type="dxa"/>
            </w:tcMar>
            <w:vAlign w:val="center"/>
          </w:tcPr>
          <w:p>
            <w:pPr>
              <w:pStyle w:val="TableContents"/>
              <w:bidi w:val="0"/>
              <w:spacing w:before="0" w:after="0"/>
              <w:ind w:left="0" w:right="0" w:firstLine="200"/>
              <w:jc w:val="left"/>
              <w:rPr/>
            </w:pPr>
            <w:r>
              <w:rPr/>
              <w:t> </w:t>
            </w:r>
          </w:p>
        </w:tc>
      </w:tr>
      <w:tr>
        <w:trPr/>
        <w:tc>
          <w:tcPr>
            <w:tcW w:w="3466" w:type="dxa"/>
            <w:tcBorders/>
            <w:tcMar>
              <w:top w:w="0" w:type="dxa"/>
              <w:left w:w="0" w:type="dxa"/>
              <w:bottom w:w="0" w:type="dxa"/>
              <w:right w:w="0" w:type="dxa"/>
            </w:tcMar>
            <w:vAlign w:val="center"/>
          </w:tcPr>
          <w:p>
            <w:pPr>
              <w:pStyle w:val="TableContents"/>
              <w:pBdr/>
              <w:bidi w:val="0"/>
              <w:spacing w:before="0" w:after="0"/>
              <w:ind w:left="0" w:right="0" w:hanging="200"/>
              <w:jc w:val="left"/>
              <w:rPr>
                <w:rFonts w:ascii="Times New Roman;serif" w:hAnsi="Times New Roman;serif"/>
                <w:b w:val="false"/>
                <w:sz w:val="20"/>
              </w:rPr>
            </w:pPr>
            <w:r>
              <w:rPr>
                <w:rFonts w:ascii="Times New Roman;serif" w:hAnsi="Times New Roman;serif"/>
                <w:b w:val="false"/>
                <w:sz w:val="20"/>
              </w:rPr>
              <w:t>Underwriting discounts and commissions</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2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13,500,000</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15,525,000</w:t>
            </w:r>
          </w:p>
        </w:tc>
        <w:tc>
          <w:tcPr>
            <w:tcW w:w="391" w:type="dxa"/>
            <w:tcBorders/>
            <w:tcMar>
              <w:top w:w="0" w:type="dxa"/>
              <w:left w:w="0" w:type="dxa"/>
              <w:bottom w:w="0" w:type="dxa"/>
              <w:right w:w="0" w:type="dxa"/>
            </w:tcMar>
            <w:vAlign w:val="center"/>
          </w:tcPr>
          <w:p>
            <w:pPr>
              <w:pStyle w:val="TableContents"/>
              <w:bidi w:val="0"/>
              <w:spacing w:before="0" w:after="0"/>
              <w:ind w:left="0" w:right="0" w:firstLine="200"/>
              <w:jc w:val="left"/>
              <w:rPr/>
            </w:pPr>
            <w:r>
              <w:rPr/>
              <w:t> </w:t>
            </w:r>
          </w:p>
        </w:tc>
      </w:tr>
      <w:tr>
        <w:trPr/>
        <w:tc>
          <w:tcPr>
            <w:tcW w:w="3466" w:type="dxa"/>
            <w:tcBorders/>
            <w:tcMar>
              <w:top w:w="0" w:type="dxa"/>
              <w:left w:w="0" w:type="dxa"/>
              <w:bottom w:w="0" w:type="dxa"/>
              <w:right w:w="0" w:type="dxa"/>
            </w:tcMar>
            <w:vAlign w:val="center"/>
          </w:tcPr>
          <w:p>
            <w:pPr>
              <w:pStyle w:val="TableContents"/>
              <w:pBdr/>
              <w:bidi w:val="0"/>
              <w:spacing w:before="0" w:after="0"/>
              <w:ind w:left="0" w:right="0" w:hanging="200"/>
              <w:jc w:val="left"/>
              <w:rPr>
                <w:rFonts w:ascii="Times New Roman;serif" w:hAnsi="Times New Roman;serif"/>
                <w:b w:val="false"/>
                <w:sz w:val="20"/>
              </w:rPr>
            </w:pPr>
            <w:r>
              <w:rPr>
                <w:rFonts w:ascii="Times New Roman;serif" w:hAnsi="Times New Roman;serif"/>
                <w:b w:val="false"/>
                <w:sz w:val="20"/>
              </w:rPr>
              <w:t>Proceeds, before expenses, to us</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2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70.50</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211,500,000</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243,225,000</w:t>
            </w:r>
          </w:p>
        </w:tc>
        <w:tc>
          <w:tcPr>
            <w:tcW w:w="39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240"/>
        <w:jc w:val="left"/>
        <w:rPr>
          <w:rFonts w:ascii="Times New Roman;serif" w:hAnsi="Times New Roman;serif"/>
          <w:b w:val="false"/>
          <w:sz w:val="20"/>
        </w:rPr>
      </w:pPr>
      <w:r>
        <w:rPr>
          <w:rFonts w:ascii="Times New Roman;serif" w:hAnsi="Times New Roman;serif"/>
          <w:b w:val="false"/>
          <w:sz w:val="20"/>
        </w:rPr>
        <w:t>We estimate expenses payable by us in connection with this offering, other than the underwriting discounts and commissions referred to above, will be approximately $500,000. We also have agreed to reimburse the underwriters for up to $15,000 for their FINRA counsel fee. In accordance with FINRA Rule 5110, this reimbursed fee is deemed underwriting compensation for this offering.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S-9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240"/>
        <w:jc w:val="left"/>
        <w:rPr>
          <w:rFonts w:ascii="Times New Roman;serif" w:hAnsi="Times New Roman;serif"/>
          <w:b/>
          <w:sz w:val="20"/>
        </w:rPr>
      </w:pPr>
      <w:r>
        <w:rPr>
          <w:rFonts w:ascii="Times New Roman;serif" w:hAnsi="Times New Roman;serif"/>
          <w:b/>
          <w:sz w:val="20"/>
        </w:rPr>
        <w:t>Option to Purchase Additional Shares</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We have granted an option to the underwriters, exercisable for 30 days after the date of this prospectus supplement, to purchase up to 450,000 additional shares at the public offering price, less underwriting discounts and commissions. If the underwriters exercise this option, each underwriter will be obligated, subject to the conditions contained in the underwriting agreement, to purchase a number of additional shares proportionate to that underwriter’s initial amount reflected in the above table.</w:t>
      </w:r>
    </w:p>
    <w:p>
      <w:pPr>
        <w:pStyle w:val="TextBody"/>
        <w:bidi w:val="0"/>
        <w:spacing w:before="0" w:after="240"/>
        <w:jc w:val="left"/>
        <w:rPr>
          <w:rFonts w:ascii="Times New Roman;serif" w:hAnsi="Times New Roman;serif"/>
          <w:b/>
          <w:sz w:val="20"/>
        </w:rPr>
      </w:pPr>
      <w:r>
        <w:rPr>
          <w:rFonts w:ascii="Times New Roman;serif" w:hAnsi="Times New Roman;serif"/>
          <w:b/>
          <w:sz w:val="20"/>
        </w:rPr>
        <w:t>No Sales of Similar Securities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We and our executive officers and directors have agreed not to sell or transfer any common stock or securities convertible into or exchangeable or exercisable for common stock, for 90 days after the date of this prospectus supplement without first obtaining the written consent of SVB Securities LLC on behalf of the underwriters. Specifically, we and these other persons have agreed, with certain limited exceptions, not to directly or indirectly: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offer, pledge, sell or contract to sell any common stock;</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sell any option or contract to purchase any common stock;</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purchase any option or contract to sell any common stock;</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grant any option, right or warrant for the sale of any common stock;</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otherwise dispose of or transfer any common stock;</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request or demand that we file a registration statement related to the common stock; or</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enter into any swap or other agreement or any transaction that transfers, in whole or in part, the economic consequence of ownership of any common stock, whether any such swap, agreement or transaction is to be settled by delivery of shares or other securities, in cash or otherwise.</w:t>
      </w:r>
    </w:p>
    <w:p>
      <w:pPr>
        <w:pStyle w:val="TextBody"/>
        <w:bidi w:val="0"/>
        <w:spacing w:before="240" w:after="240"/>
        <w:jc w:val="left"/>
        <w:rPr>
          <w:rFonts w:ascii="Times New Roman" w:hAnsi="Times New Roman"/>
          <w:sz w:val="20"/>
        </w:rPr>
      </w:pPr>
      <w:r>
        <w:rPr>
          <w:rFonts w:ascii="Times New Roman;serif" w:hAnsi="Times New Roman;serif"/>
          <w:b w:val="false"/>
          <w:sz w:val="20"/>
        </w:rPr>
        <w:t>The lock-up provisions apply to common stock and to securities convertible into or exchangeable or exercisable for common stock. They also apply to common stock owned now or acquired later by the person executing the lock-up agreement or for which the person executing the lock-up agreement later acquires the power of disposition.</w:t>
      </w:r>
      <w:r>
        <w:rPr>
          <w:rFonts w:ascii="Times New Roman" w:hAnsi="Times New Roman"/>
          <w:sz w:val="20"/>
        </w:rPr>
        <w:t xml:space="preserve"> </w:t>
      </w:r>
    </w:p>
    <w:p>
      <w:pPr>
        <w:pStyle w:val="TextBody"/>
        <w:bidi w:val="0"/>
        <w:spacing w:before="0" w:after="240"/>
        <w:jc w:val="left"/>
        <w:rPr>
          <w:rFonts w:ascii="Times New Roman;serif" w:hAnsi="Times New Roman;serif"/>
          <w:b/>
          <w:sz w:val="20"/>
        </w:rPr>
      </w:pPr>
      <w:r>
        <w:rPr>
          <w:rFonts w:ascii="Times New Roman;serif" w:hAnsi="Times New Roman;serif"/>
          <w:b/>
          <w:sz w:val="20"/>
        </w:rPr>
        <w:t>Nasdaq Global Market Listing</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Our common stock is listed on the Nasdaq Global Market under the symbol “AXSM.”</w:t>
      </w:r>
    </w:p>
    <w:p>
      <w:pPr>
        <w:pStyle w:val="TextBody"/>
        <w:bidi w:val="0"/>
        <w:spacing w:before="0" w:after="240"/>
        <w:jc w:val="left"/>
        <w:rPr>
          <w:rFonts w:ascii="Times New Roman" w:hAnsi="Times New Roman"/>
          <w:sz w:val="20"/>
        </w:rPr>
      </w:pPr>
      <w:r>
        <w:rPr>
          <w:rFonts w:ascii="Times New Roman;serif" w:hAnsi="Times New Roman;serif"/>
          <w:b/>
          <w:sz w:val="20"/>
        </w:rPr>
        <w:t>Price Stabilization, Short Positions and Penalty Bids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0"/>
        </w:rPr>
        <w:t>Until the distribution of the shares is completed, SEC rules may limit underwriters and selling group members from bidding for and purchasing our common stock. However, the representative may engage in transactions that stabilize the price of the common stock, such as bids or purchases to peg, fix or maintain that price.</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granted to them under the underwriting agreement described above.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common stock made by the underwriters in the open market prior to the closing of this offering.</w:t>
      </w:r>
    </w:p>
    <w:p>
      <w:pPr>
        <w:pStyle w:val="TextBody"/>
        <w:bidi w:val="0"/>
        <w:spacing w:before="0" w:after="240"/>
        <w:jc w:val="left"/>
        <w:rPr>
          <w:rFonts w:ascii="Times New Roman" w:hAnsi="Times New Roman"/>
          <w:sz w:val="20"/>
        </w:rPr>
      </w:pPr>
      <w:r>
        <w:rPr>
          <w:rFonts w:ascii="Times New Roman;serif" w:hAnsi="Times New Roman;serif"/>
          <w:b w:val="false"/>
          <w:sz w:val="20"/>
        </w:rPr>
        <w:t>The underwriters may also impose a penalty bid. This occurs when a particular underwriter repays to the underwriters a portion of the underwriting discount received by it because the representative has repurchased shares sold by or for the account of such underwriter in stabilizing or short covering transactions.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S-10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0"/>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 will engage in these transactions or that these transactions, once commenced, will not be discontinued without notice.</w:t>
      </w:r>
    </w:p>
    <w:p>
      <w:pPr>
        <w:pStyle w:val="TextBody"/>
        <w:bidi w:val="0"/>
        <w:spacing w:before="0" w:after="240"/>
        <w:jc w:val="left"/>
        <w:rPr>
          <w:rFonts w:ascii="Times New Roman;serif" w:hAnsi="Times New Roman;serif"/>
          <w:b/>
          <w:sz w:val="20"/>
        </w:rPr>
      </w:pPr>
      <w:r>
        <w:rPr>
          <w:rFonts w:ascii="Times New Roman;serif" w:hAnsi="Times New Roman;serif"/>
          <w:b/>
          <w:sz w:val="20"/>
        </w:rPr>
        <w:t>Electronic Distribution</w:t>
      </w:r>
    </w:p>
    <w:p>
      <w:pPr>
        <w:pStyle w:val="TextBody"/>
        <w:bidi w:val="0"/>
        <w:spacing w:before="0" w:after="240"/>
        <w:jc w:val="left"/>
        <w:rPr>
          <w:rFonts w:ascii="Times New Roman" w:hAnsi="Times New Roman"/>
          <w:sz w:val="20"/>
        </w:rPr>
      </w:pPr>
      <w:r>
        <w:rPr>
          <w:rFonts w:ascii="Times New Roman;serif" w:hAnsi="Times New Roman;serif"/>
          <w:b w:val="false"/>
          <w:sz w:val="20"/>
        </w:rPr>
        <w:t>In connection with this offering, certain of the underwriters or securities dealers may distribute prospectuses by electronic means, such as e-mail.</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sz w:val="20"/>
        </w:rPr>
        <w:t>Other Relationships</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pStyle w:val="TextBody"/>
        <w:bidi w:val="0"/>
        <w:spacing w:before="0" w:after="240"/>
        <w:jc w:val="left"/>
        <w:rPr>
          <w:rFonts w:ascii="Times New Roman" w:hAnsi="Times New Roman"/>
          <w:sz w:val="20"/>
        </w:rPr>
      </w:pPr>
      <w:r>
        <w:rPr>
          <w:rFonts w:ascii="Times New Roman;serif" w:hAnsi="Times New Roman;serif"/>
          <w:b w:val="false"/>
          <w:sz w:val="20"/>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r>
        <w:rPr>
          <w:rFonts w:ascii="Times New Roman" w:hAnsi="Times New Roman"/>
          <w:sz w:val="20"/>
        </w:rPr>
        <w:t xml:space="preserve"> </w:t>
      </w:r>
    </w:p>
    <w:p>
      <w:pPr>
        <w:pStyle w:val="TextBody"/>
        <w:bidi w:val="0"/>
        <w:spacing w:before="0" w:after="240"/>
        <w:jc w:val="left"/>
        <w:rPr>
          <w:rFonts w:ascii="Times New Roman;serif" w:hAnsi="Times New Roman;serif"/>
          <w:b/>
          <w:sz w:val="20"/>
        </w:rPr>
      </w:pPr>
      <w:r>
        <w:rPr>
          <w:rFonts w:ascii="Times New Roman;serif" w:hAnsi="Times New Roman;serif"/>
          <w:b/>
          <w:sz w:val="20"/>
        </w:rPr>
        <w:t>Selling Restrictions</w:t>
      </w:r>
    </w:p>
    <w:p>
      <w:pPr>
        <w:pStyle w:val="TextBody"/>
        <w:bidi w:val="0"/>
        <w:spacing w:before="0" w:after="240"/>
        <w:jc w:val="left"/>
        <w:rPr>
          <w:rFonts w:ascii="Times New Roman;serif" w:hAnsi="Times New Roman;serif"/>
          <w:b/>
          <w:i/>
          <w:sz w:val="20"/>
        </w:rPr>
      </w:pPr>
      <w:r>
        <w:rPr>
          <w:rFonts w:ascii="Times New Roman;serif" w:hAnsi="Times New Roman;serif"/>
          <w:b/>
          <w:i/>
          <w:sz w:val="20"/>
        </w:rPr>
        <w:t>Notice to Prospective Investors in the European Economic Area</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 relation to each member state of the European Economic Area (each a “Member State”), no shares have been offered or will be offered pursuant to the offer described herein in that Member State prior to the publication of a prospectus in relation to the shares which has been approved by the competent authority in that Member State or, where appropriate, approved in another Member State and notified to the relevant competent authority in that Member State, all in accordance with the Prospectus Regulation, except that the shares may be offered to the public in that Member State at any time:</w:t>
      </w:r>
    </w:p>
    <w:p>
      <w:pPr>
        <w:pStyle w:val="TextBody"/>
        <w:bidi w:val="0"/>
        <w:spacing w:before="0" w:after="0"/>
        <w:jc w:val="left"/>
        <w:rPr/>
      </w:pPr>
      <w:r>
        <w:rPr/>
        <w:t> </w:t>
      </w:r>
    </w:p>
    <w:p>
      <w:pPr>
        <w:pStyle w:val="TextBody"/>
        <w:bidi w:val="0"/>
        <w:spacing w:before="120" w:after="0"/>
        <w:jc w:val="left"/>
        <w:rPr>
          <w:rFonts w:ascii="Times New Roman" w:hAnsi="Times New Roman"/>
          <w:b w:val="false"/>
          <w:sz w:val="20"/>
        </w:rPr>
      </w:pPr>
      <w:r>
        <w:rPr>
          <w:rFonts w:ascii="Times New Roman" w:hAnsi="Times New Roman"/>
          <w:b w:val="false"/>
          <w:sz w:val="20"/>
        </w:rPr>
        <w:t>i.</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 any legal entity which is a qualified investor as defined under Article 2 of the Prospectus Regulation;</w:t>
      </w:r>
    </w:p>
    <w:p>
      <w:pPr>
        <w:pStyle w:val="TextBody"/>
        <w:bidi w:val="0"/>
        <w:spacing w:before="120" w:after="0"/>
        <w:jc w:val="left"/>
        <w:rPr>
          <w:rFonts w:ascii="Times New Roman" w:hAnsi="Times New Roman"/>
          <w:b w:val="false"/>
          <w:sz w:val="20"/>
        </w:rPr>
      </w:pPr>
      <w:r>
        <w:rPr>
          <w:rFonts w:ascii="Times New Roman" w:hAnsi="Times New Roman"/>
          <w:b w:val="false"/>
          <w:sz w:val="20"/>
        </w:rPr>
        <w:t>ii.</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 fewer than 150 natural or legal persons (other than qualified investors as defined under Article 2 of the Prospectus Regulation), subject to obtaining the prior consent of the underwriter for any such offer; or</w:t>
      </w:r>
    </w:p>
    <w:p>
      <w:pPr>
        <w:pStyle w:val="TextBody"/>
        <w:bidi w:val="0"/>
        <w:spacing w:before="120" w:after="0"/>
        <w:jc w:val="left"/>
        <w:rPr>
          <w:rFonts w:ascii="Times New Roman" w:hAnsi="Times New Roman"/>
          <w:b w:val="false"/>
          <w:sz w:val="20"/>
        </w:rPr>
      </w:pPr>
      <w:r>
        <w:rPr>
          <w:rFonts w:ascii="Times New Roman" w:hAnsi="Times New Roman"/>
          <w:b w:val="false"/>
          <w:sz w:val="20"/>
        </w:rPr>
        <w:t>iii.</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in any other circumstances falling within Article 1(4) of the Prospectus Regulation,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provided that no such offer of shares shall require the issuer or any underwriter to publish a prospectus pursuant to Article 3 of the Prospectus Regulation or supplement a prospectus pursuant to Article 23 of the Prospectus Regulation.</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Each person in a Member State who acquires any shares in the offer or to whom any offer is made will be deemed to have represented, acknowledged and agreed to and with the issuer and the underwriter that it is a qualified investor within the meaning of the Prospectus Regulation.</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S-11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 the case of any shares being offered to a financial intermediary as that term is used in Article 5(1) of the Prospectus Regulation, each such financial intermediary will be deemed to have represented, acknowledged and agreed to and with the issuer and the underwriter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Member State to qualified investors, in circumstances in which the prior consent of the underwriter has been obtained to each such proposed offer or resale. Neither the issuer nor the underwriter have authorized, nor do they authorize, the making of any offer of shares through any financial intermediary, other than offers made by the underwriter which constitute the final placement of shares contemplated in this document.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issuer and the underwriter and their affiliates will rely upon the truth and accuracy of the foregoing representations, acknowledgements and agreements.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 Member States, this document is being distributed only to, and is directed only at, persons who are “qualified investors” within the meaning of Article 2(e) of the Prospectus Regulation (“Qualified Investors”). This document must not be acted on or relied on in any Member State by persons who are not Qualified Investors. Any investment or investment activity to which this document relates is available in any Member State only to Qualified Investors and will be engaged in only with such persons.</w:t>
      </w:r>
    </w:p>
    <w:p>
      <w:pPr>
        <w:pStyle w:val="TextBody"/>
        <w:bidi w:val="0"/>
        <w:spacing w:before="0" w:after="0"/>
        <w:jc w:val="left"/>
        <w:rPr/>
      </w:pPr>
      <w:r>
        <w:rPr/>
        <w:t> </w:t>
      </w:r>
    </w:p>
    <w:p>
      <w:pPr>
        <w:pStyle w:val="TextBody"/>
        <w:bidi w:val="0"/>
        <w:spacing w:before="0" w:after="240"/>
        <w:jc w:val="left"/>
        <w:rPr>
          <w:rFonts w:ascii="Times New Roman;serif" w:hAnsi="Times New Roman;serif"/>
          <w:b/>
          <w:i/>
          <w:sz w:val="20"/>
        </w:rPr>
      </w:pPr>
      <w:r>
        <w:rPr>
          <w:rFonts w:ascii="Times New Roman;serif" w:hAnsi="Times New Roman;serif"/>
          <w:b/>
          <w:i/>
          <w:sz w:val="20"/>
        </w:rPr>
        <w:t>MiFID II Product Governance</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Any person offering, selling or recommending the shares (a “distributor”) should take into consideration the manufacturers’ target market assessment; however, a distributor subject to MiFID II is responsible for undertaking its own target market assessment in respect of the shares (by either adopting or refining the manufacturers’ target market assessment) and determining appropriate distribution channels.</w:t>
      </w:r>
    </w:p>
    <w:p>
      <w:pPr>
        <w:pStyle w:val="TextBody"/>
        <w:bidi w:val="0"/>
        <w:spacing w:before="0" w:after="240"/>
        <w:jc w:val="left"/>
        <w:rPr>
          <w:rFonts w:ascii="Times New Roman;serif" w:hAnsi="Times New Roman;serif"/>
          <w:b/>
          <w:i/>
          <w:sz w:val="20"/>
        </w:rPr>
      </w:pPr>
      <w:r>
        <w:rPr>
          <w:rFonts w:ascii="Times New Roman;serif" w:hAnsi="Times New Roman;serif"/>
          <w:b/>
          <w:i/>
          <w:sz w:val="20"/>
        </w:rPr>
        <w:t>Notice to Prospective Investors in the United Kingdom</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 relation to the United Kingdom, no shares have been offered or will be offered pursuant to the offer described herein to the public in the United Kingdom prior to the publication of a prospectus in relation to the shares which has been approved by the UK Financial Conduct Authority, except that the shares may be offered to the public in the United Kingdom at any time:</w:t>
      </w:r>
    </w:p>
    <w:p>
      <w:pPr>
        <w:pStyle w:val="TextBody"/>
        <w:bidi w:val="0"/>
        <w:spacing w:before="0" w:after="0"/>
        <w:jc w:val="left"/>
        <w:rPr/>
      </w:pPr>
      <w:r>
        <w:rPr/>
        <w:t> </w:t>
      </w:r>
    </w:p>
    <w:p>
      <w:pPr>
        <w:pStyle w:val="TextBody"/>
        <w:bidi w:val="0"/>
        <w:spacing w:before="120" w:after="0"/>
        <w:jc w:val="left"/>
        <w:rPr>
          <w:rFonts w:ascii="Times New Roman" w:hAnsi="Times New Roman"/>
          <w:b w:val="false"/>
          <w:sz w:val="20"/>
        </w:rPr>
      </w:pPr>
      <w:r>
        <w:rPr>
          <w:rFonts w:ascii="Times New Roman" w:hAnsi="Times New Roman"/>
          <w:b w:val="false"/>
          <w:sz w:val="20"/>
        </w:rPr>
        <w:t>i.</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 any legal entity which is a qualified investor as defined under Article 2 of the UK Prospectus Regulation;</w:t>
      </w:r>
    </w:p>
    <w:p>
      <w:pPr>
        <w:pStyle w:val="TextBody"/>
        <w:bidi w:val="0"/>
        <w:spacing w:before="120" w:after="0"/>
        <w:jc w:val="left"/>
        <w:rPr>
          <w:rFonts w:ascii="Times New Roman" w:hAnsi="Times New Roman"/>
          <w:b w:val="false"/>
          <w:sz w:val="20"/>
        </w:rPr>
      </w:pPr>
      <w:r>
        <w:rPr>
          <w:rFonts w:ascii="Times New Roman" w:hAnsi="Times New Roman"/>
          <w:b w:val="false"/>
          <w:sz w:val="20"/>
        </w:rPr>
        <w:t>ii.</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 fewer than 150 natural or legal persons (other than qualified investors as defined under Article 2 of the UK Prospectus Regulation), subject to obtaining the prior consent of the underwriter for any such offer; or</w:t>
      </w:r>
    </w:p>
    <w:p>
      <w:pPr>
        <w:pStyle w:val="TextBody"/>
        <w:bidi w:val="0"/>
        <w:spacing w:before="120" w:after="0"/>
        <w:jc w:val="left"/>
        <w:rPr>
          <w:rFonts w:ascii="Times New Roman" w:hAnsi="Times New Roman"/>
          <w:b w:val="false"/>
          <w:sz w:val="20"/>
        </w:rPr>
      </w:pPr>
      <w:r>
        <w:rPr>
          <w:rFonts w:ascii="Times New Roman" w:hAnsi="Times New Roman"/>
          <w:b w:val="false"/>
          <w:sz w:val="20"/>
        </w:rPr>
        <w:t>iii.</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in any other circumstances falling within Section 86 of the Financial Services and Markets Act 2000 (as amended) (the “FSMA”),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provided that no such offer of the shares shall require the issuer or any underwriter to publish a prospectus pursuant to Section 85 of the FSMA or supplement a prospectus pursuant to Article 23 of the UK Prospectus Regulation.</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Each person in the United Kingdom who acquires any shares in the offer or to whom any offer is made will be deemed to have represented, acknowledged and agreed to and with the issuer and the underwriter that it is a qualified investor within the meaning of the UK Prospectus Regulation.</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 the case of any shares being offered to a financial intermediary as that term is used in Article 5(1) of the UK Prospectus Regulation, each such financial intermediary will be deemed to have represented, acknowledged and agreed to and with the issuer and the underwriter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United Kingdom to qualified investors, in circumstances in which the prior consent of the underwriter has been obtained to each such proposed offer or resale. Neither the issuer nor the underwriter have authorized, nor do they authorize, the making of any offer of shares through any financial intermediary, other than offers made by the underwriter which constitute the final placement of shares contemplated in this document.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S-12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issuer and the underwriter and their affiliates will rely upon the truth and accuracy of the foregoing representations, acknowledgements and agreements.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United Kingdom law by virtue of the European Union (Withdrawal) Act 2018.</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 the United Kingdom, this document is being distributed only to, and is directed only at, persons who are “qualified investors” within the meaning of Article 2(e) of the UK Prospectus Regulation who are also: (i) persons who fall within the definition of “investment professionals” in Article 19(5) of the Financial Services and Markets Act 2000 (Financial Promotion) Order 2005, as amended (the “Order”); (ii) persons falling within Article 49(2) of the Order; or (iii) persons to whom it may otherwise lawfully be communicated (all such persons together being referred to as “relevant persons”). This document must not be acted on or relied on in the United Kingdom by persons who are not relevant persons. Any investment or investment activity to which this document relates is available in the United Kingdom only to relevant persons and will be engaged in only with such persons.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Any invitation or inducement to engage in investment activity (within the meaning of Section 21 of the FSMA) may only be communicated or caused to be communicated in connection with the issue or sale of the shares in circumstances in which Section 21(1) of the FSMA does not apply. All applicable provisions of the FSMA and the Order must be complied with in respect of anything done by any person in relation to the shares in, from or otherwise involving the United Kingdom.</w:t>
      </w:r>
    </w:p>
    <w:p>
      <w:pPr>
        <w:pStyle w:val="TextBody"/>
        <w:bidi w:val="0"/>
        <w:spacing w:before="0" w:after="0"/>
        <w:jc w:val="left"/>
        <w:rPr/>
      </w:pPr>
      <w:r>
        <w:rPr/>
        <w:t> </w:t>
      </w:r>
    </w:p>
    <w:p>
      <w:pPr>
        <w:pStyle w:val="TextBody"/>
        <w:bidi w:val="0"/>
        <w:spacing w:before="0" w:after="240"/>
        <w:jc w:val="left"/>
        <w:rPr>
          <w:rFonts w:ascii="Times New Roman;serif" w:hAnsi="Times New Roman;serif"/>
          <w:b/>
          <w:i/>
          <w:sz w:val="20"/>
        </w:rPr>
      </w:pPr>
      <w:r>
        <w:rPr>
          <w:rFonts w:ascii="Times New Roman;serif" w:hAnsi="Times New Roman;serif"/>
          <w:b/>
          <w:i/>
          <w:sz w:val="20"/>
        </w:rPr>
        <w:t>Notice to Prospective Investors in Canada</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Pursuant to section 3A.3 of National Instrument 33-105 Underwriting Conflicts (NI 33-105), the underwriters are not required to comply with the disclosure requirements of NI 33-105 regarding underwriter conflicts of interest in connection with this offering.</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S-13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240"/>
        <w:jc w:val="center"/>
        <w:rPr>
          <w:rFonts w:ascii="Times New Roman;serif" w:hAnsi="Times New Roman;serif"/>
          <w:b/>
          <w:sz w:val="20"/>
        </w:rPr>
      </w:pPr>
      <w:bookmarkStart w:id="11" w:name="legalmatters"/>
      <w:bookmarkEnd w:id="11"/>
      <w:r>
        <w:rPr>
          <w:rFonts w:ascii="Times New Roman;serif" w:hAnsi="Times New Roman;serif"/>
          <w:b/>
          <w:sz w:val="20"/>
        </w:rPr>
        <w:t>LEGAL MATTERS</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The validity of the common stock being offered by this prospectus supplement has been passed upon for us by DLA Piper LLP (US), Short Hills, New Jersey. Covington &amp; Burling LLP, New York, New York, is acting as counsel to the underwriters in connection with this offering.</w:t>
      </w:r>
    </w:p>
    <w:p>
      <w:pPr>
        <w:pStyle w:val="TextBody"/>
        <w:bidi w:val="0"/>
        <w:spacing w:before="0" w:after="240"/>
        <w:jc w:val="center"/>
        <w:rPr>
          <w:rFonts w:ascii="Times New Roman;serif" w:hAnsi="Times New Roman;serif"/>
          <w:b/>
          <w:sz w:val="20"/>
        </w:rPr>
      </w:pPr>
      <w:bookmarkStart w:id="12" w:name="experts"/>
      <w:bookmarkEnd w:id="12"/>
      <w:r>
        <w:rPr>
          <w:rFonts w:ascii="Times New Roman;serif" w:hAnsi="Times New Roman;serif"/>
          <w:b/>
          <w:sz w:val="20"/>
        </w:rPr>
        <w:t>EXPERTS</w:t>
      </w:r>
    </w:p>
    <w:p>
      <w:pPr>
        <w:pStyle w:val="TextBody"/>
        <w:bidi w:val="0"/>
        <w:spacing w:before="0" w:after="240"/>
        <w:jc w:val="left"/>
        <w:rPr/>
      </w:pPr>
      <w:r>
        <w:rPr>
          <w:rFonts w:ascii="Times New Roman;serif" w:hAnsi="Times New Roman;serif"/>
          <w:b w:val="false"/>
          <w:sz w:val="20"/>
        </w:rPr>
        <w:t xml:space="preserve">Ernst &amp; Young LLP, independent registered public accounting firm, has audited our consolidated financial statements included in our </w:t>
      </w:r>
      <w:hyperlink r:id="rId3">
        <w:r>
          <w:rPr>
            <w:rStyle w:val="InternetLink"/>
            <w:rFonts w:ascii="Times New Roman;serif" w:hAnsi="Times New Roman;serif"/>
            <w:b w:val="false"/>
            <w:sz w:val="20"/>
            <w:u w:val="single"/>
          </w:rPr>
          <w:t>Annual Report on Form 10-K for the year ended December 31, 2022,</w:t>
        </w:r>
      </w:hyperlink>
      <w:r>
        <w:rPr>
          <w:rFonts w:ascii="Times New Roman" w:hAnsi="Times New Roman"/>
          <w:sz w:val="20"/>
        </w:rPr>
        <w:t xml:space="preserve"> </w:t>
      </w:r>
      <w:r>
        <w:rPr>
          <w:rFonts w:ascii="Times New Roman;serif" w:hAnsi="Times New Roman;serif"/>
          <w:b w:val="false"/>
          <w:sz w:val="20"/>
        </w:rPr>
        <w:t>and the effectiveness of our internal control over financial reporting as of December 31, 2022, as set forth in their reports, which are incorporated by reference in this prospectus supplement and elsewhere in the registration statement of which this prospectus forms a part. Our financial statements are, and audited financial statements to be included in subsequently filed documents will be, incorporated herein by reference in reliance upon the reports of Ernst &amp; Young LLP pertaining to such financial statements and the effectiveness of our internal control over financial reporting as of their respective dates (to the extent covered by consents filed with the Securities and Exchange Commission), given on the authority as experts in accounting and auditing.</w:t>
      </w:r>
    </w:p>
    <w:p>
      <w:pPr>
        <w:pStyle w:val="TextBody"/>
        <w:bidi w:val="0"/>
        <w:spacing w:before="0" w:after="240"/>
        <w:jc w:val="center"/>
        <w:rPr>
          <w:rFonts w:ascii="Times New Roman;serif" w:hAnsi="Times New Roman;serif"/>
          <w:b/>
          <w:sz w:val="20"/>
        </w:rPr>
      </w:pPr>
      <w:bookmarkStart w:id="13" w:name="whereyoucanfindmoreinformation"/>
      <w:bookmarkEnd w:id="13"/>
      <w:r>
        <w:rPr>
          <w:rFonts w:ascii="Times New Roman;serif" w:hAnsi="Times New Roman;serif"/>
          <w:b/>
          <w:sz w:val="20"/>
        </w:rPr>
        <w:t>WHERE YOU CAN FIND MORE INFORMATION</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This prospectus supplement and the accompanying prospectus form part of the automatic “shelf” registration statement on Form S-3 (File No. 333-268664) that we filed with the SEC as a “well-known seasoned issuer” as defined in Rule 405 under the Securities Act. This prospectus supplement and the accompanying prospectus does not contain all of the information set forth in the registration statement and the exhibits to the registration statement or the documents incorporated by reference herein and therein. For further information with respect to us and the securities that we are offering under this prospectus, we refer you to the registration statement and the exhibits and schedules filed as a part of the registration statement and the documents incorporated by reference herein and therein. We have not authorized anyone else to provide you with different information. We are not making an offer of these securities in any state where the offer is not permitted. You should not assume that the information in this prospectus supplement is accurate as of any date other than the date on the front page of this prospectus supplement, regardless of the time of delivery of this prospectus supplement or any sale of the securities offered hereby.</w:t>
      </w:r>
    </w:p>
    <w:p>
      <w:pPr>
        <w:pStyle w:val="TextBody"/>
        <w:bidi w:val="0"/>
        <w:spacing w:before="0" w:after="240"/>
        <w:jc w:val="left"/>
        <w:rPr>
          <w:rFonts w:ascii="Times New Roman" w:hAnsi="Times New Roman"/>
          <w:sz w:val="20"/>
        </w:rPr>
      </w:pPr>
      <w:r>
        <w:rPr>
          <w:rFonts w:ascii="Times New Roman;serif" w:hAnsi="Times New Roman;serif"/>
          <w:b w:val="false"/>
          <w:sz w:val="20"/>
        </w:rPr>
        <w:t xml:space="preserve">We file annual, quarterly and other reports, proxy and information statements and other information with the Securities and Exchange Commission. The SEC maintains a website that contains reports, proxy statements and other information regarding us. The address of the SEC website is </w:t>
      </w:r>
      <w:r>
        <w:rPr>
          <w:rFonts w:ascii="Times New Roman;serif" w:hAnsi="Times New Roman;serif"/>
          <w:b w:val="false"/>
          <w:i/>
          <w:sz w:val="20"/>
        </w:rPr>
        <w:t>www.sec.gov</w:t>
      </w:r>
      <w:r>
        <w:rPr>
          <w:rFonts w:ascii="Times New Roman;serif" w:hAnsi="Times New Roman;serif"/>
          <w:b w:val="false"/>
          <w:sz w:val="20"/>
        </w:rPr>
        <w:t xml:space="preserve">. We maintain a website at </w:t>
      </w:r>
      <w:r>
        <w:rPr>
          <w:rFonts w:ascii="Times New Roman;serif" w:hAnsi="Times New Roman;serif"/>
          <w:b w:val="false"/>
          <w:i/>
          <w:sz w:val="20"/>
        </w:rPr>
        <w:t>www.axsome.com</w:t>
      </w:r>
      <w:r>
        <w:rPr>
          <w:rFonts w:ascii="Times New Roman;serif" w:hAnsi="Times New Roman;serif"/>
          <w:b w:val="false"/>
          <w:sz w:val="20"/>
        </w:rPr>
        <w:t>. The information contained on, or that can be accessed through, our website is not a part of this prospectus supplement. Investors should not rely on any such information in deciding whether to purchase our common stock. We have included our website address in this prospectus supplement solely as an inactive textual reference.</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S-14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240"/>
        <w:jc w:val="center"/>
        <w:rPr>
          <w:rFonts w:ascii="Times New Roman;serif" w:hAnsi="Times New Roman;serif"/>
          <w:b/>
          <w:sz w:val="20"/>
        </w:rPr>
      </w:pPr>
      <w:bookmarkStart w:id="14" w:name="informationincorporatedbyreference"/>
      <w:bookmarkEnd w:id="14"/>
      <w:r>
        <w:rPr>
          <w:rFonts w:ascii="Times New Roman;serif" w:hAnsi="Times New Roman;serif"/>
          <w:b/>
          <w:sz w:val="20"/>
        </w:rPr>
        <w:t>INFORMATION INCORPORATED BY REFERENCE</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The SEC allows us to incorporate by reference into this prospectus supplement and the accompanying prospectus certain information we file with it, which means that we can disclose important information by referring you to those documents. The information incorporated by reference is considered to be a part of this prospectus supplement and the accompanying prospectus and information that we file later with the SEC will automatically update and supersede information contained in this prospectus supplement and the accompanying prospectus.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documents are incorporated by reference into this document (other than the portions of these documents deemed to be “furnished” or not deemed to be “filed,” including the portions of these documents that are furnished under Item 2.02 or Item 7.01 of a Current Report on Form 8-K, including any exhibits included with such Items):</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 xml:space="preserve">our annual report on </w:t>
      </w:r>
      <w:hyperlink r:id="rId4">
        <w:r>
          <w:rPr>
            <w:rStyle w:val="InternetLink"/>
            <w:rFonts w:ascii="Times New Roman;serif" w:hAnsi="Times New Roman;serif"/>
            <w:b w:val="false"/>
            <w:sz w:val="20"/>
            <w:u w:val="single"/>
          </w:rPr>
          <w:t>Form 10</w:t>
          <w:noBreakHyphen/>
          <w:t>K for the fiscal year ended December 31, 2022 filed with the SEC on February 28, 2023</w:t>
        </w:r>
      </w:hyperlink>
      <w:r>
        <w:rPr>
          <w:rFonts w:ascii="Times New Roman;serif" w:hAnsi="Times New Roman;serif"/>
          <w:b w:val="false"/>
          <w:sz w:val="20"/>
        </w:rPr>
        <w:t>;</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 xml:space="preserve">the information contained in our definitive proxy statement on </w:t>
      </w:r>
      <w:hyperlink r:id="rId5">
        <w:r>
          <w:rPr>
            <w:rStyle w:val="InternetLink"/>
            <w:rFonts w:ascii="Times New Roman;serif" w:hAnsi="Times New Roman;serif"/>
            <w:b w:val="false"/>
            <w:sz w:val="20"/>
            <w:u w:val="single"/>
          </w:rPr>
          <w:t>Schedule 14A for our 2023 Annual Meeting of Stockholders, filed with the SEC on April 21, 2023, to the extent incorporated by reference in Part III of the Form 10 K for the fiscal year ended December 31, 2022</w:t>
        </w:r>
      </w:hyperlink>
      <w:r>
        <w:rPr>
          <w:rFonts w:ascii="Times New Roman;serif" w:hAnsi="Times New Roman;serif"/>
          <w:b w:val="false"/>
          <w:sz w:val="20"/>
        </w:rPr>
        <w:t>;</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 xml:space="preserve">our quarterly report on </w:t>
      </w:r>
      <w:hyperlink r:id="rId6">
        <w:r>
          <w:rPr>
            <w:rStyle w:val="InternetLink"/>
            <w:rFonts w:ascii="Times New Roman;serif" w:hAnsi="Times New Roman;serif"/>
            <w:b w:val="false"/>
            <w:sz w:val="20"/>
            <w:u w:val="single"/>
          </w:rPr>
          <w:t>Form 10-Q for the three months ended March 31, 2023 filed with the SEC on May 9, 2023</w:t>
        </w:r>
      </w:hyperlink>
      <w:r>
        <w:rPr>
          <w:rFonts w:ascii="Times New Roman;serif" w:hAnsi="Times New Roman;serif"/>
          <w:b w:val="false"/>
          <w:sz w:val="20"/>
        </w:rPr>
        <w:t>;</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 xml:space="preserve">our current reports on Form 8-K filed with the SEC on </w:t>
      </w:r>
      <w:hyperlink r:id="rId7">
        <w:r>
          <w:rPr>
            <w:rStyle w:val="InternetLink"/>
            <w:rFonts w:ascii="Times New Roman;serif" w:hAnsi="Times New Roman;serif"/>
            <w:b w:val="false"/>
            <w:sz w:val="20"/>
            <w:u w:val="single"/>
          </w:rPr>
          <w:t>January 9, 2023</w:t>
        </w:r>
      </w:hyperlink>
      <w:r>
        <w:rPr>
          <w:rFonts w:ascii="Times New Roman;serif" w:hAnsi="Times New Roman;serif"/>
          <w:b w:val="false"/>
          <w:sz w:val="20"/>
        </w:rPr>
        <w:t xml:space="preserve">, </w:t>
      </w:r>
      <w:hyperlink r:id="rId8">
        <w:r>
          <w:rPr>
            <w:rStyle w:val="InternetLink"/>
            <w:rFonts w:ascii="Times New Roman;serif" w:hAnsi="Times New Roman;serif"/>
            <w:b w:val="false"/>
            <w:sz w:val="20"/>
            <w:u w:val="single"/>
          </w:rPr>
          <w:t>February 13, 2023</w:t>
        </w:r>
      </w:hyperlink>
      <w:r>
        <w:rPr>
          <w:rFonts w:ascii="Times New Roman;serif" w:hAnsi="Times New Roman;serif"/>
          <w:b w:val="false"/>
          <w:sz w:val="20"/>
        </w:rPr>
        <w:t xml:space="preserve">, </w:t>
      </w:r>
      <w:hyperlink r:id="rId9">
        <w:r>
          <w:rPr>
            <w:rStyle w:val="InternetLink"/>
            <w:rFonts w:ascii="Times New Roman;serif" w:hAnsi="Times New Roman;serif"/>
            <w:b w:val="false"/>
            <w:sz w:val="20"/>
            <w:u w:val="single"/>
          </w:rPr>
          <w:t>February 22, 2023</w:t>
        </w:r>
      </w:hyperlink>
      <w:r>
        <w:rPr>
          <w:rFonts w:ascii="Times New Roman;serif" w:hAnsi="Times New Roman;serif"/>
          <w:b w:val="false"/>
          <w:sz w:val="20"/>
        </w:rPr>
        <w:t xml:space="preserve">; </w:t>
      </w:r>
      <w:hyperlink r:id="rId10">
        <w:r>
          <w:rPr>
            <w:rStyle w:val="InternetLink"/>
            <w:rFonts w:ascii="Times New Roman;serif" w:hAnsi="Times New Roman;serif"/>
            <w:b w:val="false"/>
            <w:sz w:val="20"/>
            <w:u w:val="single"/>
          </w:rPr>
          <w:t>June 8, 2023</w:t>
        </w:r>
      </w:hyperlink>
      <w:r>
        <w:rPr>
          <w:rFonts w:ascii="Times New Roman;serif" w:hAnsi="Times New Roman;serif"/>
          <w:b w:val="false"/>
          <w:sz w:val="20"/>
        </w:rPr>
        <w:t xml:space="preserve">; </w:t>
      </w:r>
      <w:hyperlink r:id="rId11">
        <w:r>
          <w:rPr>
            <w:rStyle w:val="InternetLink"/>
            <w:rFonts w:ascii="Times New Roman;serif" w:hAnsi="Times New Roman;serif"/>
            <w:b w:val="false"/>
            <w:sz w:val="20"/>
            <w:u w:val="single"/>
          </w:rPr>
          <w:t>June 13, 2023</w:t>
        </w:r>
      </w:hyperlink>
      <w:r>
        <w:rPr>
          <w:rFonts w:ascii="Times New Roman;serif" w:hAnsi="Times New Roman;serif"/>
          <w:b w:val="false"/>
          <w:sz w:val="20"/>
        </w:rPr>
        <w:t xml:space="preserve">; and </w:t>
      </w:r>
      <w:hyperlink r:id="rId12">
        <w:r>
          <w:rPr>
            <w:rStyle w:val="InternetLink"/>
            <w:rFonts w:ascii="Times New Roman;serif" w:hAnsi="Times New Roman;serif"/>
            <w:b w:val="false"/>
            <w:sz w:val="20"/>
            <w:u w:val="single"/>
          </w:rPr>
          <w:t>June 26, 2023;</w:t>
        </w:r>
      </w:hyperlink>
      <w:r>
        <w:rPr/>
        <w:t xml:space="preserve"> </w:t>
      </w:r>
      <w:r>
        <w:rPr>
          <w:rFonts w:ascii="Times New Roman;serif" w:hAnsi="Times New Roman;serif"/>
          <w:b w:val="false"/>
          <w:sz w:val="20"/>
        </w:rPr>
        <w:t>and</w:t>
      </w:r>
    </w:p>
    <w:p>
      <w:pPr>
        <w:pStyle w:val="TextBody"/>
        <w:bidi w:val="0"/>
        <w:spacing w:before="120" w:after="0"/>
        <w:jc w:val="left"/>
        <w:rPr/>
      </w:pPr>
      <w:r>
        <w:rPr/>
        <w:t>•</w:t>
      </w:r>
    </w:p>
    <w:p>
      <w:pPr>
        <w:pStyle w:val="TextBody"/>
        <w:bidi w:val="0"/>
        <w:spacing w:before="120" w:after="283"/>
        <w:jc w:val="left"/>
        <w:rPr/>
      </w:pPr>
      <w:r>
        <w:rPr>
          <w:rFonts w:ascii="Times New Roman;serif" w:hAnsi="Times New Roman;serif"/>
          <w:b w:val="false"/>
          <w:sz w:val="20"/>
        </w:rPr>
        <w:t xml:space="preserve">the description of our common stock contained in our registration statement on </w:t>
      </w:r>
      <w:hyperlink r:id="rId13">
        <w:r>
          <w:rPr>
            <w:rStyle w:val="InternetLink"/>
            <w:rFonts w:ascii="Times New Roman;serif" w:hAnsi="Times New Roman;serif"/>
            <w:b w:val="false"/>
            <w:sz w:val="20"/>
            <w:u w:val="single"/>
          </w:rPr>
          <w:t>Form 8</w:t>
          <w:noBreakHyphen/>
          <w:t>A12B, filed with the SEC on November 16, 2015 (File No. 001-37635)</w:t>
        </w:r>
      </w:hyperlink>
      <w:r>
        <w:rPr>
          <w:rFonts w:ascii="Times New Roman;serif" w:hAnsi="Times New Roman;serif"/>
          <w:b w:val="false"/>
          <w:sz w:val="20"/>
        </w:rPr>
        <w:t>, and all amendments or reports filed for the purpose of updating such description.</w:t>
      </w:r>
    </w:p>
    <w:p>
      <w:pPr>
        <w:pStyle w:val="TextBody"/>
        <w:bidi w:val="0"/>
        <w:spacing w:before="240" w:after="120"/>
        <w:jc w:val="left"/>
        <w:rPr>
          <w:rFonts w:ascii="Times New Roman;serif" w:hAnsi="Times New Roman;serif"/>
          <w:b w:val="false"/>
          <w:sz w:val="20"/>
        </w:rPr>
      </w:pPr>
      <w:r>
        <w:rPr>
          <w:rFonts w:ascii="Times New Roman;serif" w:hAnsi="Times New Roman;serif"/>
          <w:b w:val="false"/>
          <w:sz w:val="20"/>
        </w:rPr>
        <w:t>We also incorporate by reference into this prospectus supplement and the accompanying prospectus all documents (other than Current Reports furnished under Item 2.02 or Item 7.01 of Form 8-K and exhibits filed on such form that are related to such items) that are filed by us with the SEC pursuant to Sections 13(a), 13(c), 14 or 15(d) of the Exchange Act after the date of this prospectus supplement and until the completion or termination of the offering contemplated hereby. These documents include periodic reports, such as Annual Reports on Form 10-K, Quarterly Reports on Form 10-Q and Current Reports on Form 8-K.</w:t>
      </w:r>
    </w:p>
    <w:p>
      <w:pPr>
        <w:pStyle w:val="TextBody"/>
        <w:bidi w:val="0"/>
        <w:spacing w:before="0" w:after="120"/>
        <w:jc w:val="left"/>
        <w:rPr>
          <w:rFonts w:ascii="Times New Roman;serif" w:hAnsi="Times New Roman;serif"/>
          <w:b w:val="false"/>
          <w:sz w:val="20"/>
        </w:rPr>
      </w:pPr>
      <w:r>
        <w:rPr>
          <w:rFonts w:ascii="Times New Roman;serif" w:hAnsi="Times New Roman;serif"/>
          <w:b w:val="false"/>
          <w:sz w:val="20"/>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pStyle w:val="TextBody"/>
        <w:bidi w:val="0"/>
        <w:spacing w:before="0" w:after="120"/>
        <w:jc w:val="left"/>
        <w:rPr>
          <w:rFonts w:ascii="Times New Roman;serif" w:hAnsi="Times New Roman;serif"/>
          <w:b w:val="false"/>
          <w:sz w:val="20"/>
        </w:rPr>
      </w:pPr>
      <w:r>
        <w:rPr>
          <w:rFonts w:ascii="Times New Roman;serif" w:hAnsi="Times New Roman;serif"/>
          <w:b w:val="false"/>
          <w:sz w:val="20"/>
        </w:rPr>
        <w:t>We make available, free of charge, through our website our Annual Reports on Form 10-K, Quarterly Reports on Form 10-Q, Current Reports on Form 8-K and amendments to those reports filed or furnished pursuant to Section 13(a), 13(c), 14 or 15(d) of the Exchange Act as soon as reasonably practicable after we electronically file such material with, or furnish it to, the SEC. You may also obtain, free of charge, a copy of any of these documents (other than exhibits to these documents, unless the exhibits are specifically incorporated by reference into these documents or referred to in this prospectus supplement or the accompanying prospectus) by writing or calling us at the following address and telephone number:</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Axsome Therapeutics, Inc.</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One World Trade Center</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22nd Floor</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New York, New York 10007</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(212) 332-3241</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S-15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PROSPECTUS</w:t>
      </w:r>
    </w:p>
    <w:p>
      <w:pPr>
        <w:pStyle w:val="TextBody"/>
        <w:bidi w:val="0"/>
        <w:spacing w:before="0" w:after="0"/>
        <w:jc w:val="center"/>
        <w:rPr/>
      </w:pPr>
      <w:r>
        <w:rPr/>
        <w:t> </w:t>
      </w:r>
    </w:p>
    <w:p>
      <w:pPr>
        <w:pStyle w:val="TextBody"/>
        <w:bidi w:val="0"/>
        <w:spacing w:before="0" w:after="0"/>
        <w:jc w:val="center"/>
        <w:rPr/>
      </w:pPr>
      <w:r>
        <w:rPr/>
        <w:drawing>
          <wp:inline distT="0" distB="0" distL="0" distR="0">
            <wp:extent cx="1990725" cy="1123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1990725" cy="1123950"/>
                    </a:xfrm>
                    <a:prstGeom prst="rect">
                      <a:avLst/>
                    </a:prstGeom>
                  </pic:spPr>
                </pic:pic>
              </a:graphicData>
            </a:graphic>
          </wp:inline>
        </w:drawing>
      </w: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AXSOME THERAPEUTICS, INC.</w:t>
      </w:r>
    </w:p>
    <w:p>
      <w:pPr>
        <w:pStyle w:val="TextBody"/>
        <w:bidi w:val="0"/>
        <w:spacing w:before="0" w:after="0"/>
        <w:jc w:val="center"/>
        <w:rPr>
          <w:rFonts w:ascii="Times New Roman;serif" w:hAnsi="Times New Roman;serif"/>
          <w:b/>
          <w:sz w:val="20"/>
        </w:rPr>
      </w:pPr>
      <w:r>
        <w:rPr>
          <w:rFonts w:ascii="Times New Roman;serif" w:hAnsi="Times New Roman;serif"/>
          <w:b/>
          <w:sz w:val="20"/>
        </w:rPr>
        <w:t>Common Stock</w:t>
      </w:r>
    </w:p>
    <w:p>
      <w:pPr>
        <w:pStyle w:val="TextBody"/>
        <w:bidi w:val="0"/>
        <w:spacing w:before="0" w:after="0"/>
        <w:jc w:val="center"/>
        <w:rPr>
          <w:rFonts w:ascii="Times New Roman;serif" w:hAnsi="Times New Roman;serif"/>
          <w:b/>
          <w:sz w:val="20"/>
        </w:rPr>
      </w:pPr>
      <w:r>
        <w:rPr>
          <w:rFonts w:ascii="Times New Roman;serif" w:hAnsi="Times New Roman;serif"/>
          <w:b/>
          <w:sz w:val="20"/>
        </w:rPr>
        <w:t>Preferred Stock</w:t>
      </w:r>
    </w:p>
    <w:p>
      <w:pPr>
        <w:pStyle w:val="TextBody"/>
        <w:bidi w:val="0"/>
        <w:spacing w:before="0" w:after="0"/>
        <w:jc w:val="center"/>
        <w:rPr>
          <w:rFonts w:ascii="Times New Roman;serif" w:hAnsi="Times New Roman;serif"/>
          <w:b/>
          <w:sz w:val="20"/>
        </w:rPr>
      </w:pPr>
      <w:r>
        <w:rPr>
          <w:rFonts w:ascii="Times New Roman;serif" w:hAnsi="Times New Roman;serif"/>
          <w:b/>
          <w:sz w:val="20"/>
        </w:rPr>
        <w:t>Warrants</w:t>
      </w:r>
    </w:p>
    <w:p>
      <w:pPr>
        <w:pStyle w:val="TextBody"/>
        <w:bidi w:val="0"/>
        <w:spacing w:before="0" w:after="0"/>
        <w:jc w:val="center"/>
        <w:rPr>
          <w:rFonts w:ascii="Times New Roman;serif" w:hAnsi="Times New Roman;serif"/>
          <w:b/>
          <w:sz w:val="20"/>
        </w:rPr>
      </w:pPr>
      <w:r>
        <w:rPr>
          <w:rFonts w:ascii="Times New Roman;serif" w:hAnsi="Times New Roman;serif"/>
          <w:b/>
          <w:sz w:val="20"/>
        </w:rPr>
        <w:t>Debt Securities</w:t>
      </w:r>
    </w:p>
    <w:p>
      <w:pPr>
        <w:pStyle w:val="TextBody"/>
        <w:bidi w:val="0"/>
        <w:spacing w:before="0" w:after="0"/>
        <w:jc w:val="center"/>
        <w:rPr>
          <w:rFonts w:ascii="Times New Roman;serif" w:hAnsi="Times New Roman;serif"/>
          <w:b/>
          <w:sz w:val="20"/>
        </w:rPr>
      </w:pPr>
      <w:r>
        <w:rPr>
          <w:rFonts w:ascii="Times New Roman;serif" w:hAnsi="Times New Roman;serif"/>
          <w:b/>
          <w:sz w:val="20"/>
        </w:rPr>
        <w:t>Rights to Purchase Common Stock, Preferred Stock,</w:t>
      </w:r>
    </w:p>
    <w:p>
      <w:pPr>
        <w:pStyle w:val="TextBody"/>
        <w:bidi w:val="0"/>
        <w:spacing w:before="0" w:after="0"/>
        <w:jc w:val="center"/>
        <w:rPr>
          <w:rFonts w:ascii="Times New Roman;serif" w:hAnsi="Times New Roman;serif"/>
          <w:b/>
          <w:sz w:val="20"/>
        </w:rPr>
      </w:pPr>
      <w:r>
        <w:rPr>
          <w:rFonts w:ascii="Times New Roman;serif" w:hAnsi="Times New Roman;serif"/>
          <w:b/>
          <w:sz w:val="20"/>
        </w:rPr>
        <w:t>Debt Securities or Units</w:t>
      </w:r>
    </w:p>
    <w:p>
      <w:pPr>
        <w:pStyle w:val="TextBody"/>
        <w:bidi w:val="0"/>
        <w:spacing w:before="0" w:after="0"/>
        <w:jc w:val="center"/>
        <w:rPr>
          <w:rFonts w:ascii="Times New Roman;serif" w:hAnsi="Times New Roman;serif"/>
          <w:b/>
          <w:sz w:val="20"/>
        </w:rPr>
      </w:pPr>
      <w:r>
        <w:rPr>
          <w:rFonts w:ascii="Times New Roman;serif" w:hAnsi="Times New Roman;serif"/>
          <w:b/>
          <w:sz w:val="20"/>
        </w:rPr>
        <w:t>Units</w:t>
      </w:r>
    </w:p>
    <w:p>
      <w:pPr>
        <w:pStyle w:val="TextBody"/>
        <w:pBdr>
          <w:bottom w:val="single" w:sz="8" w:space="1" w:color="000000"/>
        </w:pBdr>
        <w:bidi w:val="0"/>
        <w:spacing w:before="0" w:after="0"/>
        <w:jc w:val="center"/>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may offer and sell from time to time our shares of common stock, shares of preferred stock, warrants, debt securities and rights to purchase common stock, preferred stock, debt securities or units, as well as units that include any of these securities.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This prospectus provides you with a general description of the securities we may offer. Each time we offer securities pursuant to this prospectus, we will provide a prospectus supplement containing specific terms of the particular offering together with this prospectus. You should read this prospectus and the applicable prospectus supplement carefully before you invest in any securities. The prospectus supplement also may add, update or change information contained in this prospectus. This prospectus may not be used to offer and sell securities unless accompanied by the applicable prospectus supplement.</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common stock is listed on the Nasdaq Global Market under the symbol “AXSM.” On November 30, 2022, the last reported sale price of our common stock on the Nasdaq Global Market was $72.29.</w:t>
      </w:r>
    </w:p>
    <w:p>
      <w:pPr>
        <w:pStyle w:val="TextBody"/>
        <w:bidi w:val="0"/>
        <w:spacing w:before="0" w:after="0"/>
        <w:jc w:val="both"/>
        <w:rPr/>
      </w:pPr>
      <w:r>
        <w:rPr/>
        <w:t> </w:t>
      </w:r>
    </w:p>
    <w:p>
      <w:pPr>
        <w:pStyle w:val="TextBody"/>
        <w:bidi w:val="0"/>
        <w:spacing w:before="0" w:after="0"/>
        <w:jc w:val="both"/>
        <w:rPr/>
      </w:pPr>
      <w:r>
        <w:rPr>
          <w:rFonts w:ascii="Times New Roman;serif" w:hAnsi="Times New Roman;serif"/>
          <w:b/>
          <w:sz w:val="20"/>
        </w:rPr>
        <w:t>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w:t>
      </w:r>
      <w:hyperlink w:anchor="risk_factors">
        <w:r>
          <w:rPr>
            <w:rStyle w:val="InternetLink"/>
            <w:rFonts w:ascii="Times New Roman;serif" w:hAnsi="Times New Roman;serif"/>
            <w:b/>
            <w:sz w:val="20"/>
            <w:u w:val="single"/>
          </w:rPr>
          <w:t>Risk Factors</w:t>
        </w:r>
      </w:hyperlink>
      <w:r>
        <w:rPr>
          <w:rFonts w:ascii="Times New Roman" w:hAnsi="Times New Roman"/>
          <w:sz w:val="20"/>
        </w:rPr>
        <w:t xml:space="preserve">” </w:t>
      </w:r>
      <w:r>
        <w:rPr>
          <w:rFonts w:ascii="Times New Roman;serif" w:hAnsi="Times New Roman;serif"/>
          <w:b/>
          <w:sz w:val="20"/>
        </w:rPr>
        <w:t>on page 3</w:t>
      </w:r>
      <w:r>
        <w:rPr>
          <w:rFonts w:ascii="Times New Roman" w:hAnsi="Times New Roman"/>
          <w:sz w:val="20"/>
        </w:rPr>
        <w:t xml:space="preserve"> </w:t>
      </w:r>
      <w:r>
        <w:rPr>
          <w:rFonts w:ascii="Times New Roman;serif" w:hAnsi="Times New Roman;serif"/>
          <w:b/>
          <w:sz w:val="20"/>
        </w:rPr>
        <w:t>of this prospectus.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We may sell the securities directly to investors, or to or through underwriters or dealers, and also to other purchasers or through agents. The names of any underwriters or agents that are included in a sale of securities to you, and any applicable commissions or discounts, will be stated in an accompanying prospectus supplement. In addition, the underwriters, if any, may over-allot a portion of the securities.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date of this prospectus is December 2, 2022</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jc w:val="center"/>
        <w:rPr/>
      </w:pPr>
      <w:r>
        <w:rPr/>
        <w:t> </w:t>
      </w:r>
    </w:p>
    <w:tbl>
      <w:tblPr>
        <w:tblW w:w="4877" w:type="dxa"/>
        <w:jc w:val="left"/>
        <w:tblInd w:w="0" w:type="dxa"/>
        <w:tblLayout w:type="fixed"/>
        <w:tblCellMar>
          <w:top w:w="28" w:type="dxa"/>
          <w:left w:w="28" w:type="dxa"/>
          <w:bottom w:w="28" w:type="dxa"/>
          <w:right w:w="28" w:type="dxa"/>
        </w:tblCellMar>
      </w:tblPr>
      <w:tblGrid>
        <w:gridCol w:w="4516"/>
        <w:gridCol w:w="361"/>
      </w:tblGrid>
      <w:tr>
        <w:trPr/>
        <w:tc>
          <w:tcPr>
            <w:tcW w:w="451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5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451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about_this_prospectus">
              <w:r>
                <w:rPr>
                  <w:rStyle w:val="InternetLink"/>
                  <w:rFonts w:ascii="Times New Roman;serif" w:hAnsi="Times New Roman;serif"/>
                  <w:b w:val="false"/>
                  <w:sz w:val="20"/>
                  <w:u w:val="single"/>
                </w:rPr>
                <w:t>ABOUT THIS PROSPECTUS</w:t>
              </w:r>
            </w:hyperlink>
            <w:r>
              <w:rPr>
                <w:rFonts w:ascii="Times New Roman" w:hAnsi="Times New Roman"/>
                <w:sz w:val="20"/>
              </w:rPr>
              <w:t xml:space="preserve">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451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axsome_rapeutics_inc">
              <w:r>
                <w:rPr>
                  <w:rStyle w:val="InternetLink"/>
                  <w:rFonts w:ascii="Times New Roman;serif" w:hAnsi="Times New Roman;serif"/>
                  <w:b w:val="false"/>
                  <w:sz w:val="20"/>
                  <w:u w:val="single"/>
                </w:rPr>
                <w:t>AXSOME THERAPEUTICS, INC</w:t>
              </w:r>
            </w:hyperlink>
            <w:r>
              <w:rPr>
                <w:rFonts w:ascii="Times New Roman" w:hAnsi="Times New Roman"/>
                <w:sz w:val="20"/>
              </w:rPr>
              <w:t xml:space="preserve">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451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risk_factors">
              <w:r>
                <w:rPr>
                  <w:rStyle w:val="InternetLink"/>
                  <w:rFonts w:ascii="Times New Roman;serif" w:hAnsi="Times New Roman;serif"/>
                  <w:b w:val="false"/>
                  <w:sz w:val="20"/>
                  <w:u w:val="single"/>
                </w:rPr>
                <w:t>RISK FACTORS</w:t>
              </w:r>
            </w:hyperlink>
            <w:r>
              <w:rPr>
                <w:rFonts w:ascii="Times New Roman" w:hAnsi="Times New Roman"/>
                <w:sz w:val="20"/>
              </w:rPr>
              <w:t xml:space="preserve">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451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forwardlooking_statements">
              <w:r>
                <w:rPr>
                  <w:rStyle w:val="InternetLink"/>
                  <w:rFonts w:ascii="Times New Roman;serif" w:hAnsi="Times New Roman;serif"/>
                  <w:b w:val="false"/>
                  <w:sz w:val="20"/>
                  <w:u w:val="single"/>
                </w:rPr>
                <w:t>FORWARD-LOOKING STATEMENTS</w:t>
              </w:r>
            </w:hyperlink>
            <w:r>
              <w:rPr>
                <w:rFonts w:ascii="Times New Roman" w:hAnsi="Times New Roman"/>
                <w:sz w:val="20"/>
              </w:rPr>
              <w:t xml:space="preserve">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451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use_proceeds">
              <w:r>
                <w:rPr>
                  <w:rStyle w:val="InternetLink"/>
                  <w:rFonts w:ascii="Times New Roman;serif" w:hAnsi="Times New Roman;serif"/>
                  <w:b w:val="false"/>
                  <w:sz w:val="20"/>
                  <w:u w:val="single"/>
                </w:rPr>
                <w:t>USE OF PROCEEDS</w:t>
              </w:r>
            </w:hyperlink>
            <w:r>
              <w:rPr>
                <w:rFonts w:ascii="Times New Roman" w:hAnsi="Times New Roman"/>
                <w:sz w:val="20"/>
              </w:rPr>
              <w:t xml:space="preserve">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451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description_capital_stock">
              <w:r>
                <w:rPr>
                  <w:rStyle w:val="InternetLink"/>
                  <w:rFonts w:ascii="Times New Roman;serif" w:hAnsi="Times New Roman;serif"/>
                  <w:b w:val="false"/>
                  <w:sz w:val="20"/>
                  <w:u w:val="single"/>
                </w:rPr>
                <w:t>DESCRIPTION OF CAPITAL STOCK</w:t>
              </w:r>
            </w:hyperlink>
            <w:r>
              <w:rPr>
                <w:rFonts w:ascii="Times New Roman" w:hAnsi="Times New Roman"/>
                <w:sz w:val="20"/>
              </w:rPr>
              <w:t xml:space="preserve">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451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description_warrants">
              <w:r>
                <w:rPr>
                  <w:rStyle w:val="InternetLink"/>
                  <w:rFonts w:ascii="Times New Roman;serif" w:hAnsi="Times New Roman;serif"/>
                  <w:b w:val="false"/>
                  <w:sz w:val="20"/>
                  <w:u w:val="single"/>
                </w:rPr>
                <w:t>DESCRIPTION OF WARRANTS</w:t>
              </w:r>
            </w:hyperlink>
            <w:r>
              <w:rPr>
                <w:rFonts w:ascii="Times New Roman" w:hAnsi="Times New Roman"/>
                <w:sz w:val="20"/>
              </w:rPr>
              <w:t xml:space="preserve">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r>
      <w:tr>
        <w:trPr/>
        <w:tc>
          <w:tcPr>
            <w:tcW w:w="451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description_debt_securities">
              <w:r>
                <w:rPr>
                  <w:rStyle w:val="InternetLink"/>
                  <w:rFonts w:ascii="Times New Roman;serif" w:hAnsi="Times New Roman;serif"/>
                  <w:b w:val="false"/>
                  <w:sz w:val="20"/>
                  <w:u w:val="single"/>
                </w:rPr>
                <w:t>DESCRIPTION OF DEBT SECURITIES</w:t>
              </w:r>
            </w:hyperlink>
            <w:r>
              <w:rPr>
                <w:rFonts w:ascii="Times New Roman" w:hAnsi="Times New Roman"/>
                <w:sz w:val="20"/>
              </w:rPr>
              <w:t xml:space="preserve">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r>
      <w:tr>
        <w:trPr/>
        <w:tc>
          <w:tcPr>
            <w:tcW w:w="451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description_rights">
              <w:r>
                <w:rPr>
                  <w:rStyle w:val="InternetLink"/>
                  <w:rFonts w:ascii="Times New Roman;serif" w:hAnsi="Times New Roman;serif"/>
                  <w:b w:val="false"/>
                  <w:sz w:val="20"/>
                  <w:u w:val="single"/>
                </w:rPr>
                <w:t>DESCRIPTION OF RIGHTS</w:t>
              </w:r>
            </w:hyperlink>
            <w:r>
              <w:rPr>
                <w:rFonts w:ascii="Times New Roman" w:hAnsi="Times New Roman"/>
                <w:sz w:val="20"/>
              </w:rPr>
              <w:t xml:space="preserve">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r>
      <w:tr>
        <w:trPr/>
        <w:tc>
          <w:tcPr>
            <w:tcW w:w="451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description_units">
              <w:r>
                <w:rPr>
                  <w:rStyle w:val="InternetLink"/>
                  <w:rFonts w:ascii="Times New Roman;serif" w:hAnsi="Times New Roman;serif"/>
                  <w:b w:val="false"/>
                  <w:sz w:val="20"/>
                  <w:u w:val="single"/>
                </w:rPr>
                <w:t>DESCRIPTION OF UNITS</w:t>
              </w:r>
            </w:hyperlink>
            <w:r>
              <w:rPr>
                <w:rFonts w:ascii="Times New Roman" w:hAnsi="Times New Roman"/>
                <w:sz w:val="20"/>
              </w:rPr>
              <w:t xml:space="preserve">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r>
      <w:tr>
        <w:trPr/>
        <w:tc>
          <w:tcPr>
            <w:tcW w:w="451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lan_distribution">
              <w:r>
                <w:rPr>
                  <w:rStyle w:val="InternetLink"/>
                  <w:rFonts w:ascii="Times New Roman;serif" w:hAnsi="Times New Roman;serif"/>
                  <w:b w:val="false"/>
                  <w:sz w:val="20"/>
                  <w:u w:val="single"/>
                </w:rPr>
                <w:t>PLAN OF DISTRIBUTION</w:t>
              </w:r>
            </w:hyperlink>
            <w:r>
              <w:rPr>
                <w:rFonts w:ascii="Times New Roman" w:hAnsi="Times New Roman"/>
                <w:sz w:val="20"/>
              </w:rPr>
              <w:t xml:space="preserve">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r>
      <w:tr>
        <w:trPr/>
        <w:tc>
          <w:tcPr>
            <w:tcW w:w="451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legal_matters">
              <w:r>
                <w:rPr>
                  <w:rStyle w:val="InternetLink"/>
                  <w:rFonts w:ascii="Times New Roman;serif" w:hAnsi="Times New Roman;serif"/>
                  <w:b w:val="false"/>
                  <w:sz w:val="20"/>
                  <w:u w:val="single"/>
                </w:rPr>
                <w:t>LEGAL MATTERS</w:t>
              </w:r>
            </w:hyperlink>
            <w:r>
              <w:rPr>
                <w:rFonts w:ascii="Times New Roman" w:hAnsi="Times New Roman"/>
                <w:sz w:val="20"/>
              </w:rPr>
              <w:t xml:space="preserve">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r>
      <w:tr>
        <w:trPr/>
        <w:tc>
          <w:tcPr>
            <w:tcW w:w="451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experts">
              <w:r>
                <w:rPr>
                  <w:rStyle w:val="InternetLink"/>
                  <w:rFonts w:ascii="Times New Roman;serif" w:hAnsi="Times New Roman;serif"/>
                  <w:b w:val="false"/>
                  <w:sz w:val="20"/>
                  <w:u w:val="single"/>
                </w:rPr>
                <w:t>EXPERTS</w:t>
              </w:r>
            </w:hyperlink>
            <w:r>
              <w:rPr>
                <w:rFonts w:ascii="Times New Roman" w:hAnsi="Times New Roman"/>
                <w:sz w:val="20"/>
              </w:rPr>
              <w:t xml:space="preserve">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r>
      <w:tr>
        <w:trPr/>
        <w:tc>
          <w:tcPr>
            <w:tcW w:w="451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where_you_can_find_more_information">
              <w:r>
                <w:rPr>
                  <w:rStyle w:val="InternetLink"/>
                  <w:rFonts w:ascii="Times New Roman;serif" w:hAnsi="Times New Roman;serif"/>
                  <w:b w:val="false"/>
                  <w:sz w:val="20"/>
                  <w:u w:val="single"/>
                </w:rPr>
                <w:t>WHERE YOU CAN FIND MORE INFORMATION</w:t>
              </w:r>
            </w:hyperlink>
            <w:r>
              <w:rPr>
                <w:rFonts w:ascii="Times New Roman" w:hAnsi="Times New Roman"/>
                <w:sz w:val="20"/>
              </w:rPr>
              <w:t xml:space="preserve">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r>
      <w:tr>
        <w:trPr/>
        <w:tc>
          <w:tcPr>
            <w:tcW w:w="451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nformation_incorporated_by_reference">
              <w:r>
                <w:rPr>
                  <w:rStyle w:val="InternetLink"/>
                  <w:rFonts w:ascii="Times New Roman;serif" w:hAnsi="Times New Roman;serif"/>
                  <w:b w:val="false"/>
                  <w:sz w:val="20"/>
                  <w:u w:val="single"/>
                </w:rPr>
                <w:t>INFORMATION INCORPORATED BY REFERENCE</w:t>
              </w:r>
            </w:hyperlink>
            <w:r>
              <w:rPr>
                <w:rFonts w:ascii="Times New Roman" w:hAnsi="Times New Roman"/>
                <w:sz w:val="20"/>
              </w:rPr>
              <w:t xml:space="preserve">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15" w:name="about_this_prospectus"/>
      <w:bookmarkEnd w:id="15"/>
      <w:r>
        <w:rPr>
          <w:rFonts w:ascii="Times New Roman;serif" w:hAnsi="Times New Roman;serif"/>
          <w:b/>
          <w:sz w:val="20"/>
        </w:rPr>
        <w:t>ABOUT THIS PROSPECTUS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This prospectus is part of an automatic “shelf” registration statement on Form S-3 that we filed with the Securities and Exchange Commission, or the SEC, as a “well-known seasoned issuer” as defined in Rule 405 under the Securities Act of 1933, as amended, or the Securities Act. Under this shelf registration process, we may offer and sell from time to time any combination of the securities described in this prospectus in one or more offerings in amounts, at prices and on terms that we determine at the time of the offering. This prospectus provides you with a general description of the securities we may offer. Each time we offer securities under this registration statement we will provide a prospectus supplement that describes the terms of the relevant offering. The prospectus supplement also may add, update or change information contained in this prospectus. Before making an investment decision, you should read carefully both this prospectus and any prospectus supplement together with the documents incorporated by reference into this prospectus as described below under the heading “Information Incorporated by Reference.”</w:t>
      </w:r>
    </w:p>
    <w:p>
      <w:pPr>
        <w:pStyle w:val="TextBody"/>
        <w:bidi w:val="0"/>
        <w:spacing w:before="4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registration statement that contains this prospectus, including the exhibits to the registration statement and the information incorporated by reference, provides additional information about us and our securities. That registration statement can be read at the SEC website (www.sec.gov), as discussed below under the heading “Where You Can Find More Information.”</w:t>
      </w:r>
    </w:p>
    <w:p>
      <w:pPr>
        <w:pStyle w:val="TextBody"/>
        <w:bidi w:val="0"/>
        <w:spacing w:before="4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You should rely only on the information provided in the registration statement, this prospectus and in any prospectus supplement, including the information incorporated by reference. We have not authorized anyone to provide you with different information. You should not assume that the information in this prospectus or any supplement to this prospectus is accurate at any date other than the date indicated on the cover page of these documents or the filing date of any document incorporated by reference, regardless of its time of delivery. We are not making an offer to sell the securities in any jurisdiction where the offer or sale is not permitted.</w:t>
      </w:r>
    </w:p>
    <w:p>
      <w:pPr>
        <w:pStyle w:val="TextBody"/>
        <w:bidi w:val="0"/>
        <w:spacing w:before="4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may sell our securities to or through underwriters, initial purchasers, dealers or agents, directly to purchasers or through a combination of any of these methods of sale, as designated from time to time. We and our agents reserve the sole right to accept or reject in whole or in part any proposed purchase of our securities. An applicable prospectus supplement, which we will provide each time we offer the securities, will set forth the names of any underwriters, initial purchasers, dealers or agents involved in the sale of our securities, and any related fee, commission or discount arrangements. See “Plan of Distribution.”</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terms “Axsome,” the “Company,” “our,” “us” and “we,” as used in this prospectus, refer to Axsome Therapeutics, Inc., unless we state otherwise or the context indicates otherwise.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16" w:name="axsome_rapeutics_inc"/>
      <w:bookmarkEnd w:id="16"/>
      <w:r>
        <w:rPr>
          <w:rFonts w:ascii="Times New Roman;serif" w:hAnsi="Times New Roman;serif"/>
          <w:b/>
          <w:sz w:val="20"/>
        </w:rPr>
        <w:t>AXSOME THERAPEUTICS, INC.</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We are a commercial-stage biopharmaceutical company developing and delivering novel therapies for central nervous system (“CNS”) conditions that have limited treatment options. By focusing on this therapeutic area, we are addressing significant and growing markets where current treatment options are limited or inadequate. We were incorporated on January 12, 2012 in the State of Delaware. Our portfolio primarily consists of two commercial products and the development programs described below.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Commercial Products</w:t>
      </w:r>
    </w:p>
    <w:p>
      <w:pPr>
        <w:pStyle w:val="TextBody"/>
        <w:bidi w:val="0"/>
        <w:spacing w:before="0" w:after="0"/>
        <w:jc w:val="left"/>
        <w:rPr/>
      </w:pPr>
      <w:r>
        <w:rPr/>
        <w:t> </w:t>
      </w:r>
    </w:p>
    <w:p>
      <w:pPr>
        <w:pStyle w:val="TextBody"/>
        <w:bidi w:val="0"/>
        <w:spacing w:before="0" w:after="0"/>
        <w:jc w:val="both"/>
        <w:rPr>
          <w:rFonts w:ascii="Times New Roman" w:hAnsi="Times New Roman"/>
          <w:b/>
          <w:sz w:val="18"/>
        </w:rPr>
      </w:pPr>
      <w:r>
        <w:rPr>
          <w:rFonts w:ascii="Times New Roman" w:hAnsi="Times New Roman"/>
          <w:b/>
          <w:sz w:val="18"/>
        </w:rPr>
        <w:t>1.</w:t>
      </w:r>
    </w:p>
    <w:p>
      <w:pPr>
        <w:pStyle w:val="TextBody"/>
        <w:bidi w:val="0"/>
        <w:jc w:val="both"/>
        <w:rPr/>
      </w:pPr>
      <w:r>
        <w:rPr>
          <w:rFonts w:ascii="Times New Roman;serif" w:hAnsi="Times New Roman;serif"/>
          <w:b/>
          <w:sz w:val="20"/>
        </w:rPr>
        <w:t xml:space="preserve">Auvelity®. </w:t>
      </w:r>
      <w:r>
        <w:rPr>
          <w:rFonts w:ascii="Times New Roman;serif" w:hAnsi="Times New Roman;serif"/>
          <w:b w:val="false"/>
          <w:sz w:val="20"/>
        </w:rPr>
        <w:t>Auvelity (dextromethorphan-bupropion) is a novel, oral, N-methyl-D-aspartate (NMDA) receptor antagonist with multimodal activity indicated for the treatment of major depressive disorder (also known as “MDD”). Auvelity was developed by the Company and approved by the U.S. Food and Drug Administration (the “FDA”) for the treatment of MDD in August 2022. We commenced the commercial sale of Auvelity in the United States in October 2022.</w:t>
      </w:r>
    </w:p>
    <w:p>
      <w:pPr>
        <w:pStyle w:val="TextBody"/>
        <w:bidi w:val="0"/>
        <w:spacing w:before="0" w:after="0"/>
        <w:jc w:val="both"/>
        <w:rPr/>
      </w:pPr>
      <w:r>
        <w:rPr/>
        <w:t> </w:t>
      </w:r>
    </w:p>
    <w:p>
      <w:pPr>
        <w:pStyle w:val="TextBody"/>
        <w:bidi w:val="0"/>
        <w:spacing w:before="0" w:after="0"/>
        <w:jc w:val="both"/>
        <w:rPr>
          <w:rFonts w:ascii="Times New Roman" w:hAnsi="Times New Roman"/>
          <w:b/>
          <w:sz w:val="18"/>
        </w:rPr>
      </w:pPr>
      <w:r>
        <w:rPr>
          <w:rFonts w:ascii="Times New Roman" w:hAnsi="Times New Roman"/>
          <w:b/>
          <w:sz w:val="18"/>
        </w:rPr>
        <w:t>2.</w:t>
      </w:r>
    </w:p>
    <w:p>
      <w:pPr>
        <w:pStyle w:val="TextBody"/>
        <w:bidi w:val="0"/>
        <w:jc w:val="both"/>
        <w:rPr/>
      </w:pPr>
      <w:r>
        <w:rPr>
          <w:rFonts w:ascii="Times New Roman;serif" w:hAnsi="Times New Roman;serif"/>
          <w:b/>
          <w:sz w:val="20"/>
        </w:rPr>
        <w:t>Sunosi®</w:t>
      </w:r>
      <w:r>
        <w:rPr>
          <w:rFonts w:ascii="Times New Roman;serif" w:hAnsi="Times New Roman;serif"/>
          <w:b w:val="false"/>
          <w:sz w:val="20"/>
        </w:rPr>
        <w:t>. Sunosi (solriamfetol) is a novel, oral medication indicated to the treatment of excessive daytime sleepiness (also known as “EDS”) in patients with narcolepsy or obstructive sleep apnea. Sunosi was approved for the treatment of EDS in the United States in 2019 and by the European Commission in 2022. We acquired the U.S. rights to Sunosi from Jazz Pharmaceuticals plc (“Jazz”) in May 2022, and worldwide ex-U.S. rights (excluding certain Asian markets) from Jazz in November 2022. We have been commercializing Sunosi since we completed these acquisitions. SK Biopharmaceuticals Co. Ltd. (“SK”) is the originator of Sunosi and retains rights in 12 Asian markets, including China, Korea, and Japan.</w:t>
      </w:r>
    </w:p>
    <w:p>
      <w:pPr>
        <w:pStyle w:val="TextBody"/>
        <w:bidi w:val="0"/>
        <w:spacing w:before="0" w:after="0"/>
        <w:jc w:val="left"/>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Development Programs</w:t>
      </w:r>
    </w:p>
    <w:p>
      <w:pPr>
        <w:pStyle w:val="TextBody"/>
        <w:bidi w:val="0"/>
        <w:spacing w:before="0" w:after="0"/>
        <w:jc w:val="left"/>
        <w:rPr/>
      </w:pPr>
      <w:r>
        <w:rPr/>
        <w:t> </w:t>
      </w:r>
    </w:p>
    <w:p>
      <w:pPr>
        <w:pStyle w:val="TextBody"/>
        <w:bidi w:val="0"/>
        <w:spacing w:before="0" w:after="0"/>
        <w:jc w:val="both"/>
        <w:rPr>
          <w:rFonts w:ascii="Times New Roman" w:hAnsi="Times New Roman"/>
          <w:b/>
          <w:sz w:val="20"/>
        </w:rPr>
      </w:pPr>
      <w:r>
        <w:rPr>
          <w:rFonts w:ascii="Times New Roman" w:hAnsi="Times New Roman"/>
          <w:b/>
          <w:sz w:val="20"/>
        </w:rPr>
        <w:t>1.</w:t>
      </w:r>
    </w:p>
    <w:p>
      <w:pPr>
        <w:pStyle w:val="TextBody"/>
        <w:bidi w:val="0"/>
        <w:jc w:val="both"/>
        <w:rPr/>
      </w:pPr>
      <w:r>
        <w:rPr>
          <w:rFonts w:ascii="Times New Roman;serif" w:hAnsi="Times New Roman;serif"/>
          <w:b/>
          <w:sz w:val="20"/>
        </w:rPr>
        <w:t>AXS-05</w:t>
      </w:r>
      <w:r>
        <w:rPr>
          <w:rFonts w:ascii="Times New Roman;serif" w:hAnsi="Times New Roman;serif"/>
          <w:b w:val="false"/>
          <w:sz w:val="20"/>
        </w:rPr>
        <w:t xml:space="preserve">. When used in programs for further development, we refer to the proprietary dextromethorphan-bupropion formulation contained in Auvelity as “AXS-05.” AXS-05 is a novel, oral, investigational NMDA receptor antagonist with multimodal activity under development for the treatment of Alzheimer’s disease agitation (“AD agitation”) and smoking cessation. AXS-05 utilizes a proprietary formulation and dose of dextromethorphan and bupropion, and Axsome’s metabolic inhibition technology, to modulate the delivery of the components. We have completed a Phase 2/3 trial of AXS-05 in AD agitation, which we refer to as the ADVANCE-1 trial. AXS-05 achieved the primary endpoint in the ADVANCE-1 trial. We have also completed the ACCORD trial, a Phase 3, double blind, placebo-controlled, randomized withdrawal trial in patients with AD agitation, and we are conducting an open-label long-term safety study in AD agitation. We have recently commenced the ADVANCE-2 trial, another Phase 3, double blind, placebo-controlled, randomized withdrawal trial in patients with AD agitation. A positive Phase 2 trial for the use of AXS-05 in smoking cessation has been completed under a research collaboration with Duke University. </w:t>
      </w:r>
    </w:p>
    <w:p>
      <w:pPr>
        <w:pStyle w:val="TextBody"/>
        <w:bidi w:val="0"/>
        <w:spacing w:before="0" w:after="0"/>
        <w:jc w:val="both"/>
        <w:rPr>
          <w:rFonts w:ascii="Times New Roman" w:hAnsi="Times New Roman"/>
          <w:b/>
          <w:sz w:val="20"/>
        </w:rPr>
      </w:pPr>
      <w:r>
        <w:rPr>
          <w:rFonts w:ascii="Times New Roman" w:hAnsi="Times New Roman"/>
          <w:b/>
          <w:sz w:val="20"/>
        </w:rPr>
        <w:t>2.</w:t>
      </w:r>
    </w:p>
    <w:p>
      <w:pPr>
        <w:pStyle w:val="TextBody"/>
        <w:bidi w:val="0"/>
        <w:jc w:val="both"/>
        <w:rPr/>
      </w:pPr>
      <w:r>
        <w:rPr>
          <w:rFonts w:ascii="Times New Roman;serif" w:hAnsi="Times New Roman;serif"/>
          <w:b/>
          <w:sz w:val="20"/>
        </w:rPr>
        <w:t>AXS-07</w:t>
      </w:r>
      <w:r>
        <w:rPr>
          <w:rFonts w:ascii="Times New Roman;serif" w:hAnsi="Times New Roman;serif"/>
          <w:b w:val="false"/>
          <w:sz w:val="20"/>
        </w:rPr>
        <w:t>.</w:t>
      </w:r>
      <w:r>
        <w:rPr/>
        <w:t xml:space="preserve"> </w:t>
      </w:r>
      <w:r>
        <w:rPr>
          <w:rFonts w:ascii="Times New Roman;serif" w:hAnsi="Times New Roman;serif"/>
          <w:b w:val="false"/>
          <w:sz w:val="20"/>
        </w:rPr>
        <w:t xml:space="preserve">AXS-07 is a novel, oral, rapidly absorbed, multi-mechanistic, investigational medicine under development for the acute treatment of migraine. AXS-07 consists of MoSEIC, or Molecular Solubility Enhanced Inclusion Complex, meloxicam and rizatriptan. We have completed two Phase 3 trials of AXS-07 for the acute treatment of migraine, which we refer to as the MOMENTUM and INTERCEPT trials. AXS-07 achieved the co-primary endpoints in both the MOMENTUM and INTERCEPT trials. An open-label, long-term, safety study of AXS-07 in patients with migraine known as the MOVEMENT trial has also been completed. In the MOVEMENT trial, administration of AXS-07 resulted in rapid, and substantial relief of migraine pain and associated symptoms and was well tolerated with long term dosing. We submitted an NDA for AXS-07 in 2021, which was accepted, and received a complete response letter (“CRL”) from the FDA in April 2022. The principal reasons given in the CRL relate to chemistry, manufacturing, and controls (“CMC”) considerations. </w:t>
      </w:r>
    </w:p>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200"/>
        <w:jc w:val="both"/>
        <w:rPr>
          <w:rFonts w:ascii="Times New Roman" w:hAnsi="Times New Roman"/>
          <w:b/>
          <w:sz w:val="20"/>
        </w:rPr>
      </w:pPr>
      <w:r>
        <w:rPr>
          <w:rFonts w:ascii="Times New Roman" w:hAnsi="Times New Roman"/>
          <w:b/>
          <w:sz w:val="20"/>
        </w:rPr>
        <w:t>3.</w:t>
      </w:r>
    </w:p>
    <w:p>
      <w:pPr>
        <w:pStyle w:val="TextBody"/>
        <w:bidi w:val="0"/>
        <w:spacing w:before="0" w:after="200"/>
        <w:jc w:val="both"/>
        <w:rPr/>
      </w:pPr>
      <w:r>
        <w:rPr>
          <w:rFonts w:ascii="Times New Roman;serif" w:hAnsi="Times New Roman;serif"/>
          <w:b/>
          <w:sz w:val="20"/>
        </w:rPr>
        <w:t>AXS-12</w:t>
      </w:r>
      <w:r>
        <w:rPr>
          <w:rFonts w:ascii="Times New Roman;serif" w:hAnsi="Times New Roman;serif"/>
          <w:b w:val="false"/>
          <w:sz w:val="20"/>
        </w:rPr>
        <w:t>. AXS-12, reboxetine, is a novel, oral, investigational medicine in development for the treatment of narcolepsy. AXS-12 is a highly selective and potent norepinephrine reuptake inhibitor. AXS-12 has been granted FDA Orphan Drug Designation for the treatment of narcolepsy. We have completed a Phase 2 trial with AXS-12, which we refer to as the CONCERT study. A randomized, placebo-controlled Phase 3 trial with AXS-12 in narcolepsy was initiated in the third quarter of 2021, which we refer to as the SYMPHONY study, and one open-label long-term safety extension study was also initiated.</w:t>
      </w:r>
    </w:p>
    <w:p>
      <w:pPr>
        <w:pStyle w:val="TextBody"/>
        <w:bidi w:val="0"/>
        <w:spacing w:before="0" w:after="0"/>
        <w:jc w:val="both"/>
        <w:rPr>
          <w:rFonts w:ascii="Times New Roman" w:hAnsi="Times New Roman"/>
          <w:b/>
          <w:sz w:val="20"/>
        </w:rPr>
      </w:pPr>
      <w:r>
        <w:rPr>
          <w:rFonts w:ascii="Times New Roman" w:hAnsi="Times New Roman"/>
          <w:b/>
          <w:sz w:val="20"/>
        </w:rPr>
        <w:t>4.</w:t>
      </w:r>
    </w:p>
    <w:p>
      <w:pPr>
        <w:pStyle w:val="TextBody"/>
        <w:bidi w:val="0"/>
        <w:jc w:val="both"/>
        <w:rPr/>
      </w:pPr>
      <w:r>
        <w:rPr>
          <w:rFonts w:ascii="Times New Roman;serif" w:hAnsi="Times New Roman;serif"/>
          <w:b/>
          <w:sz w:val="20"/>
        </w:rPr>
        <w:t>AXS-14</w:t>
      </w:r>
      <w:r>
        <w:rPr>
          <w:rFonts w:ascii="Times New Roman;serif" w:hAnsi="Times New Roman;serif"/>
          <w:b w:val="false"/>
          <w:sz w:val="20"/>
        </w:rPr>
        <w:t xml:space="preserve">. AXS-14, esreboxetine, is a novel, oral, investigational medicine in development for the treatment of fibromyalgia. AXS-14 is a highly selective and potent norepinephrine reuptake inhibitor. Esreboxetine, the SS-enantiomer of reboxetine, is more potent and selective than racemic reboxetine. We have in-licensed data from Pfizer which includes a completed Phase 2 trial and Phase 3 trial in fibromyalgia, both of which were positive. </w:t>
      </w:r>
    </w:p>
    <w:p>
      <w:pPr>
        <w:pStyle w:val="TextBody"/>
        <w:bidi w:val="0"/>
        <w:spacing w:before="0" w:after="0"/>
        <w:jc w:val="both"/>
        <w:rPr/>
      </w:pPr>
      <w:r>
        <w:rPr/>
        <w:t> </w:t>
      </w:r>
    </w:p>
    <w:p>
      <w:pPr>
        <w:pStyle w:val="TextBody"/>
        <w:bidi w:val="0"/>
        <w:spacing w:before="0" w:after="0"/>
        <w:jc w:val="both"/>
        <w:rPr>
          <w:rFonts w:ascii="Times New Roman" w:hAnsi="Times New Roman"/>
          <w:b/>
          <w:sz w:val="20"/>
        </w:rPr>
      </w:pPr>
      <w:r>
        <w:rPr>
          <w:rFonts w:ascii="Times New Roman" w:hAnsi="Times New Roman"/>
          <w:b/>
          <w:sz w:val="20"/>
        </w:rPr>
        <w:t>5.</w:t>
      </w:r>
    </w:p>
    <w:p>
      <w:pPr>
        <w:pStyle w:val="TextBody"/>
        <w:bidi w:val="0"/>
        <w:jc w:val="both"/>
        <w:rPr/>
      </w:pPr>
      <w:r>
        <w:rPr>
          <w:rFonts w:ascii="Times New Roman;serif" w:hAnsi="Times New Roman;serif"/>
          <w:b/>
          <w:sz w:val="20"/>
        </w:rPr>
        <w:t>Solriamfetol</w:t>
      </w:r>
      <w:r>
        <w:rPr>
          <w:rFonts w:ascii="Times New Roman;serif" w:hAnsi="Times New Roman;serif"/>
          <w:b w:val="false"/>
          <w:sz w:val="20"/>
        </w:rPr>
        <w:t>. Solriamfetol is the active ingredient in our Sunosi product. It is an oral, dual-acting dopamine and norepinephrine reuptake inhibitor. We recently announced our intent to conduct a Phase 3 trial of solriamfetol in adults with attention-deficit/hyperactivity disorder.</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Our principal executive offices are located at 22 Cortlandt Street, 16</w:t>
      </w:r>
      <w:r>
        <w:rPr>
          <w:rFonts w:ascii="Times New Roman;serif" w:hAnsi="Times New Roman;serif"/>
          <w:b w:val="false"/>
          <w:sz w:val="13"/>
        </w:rPr>
        <w:t>th</w:t>
      </w:r>
      <w:r>
        <w:rPr>
          <w:rFonts w:ascii="Times New Roman" w:hAnsi="Times New Roman"/>
          <w:sz w:val="20"/>
        </w:rPr>
        <w:t xml:space="preserve"> </w:t>
      </w:r>
      <w:r>
        <w:rPr>
          <w:rFonts w:ascii="Times New Roman;serif" w:hAnsi="Times New Roman;serif"/>
          <w:b w:val="false"/>
          <w:sz w:val="20"/>
        </w:rPr>
        <w:t>Floor, New York, New York 10007, and our telephone number is (212) 332-3241. Our website address is www.axsome.com. The information contained on our website is not incorporated by reference into this prospectus, and you should not consider any information contained on, or that can be accessed through, our website as part of this prospectus or in deciding whether to purchase our securities.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Our filings with the SEC are posted on our website at www.axsome.com. The information found on our website is not part of this or any other report we file with or furnish to the SEC.</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bookmarkStart w:id="17" w:name="risk_factors"/>
      <w:bookmarkEnd w:id="17"/>
      <w:r>
        <w:rPr>
          <w:rFonts w:ascii="Times New Roman;serif" w:hAnsi="Times New Roman;serif"/>
          <w:b/>
          <w:sz w:val="20"/>
        </w:rPr>
        <w:t>RISK FACTORS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Investing in our securities involves risk. You should carefully consider the specific risks discussed or incorporated by reference into the applicable prospectus supplement, together with all the other information contained in the prospectus supplement or incorporated by reference into this prospectus and the applicable prospectus supplement. You should also consider the risks, uncertainties and assumptions discussed under the caption “Risk Factors” included in our Annual Report on Form 10-K for the year ended December 31, 2021 and in subsequent filings, which are incorporated by reference into this prospectus. These risk factors may be amended, supplemented or superseded from time to time by other reports we file with the SEC in the future or by a prospectus supplement relating to a particular offering of our securities.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prospectus supplement or any additional risks and uncertainties actually occur, our business, financial condition and results of operations could be materially and adversely affected. In that case, the trading price of our securities could decline and you might lose all or part of your investment.</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bookmarkStart w:id="18" w:name="forwardlooking_statements"/>
      <w:bookmarkEnd w:id="18"/>
      <w:r>
        <w:rPr>
          <w:rFonts w:ascii="Times New Roman;serif" w:hAnsi="Times New Roman;serif"/>
          <w:b/>
          <w:sz w:val="20"/>
        </w:rPr>
        <w:t>FORWARD-LOOKING STATEMENTS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From time to time, in reports filed with the Securities and Exchange Commission (including this registration statement), in press releases and in other communications to stockholders or the investment community, we may provide forward-looking statements concerning possible or anticipated future results of operations or business developments. These statements are based on our management’s current expectations or predictions of future conditions, events or results based on various assumptions and our management’s estimates of trends and economic factors in the markets in which we are active, as well as our business plans. Words such as “expects,” “anticipates,” “intends,” “plans,” “believes,” “seeks,” “estimates,” “projects,” “forecasts,” “may,” “should,” and variations of such words and similar expressions are intended to identify such forward-looking statements. The forward-looking statements may include, without limitation, statements regarding product candidate development, product candidate potential, regulatory environment, sales and marketing strategies, capital resources or operating performance. The forward-looking statements are subject to risks and uncertainties, which may cause results to differ materially from those set forth in the statements. Forward-looking statements in this registration statement should be evaluated together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with the many uncertainties that affect our business and our market, particularly those discussed in the “Risk Factors” section of our Annual Report on Form 10-K for the year ended December 31, 2021 and our subsequent filings, which are incorporated by reference into this prospectus, to better understand the risks and uncertainties inherent in our business and underlying any forward-looking statements. Forward-looking statements are not guarantees of future performance, and actual results may differ materially from those projected. The forward-looking statements are representative only as of the date of this prospectus and except as required by law, we assume no responsibility to update any forward-looking statements, whether as a result of new information, future events or otherwise.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You should read this prospectus and the documents that we reference in this prospectus and have been filed as exhibits to the registration statement of which this prospectus is a part completely and with the understanding that our actual future results may be materially different from what we expect. The information contained in this prospectus is accurate only as of the date of this prospectus, regardless of the time of delivery of this prospectus or any issuance or sale of our common shares. Except as required by law, we do not assume any obligation to update any forward-looking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bookmarkStart w:id="19" w:name="use_proceeds"/>
      <w:bookmarkEnd w:id="19"/>
      <w:r>
        <w:rPr>
          <w:rFonts w:ascii="Times New Roman;serif" w:hAnsi="Times New Roman;serif"/>
          <w:b/>
          <w:sz w:val="20"/>
        </w:rPr>
        <w:t>USE OF PROCEEDS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Unless otherwise indicated in the applicable prospectus supplement, we will use the net proceeds from the sale of the securities offered hereby for general corporate purposes, which may include, but are not limited to working capital, capital expenditures, funding the ongoing clinical development of our product candidates, general and administrative expenses, commercializing our products, or other corporate obligations. We may use a portion of the net proceeds to pay off outstanding indebtedness, if any, or acquire or invest in businesses, products and technologies.</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bookmarkStart w:id="20" w:name="description_capital_stock"/>
      <w:bookmarkEnd w:id="20"/>
      <w:r>
        <w:rPr>
          <w:rFonts w:ascii="Times New Roman;serif" w:hAnsi="Times New Roman;serif"/>
          <w:b/>
          <w:sz w:val="20"/>
        </w:rPr>
        <w:t>DESCRIPTION OF</w:t>
      </w:r>
      <w:r>
        <w:rPr>
          <w:rFonts w:ascii="Times New Roman" w:hAnsi="Times New Roman"/>
          <w:sz w:val="20"/>
        </w:rPr>
        <w:t xml:space="preserve"> </w:t>
      </w:r>
      <w:r>
        <w:rPr>
          <w:rFonts w:ascii="Times New Roman;serif" w:hAnsi="Times New Roman;serif"/>
          <w:b/>
          <w:sz w:val="20"/>
        </w:rPr>
        <w:t>CAPITAL STOCK</w:t>
      </w:r>
    </w:p>
    <w:p>
      <w:pPr>
        <w:pStyle w:val="TextBody"/>
        <w:bidi w:val="0"/>
        <w:spacing w:before="0" w:after="0"/>
        <w:jc w:val="center"/>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following description is a general summary of the terms of the shares of common stock or shares of preferred stock that we may issue. The description below and in any prospectus supplement does not include all of the terms of the shares of common stock or shares of preferred stock and should be read together with our Amended and Restated Certificate of Incorporation and Amended and Restated Bylaws, copies of which have been filed previously with the SEC. For more information on how you can obtain copies of our Amended and Restated Certificate of Incorporation and Amended and Restated Bylaws, see “Where You Can Find More Information.”</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Common Stock</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General</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Amended and Restated Certificate of Incorporation provides the authority to issue 150,000,000 shares of common stock, par value $0.0001 per share. As of September 30, 2022, there were 43,425,707 shares of common stock outstanding. Each share of our common stock has the same relative rights and is identical in all respects to each other share of our common stock. The rights, preferences and privileges of holders of our common stock are subject to the rights, preferences and privileges of the holders of shares of any series of preferred stock that we have issued or may issue in the future.</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Voting Rights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holders of our common stock are entitled to one vote per share on any matter to be voted upon by our stockholders. Our Amended and Restated Certificate of Incorporation does not permit cumulative voting in connection with the election of directors.</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Dividends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holders of our common stock are entitled to dividends, if any, as our board of directors may declare from time to time from funds legally available for that purpose, subject to the holders of other classes of stock, if any, at the time outstanding having prior rights as to dividends, if any.</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Liquidation Rights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Upon any voluntary or involuntary liquidation, dissolution, or winding up of our affairs, the holders of our common stock are entitled to share ratably in all assets remaining after the payment of creditors, subject to any prior liquidation distribution rights of holders of other classes of stock, if any, at the time outstanding.</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Miscellaneous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Holders of our common stock have no preemptive, conversion, redemption or sinking fund rights. The outstanding shares of our common stock are, and the shares of common stock to be offered hereby when issued will be, validly issued, fully paid and non-assessable.</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Nasdaq Listing</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common stock is listed on the Nasdaq Global Market under the symbol “AXSM.”</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Transfer Agent and Registrar</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transfer agent and registrar for our common stock is American Stock Transfer &amp; Trust Company, LLC.</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Preferred Stock</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General</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Amended and Restated Certificate of Incorporation authorizes the issuance of up to 10,000,000 shares of preferred stock, par value $0.0001 per share, none of which are issued and outstanding as of the date of this prospectus. We may issue, from time to time in one or more series, the terms of which may be determined at the time of issuance by our board of directors, without further action by our stockholders, shares of preferred stock and such shares may include voting rights, preferences as to dividends and liquidation, conversion rights, redemption rights and sinking fund provisions. The shares of each series of preferred stock shall have preferences, limitations and relative rights, including voting rights, identical with those of other shares of the same series and, except to the extent provided in the description of such series, of those of other series of preferred stock.</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issuance of any preferred stock could adversely affect the rights of the holders of common stock and, therefore, reduce the value of the common stock. The ability of our board of directors to issue preferred stock could discourage, delay or prevent a takeover or change in control.</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description of the terms of a particular series of preferred stock in the applicable prospectus supplement will not be complete. You should refer to the applicable certificate of designation for complete information regarding a series of preferred stock. The prospectus supplement will also contain a description of U.S. federal income tax consequences relating to the preferred stock, if material.</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terms of any particular series of preferred stock will be described in the prospectus supplement relating to that particular series of preferred stock, including, where applicable:</w:t>
      </w:r>
    </w:p>
    <w:p>
      <w:pPr>
        <w:pStyle w:val="TextBody"/>
        <w:bidi w:val="0"/>
        <w:spacing w:before="0" w:after="0"/>
        <w:jc w:val="both"/>
        <w:rPr/>
      </w:pPr>
      <w:r>
        <w:rPr/>
        <w:t> </w:t>
      </w:r>
    </w:p>
    <w:p>
      <w:pPr>
        <w:pStyle w:val="TextBody"/>
        <w:bidi w:val="0"/>
        <w:spacing w:before="0" w:after="240"/>
        <w:jc w:val="both"/>
        <w:rPr/>
      </w:pPr>
      <w:r>
        <w:rPr/>
        <w:t>•</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the series designation, stated value and liquidation preference of such preferred stock and the number of shares offered;</w:t>
      </w:r>
    </w:p>
    <w:p>
      <w:pPr>
        <w:pStyle w:val="TextBody"/>
        <w:bidi w:val="0"/>
        <w:spacing w:before="0" w:after="240"/>
        <w:jc w:val="both"/>
        <w:rPr/>
      </w:pPr>
      <w:r>
        <w:rPr/>
        <w:t>•</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the offering price;</w:t>
      </w:r>
    </w:p>
    <w:p>
      <w:pPr>
        <w:pStyle w:val="TextBody"/>
        <w:bidi w:val="0"/>
        <w:spacing w:before="0" w:after="240"/>
        <w:jc w:val="both"/>
        <w:rPr/>
      </w:pPr>
      <w:r>
        <w:rPr/>
        <w:t>•</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the dividend rate or rates (or method of calculation), the date or dates from which dividends shall accrue, and whether such dividends shall be cumulative or noncumulative and, if cumulative, the dates from which dividends shall commence to cumulate;</w:t>
      </w:r>
    </w:p>
    <w:p>
      <w:pPr>
        <w:pStyle w:val="TextBody"/>
        <w:bidi w:val="0"/>
        <w:spacing w:before="0" w:after="240"/>
        <w:jc w:val="both"/>
        <w:rPr/>
      </w:pPr>
      <w:r>
        <w:rPr/>
        <w:t>•</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any redemption or sinking fund provisions;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240"/>
        <w:jc w:val="both"/>
        <w:rPr/>
      </w:pPr>
      <w:r>
        <w:rPr/>
        <w:t>•</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the amount that shares of such series shall be entitled to receive in the event of our liquidation, dissolution or winding-up;</w:t>
      </w:r>
    </w:p>
    <w:p>
      <w:pPr>
        <w:pStyle w:val="TextBody"/>
        <w:bidi w:val="0"/>
        <w:spacing w:before="0" w:after="240"/>
        <w:jc w:val="both"/>
        <w:rPr/>
      </w:pPr>
      <w:r>
        <w:rPr/>
        <w:t>•</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the terms and conditions, if any, on which shares of such series shall be convertible or exchangeable for shares of our stock of any other class or classes, or other series of the same class;</w:t>
      </w:r>
    </w:p>
    <w:p>
      <w:pPr>
        <w:pStyle w:val="TextBody"/>
        <w:bidi w:val="0"/>
        <w:spacing w:before="0" w:after="240"/>
        <w:jc w:val="both"/>
        <w:rPr/>
      </w:pPr>
      <w:r>
        <w:rPr/>
        <w:t>•</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the voting rights, if any, of shares of such series in addition to those set forth under the caption entitled, “Voting Rights” below;</w:t>
      </w:r>
    </w:p>
    <w:p>
      <w:pPr>
        <w:pStyle w:val="TextBody"/>
        <w:bidi w:val="0"/>
        <w:spacing w:before="0" w:after="240"/>
        <w:jc w:val="both"/>
        <w:rPr/>
      </w:pPr>
      <w:r>
        <w:rPr/>
        <w:t>•</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the status as to reissuance or sale of shares of such series redeemed, purchased or otherwise reacquired, or surrendered to us on conversion or exchange;</w:t>
      </w:r>
    </w:p>
    <w:p>
      <w:pPr>
        <w:pStyle w:val="TextBody"/>
        <w:bidi w:val="0"/>
        <w:spacing w:before="0" w:after="240"/>
        <w:jc w:val="both"/>
        <w:rPr/>
      </w:pPr>
      <w:r>
        <w:rPr/>
        <w:t>•</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the conditions and restrictions, if any, on the payment of dividends or on the making of other distributions on, or the purchase, redemption or other acquisition by us, of our common stock or of any other class of our stock ranking junior to the shares of such series as to dividends or upon liquidation (including, but not limited to, at such times as there are arrearages in the payment of dividends or sinking fund installments);</w:t>
      </w:r>
    </w:p>
    <w:p>
      <w:pPr>
        <w:pStyle w:val="TextBody"/>
        <w:bidi w:val="0"/>
        <w:spacing w:before="0" w:after="240"/>
        <w:jc w:val="both"/>
        <w:rPr/>
      </w:pPr>
      <w:r>
        <w:rPr/>
        <w:t>•</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the conditions and restrictions, if any, on the creation of Company indebtedness, or on the issue of any additional stock ranking on a parity with or prior to the shares of such series as to dividends or upon liquidation; and</w:t>
      </w:r>
    </w:p>
    <w:p>
      <w:pPr>
        <w:pStyle w:val="TextBody"/>
        <w:bidi w:val="0"/>
        <w:spacing w:before="0" w:after="240"/>
        <w:jc w:val="both"/>
        <w:rPr/>
      </w:pPr>
      <w:r>
        <w:rPr/>
        <w:t>•</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any additional dividend, liquidation, redemption, sinking or retirement fund and other rights, preferences, privileges, limitations and restrictions of such preferred stock.</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If we issue shares of preferred stock under this prospectus and any related prospectus supplement, the shares will be fully paid and non-assessable and will not have, or be subject to, any preemptive or similar rights.</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Voting Rights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General Corporation Law of Delaware, or the DGCL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Transfer Agent and Registrar</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transfer agent and registrar for any series of preferred stock will be set forth in the applicable prospectus supplement.</w:t>
      </w:r>
    </w:p>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Other</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issuance of preferred stock could decrease the amount of earnings and assets available for distribution to the holders of common stock or could adversely affect the rights and powers, including voting rights, of the holders of common stock. The issuance of preferred stock could have the effect of decreasing the market price of our common stock.</w:t>
      </w:r>
    </w:p>
    <w:p>
      <w:pPr>
        <w:pStyle w:val="TextBody"/>
        <w:bidi w:val="0"/>
        <w:spacing w:before="0" w:after="0"/>
        <w:jc w:val="left"/>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Delaware Law and Certain Amended and Restated Certificate of Incorporation and Amended and Restated Bylaws Provisions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w:t>
      </w:r>
    </w:p>
    <w:p>
      <w:pPr>
        <w:pStyle w:val="TextBody"/>
        <w:bidi w:val="0"/>
        <w:spacing w:before="160" w:after="0"/>
        <w:jc w:val="both"/>
        <w:rPr/>
      </w:pPr>
      <w:r>
        <w:rPr/>
        <w:t>•</w:t>
      </w:r>
    </w:p>
    <w:p>
      <w:pPr>
        <w:pStyle w:val="TextBody"/>
        <w:bidi w:val="0"/>
        <w:spacing w:before="160" w:after="283"/>
        <w:jc w:val="both"/>
        <w:rPr>
          <w:rFonts w:ascii="Times New Roman;serif" w:hAnsi="Times New Roman;serif"/>
          <w:b w:val="false"/>
          <w:sz w:val="20"/>
        </w:rPr>
      </w:pPr>
      <w:r>
        <w:rPr>
          <w:rFonts w:ascii="Times New Roman;serif" w:hAnsi="Times New Roman;serif"/>
          <w:b w:val="false"/>
          <w:sz w:val="20"/>
        </w:rPr>
        <w:t>Authorize the issuance of preferred stock which can be created and issued by the board of directors without prior stockholder approval, with rights senior to those of our common stock;</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160" w:after="0"/>
        <w:jc w:val="both"/>
        <w:rPr/>
      </w:pPr>
      <w:r>
        <w:rPr/>
        <w:t>•</w:t>
      </w:r>
    </w:p>
    <w:p>
      <w:pPr>
        <w:pStyle w:val="TextBody"/>
        <w:bidi w:val="0"/>
        <w:spacing w:before="160" w:after="0"/>
        <w:jc w:val="both"/>
        <w:rPr>
          <w:rFonts w:ascii="Times New Roman;serif" w:hAnsi="Times New Roman;serif"/>
          <w:b w:val="false"/>
          <w:sz w:val="20"/>
        </w:rPr>
      </w:pPr>
      <w:r>
        <w:rPr>
          <w:rFonts w:ascii="Times New Roman;serif" w:hAnsi="Times New Roman;serif"/>
          <w:b w:val="false"/>
          <w:sz w:val="20"/>
        </w:rPr>
        <w:t>Provide for a classified board of directors, with each director serving a staggered three-year term;</w:t>
      </w:r>
    </w:p>
    <w:p>
      <w:pPr>
        <w:pStyle w:val="TextBody"/>
        <w:bidi w:val="0"/>
        <w:spacing w:before="160" w:after="0"/>
        <w:jc w:val="both"/>
        <w:rPr/>
      </w:pPr>
      <w:r>
        <w:rPr/>
        <w:t>•</w:t>
      </w:r>
    </w:p>
    <w:p>
      <w:pPr>
        <w:pStyle w:val="TextBody"/>
        <w:bidi w:val="0"/>
        <w:spacing w:before="160" w:after="0"/>
        <w:jc w:val="both"/>
        <w:rPr>
          <w:rFonts w:ascii="Times New Roman;serif" w:hAnsi="Times New Roman;serif"/>
          <w:b w:val="false"/>
          <w:sz w:val="20"/>
        </w:rPr>
      </w:pPr>
      <w:r>
        <w:rPr>
          <w:rFonts w:ascii="Times New Roman;serif" w:hAnsi="Times New Roman;serif"/>
          <w:b w:val="false"/>
          <w:sz w:val="20"/>
        </w:rPr>
        <w:t>Prohibit our stockholders from filling board vacancies, calling special stockholder meetings or taking action by written consent;</w:t>
      </w:r>
    </w:p>
    <w:p>
      <w:pPr>
        <w:pStyle w:val="TextBody"/>
        <w:bidi w:val="0"/>
        <w:spacing w:before="160" w:after="0"/>
        <w:jc w:val="both"/>
        <w:rPr/>
      </w:pPr>
      <w:r>
        <w:rPr/>
        <w:t>•</w:t>
      </w:r>
    </w:p>
    <w:p>
      <w:pPr>
        <w:pStyle w:val="TextBody"/>
        <w:bidi w:val="0"/>
        <w:spacing w:before="160" w:after="0"/>
        <w:jc w:val="both"/>
        <w:rPr>
          <w:rFonts w:ascii="Times New Roman;serif" w:hAnsi="Times New Roman;serif"/>
          <w:b w:val="false"/>
          <w:sz w:val="20"/>
        </w:rPr>
      </w:pPr>
      <w:r>
        <w:rPr>
          <w:rFonts w:ascii="Times New Roman;serif" w:hAnsi="Times New Roman;serif"/>
          <w:b w:val="false"/>
          <w:sz w:val="20"/>
        </w:rPr>
        <w:t>Provide for the removal of a director only with cause and by the affirmative vote of the holders of 66 2/3 % or more of the shares then entitled to vote at an election of our directors;</w:t>
      </w:r>
    </w:p>
    <w:p>
      <w:pPr>
        <w:pStyle w:val="TextBody"/>
        <w:bidi w:val="0"/>
        <w:spacing w:before="160" w:after="0"/>
        <w:jc w:val="both"/>
        <w:rPr/>
      </w:pPr>
      <w:r>
        <w:rPr/>
        <w:t>•</w:t>
      </w:r>
    </w:p>
    <w:p>
      <w:pPr>
        <w:pStyle w:val="TextBody"/>
        <w:bidi w:val="0"/>
        <w:spacing w:before="160" w:after="0"/>
        <w:jc w:val="both"/>
        <w:rPr>
          <w:rFonts w:ascii="Times New Roman;serif" w:hAnsi="Times New Roman;serif"/>
          <w:b w:val="false"/>
          <w:sz w:val="20"/>
        </w:rPr>
      </w:pPr>
      <w:r>
        <w:rPr>
          <w:rFonts w:ascii="Times New Roman;serif" w:hAnsi="Times New Roman;serif"/>
          <w:b w:val="false"/>
          <w:sz w:val="20"/>
        </w:rPr>
        <w:t>Require advance written notice of stockholder proposals and director nominations; and</w:t>
      </w:r>
    </w:p>
    <w:p>
      <w:pPr>
        <w:pStyle w:val="TextBody"/>
        <w:bidi w:val="0"/>
        <w:spacing w:before="160" w:after="0"/>
        <w:jc w:val="both"/>
        <w:rPr/>
      </w:pPr>
      <w:r>
        <w:rPr/>
        <w:t>•</w:t>
      </w:r>
    </w:p>
    <w:p>
      <w:pPr>
        <w:pStyle w:val="TextBody"/>
        <w:bidi w:val="0"/>
        <w:spacing w:before="160" w:after="283"/>
        <w:jc w:val="both"/>
        <w:rPr>
          <w:rFonts w:ascii="Times New Roman;serif" w:hAnsi="Times New Roman;serif"/>
          <w:b w:val="false"/>
          <w:sz w:val="20"/>
        </w:rPr>
      </w:pPr>
      <w:r>
        <w:rPr>
          <w:rFonts w:ascii="Times New Roman;serif" w:hAnsi="Times New Roman;serif"/>
          <w:b w:val="false"/>
          <w:sz w:val="20"/>
        </w:rPr>
        <w:t>Require any action instituted against our officers or directors in connection with their service to us to be brought in the state of Delaware.</w:t>
      </w:r>
    </w:p>
    <w:p>
      <w:pPr>
        <w:pStyle w:val="TextBody"/>
        <w:bidi w:val="0"/>
        <w:spacing w:before="160" w:after="0"/>
        <w:jc w:val="both"/>
        <w:rPr>
          <w:rFonts w:ascii="Times New Roman;serif" w:hAnsi="Times New Roman;serif"/>
          <w:b w:val="false"/>
          <w:sz w:val="20"/>
        </w:rPr>
      </w:pPr>
      <w:r>
        <w:rPr>
          <w:rFonts w:ascii="Times New Roman;serif" w:hAnsi="Times New Roman;serif"/>
          <w:b w:val="false"/>
          <w:sz w:val="20"/>
        </w:rPr>
        <w:t>In addition, we are subject to the provisions of Section 203 of the DGCL, which may prohibit certain business combinations with stockholders owning 15% or more of our outstanding voting stock. These and other provisions in our Amended and Restated Certificate of Incorporation, Amended and Restated Bylaws and the DGCL could make it more difficult for stockholders or potential acquirors to obtain control of our board of directors or initiate actions that are opposed by our then-current board of directors, including a merger, tender offer or proxy contest involving our company. This provision could have the effect of delaying or preventing a change of control, whether or not it is desired by or beneficial to our stockholders. Any delay or prevention of a change of control transaction or changes in our board of directors could cause the market price of our common stock to decline.</w:t>
      </w:r>
    </w:p>
    <w:p>
      <w:pPr>
        <w:pStyle w:val="TextBody"/>
        <w:bidi w:val="0"/>
        <w:spacing w:before="160" w:after="0"/>
        <w:jc w:val="both"/>
        <w:rPr>
          <w:rFonts w:ascii="Times New Roman;serif" w:hAnsi="Times New Roman;serif"/>
          <w:b w:val="false"/>
          <w:sz w:val="20"/>
        </w:rPr>
      </w:pPr>
      <w:r>
        <w:rPr>
          <w:rFonts w:ascii="Times New Roman;serif" w:hAnsi="Times New Roman;serif"/>
          <w:b w:val="false"/>
          <w:sz w:val="20"/>
        </w:rPr>
        <w:t>Further, our Amended and Restated Certificate of Incorporation provides that, unless we consent in writing to the selection of an alternative forum, the Court of Chancery of the State of Delaware shall be the sole and exclusive forum for (1) any derivative action or proceeding brought on behalf of our company, (2) any action asserting a claim of breach of a fiduciary duty owed by any of our directors, officers, employees or agents to our company or our stockholders, (3) any action asserting a claim arising pursuant to any provision of the DGCL, or (4) any action asserting a claim governed by the internal affairs doctrine, in each such case subject to such Court of Chancery having personal jurisdiction over the indispensable parties named as defendants therein.</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Indemnification</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Our Amended and Restated Certificate of Incorporation contains provisions permitted under the DGCL relating to the liability of directors. The provisions eliminate, to the extent legally permissible, a director’s liability for monetary damages for a breach of fiduciary duty, except in circumstances involving wrongful acts, such as the breach of a director’s duty of loyalty or acts or omissions that involve intentional misconduct or a knowing violation of law. The limitation of liability described above does not alter the liability of our directors and officers under federal securities laws. Furthermore, our Amended and Restated Certificate of Incorporation contains provisions to indemnify our directors and officers to the fullest extent permitted by the DGCL. These provisions do not limit or eliminate our right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or the right of any stockholder of ours to seek non-monetary relief, such as an injunction or rescission in the event of a breach by a director or an officer of his duty of care to us. We believe that these provisions assist us in attracting and retaining qualified individuals to serve as directors.</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bookmarkStart w:id="21" w:name="description_warrants"/>
      <w:bookmarkEnd w:id="21"/>
      <w:r>
        <w:rPr>
          <w:rFonts w:ascii="Times New Roman;serif" w:hAnsi="Times New Roman;serif"/>
          <w:b/>
          <w:sz w:val="20"/>
        </w:rPr>
        <w:t>DESCRIPTION OF WARRANTS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may issue warrants for the purchase of shares of our common stock, shares of our preferred stock or debt securities.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 copy of the forms of the warrant agreement and the warrant certificate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see “Where You Can Find More Information.”</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Stock Warrants</w:t>
      </w:r>
    </w:p>
    <w:p>
      <w:pPr>
        <w:pStyle w:val="TextBody"/>
        <w:bidi w:val="0"/>
        <w:spacing w:before="0" w:after="0"/>
        <w:jc w:val="both"/>
        <w:rPr/>
      </w:pPr>
      <w:r>
        <w:rPr/>
        <w:t> </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The prospectus supplement relating to a particular issue of warrants to issue shares of our common stock or shares of our preferred stock will describe the terms of the common share warrants and preferred share warrants, including the following:</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title of the warrants;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offering price for the warrants, if any;</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aggregate number of the warrants;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designation and terms of the shares of common stock or shares of preferred stock that may be purchased upon exercise of the warrants;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terms for changes or adjustments to the exercise price of the warrants;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if applicable, the designation and terms of the securities that the warrants are issued with and the number of warrants issued with each security;</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if applicable, the date from and after which the warrants and any securities issued with the warrants will be separately transferable;</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number of shares of common stock or shares of preferred stock that may be purchased upon exercise of a warrant and the price at which the shares may be purchased upon exercise;</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dates on which the right to exercise the warrants commence and expire;</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if applicable, the minimum or maximum amount of the warrants that may be exercised at any one time;</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currency or currency units in which the offering price, if any, and the exercise price are payable;</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if applicable, a discussion of material United States federal income tax considerations;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anti-dilution provisions of the warrants, if any;</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redemption or call provisions, if any, applicable to the warrants;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any additional terms of the warrants, including terms, procedures and limitations relating to the exchange and exercise of the warrants; and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any other information we think is important about the warrants.</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Debt Warrants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prospectus supplement relating to a particular issue of warrants to issue debt securities will describe the terms of those warrants, including the following:</w:t>
      </w:r>
    </w:p>
    <w:p>
      <w:pPr>
        <w:pStyle w:val="TextBody"/>
        <w:bidi w:val="0"/>
        <w:spacing w:before="0" w:after="0"/>
        <w:jc w:val="both"/>
        <w:rPr/>
      </w:pPr>
      <w:r>
        <w:rPr/>
        <w:t> </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title of the warrants;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offering price for the warrants, if any;</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aggregate number of the warrants;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designation and terms of the debt securities purchasable upon exercise of the warrants;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terms for changes or adjustments to the exercise price of the warrants;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if applicable, the designation and terms of the debt securities that the warrants are issued with and the number of warrants issued with each debt security;</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if applicable, the date from and after which the warrants and any debt securities issued with them will be separately transferable;</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principal amount of debt securities that may be purchased upon exercise of a warrant and the price at which the debt securities may be purchased upon exercise;</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dates on which the right to exercise the warrants will commence and expire;</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if applicable, the minimum or maximum amount of the warrants that may be exercised at any one time;</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whether the warrants represented by the warrant certificates or debt securities that may be issued upon exercise of the warrants will be issued in registered or bearer form;</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information relating to book-entry procedures, if any;</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currency or currency units in which the offering price, if any, and the exercise price are payable;</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if applicable, a discussion of material United States federal income tax considerations;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anti-dilution provisions of the warrants, if any;</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redemption or call provisions, if any, applicable to the warrants;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any additional terms of the warrants, including terms, procedures and limitations relating to the exchange and exercise of the warrants; and</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any other information we think is important about the warrants.</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Exercise of Warrants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Each warrant will entitle the holder of the warrant to purchase at the exercise price set forth in the applicable prospectus supplement the number of shares of common stock, shares of preferred stock or the principal amount of debt securities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Until a holder exercises the warrants to purchase our shares of common stock, shares of preferred stock or debt securities, the holder will not have any rights as a holder of our shares of common stock, shares of preferred stock or debt securities, as the case may be, by virtue of ownership of warrants.</w:t>
      </w:r>
    </w:p>
    <w:p>
      <w:pPr>
        <w:pStyle w:val="TextBody"/>
        <w:bidi w:val="0"/>
        <w:spacing w:before="0" w:after="0"/>
        <w:jc w:val="center"/>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2" w:name="description_debt_securities"/>
      <w:bookmarkEnd w:id="22"/>
      <w:r>
        <w:rPr>
          <w:rFonts w:ascii="Times New Roman;serif" w:hAnsi="Times New Roman;serif"/>
          <w:b/>
          <w:sz w:val="20"/>
        </w:rPr>
        <w:t>DESCRIPTION OF DEBT SECURITIES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following is a general description of the terms of debt securities we may issue from time to time unless we provide otherwise in the applicable prospectus supplement. Particular terms of any debt securities we offer will be described in the prospectus supplement relating to such debt securities.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As required by Federal law for all bonds and notes of companies that are publicly offered, any debt securities we issue will be governed by a document called an “indenture,” the form of which is filed as an exhibit to the registration statement of which this prospectus forms a part. We have summarized the general features of the debt securities to be governed by the indenture. The summary is not complete. An indenture is a contract between us and a financial institution acting as trustee on behalf of the holders of the debt securities, and is subject to and governed by the Trust Indenture Act of 1939, as amended. The trustee has two main roles. First, the trustee can enforce holders’ rights against us if we default. There are some limitations on the extent to which the trustee acts on holders’ behalf, described in the second paragraph under “Description of Debt Securities—Events of Default.” Second, the trustee performs certain administrative duties, such as sending interest and principal payments to holders.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Because this section is a summary, it does not describe every aspect of any debt securities we may issue or the indenture governing any such debt securities. Particular terms of any debt securities we offer will be described in the prospectus supplement relating to such debt securities, and we urge you to read the applicable executed indenture, which will be filed with the SEC at the time of any offering of debt securities, because it, and not this description, will define the rights of holders of such debt securities.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 prospectus supplement will describe the particular terms of any series of debt securities we may issue, including some or all of the following:</w:t>
      </w:r>
    </w:p>
    <w:p>
      <w:pPr>
        <w:pStyle w:val="TextBody"/>
        <w:bidi w:val="0"/>
        <w:spacing w:before="0" w:after="0"/>
        <w:jc w:val="both"/>
        <w:rPr/>
      </w:pPr>
      <w:r>
        <w:rPr/>
        <w:t> </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designation or title of the series of debt securities;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total principal amount of the series of debt securities, the denominations in which the offered debt securities will be issued and whether the offering may be reopened for additional securities of that series and on what terms;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percentage of the principal amount at which the series of debt securities will be offered;</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date or dates on which principal will be payable;</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rate or rates (which may be either fixed or variable) and/or the method of determining such rate or rates of interest, if any;</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date or dates from which any interest will accrue, or the method of determining such date or dates, and the date or dates on which any interest will be payable;</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terms for redemption, extension or early repayment, if any;</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currencies in which the series of debt securities are issued and payable;</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whether the amount of payments of principal, interest or premium, if any, on a series of debt securities will be determined with reference to an index, formula or other method and how these amounts will be determined;</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place or places of payment, transfer, conversion and/or exchange of the debt securities;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provision for any sinking fund;</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any restrictive covenants;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events of default;</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whether the series of debt securities are issuable in certificated form;</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any provisions for legal defeasance or covenant defeasance;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any provisions for convertibility or exchangeability of the debt securities into or for any other securities;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whether the debt securities are subject to subordination and the terms of such subordination;</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any listing of the debt securities on any securities exchange;</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if applicable, a discussion of certain U.S. Federal income tax considerations, including those related to original issue discount, if applicable; and</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any other material terms.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debt securities may be secured or unsecured obligations. Unless the prospectus supplement states otherwise, principal, interest and premium, if any, will be paid by us in immediately available funds.</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General</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indenture may provide that any debt securities proposed to be sold under this prospectus and the applicable prospectus supplement relating to such debt securities (“offered debt securities”) and any debt securities issuable upon conversion or exchange of other offered securities (“underlying debt securities”) may be issued under the indenture in one or more series.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For purposes of this prospectus, any reference to the payment of principal of, or interest or premium, if any, on, debt securities will include additional amounts if required by the terms of the debt securities.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Debt securities issued under an indenture, when a single trustee is acting for all debt securities issued under the indenture, are called the “indenture securities.” The indenture may also provide that there may be more than one trustee thereunder, each with respect to one or more different series of securities issued thereunder. See “Description of Debt Securities—Resignation of Trustee” below. At a time when two or more trustees are acting under an indenture, each with respect to only certain series, the term “indenture securities” means the one or more series of debt securities with respect to which each respective trustee is acting. In the event that there is more than one trustee under an indenture, the powers and trust obligations of each trustee described in this prospectus will extend only to the one or more series of indenture securities for which it is trustee. If two or more trustees are acting under an indenture, then the indenture securities for which each trustee is acting would be treated as if issued under separate indentures.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refer you to the applicable prospectus supplement relating to any debt securities we may issue from time to time for information with respect to any deletions from, modifications of or additions to the Events of Default or covenants that are described below, including any addition of a covenant or other provision providing event risk or similar protection, that will be applicable with respect to such debt securities.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Conversion and Exchange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If any debt securities are convertible into or exchangeable for other securities, the related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Payment and Paying Agents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approximately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Events of Default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Holders of debt securities of any series will have rights if an Event of Default occurs in respect of the debt securities of such series and is not cured, as described later in this subsection. The term “Event of Default” in respect of the debt securities of any series means any of the following:</w:t>
      </w:r>
    </w:p>
    <w:p>
      <w:pPr>
        <w:pStyle w:val="TextBody"/>
        <w:bidi w:val="0"/>
        <w:spacing w:before="0" w:after="0"/>
        <w:jc w:val="both"/>
        <w:rPr/>
      </w:pPr>
      <w:r>
        <w:rPr/>
        <w:t> </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we do not pay the principal of, or any premium on, a debt security of the series on its due date;</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we do not pay interest on a debt security of the series within 30 days of its due date;</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we do not deposit any sinking fund payment in respect of debt securities of the series on its due date and we do not cure this default within five days;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we remain in breach of a covenant in respect of debt securities of the series for 90 days after we receive a written notice of default stating we are in breach. The notice must be sent by either the trustee or holders of at least 25% of the principal amount of debt securities of the series;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we file for bankruptcy or certain other events of bankruptcy, insolvency or reorganization occur; and</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any other Event of Default occurs in respect of debt securities of the series described in the prospectus supplement.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Remedies if an Event of Default Occurs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Except in cases of default, where the trustee has some special duties, the trustee typically is not required to take any action under an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Before a holder is allowed to bypass the trustee and bring its own lawsuit or other formal legal action or take other steps to enforce its rights or protect its interests relating to any debt securities, the following must occur:</w:t>
      </w:r>
    </w:p>
    <w:p>
      <w:pPr>
        <w:pStyle w:val="TextBody"/>
        <w:bidi w:val="0"/>
        <w:spacing w:before="0" w:after="0"/>
        <w:jc w:val="both"/>
        <w:rPr/>
      </w:pPr>
      <w:r>
        <w:rPr/>
        <w:t> </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holder must give the trustee written notice that an Event of Default has occurred and remains uncured;</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trustee must not have taken action for 60 days after receipt of the above notice and offer of indemnity; and</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holders of a majority in principal amount of the debt securities must not have given the trustee a direction inconsistent with the above notice during that 60-day period.</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However, a holder is entitled at any time to bring a lawsuit for the payment of money due on its debt securities on or after the due date. Each year, we will furnish to each trustee a written statement of certain of our officers certifying that to their knowledge we are in compliance with the indenture and the debt securities, or else specifying any default.</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Waiver of Default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holders of a majority in principal amount of the relevant series of debt securities may waive a default for all such series of debt securities. If this happens, the default will be treated as if it had not occurred. No one can waive a payment default on a holder’s debt security, however, without the holder’s approval.</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Merger or Consolidation</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Under the terms of an indenture, we may be permitted to consolidate or merge with another entity. We may also be permitted to sell all or substantially all of our assets to another entity. However, typically we may not take any of these actions unless all the following conditions are met:</w:t>
      </w:r>
    </w:p>
    <w:p>
      <w:pPr>
        <w:pStyle w:val="TextBody"/>
        <w:bidi w:val="0"/>
        <w:spacing w:before="0" w:after="0"/>
        <w:jc w:val="both"/>
        <w:rPr/>
      </w:pPr>
      <w:r>
        <w:rPr/>
        <w:t> </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alternatively, we must be the surviving company;</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immediately after the transaction no Event of Default will exist;</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we must deliver certain certificates and documents to the trustee; and</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we must satisfy any other requirements specified in the prospectus supplement relating to a particular series of debt securities.</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Modification or Waiver</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There are three types of changes we may make to an indenture and the debt securities issued thereunder.</w:t>
      </w:r>
    </w:p>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Changes Requiring Approval</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First, there are changes that we cannot make to debt securities without specific approval of all of the holders. The following is a list of the types of changes that may require specific approval:</w:t>
      </w:r>
    </w:p>
    <w:p>
      <w:pPr>
        <w:pStyle w:val="TextBody"/>
        <w:bidi w:val="0"/>
        <w:spacing w:before="0" w:after="0"/>
        <w:jc w:val="both"/>
        <w:rPr/>
      </w:pPr>
      <w:r>
        <w:rPr/>
        <w:t> </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change the stated maturity of the principal of or rate of interest on a debt security;</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reduce any amounts due on a debt security;</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reduce the amount of principal payable upon acceleration of the maturity of a security following a default;</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at any time after a change of control has occurred, reduce any premium payable upon a change of control;</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change the place or currency of payment on a debt security (except as otherwise described in the prospectus or prospectus supplement);</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impair the right of holders to sue for payment;</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adversely affect any right to convert or exchange a debt security in accordance with its terms;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reduce the percentage of holders of debt securities whose consent is needed to modify or amend the indenture;</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reduce the percentage of holders of debt securities whose consent is needed to waive compliance with certain provisions of the indenture or to waive certain defaults;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modify any other aspect of the provisions of the indenture dealing with supplemental indentures, modification and waiver of past defaults, changes to the quorum or voting requirements or the waiver of certain covenants; and</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change any obligation we have to pay additional amounts.</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Changes Not Requiring Approval</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second type of change does not require any vote by the holders of the debt securities. This type is limited to clarifications and certain other changes that would not adversely affect holders of the outstanding debt securities in any material respect, including the addition of covenants and guarantees. We also do not need any approval to make any change that affects only debt securities to be issued under the indenture after the change takes effect.</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Changes Requiring Majority Approval</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Any other change to the indenture and the debt securities may require the following approval:</w:t>
      </w:r>
    </w:p>
    <w:p>
      <w:pPr>
        <w:pStyle w:val="TextBody"/>
        <w:bidi w:val="0"/>
        <w:spacing w:before="0" w:after="0"/>
        <w:jc w:val="both"/>
        <w:rPr/>
      </w:pPr>
      <w:r>
        <w:rPr/>
        <w:t> </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if the change affects only one series of debt securities, it must be approved by the holders of a majority in principal amount of that series; and</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holders of a majority in principal amount of all of the series of debt securities issued under an indenture, voting together as one class for this purpose, may waive our compliance obligations with respect to some of our covenants in that indenture. However, we cannot obtain a waiver of a payment default or of any of the matters covered by the bullet points included above under “Description of Debt Securities—Modification or Waiver—Changes Requiring Approval.”</w:t>
      </w:r>
    </w:p>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Further Details Concerning Voting</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When taking a vote on proposed changes to the indenture and the debt securities, we expect to use the following rules to decide how much principal to attribute to a debt security:</w:t>
      </w:r>
    </w:p>
    <w:p>
      <w:pPr>
        <w:pStyle w:val="TextBody"/>
        <w:bidi w:val="0"/>
        <w:spacing w:before="0" w:after="0"/>
        <w:jc w:val="both"/>
        <w:rPr/>
      </w:pPr>
      <w:r>
        <w:rPr/>
        <w:t> </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for original issue discount securities, we will use the principal amount that would be due and payable on the voting date if the maturity of these debt securities were accelerated to that date because of a default;</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for debt securities whose principal amount is not known (for example, because it is based on an index), we will use a special rule for that debt security described in the related prospectus supplement; and</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for debt securities denominated in one or more foreign currencies, we will use the U.S. dollar equivalent.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Debt Securities—Defeasance—Legal Defeasance.”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We generally will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11 months following the record date.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Book-entry and other indirect holders will need to consult their banks or brokers for information on how approval may be granted or denied if we seek to change the indenture or the debt securities or request a waiver.</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Defeasance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following provisions will be applicable to each series of debt securities unless we state in the applicable prospectus supplement that the provisions of covenant defeasance and legal defeasance will not be applicable to that series.</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Covenant Defeasance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We can make the deposit described below and be released from some of the restrictive covenants in the indenture under which the particular series was issued. This is called “covenant defeasance.” In that event, the holders would lose the protection of those restrictive covenants but would gain the protection of having money and government securities set aside in trust to repay holders’ debt securities. If applicable, a holder also would be released from the subordination provisions described under “Description of Debt Securities—Indenture Provisions—Subordination” below. In order to achieve covenant defeasance, we must do the following:</w:t>
      </w:r>
    </w:p>
    <w:p>
      <w:pPr>
        <w:pStyle w:val="TextBody"/>
        <w:bidi w:val="0"/>
        <w:spacing w:before="0" w:after="0"/>
        <w:jc w:val="both"/>
        <w:rPr/>
      </w:pPr>
      <w:r>
        <w:rPr/>
        <w:t> </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We may be required to deliver to the trustee a legal opinion of our counsel confirming that, under current U.S. Federal income tax law, we may make the above deposit without causing the holders to be taxed on the debt securities any differently than if we did not make the deposit and just repaid the debt securities ourselves at maturity; and</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We must deliver to the trustee certain documentation stating that all conditions precedent to covenant defeasance have been complied with.</w:t>
      </w:r>
    </w:p>
    <w:p>
      <w:pPr>
        <w:pStyle w:val="TextBody"/>
        <w:bidi w:val="0"/>
        <w:spacing w:before="160" w:after="0"/>
        <w:jc w:val="both"/>
        <w:rPr>
          <w:rFonts w:ascii="Times New Roman;serif" w:hAnsi="Times New Roman;serif"/>
          <w:b w:val="false"/>
          <w:sz w:val="20"/>
        </w:rPr>
      </w:pPr>
      <w:r>
        <w:rPr>
          <w:rFonts w:ascii="Times New Roman;serif" w:hAnsi="Times New Roman;serif"/>
          <w:b w:val="false"/>
          <w:sz w:val="20"/>
        </w:rPr>
        <w:t>If we accomplish covenant defeasance, holders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holders may not be able to obtain payment of the shortfall.</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Legal Defeasance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As described below, we can legally release ourselves from all payment and other obligations on the debt securities of a particular series (called “legal defeasance”), (1) if there is a change in U.S. Federal tax law that allows us to effect the release without causing the holders to be taxed any differently than if the release had not occurred, and (2) if we put in place the following other arrangements for holders to be repaid:</w:t>
      </w:r>
    </w:p>
    <w:p>
      <w:pPr>
        <w:pStyle w:val="TextBody"/>
        <w:bidi w:val="0"/>
        <w:spacing w:before="0" w:after="0"/>
        <w:jc w:val="both"/>
        <w:rPr/>
      </w:pPr>
      <w:r>
        <w:rPr/>
        <w:t> </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We may be required to deliver to the trustee a legal opinion confirming that there has been a change in current U.S. Federal tax law or an Internal Revenue Service ruling that allows us to make the above deposit without causing the holders to be taxed on the debt securities any differently than if we did not make the deposit and just repaid the debt securities ourselves at maturity. Under current U.S. Federal tax law, the deposit and our legal release from the debt securities would be treated as though we paid each holder its share of the cash and notes or bonds at the time the cash and notes or bonds were deposited in trust in exchange for its debt securities and holders would recognize gain or loss on the debt securities at the time of the deposit; and</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We must deliver to the trustee a legal opinion and officers’ certificate stating that all conditions precedent to legal defeasance have been complied with.</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If we ever did accomplish legal defeasance, as described above, holders would have to rely solely on the trust deposit for repayment of the debt securities. Holders could not look to us for repayment in the unlikely event of any shortfall. Conversely, the trust deposit would most likely be protected from claims of our lenders and other creditors if we ever became bankrupt or insolvent. If applicable, holders would also be released from the subordination provisions described later under “Description of Debt Securities—Indenture Provisions—Subordination.”</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Resignation of Trustee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Each trustee may resign or be removed with respect to one or more series of indenture securities provided that a successor trustee is appointed to act with respect to such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Indenture Provisions—Subordination</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Upon any distribution of our assets upon our dissolution, winding up, liquidation or reorganization, the payment of the principal of (and premium, if any) and interest on any indenture securities denominated as subordinated debt securities is to be subordinated to the extent provided in the indenture in right of payment to the prior payment in full of all Senior Indebtedness (defined below), but our obligation to holders to make payment of the principal of (and premium, if any) and interest on such subordinated debt securities will not otherwise be affected. In addition, no payment on account of principal (or premium, if any), interest or sinking fund, if any, may be made on such subordinated debt securities at any time unless full payment of all amounts due in respect of the principal (and premium, if any), interest and sinking fund, if any, on Senior Indebtedness has been made or duly provided for in money or money’s worth.</w:t>
      </w:r>
    </w:p>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the event that, notwithstanding the foregoing, any payment from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By reason of this subordination, in the event of a distribution of our assets upon our insolvency, certain of our senior creditors may recover more, ratably, than holders of any subordinated debt securities. The related indenture will provide that these subordination provisions will not apply to money and securities held in trust under the defeasance provisions of the indenture.</w:t>
      </w:r>
    </w:p>
    <w:p>
      <w:pPr>
        <w:pStyle w:val="TextBody"/>
        <w:bidi w:val="0"/>
        <w:spacing w:before="0" w:after="0"/>
        <w:jc w:val="both"/>
        <w:rPr/>
      </w:pPr>
      <w:r>
        <w:rPr/>
        <w:t> </w:t>
      </w:r>
    </w:p>
    <w:p>
      <w:pPr>
        <w:pStyle w:val="TextBody"/>
        <w:bidi w:val="0"/>
        <w:spacing w:before="0" w:after="0"/>
        <w:jc w:val="both"/>
        <w:rPr/>
      </w:pPr>
      <w:r>
        <w:rPr/>
        <w:t>“</w:t>
      </w:r>
      <w:r>
        <w:rPr>
          <w:rFonts w:ascii="Times New Roman;serif" w:hAnsi="Times New Roman;serif"/>
          <w:b w:val="false"/>
          <w:sz w:val="20"/>
        </w:rPr>
        <w:t>Senior Indebtedness” will be defined in an applicable indenture as the principal of (and premium, if any) and unpaid interest on:</w:t>
      </w:r>
    </w:p>
    <w:p>
      <w:pPr>
        <w:pStyle w:val="TextBody"/>
        <w:bidi w:val="0"/>
        <w:spacing w:before="0" w:after="0"/>
        <w:jc w:val="both"/>
        <w:rPr/>
      </w:pPr>
      <w:r>
        <w:rPr/>
        <w:t> </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renewals, extensions, modifications and refinancings of any of such indebtedness.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prospectus supplement accompanying any series of indenture securities denominated as subordinated debt securities will set forth the approximate amount of our Senior Indebtedness outstanding as of a recent date.</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Trustee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intend to name the indenture trustee for each series of indenture securities in the related prospectus supplement.</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Certain Considerations Relating to Foreign Currencies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bookmarkStart w:id="23" w:name="description_rights"/>
      <w:bookmarkEnd w:id="23"/>
      <w:r>
        <w:rPr>
          <w:rFonts w:ascii="Times New Roman;serif" w:hAnsi="Times New Roman;serif"/>
          <w:b/>
          <w:sz w:val="20"/>
        </w:rPr>
        <w:t>DESCRIPTION</w:t>
      </w:r>
      <w:r>
        <w:rPr>
          <w:rFonts w:ascii="Times New Roman" w:hAnsi="Times New Roman"/>
          <w:sz w:val="20"/>
        </w:rPr>
        <w:t xml:space="preserve"> </w:t>
      </w:r>
      <w:r>
        <w:rPr>
          <w:rFonts w:ascii="Times New Roman;serif" w:hAnsi="Times New Roman;serif"/>
          <w:b/>
          <w:sz w:val="20"/>
        </w:rPr>
        <w:t>OF RIGHTS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following is a general description of the terms of the rights we may issue from time to time unless we provide otherwise in the applicable prospectus supplement. Particular terms of any rights we offer will be described in the prospectus supplement relating to such rights.</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General</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may issue rights to purchase common stock, preferred stock, debt securities or units. Rights may be issued independently or together with other securities and may or may not be transferable by the person purchasing or receiving the rights. In connection with any rights offering to our stockholders, we may enter into a standby underwriting, backstop or other arrangement with one or more underwriters or other persons pursuant to which such underwriters or other persons would purchase any offered securities remaining unsubscribed for after such rights offering. In connection with a rights offering to our stockholders, we would distribute certificates evidencing the rights and a prospectus supplement to our stockholders on or about the record date that we set for receiving rights in such rights offering.</w:t>
      </w:r>
    </w:p>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applicable prospectus supplement will describe the following terms of any rights we may issue, including some or all of the following:</w:t>
      </w:r>
    </w:p>
    <w:p>
      <w:pPr>
        <w:pStyle w:val="TextBody"/>
        <w:bidi w:val="0"/>
        <w:spacing w:before="0" w:after="0"/>
        <w:jc w:val="both"/>
        <w:rPr/>
      </w:pPr>
      <w:r>
        <w:rPr/>
        <w:t> </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title and aggregate number of the rights;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subscription price or a formula for the determination of the subscription price for the rights and the currency or currencies in which the subscription price may be payable;</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if applicable, the designation and terms of the securities with which the rights are issued and the number of rights issued with each such security or each principal amount of such security;</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number or a formula for the determination of the number of the rights issued to each stockholder;</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extent to which the rights are transferable;</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in the case of rights to purchase debt securities, the principal amount of debt securities purchasable upon exercise of one right;</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in the case of rights to purchase common stock or preferred stock, the type of stock and number of shares of stock purchasable upon exercise of one right;</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date on which the right to exercise the rights will commence, and the date on which the rights will expire (subject to any extension);</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if applicable, the minimum or maximum amount of the rights that may be exercised at any one time;</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extent to which such rights include an over-subscription privilege with respect to unsubscribed securities;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if applicable, the procedures for adjusting the subscription price and number of shares of common stock or preferred stock purchasable upon the exercise of each right upon the occurrence of certain events, including stock splits, reverse stock splits, combinations, subdivisions or reclassifications of common stock or preferred stock;</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effect on the rights of any merger, consolidation, sale or other disposition of our business;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terms of any rights to redeem or call the rights;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information with respect to book-entry procedures, if any;</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terms of the securities issuable upon exercise of the rights;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if applicable, the material terms of any standby underwriting, backstop or other purchase arrangement that we may enter into in connection with the rights offering;</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if applicable, a discussion of certain U.S. Federal income tax considerations; and</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any other terms of the rights, including terms, procedures and limitations relating to the exchange and exercise of the rights.</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Exercise of Rights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Each right will entitle the holder to purchase for cash or other consideration such shares of stock or principal amount of securities at the subscription price as shall in each case be set forth in, or be determinable as set forth in, the prospectus supplement relating to the rights offered thereby. Rights may be exercised as set forth in the applicable prospectus supplement beginning on the date specified therein and continuing until the close of business on the expiration date set forth in the prospectus supplement relating to the rights offered thereby. After the close of business on the expiration date, unexercised rights will become void.</w:t>
      </w:r>
    </w:p>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Upon receipt of payment and a subscription certificate properly completed and duly executed at the corporate trust office of the subscription agent or any other office indicated in the prospectus supplement, we will, as soon as practicable, forward the securities purchasable upon such exercise. If less than all of the rights represented by such subscription certificate are exercised, a new subscription certificate will be issued for the remaining rights. If we so indicate in the applicable prospectus supplement, holders of the rights may surrender securities as all or part of the exercise price for rights.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may determine to offer any unsubscribed offered securities directly to stockholders, persons other than stockholders, to or through agents, underwriters or dealers or through a combination of such methods, including pursuant to standby underwriting, backstop or other arrangements, as set forth in the applicable prospectus supplement.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Prior to exercising their rights, holders of rights will not have any of the rights of holders of the securities purchasable upon subscription, including, in the case of rights to purchase common stock or preferred stock, the right to receive dividends, if any, or payments upon our liquidation, dissolution or winding up or to exercise any voting rights or, in the case of rights to purchase debt securities, the right to receive principal, premium, if any, or interest payments, on the debt securities purchasable upon exercise or to enforce covenants in the applicable indenture.</w:t>
      </w:r>
    </w:p>
    <w:p>
      <w:pPr>
        <w:pStyle w:val="TextBody"/>
        <w:bidi w:val="0"/>
        <w:spacing w:before="0" w:after="0"/>
        <w:jc w:val="both"/>
        <w:rPr/>
      </w:pPr>
      <w:r>
        <w:rPr/>
        <w:t> </w:t>
      </w:r>
    </w:p>
    <w:p>
      <w:pPr>
        <w:pStyle w:val="TextBody"/>
        <w:bidi w:val="0"/>
        <w:spacing w:before="0" w:after="0"/>
        <w:jc w:val="center"/>
        <w:rPr>
          <w:rFonts w:ascii="Times New Roman;serif" w:hAnsi="Times New Roman;serif"/>
          <w:b/>
          <w:sz w:val="20"/>
        </w:rPr>
      </w:pPr>
      <w:bookmarkStart w:id="24" w:name="description_units"/>
      <w:bookmarkEnd w:id="24"/>
      <w:r>
        <w:rPr>
          <w:rFonts w:ascii="Times New Roman;serif" w:hAnsi="Times New Roman;serif"/>
          <w:b/>
          <w:sz w:val="20"/>
        </w:rPr>
        <w:t>DESCRIPTION OF UNITS</w:t>
      </w:r>
    </w:p>
    <w:p>
      <w:pPr>
        <w:pStyle w:val="TextBody"/>
        <w:bidi w:val="0"/>
        <w:spacing w:before="0" w:after="0"/>
        <w:jc w:val="center"/>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may issue units comprising one or more securities described in this prospectus in any combination.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“Where You Can Find More Information.”</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prospectus supplement relating to any particular issuance of units will describe the terms of those units, including, to the extent applicable, the following:</w:t>
      </w:r>
    </w:p>
    <w:p>
      <w:pPr>
        <w:pStyle w:val="TextBody"/>
        <w:bidi w:val="0"/>
        <w:spacing w:before="0" w:after="0"/>
        <w:jc w:val="both"/>
        <w:rPr/>
      </w:pPr>
      <w:r>
        <w:rPr/>
        <w:t> </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designation and terms of the units and the securities comprising the units, including whether and under what circumstances those securities may be held or transferred separately;</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any provision for the issuance, payment, settlement, transfer or exchange of the units or of the securities comprising the units; and</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whether the units will be issued in fully registered or global form.</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bookmarkStart w:id="25" w:name="plan_distribution"/>
      <w:bookmarkEnd w:id="25"/>
      <w:r>
        <w:rPr>
          <w:rFonts w:ascii="Times New Roman;serif" w:hAnsi="Times New Roman;serif"/>
          <w:b/>
          <w:sz w:val="20"/>
        </w:rPr>
        <w:t>PLAN OF DISTRIBUTION</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may sell the securities offered by this prospectus in any one or more of the following ways from time to time:</w:t>
      </w:r>
    </w:p>
    <w:p>
      <w:pPr>
        <w:pStyle w:val="TextBody"/>
        <w:bidi w:val="0"/>
        <w:spacing w:before="0" w:after="0"/>
        <w:jc w:val="left"/>
        <w:rPr/>
      </w:pPr>
      <w:r>
        <w:rPr/>
        <w:t> </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 xml:space="preserve">to or through one or more underwriters, initial purchasers, brokers or dealers; </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through agents to investors or the public;</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in short or long transactions;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through put or call option transactions relating to our common stock;</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directly to agents or other purchasers;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in “at the market offerings” within the meaning of Rule 415(a)(4) of the Securities Act, to or through a market maker or into an existing trading market, on an exchange or otherwise;</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though a combination of any such methods of sale; or</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through any other method described in the applicable prospectus supplement.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applicable prospectus supplement will set forth the terms of the offering and the method of distribution and will identify any firms acting as underwriters, initial purchasers, dealers or agents in connection with the offering, including:</w:t>
      </w:r>
    </w:p>
    <w:p>
      <w:pPr>
        <w:pStyle w:val="TextBody"/>
        <w:bidi w:val="0"/>
        <w:spacing w:before="0" w:after="0"/>
        <w:jc w:val="both"/>
        <w:rPr/>
      </w:pPr>
      <w:r>
        <w:rPr/>
        <w:t> </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terms of the offering;</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names of any underwriters, dealers or agents;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name or names of any managing underwriter or underwriters;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purchase price of the securities and the proceeds to us from the sale;</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any over-allotment options under which the underwriters may purchase additional shares of common stock from us;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any underwriting discounts, concessions, commissions or agency fees and other items constituting compensation to underwriters, dealers or agents;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any delayed delivery arrangements;</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any public offering price;</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any discounts or concessions allowed or re-allowed or paid by underwriters or dealers to other dealers; or</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any securities exchange or market on which the common stock offered in the prospectus supplement may be listed.</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If we use underwriters for a sale of securities, the underwriters will acquire the securities for their own account for resale to the public, either on a firm commitment basis or a best efforts basis. The underwriters may resell the securities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If an underwriter or underwriters are used in the sale of securities hereunder, an underwriting agreement will be executed with the underwriter or underwriters at the time an agreement for sale is reached. Unless we inform you otherwise in the applicable prospectus supplement, the obligations of the underwriters to purchase the securities will be subject to certain conditions. We may change from time to time any public offering price and any discounts or concessions the underwriters allow or pay to dealers.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If dealers are used for the sale of securities, we, or an underwriter, will sell the securities to them as principals. The dealers may then resell those securities to the public at varying prices determined by the dealers at the time of resale. We will include in the applicable prospectus supplement the names of the dealers and the terms of the transaction.</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may also sell the securities through agents designated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may sell the securities directly in transactions not involving underwriters, dealers or agents.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Underwriters, dealers and agents that participate in the distribution of the securities may be underwriters as defined in the applicable securities laws and any discounts or commissions they receive from us and any profit on their resale of the securities may be treated as underwriting discounts and commissions under the applicable securities laws.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applicable securities laws.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Underwriters, dealers and agents may engage in transactions with or perform services for us in the ordinary course of their businesses for which they may receive customary fees and reimbursement of expenses.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may use underwriters with whom we have a material relationship. We will describe the nature of such relationship in the applicable prospectus supplement.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Under the securities laws of some states, the securities offered by this prospectus may be sold in those states only through registered or licensed brokers or dealers.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may enter into hedging transactions with broker-dealers and the broker-dealers may engage in short sales of the securities in the course of hedging the positions they assume with us, including, without limitation, in connection with distributions of the securities by those broker-dealers. We may enter into option or other transactions with broker-dealers that involve the delivery of the securities offered hereby to the broker-dealers, who may then resell or otherwise transfer those securities. We may also loan or pledge the securities offered hereby to a broker-dealer and the broker-dealer may sell the securities offered hereby so loaned or upon a default may sell or otherwise transfer the pledged securities offered hereby.</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bookmarkStart w:id="26" w:name="legal_matters"/>
      <w:bookmarkEnd w:id="26"/>
      <w:r>
        <w:rPr>
          <w:rFonts w:ascii="Times New Roman;serif" w:hAnsi="Times New Roman;serif"/>
          <w:b/>
          <w:sz w:val="20"/>
        </w:rPr>
        <w:t>LEGAL MATTERS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validity of the securities being offered hereby will be passed upon for us by DLA Piper LLP (US), Short Hills, New Jersey.</w:t>
      </w:r>
    </w:p>
    <w:p>
      <w:pPr>
        <w:pStyle w:val="TextBody"/>
        <w:bidi w:val="0"/>
        <w:spacing w:before="0" w:after="0"/>
        <w:jc w:val="both"/>
        <w:rPr/>
      </w:pPr>
      <w:r>
        <w:rPr/>
        <w:t> </w:t>
      </w:r>
    </w:p>
    <w:p>
      <w:pPr>
        <w:pStyle w:val="TextBody"/>
        <w:bidi w:val="0"/>
        <w:spacing w:before="0" w:after="240"/>
        <w:jc w:val="center"/>
        <w:rPr>
          <w:rFonts w:ascii="Times New Roman;serif" w:hAnsi="Times New Roman;serif"/>
          <w:b/>
          <w:sz w:val="20"/>
        </w:rPr>
      </w:pPr>
      <w:r>
        <w:rPr>
          <w:rFonts w:ascii="Times New Roman;serif" w:hAnsi="Times New Roman;serif"/>
          <w:b/>
          <w:sz w:val="20"/>
        </w:rPr>
        <w:t>EXPERTS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Ernst &amp; Young LLP, independent registered public accounting firm, has audited our consolidated financial statements included in our Annual Report on Form 10-K for the fiscal year ended December 31, 2021, and the effectiveness of our internal control over financial reporting as of December 31, 2021, as set forth in their reports, which are incorporated by reference in this prospectus and elsewhere in the registration statement. Our consolidated financial statements are incorporated herein by reference in reliance on Ernst &amp; Young LLP’s report, given on their authority as experts in accounting and auditing.</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bookmarkStart w:id="27" w:name="where_you_can_find_more_information"/>
      <w:bookmarkEnd w:id="27"/>
      <w:r>
        <w:rPr>
          <w:rFonts w:ascii="Times New Roman;serif" w:hAnsi="Times New Roman;serif"/>
          <w:b/>
          <w:sz w:val="20"/>
        </w:rPr>
        <w:t>WHERE YOU CAN FIND</w:t>
      </w:r>
      <w:r>
        <w:rPr>
          <w:rFonts w:ascii="Times New Roman" w:hAnsi="Times New Roman"/>
          <w:sz w:val="20"/>
        </w:rPr>
        <w:t xml:space="preserve"> </w:t>
      </w:r>
      <w:r>
        <w:rPr>
          <w:rFonts w:ascii="Times New Roman;serif" w:hAnsi="Times New Roman;serif"/>
          <w:b/>
          <w:sz w:val="20"/>
        </w:rPr>
        <w:t>MORE INFORMATION</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file annual, quarterly and other reports, proxy and information statements and other information with the Securities and Exchange Commission. The SEC maintains a website that contains reports, proxy statements and other information regarding us. The address of the SEC website is www.sec.gov. We maintain a website at www.axsome.com. Information contained on our website is not incorporated into this prospectus and you should not consider information contained on our website to be part of this prospectus or any prospectus supplement.</w:t>
      </w:r>
    </w:p>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8" w:name="information_incorporated_by_reference"/>
      <w:bookmarkEnd w:id="28"/>
      <w:r>
        <w:rPr>
          <w:rFonts w:ascii="Times New Roman;serif" w:hAnsi="Times New Roman;serif"/>
          <w:b/>
          <w:sz w:val="20"/>
        </w:rPr>
        <w:t>INFORMATION INCORPORATED BY REFERENCE</w:t>
      </w:r>
    </w:p>
    <w:p>
      <w:pPr>
        <w:pStyle w:val="TextBody"/>
        <w:bidi w:val="0"/>
        <w:spacing w:before="0" w:after="0"/>
        <w:jc w:val="center"/>
        <w:rPr/>
      </w:pPr>
      <w:r>
        <w:rPr/>
        <w:t> </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The SEC allows us to “incorporate by reference” into this prospectus the information contained in documents that we file with them,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before the date of this prospectus, while information that we file later with the SEC will automatically update and supersede prior information. Any information so updated and superseded shall not be deemed, except as so updated and superseded, to constitute a part of this prospectus. We incorporate by reference the documents listed below and any future filings we will make with the SEC under Sections 13(a), 13(c), 14 or 15(d) of the Securities Exchange Act of 1934, as amended, prior to the termination of the offering. Notwithstanding the foregoing, unless specifically stated to the contrary, none of the information that is not deemed “filed” with the SEC, including information furnished under Items 2.02 or 7.01 of any Current Report on Form 8-K, will be incorporated by reference into, or otherwise included in, this prospectus:</w:t>
      </w:r>
    </w:p>
    <w:p>
      <w:pPr>
        <w:pStyle w:val="TextBody"/>
        <w:bidi w:val="0"/>
        <w:spacing w:before="0" w:after="120"/>
        <w:jc w:val="both"/>
        <w:rPr/>
      </w:pPr>
      <w:r>
        <w:rPr/>
        <w:t>•</w:t>
      </w:r>
    </w:p>
    <w:p>
      <w:pPr>
        <w:pStyle w:val="TextBody"/>
        <w:bidi w:val="0"/>
        <w:spacing w:before="0" w:after="120"/>
        <w:jc w:val="both"/>
        <w:rPr/>
      </w:pPr>
      <w:r>
        <w:rPr>
          <w:rFonts w:ascii="Times New Roman;serif" w:hAnsi="Times New Roman;serif"/>
          <w:b w:val="false"/>
          <w:sz w:val="20"/>
        </w:rPr>
        <w:t xml:space="preserve">our Annual Report on </w:t>
      </w:r>
      <w:hyperlink r:id="rId15">
        <w:r>
          <w:rPr>
            <w:rStyle w:val="InternetLink"/>
            <w:rFonts w:ascii="Times New Roman;serif" w:hAnsi="Times New Roman;serif"/>
            <w:b w:val="false"/>
            <w:sz w:val="20"/>
            <w:u w:val="single"/>
          </w:rPr>
          <w:t>Form 10-K for the fiscal year ended December 31, 2021 filed with the SEC on March 1, 2022</w:t>
        </w:r>
      </w:hyperlink>
      <w:r>
        <w:rPr>
          <w:rFonts w:ascii="Times New Roman;serif" w:hAnsi="Times New Roman;serif"/>
          <w:b w:val="false"/>
          <w:sz w:val="20"/>
        </w:rPr>
        <w:t xml:space="preserve">; </w:t>
      </w:r>
    </w:p>
    <w:p>
      <w:pPr>
        <w:pStyle w:val="TextBody"/>
        <w:bidi w:val="0"/>
        <w:spacing w:before="0" w:after="120"/>
        <w:jc w:val="both"/>
        <w:rPr/>
      </w:pPr>
      <w:r>
        <w:rPr/>
        <w:t>•</w:t>
      </w:r>
    </w:p>
    <w:p>
      <w:pPr>
        <w:pStyle w:val="TextBody"/>
        <w:bidi w:val="0"/>
        <w:spacing w:before="0" w:after="120"/>
        <w:jc w:val="both"/>
        <w:rPr/>
      </w:pPr>
      <w:hyperlink r:id="rId16">
        <w:r>
          <w:rPr>
            <w:rStyle w:val="InternetLink"/>
            <w:rFonts w:ascii="Times New Roman;serif" w:hAnsi="Times New Roman;serif"/>
            <w:b w:val="false"/>
            <w:sz w:val="20"/>
            <w:u w:val="single"/>
          </w:rPr>
          <w:t>the information contained in our definitive proxy statement on Schedule 14A for our 2022 annual meeting of stockholders filed with the SEC on April 22, 2022, to the extent incorporated by reference in Part III of the Form 10-K for the fiscal year ended December 31, 2021</w:t>
        </w:r>
      </w:hyperlink>
      <w:r>
        <w:rPr>
          <w:rFonts w:ascii="Times New Roman;serif" w:hAnsi="Times New Roman;serif"/>
          <w:b w:val="false"/>
          <w:sz w:val="20"/>
        </w:rPr>
        <w:t>;</w:t>
      </w:r>
    </w:p>
    <w:p>
      <w:pPr>
        <w:pStyle w:val="TextBody"/>
        <w:bidi w:val="0"/>
        <w:spacing w:before="0" w:after="120"/>
        <w:jc w:val="both"/>
        <w:rPr/>
      </w:pPr>
      <w:r>
        <w:rPr/>
        <w:t>•</w:t>
      </w:r>
    </w:p>
    <w:p>
      <w:pPr>
        <w:pStyle w:val="TextBody"/>
        <w:bidi w:val="0"/>
        <w:spacing w:before="0" w:after="120"/>
        <w:jc w:val="both"/>
        <w:rPr/>
      </w:pPr>
      <w:r>
        <w:rPr>
          <w:rFonts w:ascii="Times New Roman;serif" w:hAnsi="Times New Roman;serif"/>
          <w:b w:val="false"/>
          <w:sz w:val="20"/>
        </w:rPr>
        <w:t xml:space="preserve">our Quarterly Report on </w:t>
      </w:r>
      <w:hyperlink r:id="rId17">
        <w:r>
          <w:rPr>
            <w:rStyle w:val="InternetLink"/>
            <w:rFonts w:ascii="Times New Roman;serif" w:hAnsi="Times New Roman;serif"/>
            <w:b w:val="false"/>
            <w:sz w:val="20"/>
            <w:u w:val="single"/>
          </w:rPr>
          <w:t>Form 10-Q for the quarter ended March 31, 2022 filed with the SEC on May 2, 2022</w:t>
        </w:r>
      </w:hyperlink>
      <w:r>
        <w:rPr>
          <w:rFonts w:ascii="Times New Roman;serif" w:hAnsi="Times New Roman;serif"/>
          <w:b w:val="false"/>
          <w:sz w:val="20"/>
        </w:rPr>
        <w:t xml:space="preserve">; </w:t>
      </w:r>
    </w:p>
    <w:p>
      <w:pPr>
        <w:pStyle w:val="TextBody"/>
        <w:bidi w:val="0"/>
        <w:spacing w:before="0" w:after="120"/>
        <w:jc w:val="both"/>
        <w:rPr/>
      </w:pPr>
      <w:r>
        <w:rPr/>
        <w:t>•</w:t>
      </w:r>
    </w:p>
    <w:p>
      <w:pPr>
        <w:pStyle w:val="TextBody"/>
        <w:bidi w:val="0"/>
        <w:spacing w:before="0" w:after="120"/>
        <w:jc w:val="both"/>
        <w:rPr/>
      </w:pPr>
      <w:r>
        <w:rPr>
          <w:rFonts w:ascii="Times New Roman;serif" w:hAnsi="Times New Roman;serif"/>
          <w:b w:val="false"/>
          <w:sz w:val="20"/>
        </w:rPr>
        <w:t xml:space="preserve">our Quarterly Report on </w:t>
      </w:r>
      <w:hyperlink r:id="rId18">
        <w:r>
          <w:rPr>
            <w:rStyle w:val="InternetLink"/>
            <w:rFonts w:ascii="Times New Roman;serif" w:hAnsi="Times New Roman;serif"/>
            <w:b w:val="false"/>
            <w:sz w:val="20"/>
            <w:u w:val="single"/>
          </w:rPr>
          <w:t>Form 10-Q for the quarter ended June 30, 2022 filed with the SEC on August 9, 2022</w:t>
        </w:r>
      </w:hyperlink>
      <w:r>
        <w:rPr>
          <w:rFonts w:ascii="Times New Roman;serif" w:hAnsi="Times New Roman;serif"/>
          <w:b w:val="false"/>
          <w:sz w:val="20"/>
        </w:rPr>
        <w:t xml:space="preserve">; </w:t>
      </w:r>
    </w:p>
    <w:p>
      <w:pPr>
        <w:pStyle w:val="TextBody"/>
        <w:bidi w:val="0"/>
        <w:spacing w:before="0" w:after="120"/>
        <w:jc w:val="both"/>
        <w:rPr/>
      </w:pPr>
      <w:r>
        <w:rPr/>
        <w:t>•</w:t>
      </w:r>
    </w:p>
    <w:p>
      <w:pPr>
        <w:pStyle w:val="TextBody"/>
        <w:bidi w:val="0"/>
        <w:spacing w:before="0" w:after="120"/>
        <w:jc w:val="both"/>
        <w:rPr/>
      </w:pPr>
      <w:r>
        <w:rPr>
          <w:rFonts w:ascii="Times New Roman;serif" w:hAnsi="Times New Roman;serif"/>
          <w:b w:val="false"/>
          <w:sz w:val="20"/>
        </w:rPr>
        <w:t xml:space="preserve">our Quarterly Report on </w:t>
      </w:r>
      <w:hyperlink r:id="rId19">
        <w:r>
          <w:rPr>
            <w:rStyle w:val="InternetLink"/>
            <w:rFonts w:ascii="Times New Roman;serif" w:hAnsi="Times New Roman;serif"/>
            <w:b w:val="false"/>
            <w:sz w:val="20"/>
            <w:u w:val="single"/>
          </w:rPr>
          <w:t>Form 10-Q for the quarter ended September 30, 2022 filed with the SEC on November 7, 2022</w:t>
        </w:r>
      </w:hyperlink>
      <w:r>
        <w:rPr>
          <w:rFonts w:ascii="Times New Roman;serif" w:hAnsi="Times New Roman;serif"/>
          <w:b w:val="false"/>
          <w:sz w:val="20"/>
        </w:rPr>
        <w:t>;</w:t>
      </w:r>
    </w:p>
    <w:p>
      <w:pPr>
        <w:pStyle w:val="TextBody"/>
        <w:bidi w:val="0"/>
        <w:spacing w:before="0" w:after="0"/>
        <w:jc w:val="left"/>
        <w:rPr/>
      </w:pPr>
      <w:r>
        <w:rPr/>
        <w:t>•</w:t>
      </w:r>
    </w:p>
    <w:p>
      <w:pPr>
        <w:pStyle w:val="TextBody"/>
        <w:bidi w:val="0"/>
        <w:jc w:val="left"/>
        <w:rPr/>
      </w:pPr>
      <w:r>
        <w:rPr>
          <w:rFonts w:ascii="Times New Roman;serif" w:hAnsi="Times New Roman;serif"/>
          <w:b w:val="false"/>
          <w:sz w:val="20"/>
        </w:rPr>
        <w:t xml:space="preserve">our Current Reports on Form 8-K filed with the SEC on </w:t>
      </w:r>
      <w:hyperlink r:id="rId20">
        <w:r>
          <w:rPr>
            <w:rStyle w:val="InternetLink"/>
            <w:rFonts w:ascii="Times New Roman;serif" w:hAnsi="Times New Roman;serif"/>
            <w:b w:val="false"/>
            <w:sz w:val="20"/>
            <w:u w:val="single"/>
          </w:rPr>
          <w:t>January 18, 2022</w:t>
        </w:r>
      </w:hyperlink>
      <w:r>
        <w:rPr>
          <w:rFonts w:ascii="Times New Roman;serif" w:hAnsi="Times New Roman;serif"/>
          <w:b w:val="false"/>
          <w:sz w:val="20"/>
        </w:rPr>
        <w:t xml:space="preserve">, </w:t>
      </w:r>
      <w:hyperlink r:id="rId21">
        <w:r>
          <w:rPr>
            <w:rStyle w:val="InternetLink"/>
            <w:rFonts w:ascii="Times New Roman;serif" w:hAnsi="Times New Roman;serif"/>
            <w:b w:val="false"/>
            <w:sz w:val="20"/>
            <w:u w:val="single"/>
          </w:rPr>
          <w:t>February 7, 2022</w:t>
        </w:r>
      </w:hyperlink>
      <w:r>
        <w:rPr>
          <w:rFonts w:ascii="Times New Roman;serif" w:hAnsi="Times New Roman;serif"/>
          <w:b w:val="false"/>
          <w:sz w:val="20"/>
        </w:rPr>
        <w:t xml:space="preserve">, </w:t>
      </w:r>
      <w:hyperlink r:id="rId22">
        <w:r>
          <w:rPr>
            <w:rStyle w:val="InternetLink"/>
            <w:rFonts w:ascii="Times New Roman;serif" w:hAnsi="Times New Roman;serif"/>
            <w:b w:val="false"/>
            <w:sz w:val="20"/>
            <w:u w:val="single"/>
          </w:rPr>
          <w:t>March 1, 2022 (Film No. 22699556)</w:t>
        </w:r>
      </w:hyperlink>
      <w:r>
        <w:rPr>
          <w:rFonts w:ascii="Times New Roman;serif" w:hAnsi="Times New Roman;serif"/>
          <w:b w:val="false"/>
          <w:sz w:val="20"/>
        </w:rPr>
        <w:t xml:space="preserve">, </w:t>
      </w:r>
      <w:hyperlink r:id="rId23">
        <w:r>
          <w:rPr>
            <w:rStyle w:val="InternetLink"/>
            <w:rFonts w:ascii="Times New Roman;serif" w:hAnsi="Times New Roman;serif"/>
            <w:b w:val="false"/>
            <w:sz w:val="20"/>
            <w:u w:val="single"/>
          </w:rPr>
          <w:t>March 28, 2022</w:t>
        </w:r>
      </w:hyperlink>
      <w:r>
        <w:rPr>
          <w:rFonts w:ascii="Times New Roman;serif" w:hAnsi="Times New Roman;serif"/>
          <w:b w:val="false"/>
          <w:sz w:val="20"/>
        </w:rPr>
        <w:t xml:space="preserve">, </w:t>
      </w:r>
      <w:hyperlink r:id="rId24">
        <w:r>
          <w:rPr>
            <w:rStyle w:val="InternetLink"/>
            <w:rFonts w:ascii="Times New Roman;serif" w:hAnsi="Times New Roman;serif"/>
            <w:b w:val="false"/>
            <w:sz w:val="20"/>
            <w:u w:val="single"/>
          </w:rPr>
          <w:t>March 31, 2022</w:t>
        </w:r>
      </w:hyperlink>
      <w:r>
        <w:rPr>
          <w:rFonts w:ascii="Times New Roman;serif" w:hAnsi="Times New Roman;serif"/>
          <w:b w:val="false"/>
          <w:sz w:val="20"/>
        </w:rPr>
        <w:t xml:space="preserve">, </w:t>
      </w:r>
      <w:hyperlink r:id="rId25">
        <w:r>
          <w:rPr>
            <w:rStyle w:val="InternetLink"/>
            <w:rFonts w:ascii="Times New Roman;serif" w:hAnsi="Times New Roman;serif"/>
            <w:b w:val="false"/>
            <w:sz w:val="20"/>
            <w:u w:val="single"/>
          </w:rPr>
          <w:t>April 19, 2022</w:t>
        </w:r>
      </w:hyperlink>
      <w:r>
        <w:rPr>
          <w:rFonts w:ascii="Times New Roman;serif" w:hAnsi="Times New Roman;serif"/>
          <w:b w:val="false"/>
          <w:sz w:val="20"/>
        </w:rPr>
        <w:t xml:space="preserve">, </w:t>
      </w:r>
      <w:hyperlink r:id="rId26">
        <w:r>
          <w:rPr>
            <w:rStyle w:val="InternetLink"/>
            <w:rFonts w:ascii="Times New Roman;serif" w:hAnsi="Times New Roman;serif"/>
            <w:b w:val="false"/>
            <w:sz w:val="20"/>
            <w:u w:val="single"/>
          </w:rPr>
          <w:t>April 25, 2022</w:t>
        </w:r>
      </w:hyperlink>
      <w:r>
        <w:rPr>
          <w:rFonts w:ascii="Times New Roman;serif" w:hAnsi="Times New Roman;serif"/>
          <w:b w:val="false"/>
          <w:sz w:val="20"/>
        </w:rPr>
        <w:t xml:space="preserve">, </w:t>
      </w:r>
      <w:hyperlink r:id="rId27">
        <w:r>
          <w:rPr>
            <w:rStyle w:val="InternetLink"/>
            <w:rFonts w:ascii="Times New Roman;serif" w:hAnsi="Times New Roman;serif"/>
            <w:b w:val="false"/>
            <w:sz w:val="20"/>
            <w:u w:val="single"/>
          </w:rPr>
          <w:t>May 2, 2022</w:t>
        </w:r>
      </w:hyperlink>
      <w:r>
        <w:rPr/>
        <w:t xml:space="preserve"> </w:t>
      </w:r>
      <w:r>
        <w:rPr>
          <w:rFonts w:ascii="Times New Roman;serif" w:hAnsi="Times New Roman;serif"/>
          <w:b w:val="false"/>
          <w:sz w:val="20"/>
        </w:rPr>
        <w:t xml:space="preserve">(only Item 8.01 and Exhibit 99.2 thereto), </w:t>
      </w:r>
      <w:hyperlink r:id="rId28">
        <w:r>
          <w:rPr>
            <w:rStyle w:val="InternetLink"/>
            <w:rFonts w:ascii="Times New Roman;serif" w:hAnsi="Times New Roman;serif"/>
            <w:b w:val="false"/>
            <w:sz w:val="20"/>
            <w:u w:val="single"/>
          </w:rPr>
          <w:t>May 9, 2022,</w:t>
        </w:r>
      </w:hyperlink>
      <w:r>
        <w:rPr/>
        <w:t xml:space="preserve"> </w:t>
      </w:r>
      <w:hyperlink r:id="rId29">
        <w:r>
          <w:rPr>
            <w:rStyle w:val="InternetLink"/>
            <w:rFonts w:ascii="Times New Roman;serif" w:hAnsi="Times New Roman;serif"/>
            <w:b w:val="false"/>
            <w:sz w:val="20"/>
            <w:u w:val="single"/>
          </w:rPr>
          <w:t>May 18, 2022</w:t>
        </w:r>
      </w:hyperlink>
      <w:r>
        <w:rPr>
          <w:rFonts w:ascii="Times New Roman;serif" w:hAnsi="Times New Roman;serif"/>
          <w:b w:val="false"/>
          <w:sz w:val="20"/>
        </w:rPr>
        <w:t xml:space="preserve">, </w:t>
      </w:r>
      <w:hyperlink r:id="rId30">
        <w:r>
          <w:rPr>
            <w:rStyle w:val="InternetLink"/>
            <w:rFonts w:ascii="Times New Roman;serif" w:hAnsi="Times New Roman;serif"/>
            <w:b w:val="false"/>
            <w:sz w:val="20"/>
            <w:u w:val="single"/>
          </w:rPr>
          <w:t>May 31, 2022</w:t>
        </w:r>
      </w:hyperlink>
      <w:r>
        <w:rPr>
          <w:rFonts w:ascii="Times New Roman;serif" w:hAnsi="Times New Roman;serif"/>
          <w:b w:val="false"/>
          <w:sz w:val="20"/>
        </w:rPr>
        <w:t xml:space="preserve">, </w:t>
      </w:r>
      <w:hyperlink r:id="rId31">
        <w:r>
          <w:rPr>
            <w:rStyle w:val="InternetLink"/>
            <w:rFonts w:ascii="Times New Roman;serif" w:hAnsi="Times New Roman;serif"/>
            <w:b w:val="false"/>
            <w:sz w:val="20"/>
            <w:u w:val="single"/>
          </w:rPr>
          <w:t>June 1, 2022</w:t>
        </w:r>
      </w:hyperlink>
      <w:r>
        <w:rPr>
          <w:rFonts w:ascii="Times New Roman;serif" w:hAnsi="Times New Roman;serif"/>
          <w:b w:val="false"/>
          <w:sz w:val="20"/>
        </w:rPr>
        <w:t xml:space="preserve">, </w:t>
      </w:r>
      <w:hyperlink r:id="rId32">
        <w:r>
          <w:rPr>
            <w:rStyle w:val="InternetLink"/>
            <w:rFonts w:ascii="Times New Roman;serif" w:hAnsi="Times New Roman;serif"/>
            <w:b w:val="false"/>
            <w:sz w:val="20"/>
            <w:u w:val="single"/>
          </w:rPr>
          <w:t>June 2, 2022</w:t>
        </w:r>
      </w:hyperlink>
      <w:r>
        <w:rPr>
          <w:rFonts w:ascii="Times New Roman;serif" w:hAnsi="Times New Roman;serif"/>
          <w:b w:val="false"/>
          <w:sz w:val="20"/>
        </w:rPr>
        <w:t xml:space="preserve">, </w:t>
      </w:r>
      <w:hyperlink r:id="rId33">
        <w:r>
          <w:rPr>
            <w:rStyle w:val="InternetLink"/>
            <w:rFonts w:ascii="Times New Roman;serif" w:hAnsi="Times New Roman;serif"/>
            <w:b w:val="false"/>
            <w:sz w:val="20"/>
            <w:u w:val="single"/>
          </w:rPr>
          <w:t>June 7, 2022</w:t>
        </w:r>
      </w:hyperlink>
      <w:r>
        <w:rPr>
          <w:rFonts w:ascii="Times New Roman;serif" w:hAnsi="Times New Roman;serif"/>
          <w:b w:val="false"/>
          <w:sz w:val="20"/>
        </w:rPr>
        <w:t xml:space="preserve">, </w:t>
      </w:r>
      <w:hyperlink r:id="rId34">
        <w:r>
          <w:rPr>
            <w:rStyle w:val="InternetLink"/>
            <w:rFonts w:ascii="Times New Roman;serif" w:hAnsi="Times New Roman;serif"/>
            <w:b w:val="false"/>
            <w:sz w:val="20"/>
            <w:u w:val="single"/>
          </w:rPr>
          <w:t>June 27, 2022</w:t>
        </w:r>
      </w:hyperlink>
      <w:r>
        <w:rPr>
          <w:rFonts w:ascii="Times New Roman;serif" w:hAnsi="Times New Roman;serif"/>
          <w:b w:val="false"/>
          <w:sz w:val="20"/>
        </w:rPr>
        <w:t xml:space="preserve">, </w:t>
      </w:r>
      <w:hyperlink r:id="rId35">
        <w:r>
          <w:rPr>
            <w:rStyle w:val="InternetLink"/>
            <w:rFonts w:ascii="Times New Roman;serif" w:hAnsi="Times New Roman;serif"/>
            <w:b w:val="false"/>
            <w:sz w:val="20"/>
            <w:u w:val="single"/>
          </w:rPr>
          <w:t>June 28, 2022</w:t>
        </w:r>
      </w:hyperlink>
      <w:r>
        <w:rPr>
          <w:rFonts w:ascii="Times New Roman;serif" w:hAnsi="Times New Roman;serif"/>
          <w:b w:val="false"/>
          <w:sz w:val="20"/>
        </w:rPr>
        <w:t xml:space="preserve">, </w:t>
      </w:r>
      <w:hyperlink r:id="rId36">
        <w:r>
          <w:rPr>
            <w:rStyle w:val="InternetLink"/>
            <w:rFonts w:ascii="Times New Roman;serif" w:hAnsi="Times New Roman;serif"/>
            <w:b w:val="false"/>
            <w:sz w:val="20"/>
            <w:u w:val="single"/>
          </w:rPr>
          <w:t>July 21, 2022</w:t>
        </w:r>
      </w:hyperlink>
      <w:r>
        <w:rPr>
          <w:rFonts w:ascii="Times New Roman;serif" w:hAnsi="Times New Roman;serif"/>
          <w:b w:val="false"/>
          <w:sz w:val="20"/>
        </w:rPr>
        <w:t xml:space="preserve">, </w:t>
      </w:r>
      <w:hyperlink r:id="rId37">
        <w:r>
          <w:rPr>
            <w:rStyle w:val="InternetLink"/>
            <w:rFonts w:ascii="Times New Roman;serif" w:hAnsi="Times New Roman;serif"/>
            <w:b w:val="false"/>
            <w:sz w:val="20"/>
            <w:u w:val="single"/>
          </w:rPr>
          <w:t>August 9, 2022</w:t>
        </w:r>
      </w:hyperlink>
      <w:r>
        <w:rPr>
          <w:rFonts w:ascii="Times New Roman;serif" w:hAnsi="Times New Roman;serif"/>
          <w:b w:val="false"/>
          <w:sz w:val="20"/>
        </w:rPr>
        <w:t xml:space="preserve">, </w:t>
      </w:r>
      <w:hyperlink r:id="rId38">
        <w:r>
          <w:rPr>
            <w:rStyle w:val="InternetLink"/>
            <w:rFonts w:ascii="Times New Roman;serif" w:hAnsi="Times New Roman;serif"/>
            <w:b w:val="false"/>
            <w:sz w:val="20"/>
            <w:u w:val="single"/>
          </w:rPr>
          <w:t>August 19, 2022</w:t>
        </w:r>
      </w:hyperlink>
      <w:r>
        <w:rPr>
          <w:rFonts w:ascii="Times New Roman;serif" w:hAnsi="Times New Roman;serif"/>
          <w:b w:val="false"/>
          <w:sz w:val="20"/>
        </w:rPr>
        <w:t xml:space="preserve">, </w:t>
      </w:r>
      <w:hyperlink r:id="rId39">
        <w:r>
          <w:rPr>
            <w:rStyle w:val="InternetLink"/>
            <w:rFonts w:ascii="Times New Roman;serif" w:hAnsi="Times New Roman;serif"/>
            <w:b w:val="false"/>
            <w:sz w:val="20"/>
            <w:u w:val="single"/>
          </w:rPr>
          <w:t>August 22, 2022</w:t>
        </w:r>
      </w:hyperlink>
      <w:r>
        <w:rPr>
          <w:rFonts w:ascii="Times New Roman;serif" w:hAnsi="Times New Roman;serif"/>
          <w:b w:val="false"/>
          <w:sz w:val="20"/>
        </w:rPr>
        <w:t xml:space="preserve">, </w:t>
      </w:r>
      <w:hyperlink r:id="rId40">
        <w:r>
          <w:rPr>
            <w:rStyle w:val="InternetLink"/>
            <w:rFonts w:ascii="Times New Roman;serif" w:hAnsi="Times New Roman;serif"/>
            <w:b w:val="false"/>
            <w:sz w:val="20"/>
            <w:u w:val="single"/>
          </w:rPr>
          <w:t>August 23, 2022</w:t>
        </w:r>
      </w:hyperlink>
      <w:r>
        <w:rPr/>
        <w:t xml:space="preserve"> </w:t>
      </w:r>
      <w:r>
        <w:rPr>
          <w:rFonts w:ascii="Times New Roman;serif" w:hAnsi="Times New Roman;serif"/>
          <w:b w:val="false"/>
          <w:sz w:val="20"/>
        </w:rPr>
        <w:t xml:space="preserve">(only Item 8.01), </w:t>
      </w:r>
      <w:hyperlink r:id="rId41">
        <w:r>
          <w:rPr>
            <w:rStyle w:val="InternetLink"/>
            <w:rFonts w:ascii="Times New Roman;serif" w:hAnsi="Times New Roman;serif"/>
            <w:b w:val="false"/>
            <w:sz w:val="20"/>
            <w:u w:val="single"/>
          </w:rPr>
          <w:t>September 1, 2022</w:t>
        </w:r>
      </w:hyperlink>
      <w:r>
        <w:rPr>
          <w:rFonts w:ascii="Times New Roman;serif" w:hAnsi="Times New Roman;serif"/>
          <w:b w:val="false"/>
          <w:sz w:val="20"/>
        </w:rPr>
        <w:t xml:space="preserve">, </w:t>
      </w:r>
      <w:hyperlink r:id="rId42">
        <w:r>
          <w:rPr>
            <w:rStyle w:val="InternetLink"/>
            <w:rFonts w:ascii="Times New Roman;serif" w:hAnsi="Times New Roman;serif"/>
            <w:b w:val="false"/>
            <w:sz w:val="20"/>
            <w:u w:val="single"/>
          </w:rPr>
          <w:t>September 8, 2022</w:t>
        </w:r>
      </w:hyperlink>
      <w:r>
        <w:rPr>
          <w:rFonts w:ascii="Times New Roman;serif" w:hAnsi="Times New Roman;serif"/>
          <w:b w:val="false"/>
          <w:sz w:val="20"/>
        </w:rPr>
        <w:t xml:space="preserve">, </w:t>
      </w:r>
      <w:hyperlink r:id="rId43">
        <w:r>
          <w:rPr>
            <w:rStyle w:val="InternetLink"/>
            <w:rFonts w:ascii="Times New Roman;serif" w:hAnsi="Times New Roman;serif"/>
            <w:b w:val="false"/>
            <w:sz w:val="20"/>
            <w:u w:val="single"/>
          </w:rPr>
          <w:t>September 29, 2022</w:t>
        </w:r>
      </w:hyperlink>
      <w:r>
        <w:rPr>
          <w:rFonts w:ascii="Times New Roman;serif" w:hAnsi="Times New Roman;serif"/>
          <w:b w:val="false"/>
          <w:sz w:val="20"/>
        </w:rPr>
        <w:t xml:space="preserve">, </w:t>
      </w:r>
      <w:hyperlink r:id="rId44">
        <w:r>
          <w:rPr>
            <w:rStyle w:val="InternetLink"/>
            <w:rFonts w:ascii="Times New Roman;serif" w:hAnsi="Times New Roman;serif"/>
            <w:b w:val="false"/>
            <w:sz w:val="20"/>
            <w:u w:val="single"/>
          </w:rPr>
          <w:t>October 3, 2022</w:t>
        </w:r>
      </w:hyperlink>
      <w:r>
        <w:rPr>
          <w:rFonts w:ascii="Times New Roman;serif" w:hAnsi="Times New Roman;serif"/>
          <w:b w:val="false"/>
          <w:sz w:val="20"/>
        </w:rPr>
        <w:t xml:space="preserve">, </w:t>
      </w:r>
      <w:hyperlink r:id="rId45">
        <w:r>
          <w:rPr>
            <w:rStyle w:val="InternetLink"/>
            <w:rFonts w:ascii="Times New Roman;serif" w:hAnsi="Times New Roman;serif"/>
            <w:b w:val="false"/>
            <w:sz w:val="20"/>
            <w:u w:val="single"/>
          </w:rPr>
          <w:t>October 20, 2022</w:t>
        </w:r>
      </w:hyperlink>
      <w:r>
        <w:rPr>
          <w:rFonts w:ascii="Times New Roman;serif" w:hAnsi="Times New Roman;serif"/>
          <w:b w:val="false"/>
          <w:sz w:val="20"/>
        </w:rPr>
        <w:t xml:space="preserve">, </w:t>
      </w:r>
      <w:hyperlink r:id="rId46">
        <w:r>
          <w:rPr>
            <w:rStyle w:val="InternetLink"/>
            <w:rFonts w:ascii="Times New Roman;serif" w:hAnsi="Times New Roman;serif"/>
            <w:b w:val="false"/>
            <w:sz w:val="20"/>
            <w:u w:val="single"/>
          </w:rPr>
          <w:t>November 14, 2022</w:t>
        </w:r>
      </w:hyperlink>
      <w:r>
        <w:rPr/>
        <w:t xml:space="preserve"> </w:t>
      </w:r>
      <w:r>
        <w:rPr>
          <w:rFonts w:ascii="Times New Roman;serif" w:hAnsi="Times New Roman;serif"/>
          <w:b w:val="false"/>
          <w:sz w:val="20"/>
        </w:rPr>
        <w:t xml:space="preserve">and </w:t>
      </w:r>
      <w:hyperlink r:id="rId47">
        <w:r>
          <w:rPr>
            <w:rStyle w:val="InternetLink"/>
            <w:rFonts w:ascii="Times New Roman;serif" w:hAnsi="Times New Roman;serif"/>
            <w:b w:val="false"/>
            <w:sz w:val="20"/>
            <w:u w:val="single"/>
          </w:rPr>
          <w:t>November 28, 2022</w:t>
        </w:r>
      </w:hyperlink>
      <w:r>
        <w:rPr>
          <w:rFonts w:ascii="Times New Roman;serif" w:hAnsi="Times New Roman;serif"/>
          <w:b w:val="false"/>
          <w:sz w:val="20"/>
        </w:rPr>
        <w:t>; and</w:t>
      </w:r>
    </w:p>
    <w:p>
      <w:pPr>
        <w:pStyle w:val="TextBody"/>
        <w:bidi w:val="0"/>
        <w:spacing w:before="0" w:after="0"/>
        <w:jc w:val="left"/>
        <w:rPr/>
      </w:pPr>
      <w:r>
        <w:rPr/>
        <w:t> </w:t>
      </w:r>
    </w:p>
    <w:p>
      <w:pPr>
        <w:pStyle w:val="TextBody"/>
        <w:bidi w:val="0"/>
        <w:spacing w:before="0" w:after="120"/>
        <w:jc w:val="both"/>
        <w:rPr/>
      </w:pPr>
      <w:r>
        <w:rPr/>
        <w:t>•</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description of our common stock contained in our registration statement on Form 8-A, filed with the SEC on November 16, 2015 (File No. 001-37635), and all amendments or reports filed for the purpose of updating such description.</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make available, free of charge, through our website our Annual Reports on Form 10-K, Quarterly Reports on Form 10-Q, Current Reports on Form 8-K and amendments to those reports filed or furnished pursuant to Section 13(a), 13(c), 14 or 15(d) of the Exchange Act as soon as reasonably practicable after we electronically file such material with, or furnish it to, the SEC. Except for the specific incorporated documents listed above, no information available on or through our website shall be deemed to be incorporated in this prospectus or the registration statement of which it forms a part. We will provide, upon written or oral request, to each person to whom a prospectus is delivered, including any beneficial owner, a copy of any or all of the information that has been incorporated by reference in the prospectus but not delivered with the prospectus (other than exhibits to these documents unless the exhibits are specifically incorporated by reference into these documents or referred to in this prospectus), free of charge, by writing or calling us at the following address and telephone number:</w:t>
      </w:r>
    </w:p>
    <w:p>
      <w:pPr>
        <w:pStyle w:val="TextBody"/>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283"/>
              <w:jc w:val="left"/>
              <w:rPr>
                <w:sz w:val="4"/>
                <w:szCs w:val="4"/>
              </w:rPr>
            </w:pPr>
            <w:r>
              <w:rPr>
                <w:sz w:val="4"/>
                <w:szCs w:val="4"/>
              </w:rPr>
            </w:r>
          </w:p>
        </w:tc>
      </w:tr>
      <w:tr>
        <w:trPr/>
        <w:tc>
          <w:tcPr>
            <w:tcW w:w="24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Axsome Therapeutics, Inc.</w:t>
            </w:r>
          </w:p>
        </w:tc>
      </w:tr>
      <w:tr>
        <w:trPr/>
        <w:tc>
          <w:tcPr>
            <w:tcW w:w="24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22 Cortlandt Street</w:t>
            </w:r>
          </w:p>
        </w:tc>
      </w:tr>
      <w:tr>
        <w:trPr/>
        <w:tc>
          <w:tcPr>
            <w:tcW w:w="24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16</w:t>
            </w:r>
            <w:r>
              <w:rPr>
                <w:rFonts w:ascii="Times New Roman;serif" w:hAnsi="Times New Roman;serif"/>
                <w:b w:val="false"/>
                <w:sz w:val="13"/>
              </w:rPr>
              <w:t>th</w:t>
            </w:r>
            <w:r>
              <w:rPr>
                <w:rFonts w:ascii="Times New Roman" w:hAnsi="Times New Roman"/>
                <w:sz w:val="20"/>
              </w:rPr>
              <w:t> </w:t>
            </w:r>
            <w:r>
              <w:rPr>
                <w:rFonts w:ascii="Times New Roman;serif" w:hAnsi="Times New Roman;serif"/>
                <w:b w:val="false"/>
                <w:sz w:val="20"/>
              </w:rPr>
              <w:t>Floor</w:t>
            </w:r>
          </w:p>
        </w:tc>
      </w:tr>
      <w:tr>
        <w:trPr/>
        <w:tc>
          <w:tcPr>
            <w:tcW w:w="24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New York, New York 10007</w:t>
            </w:r>
          </w:p>
        </w:tc>
      </w:tr>
      <w:tr>
        <w:trPr/>
        <w:tc>
          <w:tcPr>
            <w:tcW w:w="24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(212) 332-3241</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pPr>
      <w:r>
        <w:rPr/>
        <w:drawing>
          <wp:inline distT="0" distB="0" distL="0" distR="0">
            <wp:extent cx="1990725" cy="1123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8"/>
                    <a:stretch>
                      <a:fillRect/>
                    </a:stretch>
                  </pic:blipFill>
                  <pic:spPr bwMode="auto">
                    <a:xfrm>
                      <a:off x="0" y="0"/>
                      <a:ext cx="1990725" cy="1123950"/>
                    </a:xfrm>
                    <a:prstGeom prst="rect">
                      <a:avLst/>
                    </a:prstGeom>
                  </pic:spPr>
                </pic:pic>
              </a:graphicData>
            </a:graphic>
          </wp:inline>
        </w:drawing>
      </w: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Common Stock</w:t>
      </w:r>
    </w:p>
    <w:p>
      <w:pPr>
        <w:pStyle w:val="TextBody"/>
        <w:bidi w:val="0"/>
        <w:spacing w:before="0" w:after="0"/>
        <w:jc w:val="center"/>
        <w:rPr>
          <w:rFonts w:ascii="Times New Roman;serif" w:hAnsi="Times New Roman;serif"/>
          <w:b/>
          <w:sz w:val="20"/>
        </w:rPr>
      </w:pPr>
      <w:r>
        <w:rPr>
          <w:rFonts w:ascii="Times New Roman;serif" w:hAnsi="Times New Roman;serif"/>
          <w:b/>
          <w:sz w:val="20"/>
        </w:rPr>
        <w:t>Preferred Stock</w:t>
      </w:r>
    </w:p>
    <w:p>
      <w:pPr>
        <w:pStyle w:val="TextBody"/>
        <w:bidi w:val="0"/>
        <w:spacing w:before="0" w:after="0"/>
        <w:jc w:val="center"/>
        <w:rPr>
          <w:rFonts w:ascii="Times New Roman;serif" w:hAnsi="Times New Roman;serif"/>
          <w:b/>
          <w:sz w:val="20"/>
        </w:rPr>
      </w:pPr>
      <w:r>
        <w:rPr>
          <w:rFonts w:ascii="Times New Roman;serif" w:hAnsi="Times New Roman;serif"/>
          <w:b/>
          <w:sz w:val="20"/>
        </w:rPr>
        <w:t>Warrants</w:t>
      </w:r>
    </w:p>
    <w:p>
      <w:pPr>
        <w:pStyle w:val="TextBody"/>
        <w:bidi w:val="0"/>
        <w:spacing w:before="0" w:after="0"/>
        <w:jc w:val="center"/>
        <w:rPr>
          <w:rFonts w:ascii="Times New Roman;serif" w:hAnsi="Times New Roman;serif"/>
          <w:b/>
          <w:sz w:val="20"/>
        </w:rPr>
      </w:pPr>
      <w:r>
        <w:rPr>
          <w:rFonts w:ascii="Times New Roman;serif" w:hAnsi="Times New Roman;serif"/>
          <w:b/>
          <w:sz w:val="20"/>
        </w:rPr>
        <w:t>Debt Securities</w:t>
      </w:r>
    </w:p>
    <w:p>
      <w:pPr>
        <w:pStyle w:val="TextBody"/>
        <w:bidi w:val="0"/>
        <w:spacing w:before="0" w:after="0"/>
        <w:jc w:val="center"/>
        <w:rPr>
          <w:rFonts w:ascii="Times New Roman;serif" w:hAnsi="Times New Roman;serif"/>
          <w:b/>
          <w:sz w:val="20"/>
        </w:rPr>
      </w:pPr>
      <w:r>
        <w:rPr>
          <w:rFonts w:ascii="Times New Roman;serif" w:hAnsi="Times New Roman;serif"/>
          <w:b/>
          <w:sz w:val="20"/>
        </w:rPr>
        <w:t>Rights to Purchase Common Stock, Preferred Stock, Debt Securities or Units</w:t>
      </w:r>
    </w:p>
    <w:p>
      <w:pPr>
        <w:pStyle w:val="TextBody"/>
        <w:bidi w:val="0"/>
        <w:spacing w:before="0" w:after="0"/>
        <w:jc w:val="center"/>
        <w:rPr>
          <w:rFonts w:ascii="Times New Roman;serif" w:hAnsi="Times New Roman;serif"/>
          <w:b/>
          <w:sz w:val="20"/>
        </w:rPr>
      </w:pPr>
      <w:r>
        <w:rPr>
          <w:rFonts w:ascii="Times New Roman;serif" w:hAnsi="Times New Roman;serif"/>
          <w:b/>
          <w:sz w:val="20"/>
        </w:rPr>
        <w:t>Units</w:t>
      </w:r>
    </w:p>
    <w:p>
      <w:pPr>
        <w:pStyle w:val="TextBody"/>
        <w:pBdr>
          <w:bottom w:val="single" w:sz="8" w:space="1" w:color="000000"/>
        </w:pBdr>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PROSPECTUS</w:t>
      </w:r>
    </w:p>
    <w:p>
      <w:pPr>
        <w:pStyle w:val="TextBody"/>
        <w:pBdr>
          <w:bottom w:val="single" w:sz="8" w:space="1" w:color="000000"/>
        </w:pBdr>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December 2, 2022</w:t>
      </w:r>
    </w:p>
    <w:p>
      <w:pPr>
        <w:pStyle w:val="TextBody"/>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Times New Roman;serif" w:hAnsi="Times New Roman;serif"/>
            <w:b w:val="false"/>
            <w:sz w:val="20"/>
            <w:u w:val="single"/>
          </w:rPr>
          <w:t>Table of Contents</w:t>
        </w:r>
      </w:hyperlink>
    </w:p>
    <w:p>
      <w:pPr>
        <w:pStyle w:val="TextBody"/>
        <w:bidi w:val="0"/>
        <w:spacing w:before="0" w:after="0"/>
        <w:jc w:val="left"/>
        <w:rPr/>
      </w:pPr>
      <w:r>
        <w:rPr/>
        <w:t> </w:t>
      </w:r>
    </w:p>
    <w:p>
      <w:pPr>
        <w:pStyle w:val="TextBody"/>
        <w:bidi w:val="0"/>
        <w:spacing w:before="0" w:after="0"/>
        <w:jc w:val="center"/>
        <w:rPr>
          <w:rFonts w:ascii="Times New Roman;serif" w:hAnsi="Times New Roman;serif"/>
          <w:b/>
          <w:sz w:val="24"/>
        </w:rPr>
      </w:pPr>
      <w:r>
        <w:rPr>
          <w:rFonts w:ascii="Times New Roman;serif" w:hAnsi="Times New Roman;serif"/>
          <w:b/>
          <w:sz w:val="24"/>
        </w:rPr>
        <w:t>3,000,000 Shares</w:t>
      </w:r>
    </w:p>
    <w:p>
      <w:pPr>
        <w:pStyle w:val="TextBody"/>
        <w:bidi w:val="0"/>
        <w:spacing w:before="0" w:after="0"/>
        <w:jc w:val="center"/>
        <w:rPr/>
      </w:pPr>
      <w:r>
        <w:rPr/>
        <w:t> </w:t>
      </w:r>
    </w:p>
    <w:p>
      <w:pPr>
        <w:pStyle w:val="TextBody"/>
        <w:bidi w:val="0"/>
        <w:spacing w:before="0" w:after="0"/>
        <w:jc w:val="center"/>
        <w:rPr/>
      </w:pPr>
      <w:r>
        <w:rPr/>
        <w:drawing>
          <wp:inline distT="0" distB="0" distL="0" distR="0">
            <wp:extent cx="1990725" cy="1123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49"/>
                    <a:stretch>
                      <a:fillRect/>
                    </a:stretch>
                  </pic:blipFill>
                  <pic:spPr bwMode="auto">
                    <a:xfrm>
                      <a:off x="0" y="0"/>
                      <a:ext cx="1990725" cy="1123950"/>
                    </a:xfrm>
                    <a:prstGeom prst="rect">
                      <a:avLst/>
                    </a:prstGeom>
                  </pic:spPr>
                </pic:pic>
              </a:graphicData>
            </a:graphic>
          </wp:inline>
        </w:drawing>
      </w:r>
    </w:p>
    <w:p>
      <w:pPr>
        <w:pStyle w:val="TextBody"/>
        <w:bidi w:val="0"/>
        <w:spacing w:before="0" w:after="0"/>
        <w:jc w:val="center"/>
        <w:rPr>
          <w:rFonts w:ascii="Times New Roman;serif" w:hAnsi="Times New Roman;serif"/>
          <w:b/>
          <w:sz w:val="30"/>
        </w:rPr>
      </w:pPr>
      <w:r>
        <w:rPr>
          <w:rFonts w:ascii="Times New Roman;serif" w:hAnsi="Times New Roman;serif"/>
          <w:b/>
          <w:sz w:val="30"/>
        </w:rPr>
        <w:t>Axsome Therapeutics, Inc.</w:t>
      </w:r>
    </w:p>
    <w:p>
      <w:pPr>
        <w:pStyle w:val="TextBody"/>
        <w:bidi w:val="0"/>
        <w:spacing w:before="0" w:after="0"/>
        <w:jc w:val="center"/>
        <w:rPr>
          <w:rFonts w:ascii="Times New Roman;serif" w:hAnsi="Times New Roman;serif"/>
          <w:b/>
          <w:sz w:val="24"/>
        </w:rPr>
      </w:pPr>
      <w:r>
        <w:rPr>
          <w:rFonts w:ascii="Times New Roman;serif" w:hAnsi="Times New Roman;serif"/>
          <w:b/>
          <w:sz w:val="24"/>
        </w:rPr>
        <w:t>Common Stock</w:t>
      </w:r>
    </w:p>
    <w:p>
      <w:pPr>
        <w:pStyle w:val="TextBody"/>
        <w:bidi w:val="0"/>
        <w:spacing w:before="0" w:after="0"/>
        <w:jc w:val="center"/>
        <w:rPr>
          <w:rFonts w:ascii="Times New Roman;serif" w:hAnsi="Times New Roman;serif"/>
          <w:b/>
          <w:sz w:val="20"/>
        </w:rPr>
      </w:pPr>
      <w:r>
        <w:rPr>
          <w:rFonts w:ascii="Times New Roman;serif" w:hAnsi="Times New Roman;serif"/>
          <w:b/>
          <w:sz w:val="20"/>
        </w:rPr>
        <w:t>PROSPECTUS SUPPLEMENT</w:t>
      </w:r>
    </w:p>
    <w:p>
      <w:pPr>
        <w:pStyle w:val="TextBody"/>
        <w:bidi w:val="0"/>
        <w:spacing w:before="0" w:after="120"/>
        <w:jc w:val="center"/>
        <w:rPr>
          <w:rFonts w:ascii="Times New Roman;serif" w:hAnsi="Times New Roman;serif"/>
          <w:b w:val="false"/>
          <w:i/>
          <w:sz w:val="22"/>
        </w:rPr>
      </w:pPr>
      <w:r>
        <w:rPr>
          <w:rFonts w:ascii="Times New Roman;serif" w:hAnsi="Times New Roman;serif"/>
          <w:b w:val="false"/>
          <w:i/>
          <w:sz w:val="22"/>
        </w:rPr>
        <w:t>Lead Bookrunning Manager</w:t>
      </w:r>
    </w:p>
    <w:p>
      <w:pPr>
        <w:pStyle w:val="TextBody"/>
        <w:bidi w:val="0"/>
        <w:spacing w:before="0" w:after="0"/>
        <w:jc w:val="center"/>
        <w:rPr>
          <w:rFonts w:ascii="Times New Roman;serif" w:hAnsi="Times New Roman;serif"/>
          <w:b/>
          <w:sz w:val="30"/>
        </w:rPr>
      </w:pPr>
      <w:r>
        <w:rPr>
          <w:rFonts w:ascii="Times New Roman;serif" w:hAnsi="Times New Roman;serif"/>
          <w:b/>
          <w:sz w:val="30"/>
        </w:rPr>
        <w:t>SVB Securities</w:t>
      </w:r>
    </w:p>
    <w:p>
      <w:pPr>
        <w:pStyle w:val="TextBody"/>
        <w:bidi w:val="0"/>
        <w:spacing w:before="0" w:after="0"/>
        <w:jc w:val="center"/>
        <w:rPr/>
      </w:pPr>
      <w:r>
        <w:rPr/>
        <w:t> </w:t>
      </w:r>
    </w:p>
    <w:p>
      <w:pPr>
        <w:pStyle w:val="TextBody"/>
        <w:bidi w:val="0"/>
        <w:spacing w:before="0" w:after="120"/>
        <w:jc w:val="center"/>
        <w:rPr>
          <w:rFonts w:ascii="Times New Roman;serif" w:hAnsi="Times New Roman;serif"/>
          <w:b w:val="false"/>
          <w:i/>
          <w:sz w:val="22"/>
        </w:rPr>
      </w:pPr>
      <w:r>
        <w:rPr>
          <w:rFonts w:ascii="Times New Roman;serif" w:hAnsi="Times New Roman;serif"/>
          <w:b w:val="false"/>
          <w:i/>
          <w:sz w:val="22"/>
        </w:rPr>
        <w:t>Joint Bookrunning Managers</w:t>
      </w:r>
    </w:p>
    <w:p>
      <w:pPr>
        <w:pStyle w:val="TextBody"/>
        <w:bidi w:val="0"/>
        <w:spacing w:before="0" w:after="0"/>
        <w:jc w:val="center"/>
        <w:rPr>
          <w:rFonts w:ascii="Times New Roman;serif" w:hAnsi="Times New Roman;serif"/>
          <w:b/>
          <w:sz w:val="28"/>
        </w:rPr>
      </w:pPr>
      <w:r>
        <w:rPr>
          <w:rFonts w:ascii="Times New Roman;serif" w:hAnsi="Times New Roman;serif"/>
          <w:b/>
          <w:sz w:val="28"/>
        </w:rPr>
        <w:t>Guggenheim Securities Truist Securities William Blair Cantor</w:t>
      </w:r>
    </w:p>
    <w:p>
      <w:pPr>
        <w:pStyle w:val="TextBody"/>
        <w:bidi w:val="0"/>
        <w:spacing w:before="0" w:after="120"/>
        <w:jc w:val="center"/>
        <w:rPr>
          <w:rFonts w:ascii="Times New Roman;serif" w:hAnsi="Times New Roman;serif"/>
          <w:b w:val="false"/>
          <w:i/>
          <w:sz w:val="22"/>
        </w:rPr>
      </w:pPr>
      <w:r>
        <w:rPr>
          <w:rFonts w:ascii="Times New Roman;serif" w:hAnsi="Times New Roman;serif"/>
          <w:b w:val="false"/>
          <w:i/>
          <w:sz w:val="22"/>
        </w:rPr>
        <w:t>Lead Managers</w:t>
      </w:r>
    </w:p>
    <w:p>
      <w:pPr>
        <w:pStyle w:val="TextBody"/>
        <w:bidi w:val="0"/>
        <w:spacing w:before="0" w:after="0"/>
        <w:jc w:val="center"/>
        <w:rPr>
          <w:rFonts w:ascii="Times New Roman;serif" w:hAnsi="Times New Roman;serif"/>
          <w:b/>
          <w:sz w:val="24"/>
        </w:rPr>
      </w:pPr>
      <w:r>
        <w:rPr>
          <w:rFonts w:ascii="Times New Roman;serif" w:hAnsi="Times New Roman;serif"/>
          <w:b/>
          <w:sz w:val="24"/>
        </w:rPr>
        <w:t>Ladenburg Thalmann Mizuho H.C. Wainwright &amp; Co.</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June 28, 2023</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bookmarkStart w:id="29" w:name="axsm-exfiling_fees.htm"/>
      <w:bookmarkStart w:id="30" w:name="ksaxsmexfiling_fees"/>
      <w:bookmarkEnd w:id="29"/>
      <w:bookmarkEnd w:id="30"/>
      <w:r>
        <w:rPr/>
        <w:t> </w:t>
      </w:r>
      <w:r>
        <w:br w:type="page"/>
      </w:r>
    </w:p>
    <w:p>
      <w:pPr>
        <w:pStyle w:val="TextBody"/>
        <w:bidi w:val="0"/>
        <w:spacing w:before="240" w:after="0"/>
        <w:jc w:val="center"/>
        <w:rPr>
          <w:rFonts w:ascii="Times New Roman" w:hAnsi="Times New Roman"/>
          <w:sz w:val="20"/>
        </w:rPr>
      </w:pPr>
      <w:r>
        <w:rPr>
          <w:rFonts w:ascii="Times New Roman;serif" w:hAnsi="Times New Roman;serif"/>
          <w:b/>
          <w:sz w:val="20"/>
        </w:rPr>
        <w:t>Calculation of Filing Fee Tables</w:t>
      </w:r>
      <w:r>
        <w:rPr>
          <w:rFonts w:ascii="Times New Roman" w:hAnsi="Times New Roman"/>
          <w:sz w:val="20"/>
        </w:rPr>
        <w:t xml:space="preserve"> </w:t>
      </w:r>
    </w:p>
    <w:p>
      <w:pPr>
        <w:pStyle w:val="TextBody"/>
        <w:bidi w:val="0"/>
        <w:spacing w:before="240" w:after="0"/>
        <w:jc w:val="center"/>
        <w:rPr>
          <w:rFonts w:ascii="Times New Roman;serif" w:hAnsi="Times New Roman;serif"/>
          <w:b/>
          <w:sz w:val="20"/>
        </w:rPr>
      </w:pPr>
      <w:r>
        <w:rPr>
          <w:rFonts w:ascii="Times New Roman;serif" w:hAnsi="Times New Roman;serif"/>
          <w:b/>
          <w:sz w:val="20"/>
        </w:rPr>
        <w:t>425(b)(5)</w:t>
      </w:r>
    </w:p>
    <w:p>
      <w:pPr>
        <w:pStyle w:val="TextBody"/>
        <w:bidi w:val="0"/>
        <w:spacing w:before="0" w:after="0"/>
        <w:jc w:val="center"/>
        <w:rPr>
          <w:rFonts w:ascii="Times New Roman" w:hAnsi="Times New Roman"/>
          <w:sz w:val="20"/>
        </w:rPr>
      </w:pPr>
      <w:r>
        <w:rPr>
          <w:rFonts w:ascii="Times New Roman;serif" w:hAnsi="Times New Roman;serif"/>
          <w:b w:val="false"/>
          <w:sz w:val="20"/>
        </w:rPr>
        <w:t>(Form Type)</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Axsome Therapeutics,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sz w:val="20"/>
        </w:rPr>
        <w:t>(Exact Name of Registrant as Specified in its Charter)</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u w:val="single"/>
        </w:rPr>
        <w:t>Table 1: Newly Registered and Carry Forward Securities</w:t>
      </w:r>
      <w:r>
        <w:rPr>
          <w:rFonts w:ascii="Times New Roman" w:hAnsi="Times New Roman"/>
          <w:sz w:val="20"/>
        </w:rPr>
        <w:t xml:space="preserve"> </w:t>
      </w:r>
    </w:p>
    <w:tbl>
      <w:tblPr>
        <w:tblW w:w="11785" w:type="dxa"/>
        <w:jc w:val="left"/>
        <w:tblInd w:w="0" w:type="dxa"/>
        <w:tblLayout w:type="fixed"/>
        <w:tblCellMar>
          <w:top w:w="28" w:type="dxa"/>
          <w:left w:w="28" w:type="dxa"/>
          <w:bottom w:w="28" w:type="dxa"/>
          <w:right w:w="28" w:type="dxa"/>
        </w:tblCellMar>
      </w:tblPr>
      <w:tblGrid>
        <w:gridCol w:w="856"/>
        <w:gridCol w:w="146"/>
        <w:gridCol w:w="586"/>
        <w:gridCol w:w="146"/>
        <w:gridCol w:w="751"/>
        <w:gridCol w:w="146"/>
        <w:gridCol w:w="781"/>
        <w:gridCol w:w="146"/>
        <w:gridCol w:w="826"/>
        <w:gridCol w:w="146"/>
        <w:gridCol w:w="691"/>
        <w:gridCol w:w="146"/>
        <w:gridCol w:w="1096"/>
        <w:gridCol w:w="146"/>
        <w:gridCol w:w="961"/>
        <w:gridCol w:w="146"/>
        <w:gridCol w:w="916"/>
        <w:gridCol w:w="146"/>
        <w:gridCol w:w="571"/>
        <w:gridCol w:w="146"/>
        <w:gridCol w:w="571"/>
        <w:gridCol w:w="146"/>
        <w:gridCol w:w="601"/>
        <w:gridCol w:w="146"/>
        <w:gridCol w:w="826"/>
      </w:tblGrid>
      <w:tr>
        <w:trPr/>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8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left"/>
              <w:rPr/>
            </w:pPr>
            <w:r>
              <w:rPr/>
              <w:t> </w:t>
            </w:r>
          </w:p>
        </w:tc>
      </w:tr>
      <w:tr>
        <w:trPr/>
        <w:tc>
          <w:tcPr>
            <w:tcW w:w="856" w:type="dxa"/>
            <w:tcBorders>
              <w:top w:val="single" w:sz="6" w:space="0" w:color="000000"/>
              <w:left w:val="single" w:sz="6" w:space="0" w:color="000000"/>
            </w:tcBorders>
            <w:tcMar>
              <w:left w:w="168" w:type="dxa"/>
              <w:bottom w:w="0" w:type="dxa"/>
              <w:right w:w="0" w:type="dxa"/>
            </w:tcMar>
            <w:vAlign w:val="center"/>
          </w:tcPr>
          <w:p>
            <w:pPr>
              <w:pStyle w:val="TableContents"/>
              <w:bidi w:val="0"/>
              <w:spacing w:before="0" w:after="0"/>
              <w:ind w:left="0" w:right="0" w:hanging="0"/>
              <w:jc w:val="left"/>
              <w:rPr/>
            </w:pPr>
            <w:r>
              <w:rPr/>
              <w:t> </w:t>
            </w:r>
          </w:p>
        </w:tc>
        <w:tc>
          <w:tcPr>
            <w:tcW w:w="73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89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92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97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83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124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110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106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71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71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74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972" w:type="dxa"/>
            <w:gridSpan w:val="2"/>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0"/>
              <w:ind w:left="0" w:right="0" w:hanging="0"/>
              <w:jc w:val="left"/>
              <w:rPr/>
            </w:pPr>
            <w:r>
              <w:rPr/>
              <w:t> </w:t>
            </w:r>
          </w:p>
        </w:tc>
      </w:tr>
      <w:tr>
        <w:trPr/>
        <w:tc>
          <w:tcPr>
            <w:tcW w:w="856" w:type="dxa"/>
            <w:tcBorders>
              <w:left w:val="single" w:sz="6" w:space="0" w:color="000000"/>
            </w:tcBorders>
            <w:tcMar>
              <w:top w:w="0" w:type="dxa"/>
              <w:left w:w="168" w:type="dxa"/>
              <w:bottom w:w="0" w:type="dxa"/>
              <w:right w:w="0" w:type="dxa"/>
            </w:tcMar>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Security</w:t>
              <w:br/>
              <w:t>Type</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75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Security</w:t>
              <w:br/>
              <w:t>Class</w:t>
              <w:br/>
              <w:t>Title</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78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Fee</w:t>
              <w:br/>
              <w:t>Calculation</w:t>
              <w:br/>
              <w:t>or Carry</w:t>
              <w:br/>
              <w:t>Forward</w:t>
              <w:br/>
              <w:t>Rule</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8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Amount</w:t>
              <w:br/>
              <w:t>Registered</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Proposed</w:t>
              <w:br/>
              <w:t>Maximum</w:t>
              <w:br/>
              <w:t>Offering</w:t>
              <w:br/>
              <w:t>Price Per</w:t>
              <w:br/>
              <w:t>Share</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10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Maximum</w:t>
              <w:br/>
              <w:t>Aggregate</w:t>
              <w:br/>
              <w:t>Offering</w:t>
              <w:br/>
              <w:t>Price</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6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Fee</w:t>
              <w:br/>
              <w:t>Rate</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1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val="false"/>
                <w:sz w:val="14"/>
              </w:rPr>
              <w:t>Amount of</w:t>
              <w:br/>
              <w:t>Registration</w:t>
              <w:br/>
              <w:t>Fee</w:t>
            </w:r>
            <w:r>
              <w:rPr>
                <w:rFonts w:ascii="Times New Roman;serif" w:hAnsi="Times New Roman;serif"/>
                <w:b w:val="false"/>
                <w:sz w:val="9"/>
              </w:rPr>
              <w:t>(1)</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Carry</w:t>
              <w:br/>
              <w:t>Forward</w:t>
              <w:br/>
              <w:t>Form</w:t>
              <w:br/>
              <w:t>Type</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Carry</w:t>
              <w:br/>
              <w:t>Forward</w:t>
              <w:br/>
              <w:t>File</w:t>
              <w:br/>
              <w:t>Number</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6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Carry</w:t>
              <w:br/>
              <w:t>Forward</w:t>
              <w:br/>
              <w:t>Initial</w:t>
              <w:br/>
              <w:t>effective</w:t>
              <w:br/>
              <w:t>date</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826" w:type="dxa"/>
            <w:tcBorders>
              <w:right w:val="single" w:sz="6" w:space="0" w:color="000000"/>
            </w:tcBorders>
            <w:tcMar>
              <w:top w:w="0" w:type="dxa"/>
              <w:left w:w="0" w:type="dxa"/>
              <w:bottom w:w="0" w:type="dxa"/>
              <w:right w:w="48" w:type="dxa"/>
            </w:tcMar>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Filing Fee</w:t>
              <w:br/>
              <w:t>Previously</w:t>
              <w:br/>
              <w:t>Paid In</w:t>
              <w:br/>
              <w:t>Connection</w:t>
              <w:br/>
              <w:t>with Unsold</w:t>
              <w:br/>
              <w:t>Securities to</w:t>
              <w:br/>
              <w:t>be Carried</w:t>
              <w:br/>
              <w:t>Forward</w:t>
            </w:r>
          </w:p>
        </w:tc>
      </w:tr>
      <w:tr>
        <w:trPr/>
        <w:tc>
          <w:tcPr>
            <w:tcW w:w="11785" w:type="dxa"/>
            <w:gridSpan w:val="25"/>
            <w:tcBorders>
              <w:top w:val="single" w:sz="6" w:space="0" w:color="000000"/>
              <w:left w:val="single" w:sz="6" w:space="0" w:color="000000"/>
              <w:right w:val="single" w:sz="6" w:space="0" w:color="000000"/>
            </w:tcBorders>
            <w:tcMar>
              <w:left w:w="168" w:type="dxa"/>
              <w:bottom w:w="0" w:type="dxa"/>
            </w:tcMar>
            <w:vAlign w:val="center"/>
          </w:tcPr>
          <w:p>
            <w:pPr>
              <w:pStyle w:val="TableContents"/>
              <w:bidi w:val="0"/>
              <w:spacing w:before="0" w:after="0"/>
              <w:ind w:left="0" w:right="0" w:hanging="0"/>
              <w:jc w:val="left"/>
              <w:rPr/>
            </w:pPr>
            <w:r>
              <w:rPr/>
              <w:t> </w:t>
            </w:r>
          </w:p>
        </w:tc>
      </w:tr>
      <w:tr>
        <w:trPr/>
        <w:tc>
          <w:tcPr>
            <w:tcW w:w="11785" w:type="dxa"/>
            <w:gridSpan w:val="25"/>
            <w:tcBorders>
              <w:left w:val="single" w:sz="6" w:space="0" w:color="000000"/>
              <w:right w:val="single" w:sz="6" w:space="0" w:color="000000"/>
            </w:tcBorders>
            <w:tcMar>
              <w:top w:w="0" w:type="dxa"/>
              <w:left w:w="168" w:type="dxa"/>
              <w:bottom w:w="0" w:type="dxa"/>
              <w:right w:w="48"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Newly Registered Securities</w:t>
            </w:r>
          </w:p>
        </w:tc>
      </w:tr>
      <w:tr>
        <w:trPr/>
        <w:tc>
          <w:tcPr>
            <w:tcW w:w="856" w:type="dxa"/>
            <w:tcBorders>
              <w:top w:val="single" w:sz="6" w:space="0" w:color="000000"/>
              <w:left w:val="single" w:sz="6" w:space="0" w:color="000000"/>
            </w:tcBorders>
            <w:tcMar>
              <w:left w:w="168" w:type="dxa"/>
              <w:bottom w:w="0" w:type="dxa"/>
              <w:right w:w="0" w:type="dxa"/>
            </w:tcMar>
            <w:vAlign w:val="center"/>
          </w:tcPr>
          <w:p>
            <w:pPr>
              <w:pStyle w:val="TableContents"/>
              <w:bidi w:val="0"/>
              <w:spacing w:before="0" w:after="0"/>
              <w:ind w:left="0" w:right="0" w:hanging="0"/>
              <w:jc w:val="left"/>
              <w:rPr/>
            </w:pPr>
            <w:r>
              <w:rPr/>
              <w:t> </w:t>
            </w:r>
          </w:p>
        </w:tc>
        <w:tc>
          <w:tcPr>
            <w:tcW w:w="73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89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92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97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83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124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110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106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71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71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74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972" w:type="dxa"/>
            <w:gridSpan w:val="2"/>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0"/>
              <w:ind w:left="0" w:right="0" w:hanging="0"/>
              <w:jc w:val="left"/>
              <w:rPr/>
            </w:pPr>
            <w:r>
              <w:rPr/>
              <w:t> </w:t>
            </w:r>
          </w:p>
        </w:tc>
      </w:tr>
      <w:tr>
        <w:trPr/>
        <w:tc>
          <w:tcPr>
            <w:tcW w:w="856" w:type="dxa"/>
            <w:tcBorders>
              <w:left w:val="single" w:sz="6" w:space="0" w:color="000000"/>
            </w:tcBorders>
            <w:tcMar>
              <w:top w:w="0" w:type="dxa"/>
              <w:left w:w="168"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Fees to Be</w:t>
            </w:r>
          </w:p>
          <w:p>
            <w:pPr>
              <w:pStyle w:val="TableContents"/>
              <w:bidi w:val="0"/>
              <w:spacing w:before="0" w:after="0"/>
              <w:ind w:left="0" w:right="0" w:hanging="0"/>
              <w:jc w:val="left"/>
              <w:rPr/>
            </w:pPr>
            <w:r>
              <w:rPr/>
              <w:t> </w:t>
            </w:r>
            <w:r>
              <w:rPr>
                <w:rFonts w:ascii="Times New Roman;serif" w:hAnsi="Times New Roman;serif"/>
                <w:b w:val="false"/>
                <w:sz w:val="16"/>
              </w:rPr>
              <w:t>Paid</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Equity</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75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Common Stock, par value $0.0001 per share</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78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457(r)</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8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3,450,000</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$75.00</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10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$258,750,000</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6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$0.0001102</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1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$28,514.25</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826" w:type="dxa"/>
            <w:tcBorders>
              <w:right w:val="single" w:sz="6" w:space="0" w:color="000000"/>
            </w:tcBorders>
            <w:tcMar>
              <w:top w:w="0" w:type="dxa"/>
              <w:left w:w="0" w:type="dxa"/>
              <w:bottom w:w="0" w:type="dxa"/>
              <w:right w:w="48" w:type="dxa"/>
            </w:tcMar>
            <w:vAlign w:val="center"/>
          </w:tcPr>
          <w:p>
            <w:pPr>
              <w:pStyle w:val="TableContents"/>
              <w:bidi w:val="0"/>
              <w:spacing w:before="0" w:after="0"/>
              <w:ind w:left="0" w:right="0" w:hanging="0"/>
              <w:jc w:val="left"/>
              <w:rPr/>
            </w:pPr>
            <w:r>
              <w:rPr/>
              <w:t> </w:t>
            </w:r>
          </w:p>
        </w:tc>
      </w:tr>
      <w:tr>
        <w:trPr/>
        <w:tc>
          <w:tcPr>
            <w:tcW w:w="856" w:type="dxa"/>
            <w:tcBorders>
              <w:top w:val="single" w:sz="6" w:space="0" w:color="000000"/>
              <w:left w:val="single" w:sz="6" w:space="0" w:color="000000"/>
            </w:tcBorders>
            <w:tcMar>
              <w:left w:w="168" w:type="dxa"/>
              <w:bottom w:w="0" w:type="dxa"/>
              <w:right w:w="0" w:type="dxa"/>
            </w:tcMar>
            <w:vAlign w:val="center"/>
          </w:tcPr>
          <w:p>
            <w:pPr>
              <w:pStyle w:val="TableContents"/>
              <w:bidi w:val="0"/>
              <w:spacing w:before="0" w:after="0"/>
              <w:ind w:left="0" w:right="0" w:hanging="0"/>
              <w:jc w:val="left"/>
              <w:rPr/>
            </w:pPr>
            <w:r>
              <w:rPr/>
              <w:t> </w:t>
            </w:r>
          </w:p>
        </w:tc>
        <w:tc>
          <w:tcPr>
            <w:tcW w:w="73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89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92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97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83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124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110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106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71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71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74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972" w:type="dxa"/>
            <w:gridSpan w:val="2"/>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0"/>
              <w:ind w:left="0" w:right="0" w:hanging="0"/>
              <w:jc w:val="left"/>
              <w:rPr/>
            </w:pPr>
            <w:r>
              <w:rPr/>
              <w:t> </w:t>
            </w:r>
          </w:p>
        </w:tc>
      </w:tr>
      <w:tr>
        <w:trPr/>
        <w:tc>
          <w:tcPr>
            <w:tcW w:w="856" w:type="dxa"/>
            <w:tcBorders>
              <w:left w:val="single" w:sz="6" w:space="0" w:color="000000"/>
            </w:tcBorders>
            <w:tcMar>
              <w:top w:w="0" w:type="dxa"/>
              <w:left w:w="168"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Fees</w:t>
            </w:r>
          </w:p>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Previously</w:t>
            </w:r>
          </w:p>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Paid</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pPr>
            <w:r>
              <w:rPr/>
              <w:t>—</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751" w:type="dxa"/>
            <w:tcBorders/>
            <w:tcMar>
              <w:top w:w="0" w:type="dxa"/>
              <w:left w:w="0" w:type="dxa"/>
              <w:bottom w:w="0" w:type="dxa"/>
              <w:right w:w="0" w:type="dxa"/>
            </w:tcMar>
            <w:vAlign w:val="center"/>
          </w:tcPr>
          <w:p>
            <w:pPr>
              <w:pStyle w:val="TableContents"/>
              <w:bidi w:val="0"/>
              <w:spacing w:before="0" w:after="0"/>
              <w:ind w:left="0" w:right="0" w:hanging="0"/>
              <w:jc w:val="center"/>
              <w:rPr/>
            </w:pPr>
            <w:r>
              <w:rPr/>
              <w:t>—</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781" w:type="dxa"/>
            <w:tcBorders/>
            <w:tcMar>
              <w:top w:w="0" w:type="dxa"/>
              <w:left w:w="0" w:type="dxa"/>
              <w:bottom w:w="0" w:type="dxa"/>
              <w:right w:w="0" w:type="dxa"/>
            </w:tcMar>
            <w:vAlign w:val="center"/>
          </w:tcPr>
          <w:p>
            <w:pPr>
              <w:pStyle w:val="TableContents"/>
              <w:bidi w:val="0"/>
              <w:spacing w:before="0" w:after="0"/>
              <w:ind w:left="0" w:right="0" w:hanging="0"/>
              <w:jc w:val="center"/>
              <w:rPr/>
            </w:pPr>
            <w:r>
              <w:rPr/>
              <w:t>—</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826" w:type="dxa"/>
            <w:tcBorders/>
            <w:tcMar>
              <w:top w:w="0" w:type="dxa"/>
              <w:left w:w="0" w:type="dxa"/>
              <w:bottom w:w="0" w:type="dxa"/>
              <w:right w:w="0" w:type="dxa"/>
            </w:tcMar>
            <w:vAlign w:val="center"/>
          </w:tcPr>
          <w:p>
            <w:pPr>
              <w:pStyle w:val="TableContents"/>
              <w:bidi w:val="0"/>
              <w:spacing w:before="0" w:after="0"/>
              <w:ind w:left="0" w:right="0" w:hanging="0"/>
              <w:jc w:val="center"/>
              <w:rPr/>
            </w:pPr>
            <w:r>
              <w:rPr/>
              <w:t>—</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center"/>
              <w:rPr/>
            </w:pPr>
            <w:r>
              <w:rPr/>
              <w:t>—</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1096" w:type="dxa"/>
            <w:tcBorders/>
            <w:tcMar>
              <w:top w:w="0" w:type="dxa"/>
              <w:left w:w="0" w:type="dxa"/>
              <w:bottom w:w="0" w:type="dxa"/>
              <w:right w:w="0" w:type="dxa"/>
            </w:tcMar>
            <w:vAlign w:val="center"/>
          </w:tcPr>
          <w:p>
            <w:pPr>
              <w:pStyle w:val="TableContents"/>
              <w:bidi w:val="0"/>
              <w:spacing w:before="0" w:after="0"/>
              <w:ind w:left="0" w:right="0" w:hanging="0"/>
              <w:jc w:val="center"/>
              <w:rPr/>
            </w:pPr>
            <w:r>
              <w:rPr/>
              <w:t>—</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16" w:type="dxa"/>
            <w:tcBorders/>
            <w:tcMar>
              <w:top w:w="0" w:type="dxa"/>
              <w:left w:w="0" w:type="dxa"/>
              <w:bottom w:w="0" w:type="dxa"/>
              <w:right w:w="0" w:type="dxa"/>
            </w:tcMar>
            <w:vAlign w:val="center"/>
          </w:tcPr>
          <w:p>
            <w:pPr>
              <w:pStyle w:val="TableContents"/>
              <w:bidi w:val="0"/>
              <w:spacing w:before="0" w:after="0"/>
              <w:ind w:left="0" w:right="0" w:hanging="0"/>
              <w:jc w:val="center"/>
              <w:rPr/>
            </w:pPr>
            <w:r>
              <w:rPr/>
              <w:t>—</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826" w:type="dxa"/>
            <w:tcBorders>
              <w:right w:val="single" w:sz="6" w:space="0" w:color="000000"/>
            </w:tcBorders>
            <w:tcMar>
              <w:top w:w="0" w:type="dxa"/>
              <w:left w:w="0" w:type="dxa"/>
              <w:bottom w:w="0" w:type="dxa"/>
              <w:right w:w="48" w:type="dxa"/>
            </w:tcMar>
            <w:vAlign w:val="center"/>
          </w:tcPr>
          <w:p>
            <w:pPr>
              <w:pStyle w:val="TableContents"/>
              <w:bidi w:val="0"/>
              <w:spacing w:before="0" w:after="0"/>
              <w:ind w:left="0" w:right="0" w:hanging="0"/>
              <w:jc w:val="left"/>
              <w:rPr/>
            </w:pPr>
            <w:r>
              <w:rPr/>
              <w:t> </w:t>
            </w:r>
          </w:p>
        </w:tc>
      </w:tr>
      <w:tr>
        <w:trPr/>
        <w:tc>
          <w:tcPr>
            <w:tcW w:w="11785" w:type="dxa"/>
            <w:gridSpan w:val="25"/>
            <w:tcBorders>
              <w:top w:val="single" w:sz="6" w:space="0" w:color="000000"/>
              <w:left w:val="single" w:sz="6" w:space="0" w:color="000000"/>
              <w:right w:val="single" w:sz="6" w:space="0" w:color="000000"/>
            </w:tcBorders>
            <w:tcMar>
              <w:left w:w="168" w:type="dxa"/>
              <w:bottom w:w="0" w:type="dxa"/>
            </w:tcMar>
            <w:vAlign w:val="center"/>
          </w:tcPr>
          <w:p>
            <w:pPr>
              <w:pStyle w:val="TableContents"/>
              <w:bidi w:val="0"/>
              <w:spacing w:before="0" w:after="0"/>
              <w:ind w:left="0" w:right="0" w:hanging="0"/>
              <w:jc w:val="left"/>
              <w:rPr/>
            </w:pPr>
            <w:r>
              <w:rPr/>
              <w:t> </w:t>
            </w:r>
          </w:p>
        </w:tc>
      </w:tr>
      <w:tr>
        <w:trPr/>
        <w:tc>
          <w:tcPr>
            <w:tcW w:w="11785" w:type="dxa"/>
            <w:gridSpan w:val="25"/>
            <w:tcBorders>
              <w:left w:val="single" w:sz="6" w:space="0" w:color="000000"/>
              <w:right w:val="single" w:sz="6" w:space="0" w:color="000000"/>
            </w:tcBorders>
            <w:tcMar>
              <w:top w:w="0" w:type="dxa"/>
              <w:left w:w="168" w:type="dxa"/>
              <w:bottom w:w="0" w:type="dxa"/>
              <w:right w:w="48"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Carry Forward Securities</w:t>
            </w:r>
          </w:p>
        </w:tc>
      </w:tr>
      <w:tr>
        <w:trPr/>
        <w:tc>
          <w:tcPr>
            <w:tcW w:w="856" w:type="dxa"/>
            <w:tcBorders>
              <w:top w:val="single" w:sz="6" w:space="0" w:color="000000"/>
              <w:left w:val="single" w:sz="6" w:space="0" w:color="000000"/>
            </w:tcBorders>
            <w:tcMar>
              <w:left w:w="168" w:type="dxa"/>
              <w:bottom w:w="0" w:type="dxa"/>
              <w:right w:w="0" w:type="dxa"/>
            </w:tcMar>
            <w:vAlign w:val="center"/>
          </w:tcPr>
          <w:p>
            <w:pPr>
              <w:pStyle w:val="TableContents"/>
              <w:bidi w:val="0"/>
              <w:spacing w:before="0" w:after="0"/>
              <w:ind w:left="0" w:right="0" w:hanging="0"/>
              <w:jc w:val="left"/>
              <w:rPr/>
            </w:pPr>
            <w:r>
              <w:rPr/>
              <w:t> </w:t>
            </w:r>
          </w:p>
        </w:tc>
        <w:tc>
          <w:tcPr>
            <w:tcW w:w="73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89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92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97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83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124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110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106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71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71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74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972" w:type="dxa"/>
            <w:gridSpan w:val="2"/>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0"/>
              <w:ind w:left="0" w:right="0" w:hanging="0"/>
              <w:jc w:val="left"/>
              <w:rPr/>
            </w:pPr>
            <w:r>
              <w:rPr/>
              <w:t> </w:t>
            </w:r>
          </w:p>
        </w:tc>
      </w:tr>
      <w:tr>
        <w:trPr/>
        <w:tc>
          <w:tcPr>
            <w:tcW w:w="856" w:type="dxa"/>
            <w:tcBorders>
              <w:left w:val="single" w:sz="6" w:space="0" w:color="000000"/>
            </w:tcBorders>
            <w:tcMar>
              <w:top w:w="0" w:type="dxa"/>
              <w:left w:w="168"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Carry</w:t>
            </w:r>
          </w:p>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Forward</w:t>
            </w:r>
          </w:p>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Securities</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pPr>
            <w:r>
              <w:rPr/>
              <w:t>—</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751" w:type="dxa"/>
            <w:tcBorders/>
            <w:tcMar>
              <w:top w:w="0" w:type="dxa"/>
              <w:left w:w="0" w:type="dxa"/>
              <w:bottom w:w="0" w:type="dxa"/>
              <w:right w:w="0" w:type="dxa"/>
            </w:tcMar>
            <w:vAlign w:val="center"/>
          </w:tcPr>
          <w:p>
            <w:pPr>
              <w:pStyle w:val="TableContents"/>
              <w:bidi w:val="0"/>
              <w:spacing w:before="0" w:after="0"/>
              <w:ind w:left="0" w:right="0" w:hanging="0"/>
              <w:jc w:val="center"/>
              <w:rPr/>
            </w:pPr>
            <w:r>
              <w:rPr/>
              <w:t>—</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781" w:type="dxa"/>
            <w:tcBorders/>
            <w:tcMar>
              <w:top w:w="0" w:type="dxa"/>
              <w:left w:w="0" w:type="dxa"/>
              <w:bottom w:w="0" w:type="dxa"/>
              <w:right w:w="0" w:type="dxa"/>
            </w:tcMar>
            <w:vAlign w:val="center"/>
          </w:tcPr>
          <w:p>
            <w:pPr>
              <w:pStyle w:val="TableContents"/>
              <w:bidi w:val="0"/>
              <w:spacing w:before="0" w:after="0"/>
              <w:ind w:left="0" w:right="0" w:hanging="0"/>
              <w:jc w:val="center"/>
              <w:rPr/>
            </w:pPr>
            <w:r>
              <w:rPr/>
              <w:t>—</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826" w:type="dxa"/>
            <w:tcBorders/>
            <w:tcMar>
              <w:top w:w="0" w:type="dxa"/>
              <w:left w:w="0" w:type="dxa"/>
              <w:bottom w:w="0" w:type="dxa"/>
              <w:right w:w="0" w:type="dxa"/>
            </w:tcMar>
            <w:vAlign w:val="center"/>
          </w:tcPr>
          <w:p>
            <w:pPr>
              <w:pStyle w:val="TableContents"/>
              <w:bidi w:val="0"/>
              <w:spacing w:before="0" w:after="0"/>
              <w:ind w:left="0" w:right="0" w:hanging="0"/>
              <w:jc w:val="center"/>
              <w:rPr/>
            </w:pPr>
            <w:r>
              <w:rPr/>
              <w:t>—</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1096" w:type="dxa"/>
            <w:tcBorders/>
            <w:tcMar>
              <w:top w:w="0" w:type="dxa"/>
              <w:left w:w="0" w:type="dxa"/>
              <w:bottom w:w="0" w:type="dxa"/>
              <w:right w:w="0" w:type="dxa"/>
            </w:tcMar>
            <w:vAlign w:val="center"/>
          </w:tcPr>
          <w:p>
            <w:pPr>
              <w:pStyle w:val="TableContents"/>
              <w:bidi w:val="0"/>
              <w:spacing w:before="0" w:after="0"/>
              <w:ind w:left="0" w:right="0" w:hanging="0"/>
              <w:jc w:val="center"/>
              <w:rPr/>
            </w:pPr>
            <w:r>
              <w:rPr/>
              <w:t>—</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center"/>
              <w:rPr/>
            </w:pPr>
            <w:r>
              <w:rPr/>
              <w:t>—</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571" w:type="dxa"/>
            <w:tcBorders/>
            <w:tcMar>
              <w:top w:w="0" w:type="dxa"/>
              <w:left w:w="0" w:type="dxa"/>
              <w:bottom w:w="0" w:type="dxa"/>
              <w:right w:w="0" w:type="dxa"/>
            </w:tcMar>
            <w:vAlign w:val="center"/>
          </w:tcPr>
          <w:p>
            <w:pPr>
              <w:pStyle w:val="TableContents"/>
              <w:bidi w:val="0"/>
              <w:spacing w:before="0" w:after="0"/>
              <w:ind w:left="0" w:right="0" w:hanging="0"/>
              <w:jc w:val="center"/>
              <w:rPr/>
            </w:pPr>
            <w:r>
              <w:rPr/>
              <w:t>—</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601" w:type="dxa"/>
            <w:tcBorders/>
            <w:tcMar>
              <w:top w:w="0" w:type="dxa"/>
              <w:left w:w="0" w:type="dxa"/>
              <w:bottom w:w="0" w:type="dxa"/>
              <w:right w:w="0" w:type="dxa"/>
            </w:tcMar>
            <w:vAlign w:val="center"/>
          </w:tcPr>
          <w:p>
            <w:pPr>
              <w:pStyle w:val="TableContents"/>
              <w:bidi w:val="0"/>
              <w:spacing w:before="0" w:after="0"/>
              <w:ind w:left="0" w:right="0" w:hanging="0"/>
              <w:jc w:val="center"/>
              <w:rPr/>
            </w:pPr>
            <w:r>
              <w:rPr/>
              <w:t>—</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826" w:type="dxa"/>
            <w:tcBorders>
              <w:right w:val="single" w:sz="6" w:space="0" w:color="000000"/>
            </w:tcBorders>
            <w:tcMar>
              <w:top w:w="0" w:type="dxa"/>
              <w:left w:w="0" w:type="dxa"/>
              <w:bottom w:w="0" w:type="dxa"/>
              <w:right w:w="48" w:type="dxa"/>
            </w:tcMar>
            <w:vAlign w:val="center"/>
          </w:tcPr>
          <w:p>
            <w:pPr>
              <w:pStyle w:val="TableContents"/>
              <w:bidi w:val="0"/>
              <w:spacing w:before="0" w:after="0"/>
              <w:ind w:left="0" w:right="0" w:hanging="0"/>
              <w:jc w:val="center"/>
              <w:rPr/>
            </w:pPr>
            <w:r>
              <w:rPr/>
              <w:t>—</w:t>
            </w:r>
          </w:p>
        </w:tc>
      </w:tr>
      <w:tr>
        <w:trPr/>
        <w:tc>
          <w:tcPr>
            <w:tcW w:w="856" w:type="dxa"/>
            <w:tcBorders>
              <w:top w:val="single" w:sz="6" w:space="0" w:color="000000"/>
              <w:left w:val="single" w:sz="6" w:space="0" w:color="000000"/>
            </w:tcBorders>
            <w:tcMar>
              <w:left w:w="168" w:type="dxa"/>
              <w:bottom w:w="0" w:type="dxa"/>
              <w:right w:w="0" w:type="dxa"/>
            </w:tcMar>
            <w:vAlign w:val="center"/>
          </w:tcPr>
          <w:p>
            <w:pPr>
              <w:pStyle w:val="TableContents"/>
              <w:bidi w:val="0"/>
              <w:spacing w:before="0" w:after="0"/>
              <w:ind w:left="0" w:right="0" w:hanging="0"/>
              <w:jc w:val="left"/>
              <w:rPr/>
            </w:pPr>
            <w:r>
              <w:rPr/>
              <w:t> </w:t>
            </w:r>
          </w:p>
        </w:tc>
        <w:tc>
          <w:tcPr>
            <w:tcW w:w="3528" w:type="dxa"/>
            <w:gridSpan w:val="8"/>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83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124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110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106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71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71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74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972" w:type="dxa"/>
            <w:gridSpan w:val="2"/>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0"/>
              <w:ind w:left="0" w:right="0" w:hanging="0"/>
              <w:jc w:val="left"/>
              <w:rPr/>
            </w:pPr>
            <w:r>
              <w:rPr/>
              <w:t> </w:t>
            </w:r>
          </w:p>
        </w:tc>
      </w:tr>
      <w:tr>
        <w:trPr/>
        <w:tc>
          <w:tcPr>
            <w:tcW w:w="856" w:type="dxa"/>
            <w:tcBorders>
              <w:left w:val="single" w:sz="6" w:space="0" w:color="000000"/>
            </w:tcBorders>
            <w:tcMar>
              <w:top w:w="0" w:type="dxa"/>
              <w:left w:w="168" w:type="dxa"/>
              <w:bottom w:w="0" w:type="dxa"/>
              <w:right w:w="0" w:type="dxa"/>
            </w:tcMar>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3382" w:type="dxa"/>
            <w:gridSpan w:val="7"/>
            <w:tcBorders/>
            <w:tcMar>
              <w:top w:w="0" w:type="dxa"/>
              <w:left w:w="0" w:type="dxa"/>
              <w:bottom w:w="0" w:type="dxa"/>
              <w:right w:w="0" w:type="dxa"/>
            </w:tcMar>
            <w:vAlign w:val="center"/>
          </w:tcPr>
          <w:p>
            <w:pPr>
              <w:pStyle w:val="TableContents"/>
              <w:bidi w:val="0"/>
              <w:spacing w:before="0" w:after="0"/>
              <w:ind w:left="0" w:right="144" w:hanging="0"/>
              <w:jc w:val="right"/>
              <w:rPr>
                <w:rFonts w:ascii="Times New Roman" w:hAnsi="Times New Roman"/>
                <w:sz w:val="16"/>
              </w:rPr>
            </w:pPr>
            <w:r>
              <w:rPr>
                <w:rFonts w:ascii="Times New Roman;serif" w:hAnsi="Times New Roman;serif"/>
                <w:b/>
                <w:sz w:val="16"/>
              </w:rPr>
              <w:t>Total Offering Amounts</w:t>
            </w:r>
            <w:r>
              <w:rPr>
                <w:rFonts w:ascii="Times New Roman" w:hAnsi="Times New Roman"/>
                <w:sz w:val="16"/>
              </w:rPr>
              <w:t xml:space="preserve">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10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$258,750,000</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1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$28,514.25</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826" w:type="dxa"/>
            <w:tcBorders>
              <w:right w:val="single" w:sz="6" w:space="0" w:color="000000"/>
            </w:tcBorders>
            <w:tcMar>
              <w:top w:w="0" w:type="dxa"/>
              <w:left w:w="0" w:type="dxa"/>
              <w:bottom w:w="0" w:type="dxa"/>
              <w:right w:w="48" w:type="dxa"/>
            </w:tcMar>
            <w:vAlign w:val="center"/>
          </w:tcPr>
          <w:p>
            <w:pPr>
              <w:pStyle w:val="TableContents"/>
              <w:bidi w:val="0"/>
              <w:spacing w:before="0" w:after="0"/>
              <w:ind w:left="0" w:right="0" w:hanging="0"/>
              <w:jc w:val="left"/>
              <w:rPr/>
            </w:pPr>
            <w:r>
              <w:rPr/>
              <w:t> </w:t>
            </w:r>
          </w:p>
        </w:tc>
      </w:tr>
      <w:tr>
        <w:trPr/>
        <w:tc>
          <w:tcPr>
            <w:tcW w:w="856" w:type="dxa"/>
            <w:tcBorders>
              <w:top w:val="single" w:sz="6" w:space="0" w:color="000000"/>
              <w:left w:val="single" w:sz="6" w:space="0" w:color="000000"/>
            </w:tcBorders>
            <w:tcMar>
              <w:left w:w="168" w:type="dxa"/>
              <w:bottom w:w="0" w:type="dxa"/>
              <w:right w:w="0" w:type="dxa"/>
            </w:tcMar>
            <w:vAlign w:val="center"/>
          </w:tcPr>
          <w:p>
            <w:pPr>
              <w:pStyle w:val="TableContents"/>
              <w:bidi w:val="0"/>
              <w:spacing w:before="0" w:after="0"/>
              <w:ind w:left="0" w:right="0" w:hanging="0"/>
              <w:jc w:val="left"/>
              <w:rPr/>
            </w:pPr>
            <w:r>
              <w:rPr/>
              <w:t> </w:t>
            </w:r>
          </w:p>
        </w:tc>
        <w:tc>
          <w:tcPr>
            <w:tcW w:w="3528" w:type="dxa"/>
            <w:gridSpan w:val="8"/>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83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124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110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106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71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71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74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972" w:type="dxa"/>
            <w:gridSpan w:val="2"/>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0"/>
              <w:ind w:left="0" w:right="0" w:hanging="0"/>
              <w:jc w:val="left"/>
              <w:rPr/>
            </w:pPr>
            <w:r>
              <w:rPr/>
              <w:t> </w:t>
            </w:r>
          </w:p>
        </w:tc>
      </w:tr>
      <w:tr>
        <w:trPr/>
        <w:tc>
          <w:tcPr>
            <w:tcW w:w="856" w:type="dxa"/>
            <w:tcBorders>
              <w:left w:val="single" w:sz="6" w:space="0" w:color="000000"/>
            </w:tcBorders>
            <w:tcMar>
              <w:top w:w="0" w:type="dxa"/>
              <w:left w:w="168" w:type="dxa"/>
              <w:bottom w:w="0" w:type="dxa"/>
              <w:right w:w="0" w:type="dxa"/>
            </w:tcMar>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3382" w:type="dxa"/>
            <w:gridSpan w:val="7"/>
            <w:tcBorders/>
            <w:tcMar>
              <w:top w:w="0" w:type="dxa"/>
              <w:left w:w="0" w:type="dxa"/>
              <w:bottom w:w="0" w:type="dxa"/>
              <w:right w:w="0" w:type="dxa"/>
            </w:tcMar>
            <w:vAlign w:val="center"/>
          </w:tcPr>
          <w:p>
            <w:pPr>
              <w:pStyle w:val="TableContents"/>
              <w:bidi w:val="0"/>
              <w:spacing w:before="0" w:after="0"/>
              <w:ind w:left="0" w:right="144" w:hanging="0"/>
              <w:jc w:val="right"/>
              <w:rPr>
                <w:rFonts w:ascii="Times New Roman" w:hAnsi="Times New Roman"/>
                <w:sz w:val="16"/>
              </w:rPr>
            </w:pPr>
            <w:r>
              <w:rPr>
                <w:rFonts w:ascii="Times New Roman;serif" w:hAnsi="Times New Roman;serif"/>
                <w:b/>
                <w:sz w:val="16"/>
              </w:rPr>
              <w:t>Total Fees Previously Paid</w:t>
            </w:r>
            <w:r>
              <w:rPr>
                <w:rFonts w:ascii="Times New Roman" w:hAnsi="Times New Roman"/>
                <w:sz w:val="16"/>
              </w:rPr>
              <w:t xml:space="preserve">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16" w:type="dxa"/>
            <w:tcBorders/>
            <w:tcMar>
              <w:top w:w="0" w:type="dxa"/>
              <w:left w:w="0" w:type="dxa"/>
              <w:bottom w:w="0" w:type="dxa"/>
              <w:right w:w="0" w:type="dxa"/>
            </w:tcMar>
            <w:vAlign w:val="center"/>
          </w:tcPr>
          <w:p>
            <w:pPr>
              <w:pStyle w:val="TableContents"/>
              <w:bidi w:val="0"/>
              <w:spacing w:before="0" w:after="0"/>
              <w:ind w:left="0" w:right="0" w:hanging="0"/>
              <w:jc w:val="center"/>
              <w:rPr/>
            </w:pPr>
            <w:r>
              <w:rPr/>
              <w:t>—</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826" w:type="dxa"/>
            <w:tcBorders>
              <w:right w:val="single" w:sz="6" w:space="0" w:color="000000"/>
            </w:tcBorders>
            <w:tcMar>
              <w:top w:w="0" w:type="dxa"/>
              <w:left w:w="0" w:type="dxa"/>
              <w:bottom w:w="0" w:type="dxa"/>
              <w:right w:w="48" w:type="dxa"/>
            </w:tcMar>
            <w:vAlign w:val="center"/>
          </w:tcPr>
          <w:p>
            <w:pPr>
              <w:pStyle w:val="TableContents"/>
              <w:bidi w:val="0"/>
              <w:spacing w:before="0" w:after="0"/>
              <w:ind w:left="0" w:right="0" w:hanging="0"/>
              <w:jc w:val="left"/>
              <w:rPr/>
            </w:pPr>
            <w:r>
              <w:rPr/>
              <w:t> </w:t>
            </w:r>
          </w:p>
        </w:tc>
      </w:tr>
      <w:tr>
        <w:trPr/>
        <w:tc>
          <w:tcPr>
            <w:tcW w:w="856" w:type="dxa"/>
            <w:tcBorders>
              <w:top w:val="single" w:sz="6" w:space="0" w:color="000000"/>
              <w:left w:val="single" w:sz="6" w:space="0" w:color="000000"/>
            </w:tcBorders>
            <w:tcMar>
              <w:left w:w="168" w:type="dxa"/>
              <w:bottom w:w="0" w:type="dxa"/>
              <w:right w:w="0" w:type="dxa"/>
            </w:tcMar>
            <w:vAlign w:val="center"/>
          </w:tcPr>
          <w:p>
            <w:pPr>
              <w:pStyle w:val="TableContents"/>
              <w:bidi w:val="0"/>
              <w:spacing w:before="0" w:after="0"/>
              <w:ind w:left="0" w:right="0" w:hanging="0"/>
              <w:jc w:val="left"/>
              <w:rPr/>
            </w:pPr>
            <w:r>
              <w:rPr/>
              <w:t> </w:t>
            </w:r>
          </w:p>
        </w:tc>
        <w:tc>
          <w:tcPr>
            <w:tcW w:w="3528" w:type="dxa"/>
            <w:gridSpan w:val="8"/>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83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124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110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106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71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71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74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972" w:type="dxa"/>
            <w:gridSpan w:val="2"/>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0"/>
              <w:ind w:left="0" w:right="0" w:hanging="0"/>
              <w:jc w:val="left"/>
              <w:rPr/>
            </w:pPr>
            <w:r>
              <w:rPr/>
              <w:t> </w:t>
            </w:r>
          </w:p>
        </w:tc>
      </w:tr>
      <w:tr>
        <w:trPr/>
        <w:tc>
          <w:tcPr>
            <w:tcW w:w="856" w:type="dxa"/>
            <w:tcBorders>
              <w:left w:val="single" w:sz="6" w:space="0" w:color="000000"/>
            </w:tcBorders>
            <w:tcMar>
              <w:top w:w="0" w:type="dxa"/>
              <w:left w:w="168" w:type="dxa"/>
              <w:bottom w:w="0" w:type="dxa"/>
              <w:right w:w="0" w:type="dxa"/>
            </w:tcMar>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3382" w:type="dxa"/>
            <w:gridSpan w:val="7"/>
            <w:tcBorders/>
            <w:tcMar>
              <w:top w:w="0" w:type="dxa"/>
              <w:left w:w="0" w:type="dxa"/>
              <w:bottom w:w="0" w:type="dxa"/>
              <w:right w:w="0" w:type="dxa"/>
            </w:tcMar>
            <w:vAlign w:val="center"/>
          </w:tcPr>
          <w:p>
            <w:pPr>
              <w:pStyle w:val="TableContents"/>
              <w:bidi w:val="0"/>
              <w:spacing w:before="0" w:after="0"/>
              <w:ind w:left="0" w:right="144" w:hanging="0"/>
              <w:jc w:val="right"/>
              <w:rPr>
                <w:rFonts w:ascii="Times New Roman" w:hAnsi="Times New Roman"/>
                <w:sz w:val="16"/>
              </w:rPr>
            </w:pPr>
            <w:r>
              <w:rPr>
                <w:rFonts w:ascii="Times New Roman;serif" w:hAnsi="Times New Roman;serif"/>
                <w:b/>
                <w:sz w:val="16"/>
              </w:rPr>
              <w:t>Total Fee Offsets</w:t>
            </w:r>
            <w:r>
              <w:rPr>
                <w:rFonts w:ascii="Times New Roman" w:hAnsi="Times New Roman"/>
                <w:sz w:val="16"/>
              </w:rPr>
              <w:t xml:space="preserve">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16" w:type="dxa"/>
            <w:tcBorders/>
            <w:tcMar>
              <w:top w:w="0" w:type="dxa"/>
              <w:left w:w="0" w:type="dxa"/>
              <w:bottom w:w="0" w:type="dxa"/>
              <w:right w:w="0" w:type="dxa"/>
            </w:tcMar>
            <w:vAlign w:val="center"/>
          </w:tcPr>
          <w:p>
            <w:pPr>
              <w:pStyle w:val="TableContents"/>
              <w:bidi w:val="0"/>
              <w:spacing w:before="0" w:after="0"/>
              <w:ind w:left="0" w:right="0" w:hanging="0"/>
              <w:jc w:val="center"/>
              <w:rPr/>
            </w:pPr>
            <w:r>
              <w:rPr/>
              <w:t>—</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826" w:type="dxa"/>
            <w:tcBorders>
              <w:right w:val="single" w:sz="6" w:space="0" w:color="000000"/>
            </w:tcBorders>
            <w:tcMar>
              <w:top w:w="0" w:type="dxa"/>
              <w:left w:w="0" w:type="dxa"/>
              <w:bottom w:w="0" w:type="dxa"/>
              <w:right w:w="48" w:type="dxa"/>
            </w:tcMar>
            <w:vAlign w:val="center"/>
          </w:tcPr>
          <w:p>
            <w:pPr>
              <w:pStyle w:val="TableContents"/>
              <w:bidi w:val="0"/>
              <w:spacing w:before="0" w:after="0"/>
              <w:ind w:left="0" w:right="0" w:hanging="0"/>
              <w:jc w:val="left"/>
              <w:rPr/>
            </w:pPr>
            <w:r>
              <w:rPr/>
              <w:t> </w:t>
            </w:r>
          </w:p>
        </w:tc>
      </w:tr>
      <w:tr>
        <w:trPr/>
        <w:tc>
          <w:tcPr>
            <w:tcW w:w="856" w:type="dxa"/>
            <w:tcBorders>
              <w:top w:val="single" w:sz="6" w:space="0" w:color="000000"/>
              <w:left w:val="single" w:sz="6" w:space="0" w:color="000000"/>
            </w:tcBorders>
            <w:tcMar>
              <w:left w:w="168" w:type="dxa"/>
              <w:bottom w:w="0" w:type="dxa"/>
              <w:right w:w="0" w:type="dxa"/>
            </w:tcMar>
            <w:vAlign w:val="center"/>
          </w:tcPr>
          <w:p>
            <w:pPr>
              <w:pStyle w:val="TableContents"/>
              <w:bidi w:val="0"/>
              <w:spacing w:before="0" w:after="0"/>
              <w:ind w:left="0" w:right="0" w:hanging="0"/>
              <w:jc w:val="left"/>
              <w:rPr/>
            </w:pPr>
            <w:r>
              <w:rPr/>
              <w:t> </w:t>
            </w:r>
          </w:p>
        </w:tc>
        <w:tc>
          <w:tcPr>
            <w:tcW w:w="3528" w:type="dxa"/>
            <w:gridSpan w:val="8"/>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83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124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110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106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71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71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74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0"/>
              <w:ind w:left="0" w:right="0" w:hanging="0"/>
              <w:jc w:val="left"/>
              <w:rPr/>
            </w:pPr>
            <w:r>
              <w:rPr/>
              <w:t> </w:t>
            </w:r>
          </w:p>
        </w:tc>
        <w:tc>
          <w:tcPr>
            <w:tcW w:w="972" w:type="dxa"/>
            <w:gridSpan w:val="2"/>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0"/>
              <w:ind w:left="0" w:right="0" w:hanging="0"/>
              <w:jc w:val="left"/>
              <w:rPr/>
            </w:pPr>
            <w:r>
              <w:rPr/>
              <w:t> </w:t>
            </w:r>
          </w:p>
        </w:tc>
      </w:tr>
      <w:tr>
        <w:trPr/>
        <w:tc>
          <w:tcPr>
            <w:tcW w:w="856" w:type="dxa"/>
            <w:tcBorders>
              <w:left w:val="single" w:sz="6" w:space="0" w:color="000000"/>
              <w:bottom w:val="single" w:sz="6" w:space="0" w:color="000000"/>
            </w:tcBorders>
            <w:tcMar>
              <w:top w:w="0" w:type="dxa"/>
              <w:left w:w="168" w:type="dxa"/>
              <w:right w:w="0" w:type="dxa"/>
            </w:tcMar>
            <w:vAlign w:val="center"/>
          </w:tcPr>
          <w:p>
            <w:pPr>
              <w:pStyle w:val="TableContents"/>
              <w:bidi w:val="0"/>
              <w:spacing w:before="0" w:after="0"/>
              <w:ind w:left="0" w:right="0" w:hanging="0"/>
              <w:jc w:val="left"/>
              <w:rPr/>
            </w:pPr>
            <w:r>
              <w:rPr/>
              <w:t> </w:t>
            </w:r>
          </w:p>
        </w:tc>
        <w:tc>
          <w:tcPr>
            <w:tcW w:w="146" w:type="dxa"/>
            <w:tcBorders>
              <w:left w:val="single" w:sz="6" w:space="0" w:color="000000"/>
              <w:bottom w:val="single" w:sz="6" w:space="0" w:color="000000"/>
            </w:tcBorders>
            <w:tcMar>
              <w:top w:w="0" w:type="dxa"/>
              <w:right w:w="0" w:type="dxa"/>
            </w:tcMar>
            <w:vAlign w:val="center"/>
          </w:tcPr>
          <w:p>
            <w:pPr>
              <w:pStyle w:val="TableContents"/>
              <w:bidi w:val="0"/>
              <w:spacing w:before="0" w:after="0"/>
              <w:ind w:left="0" w:right="0" w:hanging="0"/>
              <w:jc w:val="left"/>
              <w:rPr/>
            </w:pPr>
            <w:r>
              <w:rPr/>
              <w:t> </w:t>
            </w:r>
          </w:p>
        </w:tc>
        <w:tc>
          <w:tcPr>
            <w:tcW w:w="3382" w:type="dxa"/>
            <w:gridSpan w:val="7"/>
            <w:tcBorders>
              <w:bottom w:val="single" w:sz="6" w:space="0" w:color="000000"/>
            </w:tcBorders>
            <w:tcMar>
              <w:top w:w="0" w:type="dxa"/>
              <w:left w:w="0" w:type="dxa"/>
              <w:right w:w="0" w:type="dxa"/>
            </w:tcMar>
            <w:vAlign w:val="center"/>
          </w:tcPr>
          <w:p>
            <w:pPr>
              <w:pStyle w:val="TableContents"/>
              <w:bidi w:val="0"/>
              <w:spacing w:before="0" w:after="0"/>
              <w:ind w:left="0" w:right="144" w:hanging="0"/>
              <w:jc w:val="right"/>
              <w:rPr>
                <w:rFonts w:ascii="Times New Roman" w:hAnsi="Times New Roman"/>
                <w:sz w:val="16"/>
              </w:rPr>
            </w:pPr>
            <w:r>
              <w:rPr>
                <w:rFonts w:ascii="Times New Roman;serif" w:hAnsi="Times New Roman;serif"/>
                <w:b/>
                <w:sz w:val="16"/>
              </w:rPr>
              <w:t>Net Fees Due</w:t>
            </w:r>
            <w:r>
              <w:rPr>
                <w:rFonts w:ascii="Times New Roman" w:hAnsi="Times New Roman"/>
                <w:sz w:val="16"/>
              </w:rPr>
              <w:t xml:space="preserve"> </w:t>
            </w:r>
          </w:p>
        </w:tc>
        <w:tc>
          <w:tcPr>
            <w:tcW w:w="146" w:type="dxa"/>
            <w:tcBorders>
              <w:left w:val="single" w:sz="6" w:space="0" w:color="000000"/>
              <w:bottom w:val="single" w:sz="6" w:space="0" w:color="000000"/>
            </w:tcBorders>
            <w:tcMar>
              <w:top w:w="0" w:type="dxa"/>
              <w:right w:w="0" w:type="dxa"/>
            </w:tcMar>
            <w:vAlign w:val="center"/>
          </w:tcPr>
          <w:p>
            <w:pPr>
              <w:pStyle w:val="TableContents"/>
              <w:bidi w:val="0"/>
              <w:spacing w:before="0" w:after="0"/>
              <w:ind w:left="0" w:right="0" w:hanging="0"/>
              <w:jc w:val="left"/>
              <w:rPr/>
            </w:pPr>
            <w:r>
              <w:rPr/>
              <w:t> </w:t>
            </w:r>
          </w:p>
        </w:tc>
        <w:tc>
          <w:tcPr>
            <w:tcW w:w="69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left w:val="single" w:sz="6" w:space="0" w:color="000000"/>
              <w:bottom w:val="single" w:sz="6" w:space="0" w:color="000000"/>
            </w:tcBorders>
            <w:tcMar>
              <w:top w:w="0" w:type="dxa"/>
              <w:right w:w="0" w:type="dxa"/>
            </w:tcMar>
            <w:vAlign w:val="center"/>
          </w:tcPr>
          <w:p>
            <w:pPr>
              <w:pStyle w:val="TableContents"/>
              <w:bidi w:val="0"/>
              <w:spacing w:before="0" w:after="0"/>
              <w:ind w:left="0" w:right="0" w:hanging="0"/>
              <w:jc w:val="left"/>
              <w:rPr/>
            </w:pPr>
            <w:r>
              <w:rPr/>
              <w:t> </w:t>
            </w:r>
          </w:p>
        </w:tc>
        <w:tc>
          <w:tcPr>
            <w:tcW w:w="109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left w:val="single" w:sz="6" w:space="0" w:color="000000"/>
              <w:bottom w:val="single" w:sz="6" w:space="0" w:color="000000"/>
            </w:tcBorders>
            <w:tcMar>
              <w:top w:w="0" w:type="dxa"/>
              <w:right w:w="0" w:type="dxa"/>
            </w:tcMar>
            <w:vAlign w:val="center"/>
          </w:tcPr>
          <w:p>
            <w:pPr>
              <w:pStyle w:val="TableContents"/>
              <w:bidi w:val="0"/>
              <w:spacing w:before="0" w:after="0"/>
              <w:ind w:left="0" w:right="0" w:hanging="0"/>
              <w:jc w:val="left"/>
              <w:rPr/>
            </w:pPr>
            <w:r>
              <w:rPr/>
              <w:t> </w:t>
            </w:r>
          </w:p>
        </w:tc>
        <w:tc>
          <w:tcPr>
            <w:tcW w:w="96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left w:val="single" w:sz="6" w:space="0" w:color="000000"/>
              <w:bottom w:val="single" w:sz="6" w:space="0" w:color="000000"/>
            </w:tcBorders>
            <w:tcMar>
              <w:top w:w="0" w:type="dxa"/>
              <w:right w:w="0" w:type="dxa"/>
            </w:tcMar>
            <w:vAlign w:val="center"/>
          </w:tcPr>
          <w:p>
            <w:pPr>
              <w:pStyle w:val="TableContents"/>
              <w:bidi w:val="0"/>
              <w:spacing w:before="0" w:after="0"/>
              <w:ind w:left="0" w:right="0" w:hanging="0"/>
              <w:jc w:val="left"/>
              <w:rPr/>
            </w:pPr>
            <w:r>
              <w:rPr/>
              <w:t> </w:t>
            </w:r>
          </w:p>
        </w:tc>
        <w:tc>
          <w:tcPr>
            <w:tcW w:w="91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$28,514.25</w:t>
            </w:r>
          </w:p>
        </w:tc>
        <w:tc>
          <w:tcPr>
            <w:tcW w:w="146" w:type="dxa"/>
            <w:tcBorders>
              <w:left w:val="single" w:sz="6" w:space="0" w:color="000000"/>
              <w:bottom w:val="single" w:sz="6" w:space="0" w:color="000000"/>
            </w:tcBorders>
            <w:tcMar>
              <w:top w:w="0" w:type="dxa"/>
              <w:right w:w="0" w:type="dxa"/>
            </w:tcMar>
            <w:vAlign w:val="center"/>
          </w:tcPr>
          <w:p>
            <w:pPr>
              <w:pStyle w:val="TableContents"/>
              <w:bidi w:val="0"/>
              <w:spacing w:before="0" w:after="0"/>
              <w:ind w:left="0" w:right="0" w:hanging="0"/>
              <w:jc w:val="left"/>
              <w:rPr/>
            </w:pPr>
            <w:r>
              <w:rPr/>
              <w:t> </w:t>
            </w:r>
          </w:p>
        </w:tc>
        <w:tc>
          <w:tcPr>
            <w:tcW w:w="57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left w:val="single" w:sz="6" w:space="0" w:color="000000"/>
              <w:bottom w:val="single" w:sz="6" w:space="0" w:color="000000"/>
            </w:tcBorders>
            <w:tcMar>
              <w:top w:w="0" w:type="dxa"/>
              <w:right w:w="0" w:type="dxa"/>
            </w:tcMar>
            <w:vAlign w:val="center"/>
          </w:tcPr>
          <w:p>
            <w:pPr>
              <w:pStyle w:val="TableContents"/>
              <w:bidi w:val="0"/>
              <w:spacing w:before="0" w:after="0"/>
              <w:ind w:left="0" w:right="0" w:hanging="0"/>
              <w:jc w:val="left"/>
              <w:rPr/>
            </w:pPr>
            <w:r>
              <w:rPr/>
              <w:t> </w:t>
            </w:r>
          </w:p>
        </w:tc>
        <w:tc>
          <w:tcPr>
            <w:tcW w:w="57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left w:val="single" w:sz="6" w:space="0" w:color="000000"/>
              <w:bottom w:val="single" w:sz="6" w:space="0" w:color="000000"/>
            </w:tcBorders>
            <w:tcMar>
              <w:top w:w="0" w:type="dxa"/>
              <w:right w:w="0" w:type="dxa"/>
            </w:tcMar>
            <w:vAlign w:val="center"/>
          </w:tcPr>
          <w:p>
            <w:pPr>
              <w:pStyle w:val="TableContents"/>
              <w:bidi w:val="0"/>
              <w:spacing w:before="0" w:after="0"/>
              <w:ind w:left="0" w:right="0" w:hanging="0"/>
              <w:jc w:val="left"/>
              <w:rPr/>
            </w:pPr>
            <w:r>
              <w:rPr/>
              <w:t> </w:t>
            </w:r>
          </w:p>
        </w:tc>
        <w:tc>
          <w:tcPr>
            <w:tcW w:w="60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left w:val="single" w:sz="6" w:space="0" w:color="000000"/>
              <w:bottom w:val="single" w:sz="6" w:space="0" w:color="000000"/>
            </w:tcBorders>
            <w:tcMar>
              <w:top w:w="0" w:type="dxa"/>
              <w:right w:w="0" w:type="dxa"/>
            </w:tcMar>
            <w:vAlign w:val="center"/>
          </w:tcPr>
          <w:p>
            <w:pPr>
              <w:pStyle w:val="TableContents"/>
              <w:bidi w:val="0"/>
              <w:spacing w:before="0" w:after="0"/>
              <w:ind w:left="0" w:right="0" w:hanging="0"/>
              <w:jc w:val="left"/>
              <w:rPr/>
            </w:pPr>
            <w:r>
              <w:rPr/>
              <w:t> </w:t>
            </w:r>
          </w:p>
        </w:tc>
        <w:tc>
          <w:tcPr>
            <w:tcW w:w="826" w:type="dxa"/>
            <w:tcBorders>
              <w:bottom w:val="single" w:sz="6" w:space="0" w:color="000000"/>
              <w:right w:val="single" w:sz="6" w:space="0" w:color="000000"/>
            </w:tcBorders>
            <w:tcMar>
              <w:top w:w="0" w:type="dxa"/>
              <w:left w:w="0" w:type="dxa"/>
              <w:right w:w="48"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b w:val="false"/>
          <w:sz w:val="16"/>
        </w:rPr>
      </w:pPr>
      <w:r>
        <w:rPr>
          <w:rFonts w:ascii="Times New Roman" w:hAnsi="Times New Roman"/>
          <w:b w:val="false"/>
          <w:sz w:val="16"/>
        </w:rPr>
        <w:t>(1)</w:t>
      </w:r>
    </w:p>
    <w:p>
      <w:pPr>
        <w:pStyle w:val="TextBody"/>
        <w:bidi w:val="0"/>
        <w:spacing w:before="240" w:after="0"/>
        <w:jc w:val="left"/>
        <w:rPr>
          <w:rFonts w:ascii="Times New Roman;serif" w:hAnsi="Times New Roman;serif"/>
          <w:b w:val="false"/>
          <w:sz w:val="16"/>
        </w:rPr>
      </w:pPr>
      <w:r>
        <w:rPr>
          <w:rFonts w:ascii="Times New Roman;serif" w:hAnsi="Times New Roman;serif"/>
          <w:b w:val="false"/>
          <w:sz w:val="16"/>
        </w:rPr>
        <w:t>Includes 450,000 shares of common stock issuable upon exercise of the underwriters’ option to purchase additional shares of common stock.</w:t>
      </w:r>
    </w:p>
    <w:p>
      <w:pPr>
        <w:pStyle w:val="TextBody"/>
        <w:bidi w:val="0"/>
        <w:spacing w:before="240" w:after="0"/>
        <w:jc w:val="left"/>
        <w:rPr>
          <w:rFonts w:ascii="Times New Roman" w:hAnsi="Times New Roman"/>
          <w:b w:val="false"/>
          <w:sz w:val="16"/>
        </w:rPr>
      </w:pPr>
      <w:r>
        <w:rPr>
          <w:rFonts w:ascii="Times New Roman" w:hAnsi="Times New Roman"/>
          <w:b w:val="false"/>
          <w:sz w:val="16"/>
        </w:rPr>
        <w:t>(1)</w:t>
      </w:r>
    </w:p>
    <w:p>
      <w:pPr>
        <w:pStyle w:val="TextBody"/>
        <w:bidi w:val="0"/>
        <w:spacing w:before="240" w:after="0"/>
        <w:jc w:val="left"/>
        <w:rPr>
          <w:rFonts w:ascii="Times New Roman;serif" w:hAnsi="Times New Roman;serif"/>
          <w:b w:val="false"/>
          <w:sz w:val="16"/>
        </w:rPr>
      </w:pPr>
      <w:r>
        <w:rPr>
          <w:rFonts w:ascii="Times New Roman;serif" w:hAnsi="Times New Roman;serif"/>
          <w:b w:val="false"/>
          <w:sz w:val="16"/>
        </w:rPr>
        <w:t>Calculated in accordance with 457(r) under the Securities Act of 1933, as amended. In accordance with Rules 456(b) and 457(r) of the Securities Act of 1933, as amended, the registrant initially deferred payment of all of the registration fees for Registration Statement on Form S-3ASR No. 333-268664 filed by the registrant on December 2, 2022.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579428/000095017023004728/axsm-20221231.htm" TargetMode="External"/><Relationship Id="rId4" Type="http://schemas.openxmlformats.org/officeDocument/2006/relationships/hyperlink" Target="https://www.sec.gov/ix?doc=/Archives/edgar/data/1579428/000095017023004728/axsm-20221231.htm" TargetMode="External"/><Relationship Id="rId5" Type="http://schemas.openxmlformats.org/officeDocument/2006/relationships/hyperlink" Target="https://www.sec.gov/ix?doc=/Archives/edgar/data/0001579428/000095017023013882/axsm-20230421.htm" TargetMode="External"/><Relationship Id="rId6" Type="http://schemas.openxmlformats.org/officeDocument/2006/relationships/hyperlink" Target="https://www.sec.gov/ix?doc=/Archives/edgar/data/0001579428/000095017023018976/axsm-20230331.htm" TargetMode="External"/><Relationship Id="rId7" Type="http://schemas.openxmlformats.org/officeDocument/2006/relationships/hyperlink" Target="https://www.sec.gov/ix?doc=/Archives/edgar/data/0001579428/000095017023000427/axsm-20230109.htm" TargetMode="External"/><Relationship Id="rId8" Type="http://schemas.openxmlformats.org/officeDocument/2006/relationships/hyperlink" Target="https://www.sec.gov/ix?doc=/Archives/edgar/data/0001579428/000095017023000427/axsm-20230109.htm" TargetMode="External"/><Relationship Id="rId9" Type="http://schemas.openxmlformats.org/officeDocument/2006/relationships/hyperlink" Target="https://www.sec.gov/ix?doc=/Archives/edgar/data/0001579428/000095017023003568/axsm-20230221.htm" TargetMode="External"/><Relationship Id="rId10" Type="http://schemas.openxmlformats.org/officeDocument/2006/relationships/hyperlink" Target="https://www.sec.gov/ix?doc=/Archives/edgar/data/0001579428/000095017023027059/axsm-20230602.htm" TargetMode="External"/><Relationship Id="rId11" Type="http://schemas.openxmlformats.org/officeDocument/2006/relationships/hyperlink" Target="https://www.sec.gov/ix?doc=/Archives/edgar/data/1579428/000095017023027770/axsm-20230613.htm" TargetMode="External"/><Relationship Id="rId12" Type="http://schemas.openxmlformats.org/officeDocument/2006/relationships/hyperlink" Target="https://www.sec.gov/ix?doc=/Archives/edgar/data/1579428/000095017023029901/axsm-20230622.htm" TargetMode="External"/><Relationship Id="rId13" Type="http://schemas.openxmlformats.org/officeDocument/2006/relationships/hyperlink" Target="https://www.sec.gov/Archives/edgar/data/1579428/000110465915079272/a15-17626_68a12b.htm" TargetMode="External"/><Relationship Id="rId14" Type="http://schemas.openxmlformats.org/officeDocument/2006/relationships/image" Target="media/image2.jpeg"/><Relationship Id="rId15" Type="http://schemas.openxmlformats.org/officeDocument/2006/relationships/hyperlink" Target="https://www.sec.gov/ix?doc=/Archives/edgar/data/0001579428/000095017022002568/axsm-20211231.htm" TargetMode="External"/><Relationship Id="rId16" Type="http://schemas.openxmlformats.org/officeDocument/2006/relationships/hyperlink" Target="https://www.sec.gov/Archives/edgar/data/1579428/000095017022006020/axsm_2022_proxy_4.xx.22_.htm" TargetMode="External"/><Relationship Id="rId17" Type="http://schemas.openxmlformats.org/officeDocument/2006/relationships/hyperlink" Target="https://www.sec.gov/ix?doc=/Archives/edgar/data/0001579428/000095017022006901/axsm-20220331.htm" TargetMode="External"/><Relationship Id="rId18" Type="http://schemas.openxmlformats.org/officeDocument/2006/relationships/hyperlink" Target="https://www.sec.gov/ix?doc=/Archives/edgar/data/0001579428/000095017022016143/axsm-20220630.htm" TargetMode="External"/><Relationship Id="rId19" Type="http://schemas.openxmlformats.org/officeDocument/2006/relationships/hyperlink" Target="https://www.sec.gov/ix?doc=/Archives/edgar/data/1579428/000095017022022710/axsm-20220930.htm" TargetMode="External"/><Relationship Id="rId20" Type="http://schemas.openxmlformats.org/officeDocument/2006/relationships/hyperlink" Target="https://www.sec.gov/ix?doc=/Archives/edgar/data/0001579428/000095017022000347/axsm-20220118.htm" TargetMode="External"/><Relationship Id="rId21" Type="http://schemas.openxmlformats.org/officeDocument/2006/relationships/hyperlink" Target="https://www.sec.gov/ix?doc=/Archives/edgar/data/0001579428/000095017022000827/axsm-20220207.htm" TargetMode="External"/><Relationship Id="rId22" Type="http://schemas.openxmlformats.org/officeDocument/2006/relationships/hyperlink" Target="https://www.sec.gov/ix?doc=/Archives/edgar/data/0001579428/000095017022002576/axsm-20220301.htm" TargetMode="External"/><Relationship Id="rId23" Type="http://schemas.openxmlformats.org/officeDocument/2006/relationships/hyperlink" Target="https://www.sec.gov/Archives/edgar/data/0001579428/000095017022004722/axsm-20220325.htm" TargetMode="External"/><Relationship Id="rId24" Type="http://schemas.openxmlformats.org/officeDocument/2006/relationships/hyperlink" Target="https://www.sec.gov/ix?doc=/Archives/edgar/data/1579428/000095017022005231/axsm-20220325.htm" TargetMode="External"/><Relationship Id="rId25" Type="http://schemas.openxmlformats.org/officeDocument/2006/relationships/hyperlink" Target="https://www.sec.gov/ix?doc=/Archives/edgar/data/0001579428/000095017022005776/axsm-20220419.htm" TargetMode="External"/><Relationship Id="rId26" Type="http://schemas.openxmlformats.org/officeDocument/2006/relationships/hyperlink" Target="https://www.sec.gov/ix?doc=/Archives/edgar/data/0001579428/000095017022006038/axsm-20220422.htm" TargetMode="External"/><Relationship Id="rId27" Type="http://schemas.openxmlformats.org/officeDocument/2006/relationships/hyperlink" Target="https://www.sec.gov/ix?doc=/Archives/edgar/data/0001579428/000095017022006770/axsm-20220429.htm" TargetMode="External"/><Relationship Id="rId28" Type="http://schemas.openxmlformats.org/officeDocument/2006/relationships/hyperlink" Target="https://www.sec.gov/ix?doc=/Archives/edgar/data/0001579428/000119312522144265/d334684d8k.htm" TargetMode="External"/><Relationship Id="rId29" Type="http://schemas.openxmlformats.org/officeDocument/2006/relationships/hyperlink" Target="https://www.sec.gov/ix?doc=/Archives/edgar/data/0001579428/000095017022010230/axsm-20220518.htm" TargetMode="External"/><Relationship Id="rId30" Type="http://schemas.openxmlformats.org/officeDocument/2006/relationships/hyperlink" Target="https://www.sec.gov/ix?doc=/Archives/edgar/data/0001579428/000095017022010892/axsm-20220531.htm" TargetMode="External"/><Relationship Id="rId31" Type="http://schemas.openxmlformats.org/officeDocument/2006/relationships/hyperlink" Target="https://www.sec.gov/ix?doc=/Archives/edgar/data/0001579428/000095017022010980/axsm-20220601.htm" TargetMode="External"/><Relationship Id="rId32" Type="http://schemas.openxmlformats.org/officeDocument/2006/relationships/hyperlink" Target="https://www.sec.gov/ix?doc=/Archives/edgar/data/0001579428/000095017022011048/axsm-20220602.htm" TargetMode="External"/><Relationship Id="rId33" Type="http://schemas.openxmlformats.org/officeDocument/2006/relationships/hyperlink" Target="https://www.sec.gov/ix?doc=/Archives/edgar/data/1579428/000095017022011269/axsm-20220603.htm" TargetMode="External"/><Relationship Id="rId34" Type="http://schemas.openxmlformats.org/officeDocument/2006/relationships/hyperlink" Target="https://www.sec.gov/ix?doc=/Archives/edgar/data/0001579428/000095017022012137/axsm-20220624.htm" TargetMode="External"/><Relationship Id="rId35" Type="http://schemas.openxmlformats.org/officeDocument/2006/relationships/hyperlink" Target="https://www.sec.gov/ix?doc=/Archives/edgar/data/0001579428/000095017022012281/axsm-20220628.htm" TargetMode="External"/><Relationship Id="rId36" Type="http://schemas.openxmlformats.org/officeDocument/2006/relationships/hyperlink" Target="https://www.sec.gov/ix?doc=/Archives/edgar/data/0001579428/000095017022012884/axsm-20220509.htm" TargetMode="External"/><Relationship Id="rId37" Type="http://schemas.openxmlformats.org/officeDocument/2006/relationships/hyperlink" Target="https://www.sec.gov/Archives/edgar/data/0001579428/000095017022015740/axsm-20220809.htm" TargetMode="External"/><Relationship Id="rId38" Type="http://schemas.openxmlformats.org/officeDocument/2006/relationships/hyperlink" Target="https://www.sec.gov/ix?doc=/Archives/edgar/data/1579428/000119312522224610/d367288d8k.htm" TargetMode="External"/><Relationship Id="rId39" Type="http://schemas.openxmlformats.org/officeDocument/2006/relationships/hyperlink" Target="https://www.sec.gov/Archives/edgar/data/0001579428/000119312522225573/d394428d8k.htm" TargetMode="External"/><Relationship Id="rId40" Type="http://schemas.openxmlformats.org/officeDocument/2006/relationships/hyperlink" Target="https://www.sec.gov/ix?doc=/Archives/edgar/data/1579428/000095017022017665/axsm-20220819.htm" TargetMode="External"/><Relationship Id="rId41" Type="http://schemas.openxmlformats.org/officeDocument/2006/relationships/hyperlink" Target="https://www.sec.gov/ix?doc=/Archives/edgar/data/1579428/000095017022018036/axsm-20220901.htm" TargetMode="External"/><Relationship Id="rId42" Type="http://schemas.openxmlformats.org/officeDocument/2006/relationships/hyperlink" Target="https://www.sec.gov/ix?doc=/Archives/edgar/data/1579428/000095017022018238/axsm-20220908.htm" TargetMode="External"/><Relationship Id="rId43" Type="http://schemas.openxmlformats.org/officeDocument/2006/relationships/hyperlink" Target="https://www.sec.gov/ix?doc=/Archives/edgar/data/1579428/000095017022018989/axsm-20220929.htm" TargetMode="External"/><Relationship Id="rId44" Type="http://schemas.openxmlformats.org/officeDocument/2006/relationships/hyperlink" Target="https://www.sec.gov/ix?doc=/Archives/edgar/data/1579428/000095017022019151/axsm-20221003.htm" TargetMode="External"/><Relationship Id="rId45" Type="http://schemas.openxmlformats.org/officeDocument/2006/relationships/hyperlink" Target="https://www.sec.gov/ix?doc=/Archives/edgar/data/1579428/000095017022019762/axsm-20221020.htm" TargetMode="External"/><Relationship Id="rId46" Type="http://schemas.openxmlformats.org/officeDocument/2006/relationships/hyperlink" Target="https://www.sec.gov/Archives/edgar/data/0001579428/000095017022025086/axsm-20221114.htm" TargetMode="External"/><Relationship Id="rId47" Type="http://schemas.openxmlformats.org/officeDocument/2006/relationships/hyperlink" Target="https://www.sec.gov/ix?doc=/Archives/edgar/data/1579428/000095017022025706/axsm-20221128.htm" TargetMode="External"/><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24634</Words>
  <Characters>130640</Characters>
  <CharactersWithSpaces>154981</CharactersWithSpaces>
  <Paragraphs>1896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