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620395</wp:posOffset>
            </wp:positionH>
            <wp:positionV relativeFrom="page">
              <wp:posOffset>149860</wp:posOffset>
            </wp:positionV>
            <wp:extent cx="630809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8090" cy="30480"/>
                    </a:xfrm>
                    <a:prstGeom prst="rect">
                      <a:avLst/>
                    </a:prstGeom>
                    <a:noFill/>
                  </pic:spPr>
                </pic:pic>
              </a:graphicData>
            </a:graphic>
          </wp:anchor>
        </w:drawing>
        <w:drawing>
          <wp:anchor simplePos="0" relativeHeight="251657728" behindDoc="1" locked="0" layoutInCell="0" allowOverlap="1">
            <wp:simplePos x="0" y="0"/>
            <wp:positionH relativeFrom="page">
              <wp:posOffset>620395</wp:posOffset>
            </wp:positionH>
            <wp:positionV relativeFrom="page">
              <wp:posOffset>187960</wp:posOffset>
            </wp:positionV>
            <wp:extent cx="63080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8090" cy="7620"/>
                    </a:xfrm>
                    <a:prstGeom prst="rect">
                      <a:avLst/>
                    </a:prstGeom>
                    <a:noFill/>
                  </pic:spPr>
                </pic:pic>
              </a:graphicData>
            </a:graphic>
          </wp:anchor>
        </w:drawing>
        <w:t>UNITED STATES</w:t>
      </w:r>
    </w:p>
    <w:p>
      <w:pPr>
        <w:jc w:val="center"/>
        <w:ind w:right="-81"/>
        <w:spacing w:after="0" w:line="211"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81"/>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111125</wp:posOffset>
            </wp:positionV>
            <wp:extent cx="157924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9245" cy="15240"/>
                    </a:xfrm>
                    <a:prstGeom prst="rect">
                      <a:avLst/>
                    </a:prstGeom>
                    <a:noFill/>
                  </pic:spPr>
                </pic:pic>
              </a:graphicData>
            </a:graphic>
          </wp:anchor>
        </w:drawing>
      </w:r>
    </w:p>
    <w:p>
      <w:pPr>
        <w:spacing w:after="0" w:line="323" w:lineRule="exact"/>
        <w:rPr>
          <w:sz w:val="24"/>
          <w:szCs w:val="24"/>
          <w:color w:val="auto"/>
        </w:rPr>
      </w:pPr>
    </w:p>
    <w:p>
      <w:pPr>
        <w:jc w:val="center"/>
        <w:ind w:right="-81"/>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15792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338" w:lineRule="exact"/>
        <w:rPr>
          <w:sz w:val="24"/>
          <w:szCs w:val="24"/>
          <w:color w:val="auto"/>
        </w:rPr>
      </w:pPr>
    </w:p>
    <w:p>
      <w:pPr>
        <w:jc w:val="center"/>
        <w:ind w:right="-81"/>
        <w:spacing w:after="0"/>
        <w:rPr>
          <w:sz w:val="20"/>
          <w:szCs w:val="20"/>
          <w:color w:val="auto"/>
        </w:rPr>
      </w:pPr>
      <w:r>
        <w:rPr>
          <w:rFonts w:ascii="Arial" w:cs="Arial" w:eastAsia="Arial" w:hAnsi="Arial"/>
          <w:sz w:val="19"/>
          <w:szCs w:val="19"/>
          <w:b w:val="1"/>
          <w:bCs w:val="1"/>
          <w:color w:val="auto"/>
        </w:rPr>
        <w:t>CURRENT REPORT</w:t>
      </w:r>
    </w:p>
    <w:p>
      <w:pPr>
        <w:jc w:val="center"/>
        <w:ind w:right="-81"/>
        <w:spacing w:after="0" w:line="211" w:lineRule="auto"/>
        <w:rPr>
          <w:sz w:val="20"/>
          <w:szCs w:val="20"/>
          <w:color w:val="auto"/>
        </w:rPr>
      </w:pPr>
      <w:r>
        <w:rPr>
          <w:rFonts w:ascii="Arial" w:cs="Arial" w:eastAsia="Arial" w:hAnsi="Arial"/>
          <w:sz w:val="19"/>
          <w:szCs w:val="19"/>
          <w:b w:val="1"/>
          <w:bCs w:val="1"/>
          <w:color w:val="auto"/>
        </w:rPr>
        <w:t>Pursuant to Section 13 or 15(D)</w:t>
      </w:r>
    </w:p>
    <w:p>
      <w:pPr>
        <w:jc w:val="center"/>
        <w:ind w:right="-81"/>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47" w:lineRule="exact"/>
        <w:rPr>
          <w:sz w:val="24"/>
          <w:szCs w:val="24"/>
          <w:color w:val="auto"/>
        </w:rPr>
      </w:pPr>
    </w:p>
    <w:p>
      <w:pPr>
        <w:jc w:val="center"/>
        <w:ind w:right="-81"/>
        <w:spacing w:after="0"/>
        <w:rPr>
          <w:sz w:val="20"/>
          <w:szCs w:val="20"/>
          <w:color w:val="auto"/>
        </w:rPr>
      </w:pPr>
      <w:r>
        <w:rPr>
          <w:rFonts w:ascii="Arial" w:cs="Arial" w:eastAsia="Arial" w:hAnsi="Arial"/>
          <w:sz w:val="16"/>
          <w:szCs w:val="16"/>
          <w:b w:val="1"/>
          <w:bCs w:val="1"/>
          <w:color w:val="auto"/>
        </w:rPr>
        <w:t>May 8, 2020</w:t>
      </w:r>
    </w:p>
    <w:p>
      <w:pPr>
        <w:jc w:val="center"/>
        <w:ind w:right="-81"/>
        <w:spacing w:after="0"/>
        <w:rPr>
          <w:sz w:val="20"/>
          <w:szCs w:val="20"/>
          <w:color w:val="auto"/>
        </w:rPr>
      </w:pPr>
      <w:r>
        <w:rPr>
          <w:rFonts w:ascii="Arial" w:cs="Arial" w:eastAsia="Arial" w:hAnsi="Arial"/>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111125</wp:posOffset>
            </wp:positionV>
            <wp:extent cx="15792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303" w:lineRule="exact"/>
        <w:rPr>
          <w:sz w:val="24"/>
          <w:szCs w:val="24"/>
          <w:color w:val="auto"/>
        </w:rPr>
      </w:pPr>
    </w:p>
    <w:p>
      <w:pPr>
        <w:jc w:val="center"/>
        <w:ind w:right="-81"/>
        <w:spacing w:after="0"/>
        <w:rPr>
          <w:sz w:val="20"/>
          <w:szCs w:val="20"/>
          <w:color w:val="auto"/>
        </w:rPr>
      </w:pPr>
      <w:r>
        <w:rPr>
          <w:rFonts w:ascii="Arial" w:cs="Arial" w:eastAsia="Arial" w:hAnsi="Arial"/>
          <w:sz w:val="29"/>
          <w:szCs w:val="29"/>
          <w:b w:val="1"/>
          <w:bCs w:val="1"/>
          <w:color w:val="auto"/>
        </w:rPr>
        <w:t>Axsome Therapeutics, Inc.</w:t>
      </w:r>
    </w:p>
    <w:p>
      <w:pPr>
        <w:jc w:val="center"/>
        <w:ind w:right="-81"/>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111125</wp:posOffset>
            </wp:positionV>
            <wp:extent cx="157924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9245" cy="15240"/>
                    </a:xfrm>
                    <a:prstGeom prst="rect">
                      <a:avLst/>
                    </a:prstGeom>
                    <a:noFill/>
                  </pic:spPr>
                </pic:pic>
              </a:graphicData>
            </a:graphic>
          </wp:anchor>
        </w:drawing>
      </w:r>
    </w:p>
    <w:p>
      <w:pPr>
        <w:spacing w:after="0" w:line="319" w:lineRule="exact"/>
        <w:rPr>
          <w:sz w:val="24"/>
          <w:szCs w:val="24"/>
          <w:color w:val="auto"/>
        </w:rPr>
      </w:pPr>
    </w:p>
    <w:tbl>
      <w:tblPr>
        <w:tblLayout w:type="fixed"/>
        <w:tblInd w:w="762" w:type="dxa"/>
        <w:tblCellMar>
          <w:top w:w="0" w:type="dxa"/>
          <w:left w:w="0" w:type="dxa"/>
          <w:bottom w:w="0" w:type="dxa"/>
          <w:right w:w="0" w:type="dxa"/>
        </w:tblCellMar>
      </w:tblPr>
      <w:tr>
        <w:trPr>
          <w:trHeight w:val="184"/>
        </w:trPr>
        <w:tc>
          <w:tcPr>
            <w:tcW w:w="3360" w:type="dxa"/>
            <w:vAlign w:val="bottom"/>
          </w:tcPr>
          <w:p>
            <w:pPr>
              <w:jc w:val="center"/>
              <w:ind w:right="1600"/>
              <w:spacing w:after="0"/>
              <w:rPr>
                <w:sz w:val="20"/>
                <w:szCs w:val="20"/>
                <w:color w:val="auto"/>
              </w:rPr>
            </w:pPr>
            <w:r>
              <w:rPr>
                <w:rFonts w:ascii="Arial" w:cs="Arial" w:eastAsia="Arial" w:hAnsi="Arial"/>
                <w:sz w:val="16"/>
                <w:szCs w:val="16"/>
                <w:b w:val="1"/>
                <w:bCs w:val="1"/>
                <w:color w:val="auto"/>
                <w:w w:val="91"/>
              </w:rPr>
              <w:t>Delaware</w:t>
            </w:r>
          </w:p>
        </w:tc>
        <w:tc>
          <w:tcPr>
            <w:tcW w:w="2160" w:type="dxa"/>
            <w:vAlign w:val="bottom"/>
          </w:tcPr>
          <w:p>
            <w:pPr>
              <w:jc w:val="center"/>
              <w:ind w:right="380"/>
              <w:spacing w:after="0"/>
              <w:rPr>
                <w:sz w:val="20"/>
                <w:szCs w:val="20"/>
                <w:color w:val="auto"/>
              </w:rPr>
            </w:pPr>
            <w:r>
              <w:rPr>
                <w:rFonts w:ascii="Arial" w:cs="Arial" w:eastAsia="Arial" w:hAnsi="Arial"/>
                <w:sz w:val="16"/>
                <w:szCs w:val="16"/>
                <w:b w:val="1"/>
                <w:bCs w:val="1"/>
                <w:color w:val="auto"/>
                <w:w w:val="91"/>
              </w:rPr>
              <w:t>001-37635</w:t>
            </w:r>
          </w:p>
        </w:tc>
        <w:tc>
          <w:tcPr>
            <w:tcW w:w="2660" w:type="dxa"/>
            <w:vAlign w:val="bottom"/>
          </w:tcPr>
          <w:p>
            <w:pPr>
              <w:jc w:val="center"/>
              <w:ind w:left="1380"/>
              <w:spacing w:after="0"/>
              <w:rPr>
                <w:sz w:val="20"/>
                <w:szCs w:val="20"/>
                <w:color w:val="auto"/>
              </w:rPr>
            </w:pPr>
            <w:r>
              <w:rPr>
                <w:rFonts w:ascii="Arial" w:cs="Arial" w:eastAsia="Arial" w:hAnsi="Arial"/>
                <w:sz w:val="16"/>
                <w:szCs w:val="16"/>
                <w:b w:val="1"/>
                <w:bCs w:val="1"/>
                <w:color w:val="auto"/>
                <w:w w:val="88"/>
              </w:rPr>
              <w:t>45-4241907</w:t>
            </w:r>
          </w:p>
        </w:tc>
        <w:tc>
          <w:tcPr>
            <w:tcW w:w="0" w:type="dxa"/>
            <w:vAlign w:val="bottom"/>
          </w:tcPr>
          <w:p>
            <w:pPr>
              <w:spacing w:after="0"/>
              <w:rPr>
                <w:sz w:val="1"/>
                <w:szCs w:val="1"/>
                <w:color w:val="auto"/>
              </w:rPr>
            </w:pPr>
          </w:p>
        </w:tc>
      </w:tr>
      <w:tr>
        <w:trPr>
          <w:trHeight w:val="156"/>
        </w:trPr>
        <w:tc>
          <w:tcPr>
            <w:tcW w:w="3360" w:type="dxa"/>
            <w:vAlign w:val="bottom"/>
          </w:tcPr>
          <w:p>
            <w:pPr>
              <w:jc w:val="center"/>
              <w:ind w:right="1600"/>
              <w:spacing w:after="0" w:line="156" w:lineRule="exact"/>
              <w:rPr>
                <w:sz w:val="20"/>
                <w:szCs w:val="20"/>
                <w:color w:val="auto"/>
              </w:rPr>
            </w:pPr>
            <w:r>
              <w:rPr>
                <w:rFonts w:ascii="Arial" w:cs="Arial" w:eastAsia="Arial" w:hAnsi="Arial"/>
                <w:sz w:val="16"/>
                <w:szCs w:val="16"/>
                <w:color w:val="auto"/>
                <w:w w:val="92"/>
              </w:rPr>
              <w:t>(State or other jurisdiction</w:t>
            </w:r>
          </w:p>
        </w:tc>
        <w:tc>
          <w:tcPr>
            <w:tcW w:w="2160" w:type="dxa"/>
            <w:vAlign w:val="bottom"/>
          </w:tcPr>
          <w:p>
            <w:pPr>
              <w:jc w:val="center"/>
              <w:ind w:right="380"/>
              <w:spacing w:after="0" w:line="156" w:lineRule="exact"/>
              <w:rPr>
                <w:sz w:val="20"/>
                <w:szCs w:val="20"/>
                <w:color w:val="auto"/>
              </w:rPr>
            </w:pPr>
            <w:r>
              <w:rPr>
                <w:rFonts w:ascii="Arial" w:cs="Arial" w:eastAsia="Arial" w:hAnsi="Arial"/>
                <w:sz w:val="16"/>
                <w:szCs w:val="16"/>
                <w:color w:val="auto"/>
                <w:w w:val="92"/>
              </w:rPr>
              <w:t>(Commission</w:t>
            </w:r>
          </w:p>
        </w:tc>
        <w:tc>
          <w:tcPr>
            <w:tcW w:w="2660" w:type="dxa"/>
            <w:vAlign w:val="bottom"/>
          </w:tcPr>
          <w:p>
            <w:pPr>
              <w:jc w:val="center"/>
              <w:ind w:left="1380"/>
              <w:spacing w:after="0" w:line="156" w:lineRule="exact"/>
              <w:rPr>
                <w:sz w:val="20"/>
                <w:szCs w:val="20"/>
                <w:color w:val="auto"/>
              </w:rPr>
            </w:pPr>
            <w:r>
              <w:rPr>
                <w:rFonts w:ascii="Arial" w:cs="Arial" w:eastAsia="Arial" w:hAnsi="Arial"/>
                <w:sz w:val="16"/>
                <w:szCs w:val="16"/>
                <w:color w:val="auto"/>
                <w:w w:val="92"/>
              </w:rPr>
              <w:t>(IRS Employer</w:t>
            </w:r>
          </w:p>
        </w:tc>
        <w:tc>
          <w:tcPr>
            <w:tcW w:w="0" w:type="dxa"/>
            <w:vAlign w:val="bottom"/>
          </w:tcPr>
          <w:p>
            <w:pPr>
              <w:spacing w:after="0"/>
              <w:rPr>
                <w:sz w:val="1"/>
                <w:szCs w:val="1"/>
                <w:color w:val="auto"/>
              </w:rPr>
            </w:pPr>
          </w:p>
        </w:tc>
      </w:tr>
      <w:tr>
        <w:trPr>
          <w:trHeight w:val="205"/>
        </w:trPr>
        <w:tc>
          <w:tcPr>
            <w:tcW w:w="3360" w:type="dxa"/>
            <w:vAlign w:val="bottom"/>
          </w:tcPr>
          <w:p>
            <w:pPr>
              <w:jc w:val="center"/>
              <w:ind w:right="1620"/>
              <w:spacing w:after="0"/>
              <w:rPr>
                <w:sz w:val="20"/>
                <w:szCs w:val="20"/>
                <w:color w:val="auto"/>
              </w:rPr>
            </w:pPr>
            <w:r>
              <w:rPr>
                <w:rFonts w:ascii="Arial" w:cs="Arial" w:eastAsia="Arial" w:hAnsi="Arial"/>
                <w:sz w:val="16"/>
                <w:szCs w:val="16"/>
                <w:color w:val="auto"/>
                <w:w w:val="95"/>
              </w:rPr>
              <w:t>of incorporation)</w:t>
            </w:r>
          </w:p>
        </w:tc>
        <w:tc>
          <w:tcPr>
            <w:tcW w:w="2160" w:type="dxa"/>
            <w:vAlign w:val="bottom"/>
          </w:tcPr>
          <w:p>
            <w:pPr>
              <w:jc w:val="center"/>
              <w:ind w:right="380"/>
              <w:spacing w:after="0"/>
              <w:rPr>
                <w:sz w:val="20"/>
                <w:szCs w:val="20"/>
                <w:color w:val="auto"/>
              </w:rPr>
            </w:pPr>
            <w:r>
              <w:rPr>
                <w:rFonts w:ascii="Arial" w:cs="Arial" w:eastAsia="Arial" w:hAnsi="Arial"/>
                <w:sz w:val="16"/>
                <w:szCs w:val="16"/>
                <w:color w:val="auto"/>
                <w:w w:val="92"/>
              </w:rPr>
              <w:t>File Number)</w:t>
            </w:r>
          </w:p>
        </w:tc>
        <w:tc>
          <w:tcPr>
            <w:tcW w:w="2660" w:type="dxa"/>
            <w:vAlign w:val="bottom"/>
          </w:tcPr>
          <w:p>
            <w:pPr>
              <w:jc w:val="center"/>
              <w:ind w:left="138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216"/>
        </w:trPr>
        <w:tc>
          <w:tcPr>
            <w:tcW w:w="3360" w:type="dxa"/>
            <w:vAlign w:val="bottom"/>
          </w:tcPr>
          <w:p>
            <w:pPr>
              <w:jc w:val="center"/>
              <w:spacing w:after="0"/>
              <w:rPr>
                <w:sz w:val="20"/>
                <w:szCs w:val="20"/>
                <w:color w:val="auto"/>
              </w:rPr>
            </w:pPr>
            <w:r>
              <w:rPr>
                <w:rFonts w:ascii="Arial" w:cs="Arial" w:eastAsia="Arial" w:hAnsi="Arial"/>
                <w:sz w:val="16"/>
                <w:szCs w:val="16"/>
                <w:b w:val="1"/>
                <w:bCs w:val="1"/>
                <w:color w:val="auto"/>
                <w:w w:val="91"/>
              </w:rPr>
              <w:t>200 Broadway, 3rd Floor</w:t>
            </w:r>
          </w:p>
        </w:tc>
        <w:tc>
          <w:tcPr>
            <w:tcW w:w="2160" w:type="dxa"/>
            <w:vAlign w:val="bottom"/>
          </w:tcPr>
          <w:p>
            <w:pPr>
              <w:spacing w:after="0"/>
              <w:rPr>
                <w:sz w:val="18"/>
                <w:szCs w:val="18"/>
                <w:color w:val="auto"/>
              </w:rPr>
            </w:pPr>
          </w:p>
        </w:tc>
        <w:tc>
          <w:tcPr>
            <w:tcW w:w="2660" w:type="dxa"/>
            <w:vAlign w:val="bottom"/>
            <w:vMerge w:val="restart"/>
          </w:tcPr>
          <w:p>
            <w:pPr>
              <w:jc w:val="right"/>
              <w:ind w:right="1160"/>
              <w:spacing w:after="0"/>
              <w:rPr>
                <w:sz w:val="20"/>
                <w:szCs w:val="20"/>
                <w:color w:val="auto"/>
              </w:rPr>
            </w:pPr>
            <w:r>
              <w:rPr>
                <w:rFonts w:ascii="Arial" w:cs="Arial" w:eastAsia="Arial" w:hAnsi="Arial"/>
                <w:sz w:val="16"/>
                <w:szCs w:val="16"/>
                <w:b w:val="1"/>
                <w:bCs w:val="1"/>
                <w:color w:val="auto"/>
              </w:rPr>
              <w:t>10038</w:t>
            </w:r>
          </w:p>
        </w:tc>
        <w:tc>
          <w:tcPr>
            <w:tcW w:w="0" w:type="dxa"/>
            <w:vAlign w:val="bottom"/>
          </w:tcPr>
          <w:p>
            <w:pPr>
              <w:spacing w:after="0"/>
              <w:rPr>
                <w:sz w:val="1"/>
                <w:szCs w:val="1"/>
                <w:color w:val="auto"/>
              </w:rPr>
            </w:pPr>
          </w:p>
        </w:tc>
      </w:tr>
      <w:tr>
        <w:trPr>
          <w:trHeight w:val="156"/>
        </w:trPr>
        <w:tc>
          <w:tcPr>
            <w:tcW w:w="336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93"/>
              </w:rPr>
              <w:t>New York, New York</w:t>
            </w:r>
          </w:p>
        </w:tc>
        <w:tc>
          <w:tcPr>
            <w:tcW w:w="216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360" w:type="dxa"/>
            <w:vAlign w:val="bottom"/>
          </w:tcPr>
          <w:p>
            <w:pPr>
              <w:jc w:val="center"/>
              <w:spacing w:after="0"/>
              <w:rPr>
                <w:sz w:val="20"/>
                <w:szCs w:val="20"/>
                <w:color w:val="auto"/>
              </w:rPr>
            </w:pPr>
            <w:r>
              <w:rPr>
                <w:rFonts w:ascii="Arial" w:cs="Arial" w:eastAsia="Arial" w:hAnsi="Arial"/>
                <w:sz w:val="16"/>
                <w:szCs w:val="16"/>
                <w:color w:val="auto"/>
                <w:w w:val="92"/>
              </w:rPr>
              <w:t>(Address of principal executive offices)</w:t>
            </w:r>
          </w:p>
        </w:tc>
        <w:tc>
          <w:tcPr>
            <w:tcW w:w="2160" w:type="dxa"/>
            <w:vAlign w:val="bottom"/>
          </w:tcPr>
          <w:p>
            <w:pPr>
              <w:spacing w:after="0"/>
              <w:rPr>
                <w:sz w:val="17"/>
                <w:szCs w:val="17"/>
                <w:color w:val="auto"/>
              </w:rPr>
            </w:pPr>
          </w:p>
        </w:tc>
        <w:tc>
          <w:tcPr>
            <w:tcW w:w="2660" w:type="dxa"/>
            <w:vAlign w:val="bottom"/>
          </w:tcPr>
          <w:p>
            <w:pPr>
              <w:jc w:val="center"/>
              <w:ind w:right="14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103" w:lineRule="exact"/>
        <w:rPr>
          <w:sz w:val="24"/>
          <w:szCs w:val="24"/>
          <w:color w:val="auto"/>
        </w:rPr>
      </w:pPr>
    </w:p>
    <w:p>
      <w:pPr>
        <w:jc w:val="center"/>
        <w:ind w:right="-81"/>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332-3241</w:t>
      </w:r>
    </w:p>
    <w:p>
      <w:pPr>
        <w:spacing w:after="0" w:line="72" w:lineRule="exact"/>
        <w:rPr>
          <w:sz w:val="24"/>
          <w:szCs w:val="24"/>
          <w:color w:val="auto"/>
        </w:rPr>
      </w:pPr>
    </w:p>
    <w:p>
      <w:pPr>
        <w:jc w:val="center"/>
        <w:ind w:right="-81"/>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64" w:lineRule="exact"/>
        <w:rPr>
          <w:sz w:val="24"/>
          <w:szCs w:val="24"/>
          <w:color w:val="auto"/>
        </w:rPr>
      </w:pPr>
    </w:p>
    <w:p>
      <w:pPr>
        <w:jc w:val="center"/>
        <w:ind w:right="-81"/>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1082" w:type="dxa"/>
        <w:tblCellMar>
          <w:top w:w="0" w:type="dxa"/>
          <w:left w:w="0" w:type="dxa"/>
          <w:bottom w:w="0" w:type="dxa"/>
          <w:right w:w="0" w:type="dxa"/>
        </w:tblCellMar>
      </w:tblPr>
      <w:tr>
        <w:trPr>
          <w:trHeight w:val="152"/>
        </w:trPr>
        <w:tc>
          <w:tcPr>
            <w:tcW w:w="2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Title of each class:</w:t>
            </w:r>
          </w:p>
        </w:tc>
        <w:tc>
          <w:tcPr>
            <w:tcW w:w="2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Trading Symbol(s)</w:t>
            </w:r>
          </w:p>
        </w:tc>
        <w:tc>
          <w:tcPr>
            <w:tcW w:w="256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54"/>
        </w:trPr>
        <w:tc>
          <w:tcPr>
            <w:tcW w:w="2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Common Stock, Par Value $0.0001 Per Share</w:t>
            </w:r>
          </w:p>
        </w:tc>
        <w:tc>
          <w:tcPr>
            <w:tcW w:w="100" w:type="dxa"/>
            <w:vAlign w:val="bottom"/>
          </w:tcPr>
          <w:p>
            <w:pPr>
              <w:spacing w:after="0"/>
              <w:rPr>
                <w:sz w:val="13"/>
                <w:szCs w:val="13"/>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AXSM</w:t>
            </w:r>
          </w:p>
        </w:tc>
        <w:tc>
          <w:tcPr>
            <w:tcW w:w="100" w:type="dxa"/>
            <w:vAlign w:val="bottom"/>
          </w:tcPr>
          <w:p>
            <w:pPr>
              <w:spacing w:after="0"/>
              <w:rPr>
                <w:sz w:val="13"/>
                <w:szCs w:val="13"/>
                <w:color w:val="auto"/>
              </w:rPr>
            </w:pPr>
          </w:p>
        </w:tc>
        <w:tc>
          <w:tcPr>
            <w:tcW w:w="25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95250</wp:posOffset>
            </wp:positionV>
            <wp:extent cx="15792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310" w:lineRule="exact"/>
        <w:rPr>
          <w:sz w:val="24"/>
          <w:szCs w:val="24"/>
          <w:color w:val="auto"/>
        </w:rPr>
      </w:pPr>
    </w:p>
    <w:p>
      <w:pPr>
        <w:ind w:left="2" w:right="180"/>
        <w:spacing w:after="0" w:line="235" w:lineRule="auto"/>
        <w:rPr>
          <w:sz w:val="20"/>
          <w:szCs w:val="20"/>
          <w:color w:val="auto"/>
        </w:rPr>
      </w:pPr>
      <w:r>
        <w:rPr>
          <w:rFonts w:ascii="Arial" w:cs="Arial" w:eastAsia="Arial" w:hAnsi="Arial"/>
          <w:sz w:val="16"/>
          <w:szCs w:val="16"/>
          <w:color w:val="auto"/>
        </w:rPr>
        <w:t>Check the appropriate box below if the Form 8-K is intended to simultaneously satisfy the filing obligation of the registrant under any of the following provisions:</w:t>
      </w:r>
    </w:p>
    <w:p>
      <w:pPr>
        <w:spacing w:after="0" w:line="48" w:lineRule="exact"/>
        <w:rPr>
          <w:sz w:val="24"/>
          <w:szCs w:val="24"/>
          <w:color w:val="auto"/>
        </w:rPr>
      </w:pPr>
    </w:p>
    <w:p>
      <w:pPr>
        <w:ind w:left="722" w:hanging="722"/>
        <w:spacing w:after="0"/>
        <w:tabs>
          <w:tab w:leader="none" w:pos="72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68" w:lineRule="exact"/>
        <w:rPr>
          <w:rFonts w:ascii="MS PGothic" w:cs="MS PGothic" w:eastAsia="MS PGothic" w:hAnsi="MS PGothic"/>
          <w:sz w:val="16"/>
          <w:szCs w:val="16"/>
          <w:color w:val="auto"/>
        </w:rPr>
      </w:pPr>
    </w:p>
    <w:p>
      <w:pPr>
        <w:ind w:left="722" w:hanging="722"/>
        <w:spacing w:after="0"/>
        <w:tabs>
          <w:tab w:leader="none" w:pos="72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68" w:lineRule="exact"/>
        <w:rPr>
          <w:rFonts w:ascii="MS PGothic" w:cs="MS PGothic" w:eastAsia="MS PGothic" w:hAnsi="MS PGothic"/>
          <w:sz w:val="16"/>
          <w:szCs w:val="16"/>
          <w:color w:val="auto"/>
        </w:rPr>
      </w:pPr>
    </w:p>
    <w:p>
      <w:pPr>
        <w:ind w:left="722" w:hanging="722"/>
        <w:spacing w:after="0"/>
        <w:tabs>
          <w:tab w:leader="none" w:pos="72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68" w:lineRule="exact"/>
        <w:rPr>
          <w:rFonts w:ascii="MS PGothic" w:cs="MS PGothic" w:eastAsia="MS PGothic" w:hAnsi="MS PGothic"/>
          <w:sz w:val="16"/>
          <w:szCs w:val="16"/>
          <w:color w:val="auto"/>
        </w:rPr>
      </w:pPr>
    </w:p>
    <w:p>
      <w:pPr>
        <w:ind w:left="722" w:hanging="722"/>
        <w:spacing w:after="0"/>
        <w:tabs>
          <w:tab w:leader="none" w:pos="72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28" w:lineRule="exact"/>
        <w:rPr>
          <w:sz w:val="24"/>
          <w:szCs w:val="24"/>
          <w:color w:val="auto"/>
        </w:rPr>
      </w:pPr>
    </w:p>
    <w:p>
      <w:pPr>
        <w:ind w:left="2" w:right="300"/>
        <w:spacing w:after="0" w:line="23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ind w:left="2"/>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98" w:lineRule="exact"/>
        <w:rPr>
          <w:sz w:val="24"/>
          <w:szCs w:val="24"/>
          <w:color w:val="auto"/>
        </w:rPr>
      </w:pPr>
    </w:p>
    <w:p>
      <w:pPr>
        <w:ind w:left="2"/>
        <w:spacing w:after="0" w:line="19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63080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80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87630</wp:posOffset>
            </wp:positionV>
            <wp:extent cx="6308090" cy="30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8090" cy="30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423545</wp:posOffset>
            </wp:positionV>
            <wp:extent cx="6308090"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8090" cy="22860"/>
                    </a:xfrm>
                    <a:prstGeom prst="rect">
                      <a:avLst/>
                    </a:prstGeom>
                    <a:noFill/>
                  </pic:spPr>
                </pic:pic>
              </a:graphicData>
            </a:graphic>
          </wp:anchor>
        </w:drawing>
      </w:r>
    </w:p>
    <w:p>
      <w:pPr>
        <w:sectPr>
          <w:pgSz w:w="11900" w:h="16838" w:orient="portrait"/>
          <w:cols w:equalWidth="0" w:num="1">
            <w:col w:w="9842"/>
          </w:cols>
          <w:pgMar w:left="978" w:top="342" w:right="107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68" w:lineRule="exact"/>
        <w:rPr>
          <w:sz w:val="20"/>
          <w:szCs w:val="20"/>
          <w:color w:val="auto"/>
        </w:rPr>
      </w:pPr>
    </w:p>
    <w:p>
      <w:pPr>
        <w:jc w:val="both"/>
        <w:ind w:firstLine="577"/>
        <w:spacing w:after="0" w:line="224" w:lineRule="auto"/>
        <w:rPr>
          <w:sz w:val="20"/>
          <w:szCs w:val="20"/>
          <w:color w:val="auto"/>
        </w:rPr>
      </w:pPr>
      <w:r>
        <w:rPr>
          <w:rFonts w:ascii="Arial" w:cs="Arial" w:eastAsia="Arial" w:hAnsi="Arial"/>
          <w:sz w:val="16"/>
          <w:szCs w:val="16"/>
          <w:color w:val="auto"/>
        </w:rPr>
        <w:t>On May 8, 2020, Axsome Therapeutics, Inc. (the “Company”) issued a press release announcing its financial results for the three months ended March 31, 2020 and provided an update on the Company’s operations. The Company is furnishing a copy of the press release, which is attached hereto as Exhibit 99.1.</w:t>
      </w:r>
    </w:p>
    <w:p>
      <w:pPr>
        <w:spacing w:after="0" w:line="146" w:lineRule="exact"/>
        <w:rPr>
          <w:sz w:val="20"/>
          <w:szCs w:val="20"/>
          <w:color w:val="auto"/>
        </w:rPr>
      </w:pPr>
    </w:p>
    <w:p>
      <w:pPr>
        <w:ind w:right="120" w:firstLine="577"/>
        <w:spacing w:after="0" w:line="254" w:lineRule="auto"/>
        <w:rPr>
          <w:sz w:val="20"/>
          <w:szCs w:val="20"/>
          <w:color w:val="auto"/>
        </w:rPr>
      </w:pPr>
      <w:r>
        <w:rPr>
          <w:rFonts w:ascii="Arial" w:cs="Arial" w:eastAsia="Arial" w:hAnsi="Arial"/>
          <w:sz w:val="14"/>
          <w:szCs w:val="14"/>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168" w:lineRule="exact"/>
        <w:rPr>
          <w:sz w:val="20"/>
          <w:szCs w:val="20"/>
          <w:color w:val="auto"/>
        </w:rPr>
      </w:pPr>
    </w:p>
    <w:p>
      <w:pPr>
        <w:ind w:right="240" w:firstLine="577"/>
        <w:spacing w:after="0" w:line="235" w:lineRule="auto"/>
        <w:rPr>
          <w:sz w:val="20"/>
          <w:szCs w:val="20"/>
          <w:color w:val="auto"/>
        </w:rPr>
      </w:pPr>
      <w:r>
        <w:rPr>
          <w:rFonts w:ascii="Arial" w:cs="Arial" w:eastAsia="Arial" w:hAnsi="Arial"/>
          <w:sz w:val="16"/>
          <w:szCs w:val="16"/>
          <w:color w:val="auto"/>
        </w:rPr>
        <w:t>A copy of the presentation that the Company used in connection with its conference call to discuss its financial results and business update is filed as Exhibit 99.2 hereto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9" w:lineRule="exact"/>
        <w:rPr>
          <w:sz w:val="20"/>
          <w:szCs w:val="20"/>
          <w:color w:val="auto"/>
        </w:rPr>
      </w:pPr>
    </w:p>
    <w:p>
      <w:pPr>
        <w:spacing w:after="0"/>
        <w:tabs>
          <w:tab w:leader="none" w:pos="528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63004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0470" cy="762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jc w:val="right"/>
              <w:ind w:right="420"/>
              <w:spacing w:after="0"/>
              <w:rPr>
                <w:sz w:val="20"/>
                <w:szCs w:val="20"/>
                <w:color w:val="auto"/>
              </w:rPr>
            </w:pPr>
            <w:r>
              <w:rPr>
                <w:rFonts w:ascii="Arial" w:cs="Arial" w:eastAsia="Arial" w:hAnsi="Arial"/>
                <w:sz w:val="16"/>
                <w:szCs w:val="16"/>
                <w:color w:val="auto"/>
                <w:w w:val="83"/>
              </w:rPr>
              <w:t>99.1</w:t>
            </w:r>
          </w:p>
        </w:tc>
        <w:tc>
          <w:tcPr>
            <w:tcW w:w="3720" w:type="dxa"/>
            <w:vAlign w:val="bottom"/>
          </w:tcPr>
          <w:p>
            <w:pPr>
              <w:ind w:left="5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Press Release dated May 8, 2020.</w:t>
              </w:r>
            </w:hyperlink>
          </w:p>
        </w:tc>
      </w:tr>
      <w:tr>
        <w:trPr>
          <w:trHeight w:val="205"/>
        </w:trPr>
        <w:tc>
          <w:tcPr>
            <w:tcW w:w="780" w:type="dxa"/>
            <w:vAlign w:val="bottom"/>
          </w:tcPr>
          <w:p>
            <w:pPr>
              <w:jc w:val="right"/>
              <w:ind w:right="420"/>
              <w:spacing w:after="0"/>
              <w:rPr>
                <w:sz w:val="20"/>
                <w:szCs w:val="20"/>
                <w:color w:val="auto"/>
              </w:rPr>
            </w:pPr>
            <w:r>
              <w:rPr>
                <w:rFonts w:ascii="Arial" w:cs="Arial" w:eastAsia="Arial" w:hAnsi="Arial"/>
                <w:sz w:val="16"/>
                <w:szCs w:val="16"/>
                <w:color w:val="auto"/>
                <w:w w:val="83"/>
              </w:rPr>
              <w:t>99.2</w:t>
            </w:r>
          </w:p>
        </w:tc>
        <w:tc>
          <w:tcPr>
            <w:tcW w:w="3720" w:type="dxa"/>
            <w:vAlign w:val="bottom"/>
          </w:tcPr>
          <w:p>
            <w:pPr>
              <w:ind w:left="520"/>
              <w:spacing w:after="0"/>
              <w:rPr>
                <w:rFonts w:ascii="Arial" w:cs="Arial" w:eastAsia="Arial" w:hAnsi="Arial"/>
                <w:sz w:val="16"/>
                <w:szCs w:val="16"/>
                <w:u w:val="single" w:color="auto"/>
                <w:color w:val="0000EE"/>
                <w:w w:val="89"/>
              </w:rPr>
            </w:pPr>
            <w:hyperlink w:anchor="page8">
              <w:r>
                <w:rPr>
                  <w:rFonts w:ascii="Arial" w:cs="Arial" w:eastAsia="Arial" w:hAnsi="Arial"/>
                  <w:sz w:val="16"/>
                  <w:szCs w:val="16"/>
                  <w:u w:val="single" w:color="auto"/>
                  <w:color w:val="0000EE"/>
                  <w:w w:val="89"/>
                </w:rPr>
                <w:t>First Quarter 2020 Financial Results Presentation.</w:t>
              </w:r>
            </w:hyperlink>
          </w:p>
        </w:tc>
      </w:tr>
    </w:tbl>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403225</wp:posOffset>
            </wp:positionV>
            <wp:extent cx="6308090"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8090" cy="22860"/>
                    </a:xfrm>
                    <a:prstGeom prst="rect">
                      <a:avLst/>
                    </a:prstGeom>
                    <a:noFill/>
                  </pic:spPr>
                </pic:pic>
              </a:graphicData>
            </a:graphic>
          </wp:anchor>
        </w:drawing>
      </w:r>
    </w:p>
    <w:p>
      <w:pPr>
        <w:sectPr>
          <w:pgSz w:w="11900" w:h="16838" w:orient="portrait"/>
          <w:cols w:equalWidth="0" w:num="1">
            <w:col w:w="9840"/>
          </w:cols>
          <w:pgMar w:left="980" w:top="111" w:right="107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132" w:lineRule="exact"/>
        <w:rPr>
          <w:sz w:val="20"/>
          <w:szCs w:val="20"/>
          <w:color w:val="auto"/>
        </w:rPr>
      </w:pPr>
    </w:p>
    <w:p>
      <w:pPr>
        <w:ind w:right="220" w:firstLine="577"/>
        <w:spacing w:after="0" w:line="23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00" w:type="dxa"/>
            <w:vAlign w:val="bottom"/>
          </w:tcPr>
          <w:p>
            <w:pPr>
              <w:spacing w:after="0"/>
              <w:rPr>
                <w:sz w:val="18"/>
                <w:szCs w:val="18"/>
                <w:color w:val="auto"/>
              </w:rPr>
            </w:pPr>
          </w:p>
        </w:tc>
        <w:tc>
          <w:tcPr>
            <w:tcW w:w="6820" w:type="dxa"/>
            <w:vAlign w:val="bottom"/>
            <w:gridSpan w:val="3"/>
          </w:tcPr>
          <w:p>
            <w:pPr>
              <w:ind w:left="1880"/>
              <w:spacing w:after="0"/>
              <w:rPr>
                <w:sz w:val="20"/>
                <w:szCs w:val="20"/>
                <w:color w:val="auto"/>
              </w:rPr>
            </w:pPr>
            <w:r>
              <w:rPr>
                <w:rFonts w:ascii="Arial" w:cs="Arial" w:eastAsia="Arial" w:hAnsi="Arial"/>
                <w:sz w:val="16"/>
                <w:szCs w:val="16"/>
                <w:b w:val="1"/>
                <w:bCs w:val="1"/>
                <w:color w:val="auto"/>
              </w:rPr>
              <w:t>Axsome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3100" w:type="dxa"/>
            <w:vAlign w:val="bottom"/>
          </w:tcPr>
          <w:p>
            <w:pPr>
              <w:spacing w:after="0"/>
              <w:rPr>
                <w:sz w:val="20"/>
                <w:szCs w:val="20"/>
                <w:color w:val="auto"/>
              </w:rPr>
            </w:pPr>
            <w:r>
              <w:rPr>
                <w:rFonts w:ascii="Arial" w:cs="Arial" w:eastAsia="Arial" w:hAnsi="Arial"/>
                <w:sz w:val="16"/>
                <w:szCs w:val="16"/>
                <w:color w:val="auto"/>
              </w:rPr>
              <w:t>Dated: May 8, 2020</w:t>
            </w:r>
          </w:p>
        </w:tc>
        <w:tc>
          <w:tcPr>
            <w:tcW w:w="2300" w:type="dxa"/>
            <w:vAlign w:val="bottom"/>
            <w:gridSpan w:val="2"/>
          </w:tcPr>
          <w:p>
            <w:pPr>
              <w:ind w:left="1880"/>
              <w:spacing w:after="0"/>
              <w:rPr>
                <w:sz w:val="20"/>
                <w:szCs w:val="20"/>
                <w:color w:val="auto"/>
              </w:rPr>
            </w:pPr>
            <w:r>
              <w:rPr>
                <w:rFonts w:ascii="Arial" w:cs="Arial" w:eastAsia="Arial" w:hAnsi="Arial"/>
                <w:sz w:val="16"/>
                <w:szCs w:val="16"/>
                <w:color w:val="auto"/>
              </w:rPr>
              <w:t>By:</w:t>
            </w:r>
          </w:p>
        </w:tc>
        <w:tc>
          <w:tcPr>
            <w:tcW w:w="4520" w:type="dxa"/>
            <w:vAlign w:val="bottom"/>
          </w:tcPr>
          <w:p>
            <w:pPr>
              <w:spacing w:after="0"/>
              <w:rPr>
                <w:sz w:val="20"/>
                <w:szCs w:val="20"/>
                <w:color w:val="auto"/>
              </w:rPr>
            </w:pPr>
            <w:r>
              <w:rPr>
                <w:rFonts w:ascii="Arial" w:cs="Arial" w:eastAsia="Arial" w:hAnsi="Arial"/>
                <w:sz w:val="16"/>
                <w:szCs w:val="16"/>
                <w:color w:val="auto"/>
              </w:rPr>
              <w:t>/s/ Herriot Tabuteau, M.D.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00" w:type="dxa"/>
            <w:vAlign w:val="bottom"/>
          </w:tcPr>
          <w:p>
            <w:pPr>
              <w:spacing w:after="0"/>
              <w:rPr>
                <w:sz w:val="2"/>
                <w:szCs w:val="2"/>
                <w:color w:val="auto"/>
              </w:rPr>
            </w:pPr>
          </w:p>
        </w:tc>
        <w:tc>
          <w:tcPr>
            <w:tcW w:w="2260" w:type="dxa"/>
            <w:vAlign w:val="bottom"/>
            <w:vMerge w:val="restart"/>
          </w:tcPr>
          <w:p>
            <w:pPr>
              <w:ind w:left="1880"/>
              <w:spacing w:after="0" w:line="168" w:lineRule="exact"/>
              <w:rPr>
                <w:sz w:val="20"/>
                <w:szCs w:val="20"/>
                <w:color w:val="auto"/>
              </w:rPr>
            </w:pPr>
            <w:r>
              <w:rPr>
                <w:rFonts w:ascii="Arial" w:cs="Arial" w:eastAsia="Arial" w:hAnsi="Arial"/>
                <w:sz w:val="16"/>
                <w:szCs w:val="16"/>
                <w:color w:val="auto"/>
                <w:w w:val="76"/>
              </w:rPr>
              <w:t>Name:</w:t>
            </w:r>
          </w:p>
        </w:tc>
        <w:tc>
          <w:tcPr>
            <w:tcW w:w="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10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520" w:type="dxa"/>
            <w:vAlign w:val="bottom"/>
          </w:tcPr>
          <w:p>
            <w:pPr>
              <w:ind w:left="180"/>
              <w:spacing w:after="0" w:line="125" w:lineRule="exact"/>
              <w:rPr>
                <w:sz w:val="20"/>
                <w:szCs w:val="20"/>
                <w:color w:val="auto"/>
              </w:rPr>
            </w:pPr>
            <w:r>
              <w:rPr>
                <w:rFonts w:ascii="Arial" w:cs="Arial" w:eastAsia="Arial" w:hAnsi="Arial"/>
                <w:sz w:val="14"/>
                <w:szCs w:val="14"/>
                <w:color w:val="auto"/>
              </w:rPr>
              <w:t>Herriot Tabuteau, M.D.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17"/>
                <w:szCs w:val="17"/>
                <w:color w:val="auto"/>
              </w:rPr>
            </w:pPr>
          </w:p>
        </w:tc>
        <w:tc>
          <w:tcPr>
            <w:tcW w:w="2300" w:type="dxa"/>
            <w:vAlign w:val="bottom"/>
            <w:gridSpan w:val="2"/>
          </w:tcPr>
          <w:p>
            <w:pPr>
              <w:ind w:left="1880"/>
              <w:spacing w:after="0"/>
              <w:rPr>
                <w:sz w:val="20"/>
                <w:szCs w:val="20"/>
                <w:color w:val="auto"/>
              </w:rPr>
            </w:pPr>
            <w:r>
              <w:rPr>
                <w:rFonts w:ascii="Arial" w:cs="Arial" w:eastAsia="Arial" w:hAnsi="Arial"/>
                <w:sz w:val="16"/>
                <w:szCs w:val="16"/>
                <w:color w:val="auto"/>
              </w:rPr>
              <w:t>Title:</w:t>
            </w:r>
          </w:p>
        </w:tc>
        <w:tc>
          <w:tcPr>
            <w:tcW w:w="4520" w:type="dxa"/>
            <w:vAlign w:val="bottom"/>
          </w:tcPr>
          <w:p>
            <w:pPr>
              <w:ind w:left="180"/>
              <w:spacing w:after="0"/>
              <w:rPr>
                <w:sz w:val="20"/>
                <w:szCs w:val="20"/>
                <w:color w:val="auto"/>
              </w:rPr>
            </w:pPr>
            <w:r>
              <w:rPr>
                <w:rFonts w:ascii="Arial" w:cs="Arial" w:eastAsia="Arial" w:hAnsi="Arial"/>
                <w:sz w:val="16"/>
                <w:szCs w:val="16"/>
                <w:color w:val="auto"/>
              </w:rPr>
              <w:t>President and Chief Executive Officer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3100" w:type="dxa"/>
            <w:vAlign w:val="bottom"/>
          </w:tcPr>
          <w:p>
            <w:pPr>
              <w:spacing w:after="0"/>
              <w:rPr>
                <w:sz w:val="23"/>
                <w:szCs w:val="23"/>
                <w:color w:val="auto"/>
              </w:rPr>
            </w:pPr>
          </w:p>
        </w:tc>
        <w:tc>
          <w:tcPr>
            <w:tcW w:w="2260" w:type="dxa"/>
            <w:vAlign w:val="bottom"/>
          </w:tcPr>
          <w:p>
            <w:pPr>
              <w:ind w:left="1840"/>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9"/>
        </w:trPr>
        <w:tc>
          <w:tcPr>
            <w:tcW w:w="3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11"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1281430" cy="427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1430" cy="42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Reports First Quarter 2020 Financial Results and Provides Business Update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Clinical successes highlight Axsome’s accelerated evolution into a leading CNS company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Positive pivotal Phase 2/3 results for AXS-05 in Alzheimer’s disease agitation further deepen innovative pipeline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Positive efficacy results in 5 significant CNS indications with 4 candidates advance broad late-stage pipeline</w:t>
      </w:r>
    </w:p>
    <w:p>
      <w:pPr>
        <w:spacing w:after="0" w:line="176" w:lineRule="exact"/>
        <w:rPr>
          <w:sz w:val="20"/>
          <w:szCs w:val="20"/>
          <w:color w:val="auto"/>
        </w:rPr>
      </w:pPr>
    </w:p>
    <w:p>
      <w:pPr>
        <w:jc w:val="center"/>
        <w:spacing w:after="0" w:line="459" w:lineRule="auto"/>
        <w:rPr>
          <w:sz w:val="20"/>
          <w:szCs w:val="20"/>
          <w:color w:val="auto"/>
        </w:rPr>
      </w:pPr>
      <w:r>
        <w:rPr>
          <w:rFonts w:ascii="Arial" w:cs="Arial" w:eastAsia="Arial" w:hAnsi="Arial"/>
          <w:sz w:val="16"/>
          <w:szCs w:val="16"/>
          <w:i w:val="1"/>
          <w:iCs w:val="1"/>
          <w:color w:val="auto"/>
        </w:rPr>
        <w:t>Two NDA submissions, for AXS-05 in MDD and AXS-07 in migraine, on track for 4Q 2020 Pre-commercialization activities underway for potentially first-in-class or best-in-class CNS therapies Company to host conference call today at 8:00 AM Eastern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NEW YORK, May 08, 2020 (GLOBE NEWSWIRE) -- Axsome Therapeutics, Inc. (NASDAQ: AXSM), a biopharmaceutical company developing novel therapies for the management of central nervous system (CNS) disorders, today reported financial results for the first quarter ended March 31, 2020.</w:t>
      </w:r>
    </w:p>
    <w:p>
      <w:pPr>
        <w:spacing w:after="0" w:line="12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“The recent clinical successes in our late-stage pipeline, including positive efficacy data in depression, Alzheimer’s disease agitation, migraine, narcolepsy, and fibromyalgia, highlight Axsome’s accelerated evolution into a leading, innovative CNS company,” said Herriot Tabuteau, MD, Chief Executive Officer of Axsome. “The ability to tackle unmet medical needs in these serious and difficult-to-treat CNS diseases, underscores the importance of our novel investigational medicines. As we move towards the submission of two NDAs in the fourth quarter, one for AXS-05 in depression and one for AXS-07 in migraine, our commercial team is focused on launch-readiness activities to ensure successful commercial execution. In parallel, we look to continue the momentum in our other late-stage development programs, including AXS-05 in Alzheimer’s disease agitation, for which we intend to meet with the FDA after the recently announced positive ADVANCE-1 pivotal trial results in this indication, and AXS-12 in narcolepsy, for which we remain on track to initiate Phase 3 trials later this year.”</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CNS Pipeline Update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Axsome is developing a portfolio of differentiated, patent-protected, central nervous system (CNS) product candidates. For the many people facing unsatisfactory treatments for CNS disorders, Axsome accelerates the invention and adoption of life-changing medicines. The Company’s CNS pipeline includes four differentiated product candidates in active clinical development.</w:t>
      </w:r>
    </w:p>
    <w:p>
      <w:pPr>
        <w:spacing w:after="0" w:line="122" w:lineRule="exact"/>
        <w:rPr>
          <w:sz w:val="20"/>
          <w:szCs w:val="20"/>
          <w:color w:val="auto"/>
        </w:rPr>
      </w:pPr>
    </w:p>
    <w:p>
      <w:pPr>
        <w:ind w:left="300" w:hanging="291"/>
        <w:spacing w:after="0"/>
        <w:tabs>
          <w:tab w:leader="none" w:pos="30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 xml:space="preserve">AXS-05: </w:t>
      </w:r>
      <w:r>
        <w:rPr>
          <w:rFonts w:ascii="Arial" w:cs="Arial" w:eastAsia="Arial" w:hAnsi="Arial"/>
          <w:sz w:val="15"/>
          <w:szCs w:val="15"/>
          <w:color w:val="auto"/>
        </w:rPr>
        <w:t>AXS-05 (dextromethorphan/bupropion modulated delivery tablet) is Axsome’s novel, oral, investigational NMDA receptor</w:t>
      </w:r>
    </w:p>
    <w:p>
      <w:pPr>
        <w:spacing w:after="0" w:line="36" w:lineRule="exact"/>
        <w:rPr>
          <w:rFonts w:ascii="Arial" w:cs="Arial" w:eastAsia="Arial" w:hAnsi="Arial"/>
          <w:sz w:val="15"/>
          <w:szCs w:val="15"/>
          <w:color w:val="auto"/>
        </w:rPr>
      </w:pPr>
    </w:p>
    <w:p>
      <w:pPr>
        <w:jc w:val="both"/>
        <w:ind w:left="300" w:right="20"/>
        <w:spacing w:after="0" w:line="254" w:lineRule="auto"/>
        <w:rPr>
          <w:rFonts w:ascii="Arial" w:cs="Arial" w:eastAsia="Arial" w:hAnsi="Arial"/>
          <w:sz w:val="15"/>
          <w:szCs w:val="15"/>
          <w:color w:val="auto"/>
        </w:rPr>
      </w:pPr>
      <w:r>
        <w:rPr>
          <w:rFonts w:ascii="Arial" w:cs="Arial" w:eastAsia="Arial" w:hAnsi="Arial"/>
          <w:sz w:val="16"/>
          <w:szCs w:val="16"/>
          <w:color w:val="auto"/>
        </w:rPr>
        <w:t>antagonist with multimodal activity being developed for the following indications: major depressive disorder (MDD), treatment resistant depression (TRD), Alzheimer’s disease (AD) agitation, and smoking cessation. AXS-05 has been granted U.S. Food and Drug Administration (FDA) Breakthrough Therapy designation for the treatment of MDD and Fast Track designations for the treatment of TRD and for the treatment of AD agitation.</w:t>
      </w:r>
    </w:p>
    <w:p>
      <w:pPr>
        <w:spacing w:after="0" w:line="129" w:lineRule="exact"/>
        <w:rPr>
          <w:rFonts w:ascii="Arial" w:cs="Arial" w:eastAsia="Arial" w:hAnsi="Arial"/>
          <w:sz w:val="15"/>
          <w:szCs w:val="15"/>
          <w:color w:val="auto"/>
        </w:rPr>
      </w:pPr>
    </w:p>
    <w:p>
      <w:pPr>
        <w:jc w:val="both"/>
        <w:ind w:left="300"/>
        <w:spacing w:after="0" w:line="261" w:lineRule="auto"/>
        <w:rPr>
          <w:rFonts w:ascii="Arial" w:cs="Arial" w:eastAsia="Arial" w:hAnsi="Arial"/>
          <w:sz w:val="15"/>
          <w:szCs w:val="15"/>
          <w:color w:val="auto"/>
        </w:rPr>
      </w:pPr>
      <w:r>
        <w:rPr>
          <w:rFonts w:ascii="Arial" w:cs="Arial" w:eastAsia="Arial" w:hAnsi="Arial"/>
          <w:sz w:val="16"/>
          <w:szCs w:val="16"/>
          <w:b w:val="1"/>
          <w:bCs w:val="1"/>
          <w:color w:val="auto"/>
        </w:rPr>
        <w:t xml:space="preserve">Depression: </w:t>
      </w:r>
      <w:r>
        <w:rPr>
          <w:rFonts w:ascii="Arial" w:cs="Arial" w:eastAsia="Arial" w:hAnsi="Arial"/>
          <w:sz w:val="16"/>
          <w:szCs w:val="16"/>
          <w:color w:val="auto"/>
        </w:rPr>
        <w:t>Axsome remains on track to submit a New Drug Application (NDA) for AXS-05 in MDD to the FDA in the fourth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2020. The NDA is supported by positive efficacy results from the ASCEND and GEMINI trials. A Phase 3, open-label, long-term safety extension study of AXS-05 in patients with MDD and TRD is ongoing to further support the NDA filing. To date, more than 800 patients have been dosed in this trial.</w:t>
      </w:r>
    </w:p>
    <w:p>
      <w:pPr>
        <w:spacing w:after="0" w:line="128" w:lineRule="exact"/>
        <w:rPr>
          <w:rFonts w:ascii="Arial" w:cs="Arial" w:eastAsia="Arial" w:hAnsi="Arial"/>
          <w:sz w:val="15"/>
          <w:szCs w:val="15"/>
          <w:color w:val="auto"/>
        </w:rPr>
      </w:pPr>
    </w:p>
    <w:p>
      <w:pPr>
        <w:jc w:val="both"/>
        <w:ind w:left="300"/>
        <w:spacing w:after="0" w:line="259" w:lineRule="auto"/>
        <w:rPr>
          <w:rFonts w:ascii="Arial" w:cs="Arial" w:eastAsia="Arial" w:hAnsi="Arial"/>
          <w:sz w:val="15"/>
          <w:szCs w:val="15"/>
          <w:color w:val="auto"/>
        </w:rPr>
      </w:pPr>
      <w:r>
        <w:rPr>
          <w:rFonts w:ascii="Arial" w:cs="Arial" w:eastAsia="Arial" w:hAnsi="Arial"/>
          <w:sz w:val="16"/>
          <w:szCs w:val="16"/>
          <w:color w:val="auto"/>
        </w:rPr>
        <w:t>In March 2020, Axsome announced results from the Phase 3 STRIDE-1 study, a randomized, double-blind, active-controlled, multicenter, U.S. trial, in patients with confirmed TRD. In this study, AXS-05 met key secondary endpoints by rapidly and statistically significantly improving symptoms of depression as compared to the active comparator bupropion. A second Phase 3 trial of AXS-05 in TRD is planned for the third quarter of 2020.</w:t>
      </w:r>
    </w:p>
    <w:p>
      <w:pPr>
        <w:spacing w:after="0" w:line="138" w:lineRule="exact"/>
        <w:rPr>
          <w:rFonts w:ascii="Arial" w:cs="Arial" w:eastAsia="Arial" w:hAnsi="Arial"/>
          <w:sz w:val="15"/>
          <w:szCs w:val="15"/>
          <w:color w:val="auto"/>
        </w:rPr>
      </w:pPr>
    </w:p>
    <w:p>
      <w:pPr>
        <w:jc w:val="both"/>
        <w:ind w:left="300"/>
        <w:spacing w:after="0" w:line="261" w:lineRule="auto"/>
        <w:rPr>
          <w:rFonts w:ascii="Arial" w:cs="Arial" w:eastAsia="Arial" w:hAnsi="Arial"/>
          <w:sz w:val="15"/>
          <w:szCs w:val="15"/>
          <w:color w:val="auto"/>
        </w:rPr>
      </w:pPr>
      <w:r>
        <w:rPr>
          <w:rFonts w:ascii="Arial" w:cs="Arial" w:eastAsia="Arial" w:hAnsi="Arial"/>
          <w:sz w:val="16"/>
          <w:szCs w:val="16"/>
          <w:b w:val="1"/>
          <w:bCs w:val="1"/>
          <w:color w:val="auto"/>
        </w:rPr>
        <w:t xml:space="preserve">AD Agitation: </w:t>
      </w:r>
      <w:r>
        <w:rPr>
          <w:rFonts w:ascii="Arial" w:cs="Arial" w:eastAsia="Arial" w:hAnsi="Arial"/>
          <w:sz w:val="16"/>
          <w:szCs w:val="16"/>
          <w:color w:val="auto"/>
        </w:rPr>
        <w:t>In April 2020, Axsome announced positive results from the Phase 2/3 ADVANCE-1 study, a randomized, double-blind,</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controlled, multicenter, U.S. trial in patients with AD agitation. In this study, AXS-05 met the primary endpoint by rapidly, substantially, and statistically significantly improving agitation in patients with AD as compared to placebo. Axsome intends to meet with the FDA to discuss these results and next steps in this development program.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440055</wp:posOffset>
            </wp:positionV>
            <wp:extent cx="588137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1370" cy="15240"/>
                    </a:xfrm>
                    <a:prstGeom prst="rect">
                      <a:avLst/>
                    </a:prstGeom>
                    <a:noFill/>
                  </pic:spPr>
                </pic:pic>
              </a:graphicData>
            </a:graphic>
          </wp:anchor>
        </w:drawing>
      </w:r>
    </w:p>
    <w:p>
      <w:pPr>
        <w:sectPr>
          <w:pgSz w:w="11900" w:h="16838" w:orient="portrait"/>
          <w:cols w:equalWidth="0" w:num="1">
            <w:col w:w="9280"/>
          </w:cols>
          <w:pgMar w:left="1300" w:top="123" w:right="1319" w:bottom="1440" w:gutter="0" w:footer="0" w:header="0"/>
        </w:sectPr>
      </w:pPr>
    </w:p>
    <w:bookmarkStart w:id="4" w:name="page5"/>
    <w:bookmarkEnd w:id="4"/>
    <w:p>
      <w:pPr>
        <w:jc w:val="both"/>
        <w:ind w:left="300"/>
        <w:spacing w:after="0" w:line="292" w:lineRule="auto"/>
        <w:rPr>
          <w:sz w:val="20"/>
          <w:szCs w:val="20"/>
          <w:color w:val="auto"/>
        </w:rPr>
      </w:pPr>
      <w:r>
        <w:rPr>
          <w:rFonts w:ascii="Arial" w:cs="Arial" w:eastAsia="Arial" w:hAnsi="Arial"/>
          <w:sz w:val="15"/>
          <w:szCs w:val="15"/>
          <w:b w:val="1"/>
          <w:bCs w:val="1"/>
          <w:color w:val="auto"/>
        </w:rPr>
        <w:t xml:space="preserve">Smoking Cessation: </w:t>
      </w:r>
      <w:r>
        <w:rPr>
          <w:rFonts w:ascii="Arial" w:cs="Arial" w:eastAsia="Arial" w:hAnsi="Arial"/>
          <w:sz w:val="15"/>
          <w:szCs w:val="15"/>
          <w:color w:val="auto"/>
        </w:rPr>
        <w:t>Axsome plans to meet with the FDA in the second half of 2020 to discuss the continued clinical development of</w:t>
      </w:r>
      <w:r>
        <w:rPr>
          <w:rFonts w:ascii="Arial" w:cs="Arial" w:eastAsia="Arial" w:hAnsi="Arial"/>
          <w:sz w:val="15"/>
          <w:szCs w:val="15"/>
          <w:b w:val="1"/>
          <w:bCs w:val="1"/>
          <w:color w:val="auto"/>
        </w:rPr>
        <w:t xml:space="preserve"> </w:t>
      </w:r>
      <w:r>
        <w:rPr>
          <w:rFonts w:ascii="Arial" w:cs="Arial" w:eastAsia="Arial" w:hAnsi="Arial"/>
          <w:sz w:val="15"/>
          <w:szCs w:val="15"/>
          <w:color w:val="auto"/>
        </w:rPr>
        <w:t>AXS-05 as an aid to smoking cessation treatment. Axsome previously announced positive results from a Phase 2 trial of AXS-05 for smoking cessation treatment conducted under a research collaboration between Axsome and Duke University.</w:t>
      </w:r>
    </w:p>
    <w:p>
      <w:pPr>
        <w:spacing w:after="0" w:line="115" w:lineRule="exact"/>
        <w:rPr>
          <w:sz w:val="20"/>
          <w:szCs w:val="20"/>
          <w:color w:val="auto"/>
        </w:rPr>
      </w:pPr>
    </w:p>
    <w:p>
      <w:pPr>
        <w:ind w:left="300" w:right="20" w:hanging="291"/>
        <w:spacing w:after="0" w:line="282" w:lineRule="auto"/>
        <w:tabs>
          <w:tab w:leader="none" w:pos="300" w:val="left"/>
        </w:tabs>
        <w:numPr>
          <w:ilvl w:val="0"/>
          <w:numId w:val="3"/>
        </w:numPr>
        <w:rPr>
          <w:rFonts w:ascii="Arial" w:cs="Arial" w:eastAsia="Arial" w:hAnsi="Arial"/>
          <w:sz w:val="16"/>
          <w:szCs w:val="16"/>
          <w:color w:val="0D0D0D"/>
        </w:rPr>
      </w:pPr>
      <w:r>
        <w:rPr>
          <w:rFonts w:ascii="Arial" w:cs="Arial" w:eastAsia="Arial" w:hAnsi="Arial"/>
          <w:sz w:val="16"/>
          <w:szCs w:val="16"/>
          <w:b w:val="1"/>
          <w:bCs w:val="1"/>
          <w:color w:val="0D0D0D"/>
        </w:rPr>
        <w:t xml:space="preserve">AXS-07: </w:t>
      </w:r>
      <w:r>
        <w:rPr>
          <w:rFonts w:ascii="Arial" w:cs="Arial" w:eastAsia="Arial" w:hAnsi="Arial"/>
          <w:sz w:val="16"/>
          <w:szCs w:val="16"/>
          <w:color w:val="0D0D0D"/>
        </w:rPr>
        <w:t>AXS-07 (MoSEIC™ meloxicam/rizatriptan) is Axsome’s novel, oral, rapidly absorbed, multi-mechanistic, investigational</w:t>
      </w:r>
      <w:r>
        <w:rPr>
          <w:rFonts w:ascii="Arial" w:cs="Arial" w:eastAsia="Arial" w:hAnsi="Arial"/>
          <w:sz w:val="16"/>
          <w:szCs w:val="16"/>
          <w:b w:val="1"/>
          <w:bCs w:val="1"/>
          <w:color w:val="0D0D0D"/>
        </w:rPr>
        <w:t xml:space="preserve"> </w:t>
      </w:r>
      <w:r>
        <w:rPr>
          <w:rFonts w:ascii="Arial" w:cs="Arial" w:eastAsia="Arial" w:hAnsi="Arial"/>
          <w:sz w:val="16"/>
          <w:szCs w:val="16"/>
          <w:color w:val="0D0D0D"/>
        </w:rPr>
        <w:t>medicine for the acute treatment of migraine.</w:t>
      </w:r>
    </w:p>
    <w:p>
      <w:pPr>
        <w:spacing w:after="0" w:line="108" w:lineRule="exact"/>
        <w:rPr>
          <w:rFonts w:ascii="Arial" w:cs="Arial" w:eastAsia="Arial" w:hAnsi="Arial"/>
          <w:sz w:val="16"/>
          <w:szCs w:val="16"/>
          <w:color w:val="0D0D0D"/>
        </w:rPr>
      </w:pPr>
    </w:p>
    <w:p>
      <w:pPr>
        <w:jc w:val="both"/>
        <w:ind w:left="300" w:right="20" w:hanging="291"/>
        <w:spacing w:after="0" w:line="261" w:lineRule="auto"/>
        <w:tabs>
          <w:tab w:leader="none" w:pos="300" w:val="left"/>
        </w:tabs>
        <w:numPr>
          <w:ilvl w:val="0"/>
          <w:numId w:val="3"/>
        </w:numPr>
        <w:rPr>
          <w:rFonts w:ascii="Arial" w:cs="Arial" w:eastAsia="Arial" w:hAnsi="Arial"/>
          <w:sz w:val="16"/>
          <w:szCs w:val="16"/>
          <w:color w:val="0D0D0D"/>
        </w:rPr>
      </w:pPr>
      <w:r>
        <w:rPr>
          <w:rFonts w:ascii="Arial" w:cs="Arial" w:eastAsia="Arial" w:hAnsi="Arial"/>
          <w:sz w:val="16"/>
          <w:szCs w:val="16"/>
          <w:b w:val="1"/>
          <w:bCs w:val="1"/>
          <w:color w:val="0D0D0D"/>
        </w:rPr>
        <w:t xml:space="preserve">Migraine: </w:t>
      </w:r>
      <w:r>
        <w:rPr>
          <w:rFonts w:ascii="Arial" w:cs="Arial" w:eastAsia="Arial" w:hAnsi="Arial"/>
          <w:sz w:val="16"/>
          <w:szCs w:val="16"/>
          <w:color w:val="0D0D0D"/>
        </w:rPr>
        <w:t>Axsome remains on track to submit an NDA for AXS-07 in the acute treatment of migraine to the FDA in the fourth quarter of</w:t>
      </w:r>
      <w:r>
        <w:rPr>
          <w:rFonts w:ascii="Arial" w:cs="Arial" w:eastAsia="Arial" w:hAnsi="Arial"/>
          <w:sz w:val="16"/>
          <w:szCs w:val="16"/>
          <w:b w:val="1"/>
          <w:bCs w:val="1"/>
          <w:color w:val="0D0D0D"/>
        </w:rPr>
        <w:t xml:space="preserve"> </w:t>
      </w:r>
      <w:r>
        <w:rPr>
          <w:rFonts w:ascii="Arial" w:cs="Arial" w:eastAsia="Arial" w:hAnsi="Arial"/>
          <w:sz w:val="16"/>
          <w:szCs w:val="16"/>
          <w:color w:val="0D0D0D"/>
        </w:rPr>
        <w:t>2020. The NDA is supported by positive efficacy results from the MOMENTUM and INTERCEPT trials. A Phase 3, open-label, long-term safety extension study of AXS-07 is ongoing to further support the NDA filing. To date, more than 700 patients have been dosed in this trial.</w:t>
      </w:r>
    </w:p>
    <w:p>
      <w:pPr>
        <w:spacing w:after="0" w:line="128" w:lineRule="exact"/>
        <w:rPr>
          <w:rFonts w:ascii="Arial" w:cs="Arial" w:eastAsia="Arial" w:hAnsi="Arial"/>
          <w:sz w:val="16"/>
          <w:szCs w:val="16"/>
          <w:color w:val="0D0D0D"/>
        </w:rPr>
      </w:pPr>
    </w:p>
    <w:p>
      <w:pPr>
        <w:jc w:val="both"/>
        <w:ind w:left="300"/>
        <w:spacing w:after="0" w:line="259" w:lineRule="auto"/>
        <w:rPr>
          <w:rFonts w:ascii="Arial" w:cs="Arial" w:eastAsia="Arial" w:hAnsi="Arial"/>
          <w:sz w:val="16"/>
          <w:szCs w:val="16"/>
          <w:color w:val="0D0D0D"/>
        </w:rPr>
      </w:pPr>
      <w:r>
        <w:rPr>
          <w:rFonts w:ascii="Arial" w:cs="Arial" w:eastAsia="Arial" w:hAnsi="Arial"/>
          <w:sz w:val="16"/>
          <w:szCs w:val="16"/>
          <w:color w:val="0D0D0D"/>
        </w:rPr>
        <w:t>In April 2020, Axsome announced positive results from the Phase 3 INTERCEPT study, a randomized, double-blind, placebo-controlled, multicenter, U.S. trial, in the early treatment of migraine. In this study, AXS-07 met the two co-primary endpoints resulting in significantly greater rates of freedom from migraine pain and most bothersome migraine-associated symptoms as compared to placebo. AXS-07 also substantially and significantly prevented progression of migraine pain intensity.</w:t>
      </w:r>
    </w:p>
    <w:p>
      <w:pPr>
        <w:spacing w:after="0" w:line="126" w:lineRule="exact"/>
        <w:rPr>
          <w:rFonts w:ascii="Arial" w:cs="Arial" w:eastAsia="Arial" w:hAnsi="Arial"/>
          <w:sz w:val="16"/>
          <w:szCs w:val="16"/>
          <w:color w:val="0D0D0D"/>
        </w:rPr>
      </w:pPr>
    </w:p>
    <w:p>
      <w:pPr>
        <w:ind w:left="300" w:right="20" w:hanging="291"/>
        <w:spacing w:after="0" w:line="282" w:lineRule="auto"/>
        <w:tabs>
          <w:tab w:leader="none" w:pos="300" w:val="left"/>
        </w:tabs>
        <w:numPr>
          <w:ilvl w:val="0"/>
          <w:numId w:val="3"/>
        </w:numPr>
        <w:rPr>
          <w:rFonts w:ascii="Arial" w:cs="Arial" w:eastAsia="Arial" w:hAnsi="Arial"/>
          <w:sz w:val="16"/>
          <w:szCs w:val="16"/>
          <w:color w:val="0D0D0D"/>
        </w:rPr>
      </w:pPr>
      <w:r>
        <w:rPr>
          <w:rFonts w:ascii="Arial" w:cs="Arial" w:eastAsia="Arial" w:hAnsi="Arial"/>
          <w:sz w:val="16"/>
          <w:szCs w:val="16"/>
          <w:b w:val="1"/>
          <w:bCs w:val="1"/>
          <w:color w:val="0D0D0D"/>
        </w:rPr>
        <w:t xml:space="preserve">AXS-12: </w:t>
      </w:r>
      <w:r>
        <w:rPr>
          <w:rFonts w:ascii="Arial" w:cs="Arial" w:eastAsia="Arial" w:hAnsi="Arial"/>
          <w:sz w:val="16"/>
          <w:szCs w:val="16"/>
          <w:color w:val="0D0D0D"/>
        </w:rPr>
        <w:t>AXS-12 (reboxetine) is Axsome’s novel, oral, potent, and highly selective norepinephrine reuptake inhibitor for the treatment of</w:t>
      </w:r>
      <w:r>
        <w:rPr>
          <w:rFonts w:ascii="Arial" w:cs="Arial" w:eastAsia="Arial" w:hAnsi="Arial"/>
          <w:sz w:val="16"/>
          <w:szCs w:val="16"/>
          <w:b w:val="1"/>
          <w:bCs w:val="1"/>
          <w:color w:val="0D0D0D"/>
        </w:rPr>
        <w:t xml:space="preserve"> </w:t>
      </w:r>
      <w:r>
        <w:rPr>
          <w:rFonts w:ascii="Arial" w:cs="Arial" w:eastAsia="Arial" w:hAnsi="Arial"/>
          <w:sz w:val="16"/>
          <w:szCs w:val="16"/>
          <w:color w:val="0D0D0D"/>
        </w:rPr>
        <w:t>narcolepsy. AXS-12 has been granted Orphan Drug Designation by the FDA for the treatment of narcolepsy.</w:t>
      </w:r>
    </w:p>
    <w:p>
      <w:pPr>
        <w:spacing w:after="0" w:line="108" w:lineRule="exact"/>
        <w:rPr>
          <w:rFonts w:ascii="Arial" w:cs="Arial" w:eastAsia="Arial" w:hAnsi="Arial"/>
          <w:sz w:val="16"/>
          <w:szCs w:val="16"/>
          <w:color w:val="0D0D0D"/>
        </w:rPr>
      </w:pPr>
    </w:p>
    <w:p>
      <w:pPr>
        <w:jc w:val="both"/>
        <w:ind w:left="300"/>
        <w:spacing w:after="0" w:line="266" w:lineRule="auto"/>
        <w:rPr>
          <w:rFonts w:ascii="Arial" w:cs="Arial" w:eastAsia="Arial" w:hAnsi="Arial"/>
          <w:sz w:val="16"/>
          <w:szCs w:val="16"/>
          <w:color w:val="0D0D0D"/>
        </w:rPr>
      </w:pPr>
      <w:r>
        <w:rPr>
          <w:rFonts w:ascii="Arial" w:cs="Arial" w:eastAsia="Arial" w:hAnsi="Arial"/>
          <w:sz w:val="16"/>
          <w:szCs w:val="16"/>
          <w:b w:val="1"/>
          <w:bCs w:val="1"/>
          <w:color w:val="auto"/>
        </w:rPr>
        <w:t xml:space="preserve">Narcolepsy: </w:t>
      </w:r>
      <w:r>
        <w:rPr>
          <w:rFonts w:ascii="Arial" w:cs="Arial" w:eastAsia="Arial" w:hAnsi="Arial"/>
          <w:sz w:val="16"/>
          <w:szCs w:val="16"/>
          <w:color w:val="auto"/>
        </w:rPr>
        <w:t>Axsome is on track to initiate Phase 3 trials of AXS-12 in the treatment of narcolepsy in the second half of 2020. Axsome</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announced positive results from the Phase 2 CONCERT study, in which AXS-12 significantly reduced the number of cataplexy attacks and excessive daytime sleepiness as compared to placebo in patients with narcolepsy.</w:t>
      </w:r>
    </w:p>
    <w:p>
      <w:pPr>
        <w:spacing w:after="0" w:line="121" w:lineRule="exact"/>
        <w:rPr>
          <w:rFonts w:ascii="Arial" w:cs="Arial" w:eastAsia="Arial" w:hAnsi="Arial"/>
          <w:sz w:val="16"/>
          <w:szCs w:val="16"/>
          <w:color w:val="0D0D0D"/>
        </w:rPr>
      </w:pPr>
    </w:p>
    <w:p>
      <w:pPr>
        <w:ind w:left="300" w:right="20" w:hanging="291"/>
        <w:spacing w:after="0" w:line="317" w:lineRule="auto"/>
        <w:tabs>
          <w:tab w:leader="none" w:pos="300" w:val="left"/>
        </w:tabs>
        <w:numPr>
          <w:ilvl w:val="0"/>
          <w:numId w:val="3"/>
        </w:numPr>
        <w:rPr>
          <w:rFonts w:ascii="Arial" w:cs="Arial" w:eastAsia="Arial" w:hAnsi="Arial"/>
          <w:sz w:val="15"/>
          <w:szCs w:val="15"/>
          <w:color w:val="auto"/>
        </w:rPr>
      </w:pPr>
      <w:r>
        <w:rPr>
          <w:rFonts w:ascii="Arial" w:cs="Arial" w:eastAsia="Arial" w:hAnsi="Arial"/>
          <w:sz w:val="15"/>
          <w:szCs w:val="15"/>
          <w:b w:val="1"/>
          <w:bCs w:val="1"/>
          <w:color w:val="auto"/>
        </w:rPr>
        <w:t xml:space="preserve">AXS-14: </w:t>
      </w:r>
      <w:r>
        <w:rPr>
          <w:rFonts w:ascii="Arial" w:cs="Arial" w:eastAsia="Arial" w:hAnsi="Arial"/>
          <w:sz w:val="15"/>
          <w:szCs w:val="15"/>
          <w:color w:val="auto"/>
        </w:rPr>
        <w:t>AXS-14 (esreboxetine) is Axsome’s novel, oral, potent, and highly selective norepinephrine reuptake inhibitor for the treatment of</w:t>
      </w:r>
      <w:r>
        <w:rPr>
          <w:rFonts w:ascii="Arial" w:cs="Arial" w:eastAsia="Arial" w:hAnsi="Arial"/>
          <w:sz w:val="15"/>
          <w:szCs w:val="15"/>
          <w:b w:val="1"/>
          <w:bCs w:val="1"/>
          <w:color w:val="auto"/>
        </w:rPr>
        <w:t xml:space="preserve"> </w:t>
      </w:r>
      <w:r>
        <w:rPr>
          <w:rFonts w:ascii="Arial" w:cs="Arial" w:eastAsia="Arial" w:hAnsi="Arial"/>
          <w:sz w:val="15"/>
          <w:szCs w:val="15"/>
          <w:color w:val="auto"/>
        </w:rPr>
        <w:t>fibromyalgia. Esreboxetine, the SS-enantiomer of reboxetine, is more potent and selective than racemic reboxetine.</w:t>
      </w:r>
    </w:p>
    <w:p>
      <w:pPr>
        <w:spacing w:after="0" w:line="84" w:lineRule="exact"/>
        <w:rPr>
          <w:rFonts w:ascii="Arial" w:cs="Arial" w:eastAsia="Arial" w:hAnsi="Arial"/>
          <w:sz w:val="15"/>
          <w:szCs w:val="15"/>
          <w:color w:val="auto"/>
        </w:rPr>
      </w:pPr>
    </w:p>
    <w:p>
      <w:pPr>
        <w:jc w:val="both"/>
        <w:ind w:left="300"/>
        <w:spacing w:after="0" w:line="266" w:lineRule="auto"/>
        <w:rPr>
          <w:rFonts w:ascii="Arial" w:cs="Arial" w:eastAsia="Arial" w:hAnsi="Arial"/>
          <w:sz w:val="15"/>
          <w:szCs w:val="15"/>
          <w:color w:val="auto"/>
        </w:rPr>
      </w:pPr>
      <w:r>
        <w:rPr>
          <w:rFonts w:ascii="Arial" w:cs="Arial" w:eastAsia="Arial" w:hAnsi="Arial"/>
          <w:sz w:val="16"/>
          <w:szCs w:val="16"/>
          <w:b w:val="1"/>
          <w:bCs w:val="1"/>
          <w:color w:val="auto"/>
        </w:rPr>
        <w:t xml:space="preserve">Fibromyalgia: </w:t>
      </w:r>
      <w:r>
        <w:rPr>
          <w:rFonts w:ascii="Arial" w:cs="Arial" w:eastAsia="Arial" w:hAnsi="Arial"/>
          <w:sz w:val="16"/>
          <w:szCs w:val="16"/>
          <w:color w:val="auto"/>
        </w:rPr>
        <w:t>Axsome plans to meet with the FDA in the second half of 2020 to discuss the further clinical development of AXS-14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treatment of fibromyalgia. AXS-14 has previously met the primary endpoints and demonstrated positive and statistically significant results in a Phase 3 and a Phase 2 trial in the treatment of fibromyalgia.</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Anticipated Milestones</w:t>
      </w:r>
    </w:p>
    <w:p>
      <w:pPr>
        <w:spacing w:after="0" w:line="164" w:lineRule="exact"/>
        <w:rPr>
          <w:sz w:val="20"/>
          <w:szCs w:val="20"/>
          <w:color w:val="auto"/>
        </w:rPr>
      </w:pPr>
    </w:p>
    <w:p>
      <w:pPr>
        <w:ind w:left="220" w:hanging="211"/>
        <w:spacing w:after="0"/>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NDA Filings:</w:t>
      </w:r>
    </w:p>
    <w:p>
      <w:pPr>
        <w:spacing w:after="0" w:line="168" w:lineRule="exact"/>
        <w:rPr>
          <w:sz w:val="20"/>
          <w:szCs w:val="20"/>
          <w:color w:val="auto"/>
        </w:rPr>
      </w:pPr>
    </w:p>
    <w:p>
      <w:pPr>
        <w:ind w:left="880" w:hanging="294"/>
        <w:spacing w:after="0"/>
        <w:tabs>
          <w:tab w:leader="none" w:pos="88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AXS-05 in the treatment of MDD (4Q 2020)</w:t>
      </w:r>
    </w:p>
    <w:p>
      <w:pPr>
        <w:spacing w:after="0" w:line="150" w:lineRule="exact"/>
        <w:rPr>
          <w:rFonts w:ascii="Courier New" w:cs="Courier New" w:eastAsia="Courier New" w:hAnsi="Courier New"/>
          <w:sz w:val="16"/>
          <w:szCs w:val="16"/>
          <w:color w:val="auto"/>
        </w:rPr>
      </w:pPr>
    </w:p>
    <w:p>
      <w:pPr>
        <w:ind w:left="880" w:hanging="294"/>
        <w:spacing w:after="0"/>
        <w:tabs>
          <w:tab w:leader="none" w:pos="88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AXS-07 in the acute treatment of migraine (4Q 2020)</w:t>
      </w:r>
    </w:p>
    <w:p>
      <w:pPr>
        <w:spacing w:after="0" w:line="146" w:lineRule="exact"/>
        <w:rPr>
          <w:rFonts w:ascii="Courier New" w:cs="Courier New" w:eastAsia="Courier New" w:hAnsi="Courier New"/>
          <w:sz w:val="16"/>
          <w:szCs w:val="16"/>
          <w:color w:val="auto"/>
        </w:rPr>
      </w:pPr>
    </w:p>
    <w:p>
      <w:pPr>
        <w:ind w:left="220" w:hanging="211"/>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FDA Meetings:</w:t>
      </w:r>
    </w:p>
    <w:p>
      <w:pPr>
        <w:spacing w:after="0" w:line="168" w:lineRule="exact"/>
        <w:rPr>
          <w:rFonts w:ascii="Arial" w:cs="Arial" w:eastAsia="Arial" w:hAnsi="Arial"/>
          <w:sz w:val="16"/>
          <w:szCs w:val="16"/>
          <w:color w:val="auto"/>
        </w:rPr>
      </w:pPr>
    </w:p>
    <w:p>
      <w:pPr>
        <w:ind w:left="880" w:hanging="294"/>
        <w:spacing w:after="0"/>
        <w:tabs>
          <w:tab w:leader="none" w:pos="88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AXS-14 for fibromyalgia (2H 2020)</w:t>
      </w:r>
    </w:p>
    <w:p>
      <w:pPr>
        <w:spacing w:after="0" w:line="150" w:lineRule="exact"/>
        <w:rPr>
          <w:rFonts w:ascii="Courier New" w:cs="Courier New" w:eastAsia="Courier New" w:hAnsi="Courier New"/>
          <w:sz w:val="16"/>
          <w:szCs w:val="16"/>
          <w:color w:val="auto"/>
        </w:rPr>
      </w:pPr>
    </w:p>
    <w:p>
      <w:pPr>
        <w:ind w:left="880" w:hanging="294"/>
        <w:spacing w:after="0"/>
        <w:tabs>
          <w:tab w:leader="none" w:pos="88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AXS-05 for smoking cessation (2H 2020)</w:t>
      </w:r>
    </w:p>
    <w:p>
      <w:pPr>
        <w:spacing w:after="0" w:line="146" w:lineRule="exact"/>
        <w:rPr>
          <w:rFonts w:ascii="Courier New" w:cs="Courier New" w:eastAsia="Courier New" w:hAnsi="Courier New"/>
          <w:sz w:val="16"/>
          <w:szCs w:val="16"/>
          <w:color w:val="auto"/>
        </w:rPr>
      </w:pPr>
    </w:p>
    <w:p>
      <w:pPr>
        <w:ind w:left="220" w:hanging="211"/>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Clinical Trial Initiations:</w:t>
      </w:r>
    </w:p>
    <w:p>
      <w:pPr>
        <w:spacing w:after="0" w:line="168" w:lineRule="exact"/>
        <w:rPr>
          <w:rFonts w:ascii="Arial" w:cs="Arial" w:eastAsia="Arial" w:hAnsi="Arial"/>
          <w:sz w:val="16"/>
          <w:szCs w:val="16"/>
          <w:color w:val="auto"/>
        </w:rPr>
      </w:pPr>
    </w:p>
    <w:p>
      <w:pPr>
        <w:ind w:left="880" w:hanging="294"/>
        <w:spacing w:after="0"/>
        <w:tabs>
          <w:tab w:leader="none" w:pos="88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Phase 3 trial of AXS-05 in TRD (3Q 2020)</w:t>
      </w:r>
    </w:p>
    <w:p>
      <w:pPr>
        <w:spacing w:after="0" w:line="150" w:lineRule="exact"/>
        <w:rPr>
          <w:rFonts w:ascii="Courier New" w:cs="Courier New" w:eastAsia="Courier New" w:hAnsi="Courier New"/>
          <w:sz w:val="16"/>
          <w:szCs w:val="16"/>
          <w:color w:val="auto"/>
        </w:rPr>
      </w:pPr>
    </w:p>
    <w:p>
      <w:pPr>
        <w:ind w:left="880" w:hanging="294"/>
        <w:spacing w:after="0"/>
        <w:tabs>
          <w:tab w:leader="none" w:pos="88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Phase 3 trials of AXS-12 in the treatment of narcolepsy (2H 2020)</w:t>
      </w:r>
    </w:p>
    <w:p>
      <w:pPr>
        <w:spacing w:after="0" w:line="150" w:lineRule="exact"/>
        <w:rPr>
          <w:rFonts w:ascii="Courier New" w:cs="Courier New" w:eastAsia="Courier New" w:hAnsi="Courier New"/>
          <w:sz w:val="16"/>
          <w:szCs w:val="16"/>
          <w:color w:val="auto"/>
        </w:rPr>
      </w:pPr>
    </w:p>
    <w:p>
      <w:pPr>
        <w:ind w:left="880" w:hanging="294"/>
        <w:spacing w:after="0"/>
        <w:tabs>
          <w:tab w:leader="none" w:pos="88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Phase 3 trial of AXS-05 in Alzheimer’s disease agitation (2H 2020)</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440055</wp:posOffset>
            </wp:positionV>
            <wp:extent cx="588137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1370" cy="22860"/>
                    </a:xfrm>
                    <a:prstGeom prst="rect">
                      <a:avLst/>
                    </a:prstGeom>
                    <a:noFill/>
                  </pic:spPr>
                </pic:pic>
              </a:graphicData>
            </a:graphic>
          </wp:anchor>
        </w:drawing>
      </w:r>
    </w:p>
    <w:p>
      <w:pPr>
        <w:sectPr>
          <w:pgSz w:w="11900" w:h="16838" w:orient="portrait"/>
          <w:cols w:equalWidth="0" w:num="1">
            <w:col w:w="9280"/>
          </w:cols>
          <w:pgMar w:left="1300" w:top="315" w:right="1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First Quarter 2020 Financial Results</w:t>
      </w:r>
    </w:p>
    <w:p>
      <w:pPr>
        <w:spacing w:after="0" w:line="176" w:lineRule="exact"/>
        <w:rPr>
          <w:sz w:val="20"/>
          <w:szCs w:val="20"/>
          <w:color w:val="auto"/>
        </w:rPr>
      </w:pPr>
    </w:p>
    <w:p>
      <w:pPr>
        <w:jc w:val="both"/>
        <w:ind w:left="280" w:right="20" w:hanging="199"/>
        <w:spacing w:after="0" w:line="304" w:lineRule="auto"/>
        <w:tabs>
          <w:tab w:leader="none" w:pos="28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Research and development (R&amp;D) expenses: </w:t>
      </w:r>
      <w:r>
        <w:rPr>
          <w:rFonts w:ascii="Arial" w:cs="Arial" w:eastAsia="Arial" w:hAnsi="Arial"/>
          <w:sz w:val="14"/>
          <w:szCs w:val="14"/>
          <w:color w:val="auto"/>
        </w:rPr>
        <w:t>R&amp;D expenses were $27.5 million for the quarter ended March 31, 2020 and $7.6 million</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comparable period in 2019. R&amp;D expense in the quarter included a one-time charge of $10.2 million for the Pfizer license agreement, of which $7.2 million was non-cash related. The remaining increase was due primarily to ongoing spend for our active clinical trials in the quarter which included the STRIDE-1, ADVANCE-1, and INTERCEPT trials, close-out costs for our previously completed GEMINI, MOMENTUM, and CONCERT trials, along with costs associated with the AXS-05 and AXS-07 open-label safety studies.</w:t>
      </w:r>
    </w:p>
    <w:p>
      <w:pPr>
        <w:spacing w:after="0" w:line="97" w:lineRule="exact"/>
        <w:rPr>
          <w:rFonts w:ascii="Arial" w:cs="Arial" w:eastAsia="Arial" w:hAnsi="Arial"/>
          <w:sz w:val="14"/>
          <w:szCs w:val="14"/>
          <w:color w:val="auto"/>
        </w:rPr>
      </w:pPr>
    </w:p>
    <w:p>
      <w:pPr>
        <w:jc w:val="both"/>
        <w:ind w:left="280" w:right="20" w:hanging="199"/>
        <w:spacing w:after="0" w:line="266" w:lineRule="auto"/>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General and administrative (G&amp;A) expenses: </w:t>
      </w:r>
      <w:r>
        <w:rPr>
          <w:rFonts w:ascii="Arial" w:cs="Arial" w:eastAsia="Arial" w:hAnsi="Arial"/>
          <w:sz w:val="16"/>
          <w:szCs w:val="16"/>
          <w:color w:val="auto"/>
        </w:rPr>
        <w:t>G&amp;A expenses were $5.0 million for the quarter ended March 31, 2020 and $2.8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comparable period in 2019. The change was primarily due to personnel costs, mainly associated with an increase in stock compensation expense, along with the build-out of the commercial function.</w:t>
      </w:r>
    </w:p>
    <w:p>
      <w:pPr>
        <w:spacing w:after="0" w:line="121" w:lineRule="exact"/>
        <w:rPr>
          <w:rFonts w:ascii="Arial" w:cs="Arial" w:eastAsia="Arial" w:hAnsi="Arial"/>
          <w:sz w:val="16"/>
          <w:szCs w:val="16"/>
          <w:color w:val="auto"/>
        </w:rPr>
      </w:pPr>
    </w:p>
    <w:p>
      <w:pPr>
        <w:ind w:left="280" w:right="20" w:hanging="199"/>
        <w:spacing w:after="0" w:line="282" w:lineRule="auto"/>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was $32.5 million, or $(0.88) per share for the quarter ended March 31, 2020, compared to a net loss of $10.6 million, or</w:t>
      </w:r>
      <w:r>
        <w:rPr>
          <w:rFonts w:ascii="Arial" w:cs="Arial" w:eastAsia="Arial" w:hAnsi="Arial"/>
          <w:sz w:val="16"/>
          <w:szCs w:val="16"/>
          <w:b w:val="1"/>
          <w:bCs w:val="1"/>
          <w:color w:val="auto"/>
        </w:rPr>
        <w:t xml:space="preserve"> </w:t>
      </w:r>
      <w:r>
        <w:rPr>
          <w:rFonts w:ascii="Arial" w:cs="Arial" w:eastAsia="Arial" w:hAnsi="Arial"/>
          <w:sz w:val="16"/>
          <w:szCs w:val="16"/>
          <w:color w:val="auto"/>
        </w:rPr>
        <w:t>$(0.32) per share for the comparable period in 2019.</w:t>
      </w:r>
    </w:p>
    <w:p>
      <w:pPr>
        <w:spacing w:after="0" w:line="108" w:lineRule="exact"/>
        <w:rPr>
          <w:rFonts w:ascii="Arial" w:cs="Arial" w:eastAsia="Arial" w:hAnsi="Arial"/>
          <w:sz w:val="16"/>
          <w:szCs w:val="16"/>
          <w:color w:val="auto"/>
        </w:rPr>
      </w:pPr>
    </w:p>
    <w:p>
      <w:pPr>
        <w:ind w:left="280" w:hanging="199"/>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Cash: </w:t>
      </w:r>
      <w:r>
        <w:rPr>
          <w:rFonts w:ascii="Arial" w:cs="Arial" w:eastAsia="Arial" w:hAnsi="Arial"/>
          <w:sz w:val="16"/>
          <w:szCs w:val="16"/>
          <w:color w:val="auto"/>
        </w:rPr>
        <w:t>At March 31, 2020, Axsome had $197.3 million of cash compared to $220.0 million of cash at December 31, 2019.</w:t>
      </w:r>
    </w:p>
    <w:p>
      <w:pPr>
        <w:spacing w:after="0" w:line="164" w:lineRule="exact"/>
        <w:rPr>
          <w:rFonts w:ascii="Arial" w:cs="Arial" w:eastAsia="Arial" w:hAnsi="Arial"/>
          <w:sz w:val="16"/>
          <w:szCs w:val="16"/>
          <w:color w:val="auto"/>
        </w:rPr>
      </w:pPr>
    </w:p>
    <w:p>
      <w:pPr>
        <w:ind w:left="280" w:hanging="199"/>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Shares outstanding: </w:t>
      </w:r>
      <w:r>
        <w:rPr>
          <w:rFonts w:ascii="Arial" w:cs="Arial" w:eastAsia="Arial" w:hAnsi="Arial"/>
          <w:sz w:val="16"/>
          <w:szCs w:val="16"/>
          <w:color w:val="auto"/>
        </w:rPr>
        <w:t>At March 31, 2020, Axsome had 37,075,422 shares of common stock outstanding.</w:t>
      </w:r>
    </w:p>
    <w:p>
      <w:pPr>
        <w:spacing w:after="0" w:line="164" w:lineRule="exact"/>
        <w:rPr>
          <w:rFonts w:ascii="Arial" w:cs="Arial" w:eastAsia="Arial" w:hAnsi="Arial"/>
          <w:sz w:val="16"/>
          <w:szCs w:val="16"/>
          <w:color w:val="auto"/>
        </w:rPr>
      </w:pPr>
    </w:p>
    <w:p>
      <w:pPr>
        <w:ind w:left="280" w:right="20" w:hanging="199"/>
        <w:spacing w:after="0" w:line="282" w:lineRule="auto"/>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Financial Guidance: </w:t>
      </w:r>
      <w:r>
        <w:rPr>
          <w:rFonts w:ascii="Arial" w:cs="Arial" w:eastAsia="Arial" w:hAnsi="Arial"/>
          <w:sz w:val="16"/>
          <w:szCs w:val="16"/>
          <w:color w:val="auto"/>
        </w:rPr>
        <w:t>Axsome believes that its cash at March 31, 2020 will be sufficient to fund the company’s anticipated operations,</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its current operating plans, for at least two years.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Information</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Axsome will host a conference call and webcast with slides today at 8:00 AM Eastern to discuss first quarter 2020 financial results as well as to provide a corporate update. To participate in the live conference call, please dial (833) 579-0911 (toll-free domestic) or (778) 560-2804 (international), and use the conference ID 4088615. The live webcast can be accessed on the "Webcasts &amp; Presentations" page of the "Investors" section of the Company's website at axsome.com. A replay of the webcast will be available for approximately 30 days following the live event.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Axsome Therapeutics, Inc.</w:t>
      </w:r>
    </w:p>
    <w:p>
      <w:pPr>
        <w:spacing w:after="0" w:line="18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treatment resistant depression (TRD), Alzheimer’s disease (AD) agitation, and as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440055</wp:posOffset>
            </wp:positionV>
            <wp:extent cx="5881370"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1370" cy="22860"/>
                    </a:xfrm>
                    <a:prstGeom prst="rect">
                      <a:avLst/>
                    </a:prstGeom>
                    <a:noFill/>
                  </pic:spPr>
                </pic:pic>
              </a:graphicData>
            </a:graphic>
          </wp:anchor>
        </w:drawing>
      </w:r>
    </w:p>
    <w:p>
      <w:pPr>
        <w:sectPr>
          <w:pgSz w:w="11900" w:h="16838" w:orient="portrait"/>
          <w:cols w:equalWidth="0" w:num="1">
            <w:col w:w="9280"/>
          </w:cols>
          <w:pgMar w:left="1300" w:top="315" w:right="1319" w:bottom="1440" w:gutter="0" w:footer="0" w:header="0"/>
        </w:sectPr>
      </w:pPr>
    </w:p>
    <w:bookmarkStart w:id="6" w:name="page7"/>
    <w:bookmarkEnd w:id="6"/>
    <w:p>
      <w:pPr>
        <w:jc w:val="both"/>
        <w:spacing w:after="0" w:line="270" w:lineRule="auto"/>
        <w:rPr>
          <w:sz w:val="20"/>
          <w:szCs w:val="20"/>
          <w:color w:val="auto"/>
        </w:rPr>
      </w:pPr>
      <w:r>
        <w:rPr>
          <w:rFonts w:ascii="Arial" w:cs="Arial" w:eastAsia="Arial" w:hAnsi="Arial"/>
          <w:sz w:val="15"/>
          <w:szCs w:val="15"/>
          <w:color w:val="auto"/>
        </w:rPr>
        <w:t>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Consolidated Financial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Statements of Operations Information: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20" w:type="dxa"/>
            <w:vAlign w:val="bottom"/>
            <w:gridSpan w:val="4"/>
          </w:tcPr>
          <w:p>
            <w:pPr>
              <w:jc w:val="right"/>
              <w:ind w:right="105"/>
              <w:spacing w:after="0"/>
              <w:rPr>
                <w:sz w:val="20"/>
                <w:szCs w:val="20"/>
                <w:color w:val="auto"/>
              </w:rPr>
            </w:pPr>
            <w:r>
              <w:rPr>
                <w:rFonts w:ascii="Arial" w:cs="Arial" w:eastAsia="Arial" w:hAnsi="Arial"/>
                <w:sz w:val="16"/>
                <w:szCs w:val="16"/>
                <w:b w:val="1"/>
                <w:bCs w:val="1"/>
                <w:color w:val="auto"/>
              </w:rPr>
              <w:t>Three months ended</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445"/>
              <w:spacing w:after="0"/>
              <w:rPr>
                <w:sz w:val="20"/>
                <w:szCs w:val="20"/>
                <w:color w:val="auto"/>
              </w:rPr>
            </w:pPr>
            <w:r>
              <w:rPr>
                <w:rFonts w:ascii="Arial" w:cs="Arial" w:eastAsia="Arial" w:hAnsi="Arial"/>
                <w:sz w:val="16"/>
                <w:szCs w:val="16"/>
                <w:b w:val="1"/>
                <w:bCs w:val="1"/>
                <w:color w:val="auto"/>
              </w:rPr>
              <w:t>March 31,</w:t>
            </w:r>
          </w:p>
        </w:tc>
        <w:tc>
          <w:tcPr>
            <w:tcW w:w="13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b w:val="1"/>
                <w:bCs w:val="1"/>
                <w:color w:val="auto"/>
              </w:rPr>
              <w:t>2020</w:t>
            </w:r>
          </w:p>
        </w:tc>
        <w:tc>
          <w:tcPr>
            <w:tcW w:w="8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40"/>
              <w:spacing w:after="0" w:line="160" w:lineRule="exact"/>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6"/>
                <w:szCs w:val="16"/>
                <w:color w:val="auto"/>
              </w:rPr>
              <w:t>Research and development</w:t>
            </w:r>
          </w:p>
        </w:tc>
        <w:tc>
          <w:tcPr>
            <w:tcW w:w="1420" w:type="dxa"/>
            <w:vAlign w:val="bottom"/>
            <w:gridSpan w:val="2"/>
          </w:tcPr>
          <w:p>
            <w:pPr>
              <w:jc w:val="right"/>
              <w:ind w:right="1063"/>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27,521,400</w:t>
            </w:r>
          </w:p>
        </w:tc>
        <w:tc>
          <w:tcPr>
            <w:tcW w:w="200" w:type="dxa"/>
            <w:vAlign w:val="bottom"/>
          </w:tcPr>
          <w:p>
            <w:pPr>
              <w:spacing w:after="0"/>
              <w:rPr>
                <w:sz w:val="17"/>
                <w:szCs w:val="17"/>
                <w:color w:val="auto"/>
              </w:rPr>
            </w:pPr>
          </w:p>
        </w:tc>
        <w:tc>
          <w:tcPr>
            <w:tcW w:w="800" w:type="dxa"/>
            <w:vAlign w:val="bottom"/>
            <w:gridSpan w:val="2"/>
          </w:tcPr>
          <w:p>
            <w:pPr>
              <w:jc w:val="right"/>
              <w:ind w:right="485"/>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7,603,081</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4,970,057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2,818,392</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32,491,457</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10,421,473</w:t>
            </w:r>
          </w:p>
        </w:tc>
        <w:tc>
          <w:tcPr>
            <w:tcW w:w="3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(32,491,457</w:t>
            </w:r>
          </w:p>
        </w:tc>
        <w:tc>
          <w:tcPr>
            <w:tcW w:w="200" w:type="dxa"/>
            <w:vAlign w:val="bottom"/>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(10,421,473</w:t>
            </w:r>
          </w:p>
        </w:tc>
        <w:tc>
          <w:tcPr>
            <w:tcW w:w="380" w:type="dxa"/>
            <w:vAlign w:val="bottom"/>
            <w:shd w:val="clear" w:color="auto" w:fill="CCEEFF"/>
          </w:tcPr>
          <w:p>
            <w:pPr>
              <w:jc w:val="right"/>
              <w:ind w:right="30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Interest income (expense)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6"/>
                <w:szCs w:val="16"/>
                <w:color w:val="auto"/>
              </w:rPr>
              <w:t>(218,903)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10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(32,484,146)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(10,640,376)</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Net loss per common share, basic and diluted</w:t>
            </w:r>
          </w:p>
        </w:tc>
        <w:tc>
          <w:tcPr>
            <w:tcW w:w="2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06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(0.88</w:t>
            </w:r>
          </w:p>
        </w:tc>
        <w:tc>
          <w:tcPr>
            <w:tcW w:w="200" w:type="dxa"/>
            <w:vAlign w:val="bottom"/>
            <w:tcBorders>
              <w:bottom w:val="single" w:sz="8" w:color="CCEEFF"/>
            </w:tcBorders>
          </w:tcPr>
          <w:p>
            <w:pPr>
              <w:jc w:val="right"/>
              <w:ind w:right="120"/>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(0.32</w:t>
            </w:r>
          </w:p>
        </w:tc>
        <w:tc>
          <w:tcPr>
            <w:tcW w:w="380" w:type="dxa"/>
            <w:vAlign w:val="bottom"/>
            <w:tcBorders>
              <w:bottom w:val="single" w:sz="8" w:color="CCEEFF"/>
            </w:tcBorders>
          </w:tcPr>
          <w:p>
            <w:pPr>
              <w:jc w:val="right"/>
              <w:ind w:right="30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Weighted average common shares outstanding, basic and diluted</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37,061,356</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33,052,468</w:t>
            </w:r>
          </w:p>
        </w:tc>
        <w:tc>
          <w:tcPr>
            <w:tcW w:w="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ectPr>
          <w:pgSz w:w="11900" w:h="16838" w:orient="portrait"/>
          <w:cols w:equalWidth="0" w:num="1">
            <w:col w:w="9280"/>
          </w:cols>
          <w:pgMar w:left="1300" w:top="319" w:right="1319" w:bottom="1440" w:gutter="0" w:footer="0" w:header="0"/>
        </w:sectPr>
      </w:pPr>
    </w:p>
    <w:p>
      <w:pPr>
        <w:spacing w:after="0"/>
        <w:rPr>
          <w:sz w:val="20"/>
          <w:szCs w:val="20"/>
          <w:color w:val="auto"/>
        </w:rPr>
      </w:pPr>
      <w:r>
        <w:rPr>
          <w:rFonts w:ascii="Arial" w:cs="Arial" w:eastAsia="Arial" w:hAnsi="Arial"/>
          <w:sz w:val="16"/>
          <w:szCs w:val="16"/>
          <w:b w:val="1"/>
          <w:bCs w:val="1"/>
          <w:color w:val="auto"/>
        </w:rPr>
        <w:t>Balance Sheet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Loan payable, current and long-term</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Axsome Contact: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Mark Jacobson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Chief Operating Officer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Axsome Therapeutics,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200 Broadway, 3</w:t>
      </w:r>
      <w:r>
        <w:rPr>
          <w:rFonts w:ascii="Arial" w:cs="Arial" w:eastAsia="Arial" w:hAnsi="Arial"/>
          <w:sz w:val="8"/>
          <w:szCs w:val="8"/>
          <w:color w:val="auto"/>
        </w:rPr>
        <w:t>rd</w:t>
      </w:r>
      <w:r>
        <w:rPr>
          <w:rFonts w:ascii="Arial" w:cs="Arial" w:eastAsia="Arial" w:hAnsi="Arial"/>
          <w:sz w:val="16"/>
          <w:szCs w:val="16"/>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10038</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Tel: 212-332-3243</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Email: mjacobson@axsome.com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www.axsome.com</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line="1" w:lineRule="exact"/>
        <w:rPr>
          <w:sz w:val="1"/>
          <w:szCs w:val="1"/>
          <w:color w:val="auto"/>
        </w:rPr>
      </w:pPr>
    </w:p>
    <w:tbl>
      <w:tblPr>
        <w:tblLayout w:type="fixed"/>
        <w:tblInd w:w="90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 2020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4"/>
              </w:rPr>
              <w:t>December 31, 2019</w:t>
            </w:r>
          </w:p>
        </w:tc>
      </w:tr>
      <w:tr>
        <w:trPr>
          <w:trHeight w:val="184"/>
        </w:trPr>
        <w:tc>
          <w:tcPr>
            <w:tcW w:w="20" w:type="dxa"/>
            <w:vAlign w:val="bottom"/>
          </w:tcPr>
          <w:p>
            <w:pPr>
              <w:spacing w:after="0"/>
              <w:rPr>
                <w:sz w:val="15"/>
                <w:szCs w:val="15"/>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197,313,408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219,966,167</w:t>
            </w:r>
          </w:p>
        </w:tc>
        <w:tc>
          <w:tcPr>
            <w:tcW w:w="4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197,800,871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220,549,760</w:t>
            </w:r>
          </w:p>
        </w:tc>
        <w:tc>
          <w:tcPr>
            <w:tcW w:w="4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20,112,570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19,934,918</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6"/>
                <w:szCs w:val="16"/>
                <w:color w:val="auto"/>
              </w:rPr>
              <w:t>(208,379,639)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(175,895,493)</w:t>
            </w:r>
          </w:p>
        </w:tc>
      </w:tr>
      <w:tr>
        <w:trPr>
          <w:trHeight w:val="217"/>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156,156,866</w:t>
            </w:r>
          </w:p>
        </w:tc>
        <w:tc>
          <w:tcPr>
            <w:tcW w:w="12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178,722,389</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-655320</wp:posOffset>
            </wp:positionV>
            <wp:extent cx="5881370" cy="129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81370" cy="12954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-396240</wp:posOffset>
            </wp:positionV>
            <wp:extent cx="5881370" cy="129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81370" cy="12954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-136525</wp:posOffset>
            </wp:positionV>
            <wp:extent cx="5881370" cy="129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1370" cy="129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447675</wp:posOffset>
            </wp:positionV>
            <wp:extent cx="588137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1370" cy="15240"/>
                    </a:xfrm>
                    <a:prstGeom prst="rect">
                      <a:avLst/>
                    </a:prstGeom>
                    <a:noFill/>
                  </pic:spPr>
                </pic:pic>
              </a:graphicData>
            </a:graphic>
          </wp:anchor>
        </w:drawing>
      </w:r>
    </w:p>
    <w:p>
      <w:pPr>
        <w:sectPr>
          <w:pgSz w:w="11900" w:h="16838" w:orient="portrait"/>
          <w:cols w:equalWidth="0" w:num="2">
            <w:col w:w="3880" w:space="720"/>
            <w:col w:w="4680"/>
          </w:cols>
          <w:pgMar w:left="1300" w:top="319" w:right="1319" w:bottom="1440" w:gutter="0" w:footer="0" w:header="0"/>
          <w:type w:val="continuous"/>
        </w:sectPr>
      </w:pPr>
    </w:p>
    <w:bookmarkStart w:id="7" w:name="page8"/>
    <w:bookmarkEnd w:id="7"/>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22860</wp:posOffset>
            </wp:positionV>
            <wp:extent cx="6895465" cy="5476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5465" cy="5476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5465" cy="54768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2020-05-08T15:51:03Z</dcterms:created>
  <dcterms:modified xsi:type="dcterms:W3CDTF">2020-05-08T15:51:03Z</dcterms:modified>
</cp:coreProperties>
</file>