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17,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80" w:firstLine="972"/>
        <w:spacing w:after="0" w:line="342" w:lineRule="auto"/>
        <w:rPr>
          <w:sz w:val="20"/>
          <w:szCs w:val="20"/>
          <w:color w:val="auto"/>
        </w:rPr>
      </w:pPr>
      <w:r>
        <w:rPr>
          <w:rFonts w:ascii="Arial" w:cs="Arial" w:eastAsia="Arial" w:hAnsi="Arial"/>
          <w:sz w:val="16"/>
          <w:szCs w:val="16"/>
          <w:color w:val="auto"/>
        </w:rPr>
        <w:t>On October 17, 2018, Axsome Therapeutics, Inc. (the “Company”) issued a press release announcing that it had received, from the U.S. Food and Drug Administration, Orphan Drug Designation for one of the Company’s product candidates, AXS-12, for the treatment of narcolepsy.</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500" w:type="dxa"/>
            <w:vAlign w:val="bottom"/>
            <w:vMerge w:val="restart"/>
          </w:tcPr>
          <w:p>
            <w:pPr>
              <w:jc w:val="right"/>
              <w:ind w:right="466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Borders>
              <w:top w:val="single" w:sz="8" w:color="auto"/>
            </w:tcBorders>
          </w:tcPr>
          <w:p>
            <w:pPr>
              <w:jc w:val="right"/>
              <w:ind w:right="19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7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October 17, 2018.</w:t>
              </w:r>
            </w:hyperlink>
          </w:p>
        </w:tc>
        <w:tc>
          <w:tcPr>
            <w:tcW w:w="7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4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7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6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Dated: October 17, 2018</w:t>
            </w:r>
          </w:p>
        </w:tc>
        <w:tc>
          <w:tcPr>
            <w:tcW w:w="7700" w:type="dxa"/>
            <w:vAlign w:val="bottom"/>
            <w:gridSpan w:val="2"/>
          </w:tcPr>
          <w:p>
            <w:pPr>
              <w:ind w:left="2060"/>
              <w:spacing w:after="0"/>
              <w:rPr>
                <w:sz w:val="20"/>
                <w:szCs w:val="20"/>
                <w:color w:val="auto"/>
              </w:rPr>
            </w:pPr>
            <w:r>
              <w:rPr>
                <w:rFonts w:ascii="Arial" w:cs="Arial" w:eastAsia="Arial" w:hAnsi="Arial"/>
                <w:sz w:val="18"/>
                <w:szCs w:val="18"/>
                <w:color w:val="auto"/>
              </w:rPr>
              <w:t>By:  /s/ Herriot Tabuteau, M.D.</w:t>
            </w:r>
          </w:p>
        </w:tc>
        <w:tc>
          <w:tcPr>
            <w:tcW w:w="40" w:type="dxa"/>
            <w:vAlign w:val="bottom"/>
          </w:tcPr>
          <w:p>
            <w:pPr>
              <w:spacing w:after="0"/>
              <w:rPr>
                <w:sz w:val="24"/>
                <w:szCs w:val="24"/>
                <w:color w:val="auto"/>
              </w:rPr>
            </w:pPr>
          </w:p>
        </w:tc>
      </w:tr>
      <w:tr>
        <w:trPr>
          <w:trHeight w:val="182"/>
        </w:trPr>
        <w:tc>
          <w:tcPr>
            <w:tcW w:w="3720" w:type="dxa"/>
            <w:vAlign w:val="bottom"/>
          </w:tcPr>
          <w:p>
            <w:pPr>
              <w:spacing w:after="0"/>
              <w:rPr>
                <w:sz w:val="15"/>
                <w:szCs w:val="15"/>
                <w:color w:val="auto"/>
              </w:rPr>
            </w:pPr>
          </w:p>
        </w:tc>
        <w:tc>
          <w:tcPr>
            <w:tcW w:w="2520" w:type="dxa"/>
            <w:vAlign w:val="bottom"/>
          </w:tcPr>
          <w:p>
            <w:pPr>
              <w:ind w:left="2060"/>
              <w:spacing w:after="0" w:line="182" w:lineRule="exact"/>
              <w:rPr>
                <w:sz w:val="20"/>
                <w:szCs w:val="20"/>
                <w:color w:val="auto"/>
              </w:rPr>
            </w:pPr>
            <w:r>
              <w:rPr>
                <w:rFonts w:ascii="Arial" w:cs="Arial" w:eastAsia="Arial" w:hAnsi="Arial"/>
                <w:sz w:val="18"/>
                <w:szCs w:val="18"/>
                <w:color w:val="auto"/>
                <w:w w:val="82"/>
              </w:rPr>
              <w:t>Name:</w:t>
            </w:r>
          </w:p>
        </w:tc>
        <w:tc>
          <w:tcPr>
            <w:tcW w:w="518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5"/>
                <w:szCs w:val="15"/>
                <w:color w:val="auto"/>
              </w:rPr>
            </w:pPr>
          </w:p>
        </w:tc>
      </w:tr>
      <w:tr>
        <w:trPr>
          <w:trHeight w:val="230"/>
        </w:trPr>
        <w:tc>
          <w:tcPr>
            <w:tcW w:w="3720" w:type="dxa"/>
            <w:vAlign w:val="bottom"/>
          </w:tcPr>
          <w:p>
            <w:pPr>
              <w:spacing w:after="0"/>
              <w:rPr>
                <w:sz w:val="20"/>
                <w:szCs w:val="20"/>
                <w:color w:val="auto"/>
              </w:rPr>
            </w:pPr>
          </w:p>
        </w:tc>
        <w:tc>
          <w:tcPr>
            <w:tcW w:w="7700" w:type="dxa"/>
            <w:vAlign w:val="bottom"/>
            <w:gridSpan w:val="2"/>
          </w:tcPr>
          <w:p>
            <w:pPr>
              <w:ind w:left="2060"/>
              <w:spacing w:after="0"/>
              <w:rPr>
                <w:sz w:val="20"/>
                <w:szCs w:val="20"/>
                <w:color w:val="auto"/>
              </w:rPr>
            </w:pPr>
            <w:r>
              <w:rPr>
                <w:rFonts w:ascii="Arial" w:cs="Arial" w:eastAsia="Arial" w:hAnsi="Arial"/>
                <w:sz w:val="18"/>
                <w:szCs w:val="18"/>
                <w:color w:val="auto"/>
              </w:rPr>
              <w:t>Title: President and Chief Executive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520" w:type="dxa"/>
            <w:vAlign w:val="bottom"/>
          </w:tcPr>
          <w:p>
            <w:pPr>
              <w:ind w:left="1940"/>
              <w:spacing w:after="0"/>
              <w:rPr>
                <w:sz w:val="20"/>
                <w:szCs w:val="20"/>
                <w:color w:val="auto"/>
              </w:rPr>
            </w:pPr>
            <w:r>
              <w:rPr>
                <w:rFonts w:ascii="Arial" w:cs="Arial" w:eastAsia="Arial" w:hAnsi="Arial"/>
                <w:sz w:val="18"/>
                <w:szCs w:val="18"/>
                <w:color w:val="auto"/>
              </w:rPr>
              <w:t>3</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Receives FDA Orphan Drug Designation for AXS-12 for the Treatment of Narcolepsy</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NEW YORK, October 17, 2018 (Globe Newswire) — Axsome Therapeutics, Inc. (NASDAQ: AXSM), a clinical-stage biopharmaceutical company developing novel therapies for the management of central nervous system (CNS) disorders, received on Tuesday, October 16, Orphan Drug Designation from the U.S. Food and Drug Administration (FDA) for AXS-12 for the treatment of narcolepsy. Narcolepsy is a serious, debilitating, neurological condition characterized by excessive daytime sleepiness and cataplexy, which is a sudden reduction or loss of muscle tone while a patient is awake. AXS-12 is a novel, oral, highly selective and potent norepinephrine reuptake inhibitor. Yesterday morning, Axsome announced that it plans to initiate a Phase 2 trial of AXS-12 for the treatment of the symptoms of narcolepsy in the fourth quarter of this year with top-line results anticipated in the first half of 2019.</w:t>
      </w:r>
    </w:p>
    <w:p>
      <w:pPr>
        <w:spacing w:after="0" w:line="165"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“We are very pleased to have received Orphan Drug Designation from the FDA for AXS-12 on the heels of our recent announcement of this new CNS product candidate for the treatment of narcolepsy,” said Herriot Tabuteau, M.D., Chief Executive Officer of Axsome. “The designation is an important regulatory milestone in the development of AXS-12 for this debilitating condition. We look forward to starting our planned Phase 2 trial of AXS-12 in patients with narcolepsy this quarter.”</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Orphan Drug Designation is granted by the FDA Office of Orphan Drug Products to promising drugs intended for the safe and effective treatment of rare diseases, defined as those affecting fewer than 200,000 people in the U.S. This designation may entitle Axsome to a period of seven years of marketing exclusivity in the U.S. upon FDA approval. Orphan Drug Designation also confers special incentives to Axsome including tax credits towards the cost of clinical trials and a waiver of the Company’s obligation to pay the FDA application user fees for the product as required by the Prescription Drug User Fee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Opinion Leader Conference Call</w:t>
      </w:r>
    </w:p>
    <w:p>
      <w:pPr>
        <w:spacing w:after="0" w:line="22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On October 16, 2018, Axsome hosted a key opinion leader (KOL) conference call and webcast with slides focusing on AXS-12 and unmet needs in narcolepsy. The call and webcast featured a presentation from Dr. Michael J. Thorpy, Professor of Neurology at Albert Einstein College of Medicine, who discussed the clinical features of and current treatment landscape for narcolepsy. An archived webcast of the call, with slides, can be accessed on the “Webcasts &amp; Presentations” page of the “Investors” section of the Company’s website at axsome.com.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Narcolepsy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 fold higher mortality rate. Depression is reported in up to 57% of patients.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AXS-12</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AXS-12 (reboxetine) is a novel, oral, investigational medicine in development for the treatment of the symptoms of narcolepsy. AXS-12 is a highly selective and potent norepinephrine reuptake inhibitor. AXS-12 is an investigational drug product not approved by the FDA.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 Phase 2 trial in Major Depressive Disorder (MDD), and a Phase 2 trial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100"/>
        <w:spacing w:after="0" w:line="293" w:lineRule="auto"/>
        <w:rPr>
          <w:sz w:val="20"/>
          <w:szCs w:val="20"/>
          <w:color w:val="auto"/>
        </w:rPr>
      </w:pPr>
      <w:r>
        <w:rPr>
          <w:rFonts w:ascii="Arial" w:cs="Arial" w:eastAsia="Arial" w:hAnsi="Arial"/>
          <w:sz w:val="16"/>
          <w:szCs w:val="16"/>
          <w:color w:val="auto"/>
        </w:rPr>
        <w:t>in smoking cessation. AXS-07 is being developed for the acute treatment of migraine. AXS-12 is being developed for the treatment of the symptoms of narcolepsy. The Axsome Pain and Primary Care business unit (Axsome PPC) houses Axsome’s pain and primary care assets, including AXS-02 and AX-06,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the Company’s ongoing clinical trials and anticipated clinical trials for its current product candidates, including statements regarding the timing of initiation, interim analyses and completion of the trials, futility analyses and receipt of interim results, which are not necessarily indicative of the final results of the Company’s ongoing clinical trials; the Company’s ability to fund additional clinical trials to continue the advancement of its product candidates; the timing of and the Company’s ability to obtain and maintain U.S. Food and Drug Administration or other regulatory authority approval of, or other action with respect to, its product candidates; the Company’s expected cash runway;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2019-12-28T19:02:07Z</dcterms:created>
  <dcterms:modified xsi:type="dcterms:W3CDTF">2019-12-28T19:02:07Z</dcterms:modified>
</cp:coreProperties>
</file>