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Jacobson Mark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AXSOME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WORLD TRADE CENTER,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Axsome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AXSM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6"/>
        <w:gridCol w:w="917"/>
        <w:gridCol w:w="786"/>
        <w:gridCol w:w="661"/>
        <w:gridCol w:w="294"/>
        <w:gridCol w:w="927"/>
        <w:gridCol w:w="442"/>
        <w:gridCol w:w="894"/>
        <w:gridCol w:w="1149"/>
        <w:gridCol w:w="990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2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12.95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2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660"/>
        <w:gridCol w:w="231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104,954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exercise of stock options which were held for 7 years and exercised prior to the 10 year expiration date of such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Such transaction was pursuant to a pre-approved 10b5-1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subsequent sale of the underlying shares of the aforementioned exercise of stock options.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weighted average sale price of a series of open market transactions with sale prices ranging between $206.41 and $210.34.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Jacobson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5812" TargetMode="External"/><Relationship Id="rId5" Type="http://schemas.openxmlformats.org/officeDocument/2006/relationships/hyperlink" Target="http://www.sec.gov/cgi-bin/browse-edgar?action=getcompany&amp;CIK=0001579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3628</Characters>
  <CharactersWithSpaces>4205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