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261620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276860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u w:val="single" w:color="auto"/>
          <w:color w:val="auto"/>
        </w:rPr>
        <w:t>WASHINGTON, D.C. 20549</w:t>
      </w:r>
    </w:p>
    <w:p>
      <w:pPr>
        <w:spacing w:after="0" w:line="12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21590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43"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86"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March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59055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17"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Axsome Therapeutics, Inc.</w:t>
      </w:r>
    </w:p>
    <w:p>
      <w:pPr>
        <w:spacing w:after="0" w:line="63"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25" w:lineRule="exact"/>
        <w:rPr>
          <w:sz w:val="24"/>
          <w:szCs w:val="24"/>
          <w:color w:val="auto"/>
        </w:rPr>
      </w:pPr>
    </w:p>
    <w:tbl>
      <w:tblPr>
        <w:tblLayout w:type="fixed"/>
        <w:tblInd w:w="1265" w:type="dxa"/>
        <w:tblCellMar>
          <w:top w:w="0" w:type="dxa"/>
          <w:left w:w="0" w:type="dxa"/>
          <w:bottom w:w="0" w:type="dxa"/>
          <w:right w:w="0" w:type="dxa"/>
        </w:tblCellMar>
      </w:tblPr>
      <w:tr>
        <w:trPr>
          <w:trHeight w:val="155"/>
        </w:trPr>
        <w:tc>
          <w:tcPr>
            <w:tcW w:w="3240" w:type="dxa"/>
            <w:vAlign w:val="bottom"/>
          </w:tcPr>
          <w:p>
            <w:pPr>
              <w:jc w:val="center"/>
              <w:ind w:right="1091"/>
              <w:spacing w:after="0" w:line="155" w:lineRule="exact"/>
              <w:rPr>
                <w:sz w:val="20"/>
                <w:szCs w:val="20"/>
                <w:color w:val="auto"/>
              </w:rPr>
            </w:pPr>
            <w:r>
              <w:rPr>
                <w:rFonts w:ascii="Arial" w:cs="Arial" w:eastAsia="Arial" w:hAnsi="Arial"/>
                <w:sz w:val="16"/>
                <w:szCs w:val="16"/>
                <w:b w:val="1"/>
                <w:bCs w:val="1"/>
                <w:color w:val="auto"/>
                <w:w w:val="91"/>
              </w:rPr>
              <w:t>Delaware</w:t>
            </w:r>
          </w:p>
        </w:tc>
        <w:tc>
          <w:tcPr>
            <w:tcW w:w="2240" w:type="dxa"/>
            <w:vAlign w:val="bottom"/>
            <w:tcBorders>
              <w:top w:val="single" w:sz="8" w:color="auto"/>
            </w:tcBorders>
          </w:tcPr>
          <w:p>
            <w:pPr>
              <w:jc w:val="right"/>
              <w:ind w:right="691"/>
              <w:spacing w:after="0" w:line="155" w:lineRule="exact"/>
              <w:rPr>
                <w:sz w:val="20"/>
                <w:szCs w:val="20"/>
                <w:color w:val="auto"/>
              </w:rPr>
            </w:pPr>
            <w:r>
              <w:rPr>
                <w:rFonts w:ascii="Arial" w:cs="Arial" w:eastAsia="Arial" w:hAnsi="Arial"/>
                <w:sz w:val="16"/>
                <w:szCs w:val="16"/>
                <w:b w:val="1"/>
                <w:bCs w:val="1"/>
                <w:color w:val="auto"/>
              </w:rPr>
              <w:t>001-37635</w:t>
            </w:r>
          </w:p>
        </w:tc>
        <w:tc>
          <w:tcPr>
            <w:tcW w:w="2680" w:type="dxa"/>
            <w:vAlign w:val="bottom"/>
          </w:tcPr>
          <w:p>
            <w:pPr>
              <w:jc w:val="right"/>
              <w:ind w:right="33"/>
              <w:spacing w:after="0" w:line="155" w:lineRule="exact"/>
              <w:rPr>
                <w:sz w:val="20"/>
                <w:szCs w:val="20"/>
                <w:color w:val="auto"/>
              </w:rPr>
            </w:pPr>
            <w:r>
              <w:rPr>
                <w:rFonts w:ascii="Arial" w:cs="Arial" w:eastAsia="Arial" w:hAnsi="Arial"/>
                <w:sz w:val="16"/>
                <w:szCs w:val="16"/>
                <w:b w:val="1"/>
                <w:bCs w:val="1"/>
                <w:color w:val="auto"/>
              </w:rPr>
              <w:t>45-4241907</w:t>
            </w:r>
          </w:p>
        </w:tc>
      </w:tr>
      <w:tr>
        <w:trPr>
          <w:trHeight w:val="118"/>
        </w:trPr>
        <w:tc>
          <w:tcPr>
            <w:tcW w:w="3240" w:type="dxa"/>
            <w:vAlign w:val="bottom"/>
          </w:tcPr>
          <w:p>
            <w:pPr>
              <w:jc w:val="center"/>
              <w:ind w:right="1091"/>
              <w:spacing w:after="0" w:line="118" w:lineRule="exact"/>
              <w:rPr>
                <w:sz w:val="20"/>
                <w:szCs w:val="20"/>
                <w:color w:val="auto"/>
              </w:rPr>
            </w:pPr>
            <w:r>
              <w:rPr>
                <w:rFonts w:ascii="Arial" w:cs="Arial" w:eastAsia="Arial" w:hAnsi="Arial"/>
                <w:sz w:val="12"/>
                <w:szCs w:val="12"/>
                <w:b w:val="1"/>
                <w:bCs w:val="1"/>
                <w:color w:val="auto"/>
                <w:w w:val="90"/>
              </w:rPr>
              <w:t>(State or Other Jurisdiction</w:t>
            </w:r>
          </w:p>
        </w:tc>
        <w:tc>
          <w:tcPr>
            <w:tcW w:w="22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0"/>
              </w:rPr>
              <w:t>(Commission File Number)</w:t>
            </w:r>
          </w:p>
        </w:tc>
        <w:tc>
          <w:tcPr>
            <w:tcW w:w="2680" w:type="dxa"/>
            <w:vAlign w:val="bottom"/>
          </w:tcPr>
          <w:p>
            <w:pPr>
              <w:jc w:val="center"/>
              <w:ind w:left="1673"/>
              <w:spacing w:after="0" w:line="118"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3240" w:type="dxa"/>
            <w:vAlign w:val="bottom"/>
          </w:tcPr>
          <w:p>
            <w:pPr>
              <w:jc w:val="center"/>
              <w:ind w:right="1091"/>
              <w:spacing w:after="0"/>
              <w:rPr>
                <w:sz w:val="20"/>
                <w:szCs w:val="20"/>
                <w:color w:val="auto"/>
              </w:rPr>
            </w:pPr>
            <w:r>
              <w:rPr>
                <w:rFonts w:ascii="Arial" w:cs="Arial" w:eastAsia="Arial" w:hAnsi="Arial"/>
                <w:sz w:val="12"/>
                <w:szCs w:val="12"/>
                <w:b w:val="1"/>
                <w:bCs w:val="1"/>
                <w:color w:val="auto"/>
                <w:w w:val="91"/>
              </w:rPr>
              <w:t>of Incorporation)</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Arial" w:cs="Arial" w:eastAsia="Arial" w:hAnsi="Arial"/>
                <w:sz w:val="12"/>
                <w:szCs w:val="12"/>
                <w:b w:val="1"/>
                <w:bCs w:val="1"/>
                <w:color w:val="auto"/>
                <w:w w:val="92"/>
              </w:rPr>
              <w:t>Identification No.)</w:t>
            </w:r>
          </w:p>
        </w:tc>
      </w:tr>
      <w:tr>
        <w:trPr>
          <w:trHeight w:val="304"/>
        </w:trPr>
        <w:tc>
          <w:tcPr>
            <w:tcW w:w="3240" w:type="dxa"/>
            <w:vAlign w:val="bottom"/>
          </w:tcPr>
          <w:p>
            <w:pPr>
              <w:jc w:val="center"/>
              <w:ind w:right="1091"/>
              <w:spacing w:after="0"/>
              <w:rPr>
                <w:sz w:val="20"/>
                <w:szCs w:val="20"/>
                <w:color w:val="auto"/>
              </w:rPr>
            </w:pPr>
            <w:r>
              <w:rPr>
                <w:rFonts w:ascii="Arial" w:cs="Arial" w:eastAsia="Arial" w:hAnsi="Arial"/>
                <w:sz w:val="16"/>
                <w:szCs w:val="16"/>
                <w:b w:val="1"/>
                <w:bCs w:val="1"/>
                <w:color w:val="auto"/>
                <w:w w:val="90"/>
              </w:rPr>
              <w:t>22 Cortlandt Street, 16th Floor</w:t>
            </w:r>
          </w:p>
        </w:tc>
        <w:tc>
          <w:tcPr>
            <w:tcW w:w="22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1"/>
        </w:trPr>
        <w:tc>
          <w:tcPr>
            <w:tcW w:w="3240" w:type="dxa"/>
            <w:vAlign w:val="bottom"/>
          </w:tcPr>
          <w:p>
            <w:pPr>
              <w:jc w:val="center"/>
              <w:ind w:right="1071"/>
              <w:spacing w:after="0" w:line="171" w:lineRule="exact"/>
              <w:rPr>
                <w:sz w:val="20"/>
                <w:szCs w:val="20"/>
                <w:color w:val="auto"/>
              </w:rPr>
            </w:pPr>
            <w:r>
              <w:rPr>
                <w:rFonts w:ascii="Arial" w:cs="Arial" w:eastAsia="Arial" w:hAnsi="Arial"/>
                <w:sz w:val="16"/>
                <w:szCs w:val="16"/>
                <w:b w:val="1"/>
                <w:bCs w:val="1"/>
                <w:color w:val="auto"/>
                <w:w w:val="91"/>
              </w:rPr>
              <w:t>New York, New York</w:t>
            </w:r>
          </w:p>
        </w:tc>
        <w:tc>
          <w:tcPr>
            <w:tcW w:w="2240" w:type="dxa"/>
            <w:vAlign w:val="bottom"/>
          </w:tcPr>
          <w:p>
            <w:pPr>
              <w:spacing w:after="0"/>
              <w:rPr>
                <w:sz w:val="14"/>
                <w:szCs w:val="14"/>
                <w:color w:val="auto"/>
              </w:rPr>
            </w:pPr>
          </w:p>
        </w:tc>
        <w:tc>
          <w:tcPr>
            <w:tcW w:w="2680" w:type="dxa"/>
            <w:vAlign w:val="bottom"/>
          </w:tcPr>
          <w:p>
            <w:pPr>
              <w:jc w:val="right"/>
              <w:ind w:right="213"/>
              <w:spacing w:after="0" w:line="171" w:lineRule="exact"/>
              <w:rPr>
                <w:sz w:val="20"/>
                <w:szCs w:val="20"/>
                <w:color w:val="auto"/>
              </w:rPr>
            </w:pPr>
            <w:r>
              <w:rPr>
                <w:rFonts w:ascii="Arial" w:cs="Arial" w:eastAsia="Arial" w:hAnsi="Arial"/>
                <w:sz w:val="16"/>
                <w:szCs w:val="16"/>
                <w:b w:val="1"/>
                <w:bCs w:val="1"/>
                <w:color w:val="auto"/>
              </w:rPr>
              <w:t>10007</w:t>
            </w:r>
          </w:p>
        </w:tc>
      </w:tr>
      <w:tr>
        <w:trPr>
          <w:trHeight w:val="151"/>
        </w:trPr>
        <w:tc>
          <w:tcPr>
            <w:tcW w:w="3240" w:type="dxa"/>
            <w:vAlign w:val="bottom"/>
          </w:tcPr>
          <w:p>
            <w:pPr>
              <w:jc w:val="center"/>
              <w:ind w:right="107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240" w:type="dxa"/>
            <w:vAlign w:val="bottom"/>
          </w:tcPr>
          <w:p>
            <w:pPr>
              <w:spacing w:after="0"/>
              <w:rPr>
                <w:sz w:val="13"/>
                <w:szCs w:val="13"/>
                <w:color w:val="auto"/>
              </w:rPr>
            </w:pPr>
          </w:p>
        </w:tc>
        <w:tc>
          <w:tcPr>
            <w:tcW w:w="2680" w:type="dxa"/>
            <w:vAlign w:val="bottom"/>
          </w:tcPr>
          <w:p>
            <w:pPr>
              <w:jc w:val="center"/>
              <w:ind w:left="1673"/>
              <w:spacing w:after="0"/>
              <w:rPr>
                <w:sz w:val="20"/>
                <w:szCs w:val="20"/>
                <w:color w:val="auto"/>
              </w:rPr>
            </w:pPr>
            <w:r>
              <w:rPr>
                <w:rFonts w:ascii="Arial" w:cs="Arial" w:eastAsia="Arial" w:hAnsi="Arial"/>
                <w:sz w:val="12"/>
                <w:szCs w:val="12"/>
                <w:b w:val="1"/>
                <w:bCs w:val="1"/>
                <w:color w:val="auto"/>
                <w:w w:val="90"/>
              </w:rPr>
              <w:t>(Zip Code)</w:t>
            </w:r>
          </w:p>
        </w:tc>
      </w:tr>
    </w:tbl>
    <w:p>
      <w:pPr>
        <w:spacing w:after="0" w:line="151"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307"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99695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8"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1"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5" w:type="dxa"/>
        <w:tblCellMar>
          <w:top w:w="0" w:type="dxa"/>
          <w:left w:w="0" w:type="dxa"/>
          <w:bottom w:w="0" w:type="dxa"/>
          <w:right w:w="0" w:type="dxa"/>
        </w:tblCellMar>
      </w:tblPr>
      <w:tr>
        <w:trPr>
          <w:trHeight w:val="184"/>
        </w:trPr>
        <w:tc>
          <w:tcPr>
            <w:tcW w:w="4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16"/>
                <w:szCs w:val="16"/>
                <w:color w:val="auto"/>
              </w:rPr>
            </w:pPr>
          </w:p>
        </w:tc>
        <w:tc>
          <w:tcPr>
            <w:tcW w:w="5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jc w:val="center"/>
              <w:spacing w:after="0"/>
              <w:rPr>
                <w:sz w:val="20"/>
                <w:szCs w:val="20"/>
                <w:color w:val="auto"/>
              </w:rPr>
            </w:pPr>
            <w:r>
              <w:rPr>
                <w:rFonts w:ascii="Arial" w:cs="Arial" w:eastAsia="Arial" w:hAnsi="Arial"/>
                <w:sz w:val="16"/>
                <w:szCs w:val="16"/>
                <w:color w:val="auto"/>
                <w:w w:val="87"/>
              </w:rPr>
              <w:t>Common Stock, Par Value $0.0001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AXSM</w:t>
            </w:r>
          </w:p>
        </w:tc>
        <w:tc>
          <w:tcPr>
            <w:tcW w:w="12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4"/>
              </w:rPr>
              <w:t>NASDAQ Global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5" w:right="220"/>
        <w:spacing w:after="0" w:line="25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left="5" w:right="320"/>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164465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05" w:right="319" w:bottom="1440" w:gutter="0" w:footer="0" w:header="0"/>
        </w:sectPr>
      </w:pPr>
    </w:p>
    <w:bookmarkStart w:id="1" w:name="page2"/>
    <w:bookmarkEnd w:id="1"/>
    <w:p>
      <w:pPr>
        <w:ind w:left="5"/>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9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Acquisition of Assets of Jazz Pharmaceuticals</w:t>
      </w:r>
    </w:p>
    <w:p>
      <w:pPr>
        <w:spacing w:after="0" w:line="171" w:lineRule="exact"/>
        <w:rPr>
          <w:sz w:val="20"/>
          <w:szCs w:val="20"/>
          <w:color w:val="auto"/>
        </w:rPr>
      </w:pPr>
    </w:p>
    <w:p>
      <w:pPr>
        <w:ind w:left="5" w:right="80" w:firstLine="375"/>
        <w:spacing w:after="0" w:line="237" w:lineRule="auto"/>
        <w:rPr>
          <w:sz w:val="20"/>
          <w:szCs w:val="20"/>
          <w:color w:val="auto"/>
        </w:rPr>
      </w:pPr>
      <w:r>
        <w:rPr>
          <w:rFonts w:ascii="Arial" w:cs="Arial" w:eastAsia="Arial" w:hAnsi="Arial"/>
          <w:sz w:val="16"/>
          <w:szCs w:val="16"/>
          <w:color w:val="auto"/>
        </w:rPr>
        <w:t>On March 25, 2022, the Company entered into an Asset Purchase Agreement (the “Purchase Agreement”) with Jazz Pharmaceuticals plc, a public limited liability corporation organized under the laws of Ireland (“Jazz Pharmaceuticals”), pursuant to which the Company will acquire Sunosi® (the “Product”) from Jazz Pharmaceuticals (the “Acquisition”), a dual-acting dopamine and norepinephrine reuptake inhibitor indicated to improve wakefulness in adult patients living with excessive daytime sleepiness due to narcolepsy or obstructive sleep apnea, which was approved by the U.S. Food and Drug Administration (“FDA”) in 2019 and by the European Medicines Agency (the “EMA”) in 2020.</w:t>
      </w:r>
    </w:p>
    <w:p>
      <w:pPr>
        <w:spacing w:after="0" w:line="156" w:lineRule="exact"/>
        <w:rPr>
          <w:sz w:val="20"/>
          <w:szCs w:val="20"/>
          <w:color w:val="auto"/>
        </w:rPr>
      </w:pPr>
    </w:p>
    <w:p>
      <w:pPr>
        <w:ind w:left="365"/>
        <w:spacing w:after="0"/>
        <w:rPr>
          <w:sz w:val="20"/>
          <w:szCs w:val="20"/>
          <w:color w:val="auto"/>
        </w:rPr>
      </w:pPr>
      <w:r>
        <w:rPr>
          <w:rFonts w:ascii="Arial" w:cs="Arial" w:eastAsia="Arial" w:hAnsi="Arial"/>
          <w:sz w:val="15"/>
          <w:szCs w:val="15"/>
          <w:color w:val="auto"/>
        </w:rPr>
        <w:t>Pursuant to the Purchase Agreement, the Company agreed to (i) purchase the Product in consideration for an aggregate initial purchase price of $50,000,000 plus</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4"/>
          <w:szCs w:val="14"/>
          <w:color w:val="auto"/>
        </w:rPr>
        <w:t>$3,000,000 as payment for the certain specified inventory to be transferred to the Company; (ii) assume certain liabilities in connection with the Acquisition; and (iii) make non-</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4"/>
          <w:szCs w:val="14"/>
          <w:color w:val="auto"/>
        </w:rPr>
        <w:t>refundable, non-creditable royalty payments to Jazz Pharmaceuticals equal to a (A) high-single digit royalty for any Current Indication (as defined the Purchase Agreement), or</w:t>
      </w:r>
    </w:p>
    <w:p>
      <w:pPr>
        <w:spacing w:after="0" w:line="16" w:lineRule="exact"/>
        <w:rPr>
          <w:sz w:val="20"/>
          <w:szCs w:val="20"/>
          <w:color w:val="auto"/>
        </w:rPr>
      </w:pPr>
    </w:p>
    <w:p>
      <w:pPr>
        <w:ind w:left="5" w:right="140" w:hanging="5"/>
        <w:spacing w:after="0" w:line="23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for Net Sales outside of the U.S. Territory.</w:t>
      </w:r>
    </w:p>
    <w:p>
      <w:pPr>
        <w:spacing w:after="0" w:line="155" w:lineRule="exact"/>
        <w:rPr>
          <w:sz w:val="20"/>
          <w:szCs w:val="20"/>
          <w:color w:val="auto"/>
        </w:rPr>
      </w:pPr>
    </w:p>
    <w:p>
      <w:pPr>
        <w:ind w:left="5" w:right="200" w:firstLine="375"/>
        <w:spacing w:after="0" w:line="238" w:lineRule="auto"/>
        <w:rPr>
          <w:sz w:val="20"/>
          <w:szCs w:val="20"/>
          <w:color w:val="auto"/>
        </w:rPr>
      </w:pPr>
      <w:r>
        <w:rPr>
          <w:rFonts w:ascii="Arial" w:cs="Arial" w:eastAsia="Arial" w:hAnsi="Arial"/>
          <w:sz w:val="16"/>
          <w:szCs w:val="16"/>
          <w:color w:val="auto"/>
        </w:rPr>
        <w:t>The Company will also assume the commitments of Jazz Pharmaceuticals to SK Biopharmaceuticals (“SK”) and Aerial Biopharma (“Aerial”). SK is the originator of the Product and retains rights in twelve Asian markets, including China, Korea, and Japan. In 2014, Jazz Pharmaceutics acquired from Aerial worldwide rights to the Product excluding those Asian markets. The assumed commitments to SK and Aerial include single-digit tiered royalties based on the Company’s sales of the Product, and up to $165 million in revenue milestones and $1 million in development milestones.</w:t>
      </w:r>
    </w:p>
    <w:p>
      <w:pPr>
        <w:spacing w:after="0" w:line="157" w:lineRule="exact"/>
        <w:rPr>
          <w:sz w:val="20"/>
          <w:szCs w:val="20"/>
          <w:color w:val="auto"/>
        </w:rPr>
      </w:pPr>
    </w:p>
    <w:p>
      <w:pPr>
        <w:ind w:left="5" w:right="160" w:firstLine="690"/>
        <w:spacing w:after="0" w:line="251" w:lineRule="auto"/>
        <w:rPr>
          <w:sz w:val="20"/>
          <w:szCs w:val="20"/>
          <w:color w:val="auto"/>
        </w:rPr>
      </w:pPr>
      <w:r>
        <w:rPr>
          <w:rFonts w:ascii="Arial" w:cs="Arial" w:eastAsia="Arial" w:hAnsi="Arial"/>
          <w:sz w:val="15"/>
          <w:szCs w:val="15"/>
          <w:color w:val="auto"/>
        </w:rPr>
        <w:t>In connection with the Acquisition and on the terms and conditions set forth in the Purchase Agreement, Jazz Pharmaceuticals will sell, convey, transfer, assign and deliver to the Company, at an initial closing, all right, title and interest of Jazz Pharmaceuticals and its affiliates to the following assets related exclusively to the Product, including certain: (i) specified U.S. intellectual property rights, including certain patent rights, trademark rights, domain names and the associated goodwill; (ii) specified contracts, including any purchase orders issued thereunder; (iii) patent files; (iv) packaging materials, finished product inventories and product samples, work-in-process inventories, active pharmaceutical ingredients and other raw materials; (v) clinical and pre-clinical data; (vi) claims of Jazz Pharmaceuticals against third parties; (vii) labeling, informational letters, sales training materials, trade show materials, advertising, marketing, sales, artwork and promotional materials; and (viii) medical affairs collateral that is reasonably available to and in the physical possession of or under the control of Jazz Pharmaceuticals. The Company will also receive the right, title and interest to the FDA Product approval. At a second closing, the Company will acquire ex-U.S. Sunosi assets, including the marketing authorization from the EMA and United Kingdom’s Medicines and Healthcare Products Regulatory Agency.</w:t>
      </w:r>
    </w:p>
    <w:p>
      <w:pPr>
        <w:spacing w:after="0" w:line="150" w:lineRule="exact"/>
        <w:rPr>
          <w:sz w:val="20"/>
          <w:szCs w:val="20"/>
          <w:color w:val="auto"/>
        </w:rPr>
      </w:pPr>
    </w:p>
    <w:p>
      <w:pPr>
        <w:ind w:left="5" w:firstLine="375"/>
        <w:spacing w:after="0" w:line="238" w:lineRule="auto"/>
        <w:rPr>
          <w:sz w:val="20"/>
          <w:szCs w:val="20"/>
          <w:color w:val="auto"/>
        </w:rPr>
      </w:pPr>
      <w:r>
        <w:rPr>
          <w:rFonts w:ascii="Arial" w:cs="Arial" w:eastAsia="Arial" w:hAnsi="Arial"/>
          <w:sz w:val="16"/>
          <w:szCs w:val="16"/>
          <w:color w:val="auto"/>
        </w:rPr>
        <w:t>The Purchase Agreement contains customary representations and warranties of a transaction of this type that the parties made to, and are solely for the benefit of, each other. Investors and security holders should not rely on the representations and warranties as characterizations of the actual facts because they were made only as of the date of the Purchase Agreement. Moreover, information concerning the subject matter of such representations and warranties may change after the date of the Purchase Agreement, which subsequent information may or may not be fully reflected in public disclosures.</w:t>
      </w:r>
    </w:p>
    <w:p>
      <w:pPr>
        <w:spacing w:after="0" w:line="157" w:lineRule="exact"/>
        <w:rPr>
          <w:sz w:val="20"/>
          <w:szCs w:val="20"/>
          <w:color w:val="auto"/>
        </w:rPr>
      </w:pPr>
    </w:p>
    <w:p>
      <w:pPr>
        <w:ind w:left="5" w:right="120" w:firstLine="375"/>
        <w:spacing w:after="0" w:line="276" w:lineRule="auto"/>
        <w:rPr>
          <w:sz w:val="20"/>
          <w:szCs w:val="20"/>
          <w:color w:val="auto"/>
        </w:rPr>
      </w:pPr>
      <w:r>
        <w:rPr>
          <w:rFonts w:ascii="Arial" w:cs="Arial" w:eastAsia="Arial" w:hAnsi="Arial"/>
          <w:sz w:val="14"/>
          <w:szCs w:val="14"/>
          <w:color w:val="auto"/>
        </w:rPr>
        <w:t>The Purchase Agreement provides for an initial closing of the assets in the U.S. Territory within three business days after satisfaction of closing conditions, with Purchaser having the right to not close sooner than forty (40) days of signing the Purchase Agreement (with a right to extend by an additional five days), and a sequential closing of the assets in the ex-U.S. Territory within sixty (60) days of the U.S. closing. The Purchase Agreement also provides for customary conditions to closing, including the receipt of antitrust approval from the Federal Trade Commission pursuant to the Hart-Scott-Rodino Act, and the receipt of certain required financial statements from Jazz Pharmaceuticals required by Regulation S-X of the Securities Exchange Act of 1934, as amended. Axsome has also agreed to extend employment offers to certain U.S. employees of the Sunosi business prior to the initial closing. The Purchase Agreement also provides for customary termination provisions.</w:t>
      </w:r>
    </w:p>
    <w:p>
      <w:pPr>
        <w:spacing w:after="0" w:line="131" w:lineRule="exact"/>
        <w:rPr>
          <w:sz w:val="20"/>
          <w:szCs w:val="20"/>
          <w:color w:val="auto"/>
        </w:rPr>
      </w:pPr>
    </w:p>
    <w:p>
      <w:pPr>
        <w:ind w:left="5" w:right="220" w:firstLine="375"/>
        <w:spacing w:after="0" w:line="252" w:lineRule="auto"/>
        <w:rPr>
          <w:sz w:val="20"/>
          <w:szCs w:val="20"/>
          <w:color w:val="auto"/>
        </w:rPr>
      </w:pPr>
      <w:r>
        <w:rPr>
          <w:rFonts w:ascii="Arial" w:cs="Arial" w:eastAsia="Arial" w:hAnsi="Arial"/>
          <w:sz w:val="16"/>
          <w:szCs w:val="16"/>
          <w:color w:val="auto"/>
        </w:rPr>
        <w:t>The foregoing description of the Purchase Agreement does not purport to be complete and is qualified in its entirety by reference to the complete terms and conditions of the Purchase Agreement to be filed as an exhibit to an amendment to this Current Report on Form 8-K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373380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84"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Second Amendment to the Loan and Security Agreement</w:t>
      </w:r>
    </w:p>
    <w:p>
      <w:pPr>
        <w:spacing w:after="0" w:line="171" w:lineRule="exact"/>
        <w:rPr>
          <w:sz w:val="20"/>
          <w:szCs w:val="20"/>
          <w:color w:val="auto"/>
        </w:rPr>
      </w:pPr>
    </w:p>
    <w:p>
      <w:pPr>
        <w:ind w:right="60" w:firstLine="375"/>
        <w:spacing w:after="0" w:line="268" w:lineRule="auto"/>
        <w:rPr>
          <w:sz w:val="20"/>
          <w:szCs w:val="20"/>
          <w:color w:val="auto"/>
        </w:rPr>
      </w:pPr>
      <w:r>
        <w:rPr>
          <w:rFonts w:ascii="Arial" w:cs="Arial" w:eastAsia="Arial" w:hAnsi="Arial"/>
          <w:sz w:val="14"/>
          <w:szCs w:val="14"/>
          <w:color w:val="auto"/>
        </w:rPr>
        <w:t>On March 27, 2022, in connection with the Acquisition (as described below), Axsome Therapeutics Inc., a Delaware corporation (the “Company”), entered into a Second Amendment to Loan and Security Agreement (the “Second Amendment”) with Hercules Capital, Inc., a Maryland corporation (“Hercules”), in its capacity as administrative agent and collateral agent, and the other financial institutions or entities party thereto as lenders (the “Lenders”). The Second Amendment amended the terms of that certain Loan and Security Agreement, dated as of September 25, 2020, by and among the Company, Hercules and the Lenders (as amended by that certain First Amendment to Loan and Security Agreement, dated as of October 14, 2021, and as further amended by the Second Amendment, the “Loan Agreement”) to, among other things, (i) reflect the terms of the Acquisition (as defined below); (ii) subject to the terms and conditions in the Loan Agreement, change the Term Loan Advance (as defined in the Loan Agreement) amounts and dates available under Tranche 1 through Tranche 5, including increasing the Tranche 1 Advance (as defined in the Loan Agreement) from $60,000,000 to $95,000,000, changing the Tranche 2 Advances (as defined in the Loan Agreement) from two sub-tranches of $50,000,000 each to three sub-tranches of $35,000,000, $35,000,000 and $30,000,000, respectively, changing the Tranche 3 Advance (as defined in the Loan Agreement) from one tranche of $20,000,000 to two sub-tranches of $15,000,000 and $5,000,000, respectively, decreasing the Tranche 4 Advance (as defined in the Loan Agreement) from $55,000,000 to $50,000,000, and decreasing the Tranche 5 Advance (as defined in the Loan Agreement) from $75,000,000 to $35,000,000; (iii) modify the interest rate (a floating rate based on the greater of (a) 8.95% or (b) US WSJ Prime + 5.70%) to not exceed 10.70%; and (iv) change the minimum cash requirement of the Company from $15,000,000 (plus certain accounts payable amounts) to $40,000,000 (plus certain accounts payable amounts), provided that upon U.S. Food and Drug Administration (the “FDA”) approval of the Company’s AXS-05 product candidate for the treatment of major depressive disorder, the minimum cash requirement shall be $25,000,000 (plus certain accounts payable amounts). In connection with the Second Amendment, the parties also clarified certain terms of the Warrant Agreement previously issued to Hercules. The Second Amendment shall only be effective upon the closing of the Acquisition.</w:t>
      </w:r>
    </w:p>
    <w:p>
      <w:pPr>
        <w:spacing w:after="0" w:line="142" w:lineRule="exact"/>
        <w:rPr>
          <w:sz w:val="20"/>
          <w:szCs w:val="20"/>
          <w:color w:val="auto"/>
        </w:rPr>
      </w:pPr>
    </w:p>
    <w:p>
      <w:pPr>
        <w:ind w:right="60" w:firstLine="375"/>
        <w:spacing w:after="0" w:line="259" w:lineRule="auto"/>
        <w:rPr>
          <w:sz w:val="20"/>
          <w:szCs w:val="20"/>
          <w:color w:val="auto"/>
        </w:rPr>
      </w:pPr>
      <w:r>
        <w:rPr>
          <w:rFonts w:ascii="Arial" w:cs="Arial" w:eastAsia="Arial" w:hAnsi="Arial"/>
          <w:sz w:val="15"/>
          <w:szCs w:val="15"/>
          <w:color w:val="auto"/>
        </w:rPr>
        <w:t>Conditioned upon the closing of the Second Amendment, Agent will also purchase between $5,000,000 and $8,000,000 of the Company’s unregistered common stock, at a share price equal to the lesser of (a) the three-day volume weighted average price as of the date of the Second Amendment, or (b) the three-day volume weighted average price as of the Second Amendment Effective Date, pursuant to a stock purchase agreement to be agreed upon by the parties; provided, that, in no case shall the share price be less than a 20% discount to the three-day volume weighted average price of the Company’s common stock at the time of the purchase.</w:t>
      </w:r>
    </w:p>
    <w:p>
      <w:pPr>
        <w:spacing w:after="0" w:line="142" w:lineRule="exact"/>
        <w:rPr>
          <w:sz w:val="20"/>
          <w:szCs w:val="20"/>
          <w:color w:val="auto"/>
        </w:rPr>
      </w:pPr>
    </w:p>
    <w:p>
      <w:pPr>
        <w:ind w:right="20" w:firstLine="375"/>
        <w:spacing w:after="0" w:line="285" w:lineRule="auto"/>
        <w:rPr>
          <w:sz w:val="20"/>
          <w:szCs w:val="20"/>
          <w:color w:val="auto"/>
        </w:rPr>
      </w:pPr>
      <w:r>
        <w:rPr>
          <w:rFonts w:ascii="Arial" w:cs="Arial" w:eastAsia="Arial" w:hAnsi="Arial"/>
          <w:sz w:val="15"/>
          <w:szCs w:val="15"/>
          <w:color w:val="auto"/>
        </w:rPr>
        <w:t>The foregoing description of the Second Amendment does not purport to be complete and is qualified in its entirety by reference to the complete terms and conditions of the Second Amendment to be filed as an exhibit to the Company’s next Form 10-Q to be filed with the Securities and Exchange Commission (the “SEC”).</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75" w:lineRule="exact"/>
        <w:rPr>
          <w:sz w:val="20"/>
          <w:szCs w:val="20"/>
          <w:color w:val="auto"/>
        </w:rPr>
      </w:pPr>
    </w:p>
    <w:p>
      <w:pPr>
        <w:ind w:right="160" w:firstLine="375"/>
        <w:spacing w:after="0" w:line="285" w:lineRule="auto"/>
        <w:rPr>
          <w:sz w:val="20"/>
          <w:szCs w:val="20"/>
          <w:color w:val="auto"/>
        </w:rPr>
      </w:pPr>
      <w:r>
        <w:rPr>
          <w:rFonts w:ascii="Arial" w:cs="Arial" w:eastAsia="Arial" w:hAnsi="Arial"/>
          <w:sz w:val="15"/>
          <w:szCs w:val="15"/>
          <w:color w:val="auto"/>
        </w:rPr>
        <w:t>On March 28, 2022, the Company issued a press release announcing the Acquisition, and the Company will post a copy of a presentation regarding the Acquisition on the Company’s website. A copy of the press release is attached hereto as Exhibit 99.1, and a copy of the presentation is attached hereto as 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jc w:val="right"/>
              <w:ind w:right="4241"/>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6"/>
                <w:szCs w:val="16"/>
                <w:color w:val="auto"/>
              </w:rPr>
              <w:t>99.1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FF"/>
            </w:tcBorders>
          </w:tcPr>
          <w:p>
            <w:pPr>
              <w:spacing w:after="0"/>
              <w:rPr>
                <w:rFonts w:ascii="Arial" w:cs="Arial" w:eastAsia="Arial" w:hAnsi="Arial"/>
                <w:sz w:val="16"/>
                <w:szCs w:val="16"/>
                <w:color w:val="0000FF"/>
                <w:w w:val="85"/>
              </w:rPr>
            </w:pPr>
            <w:hyperlink w:anchor="page5">
              <w:r>
                <w:rPr>
                  <w:rFonts w:ascii="Arial" w:cs="Arial" w:eastAsia="Arial" w:hAnsi="Arial"/>
                  <w:sz w:val="16"/>
                  <w:szCs w:val="16"/>
                  <w:color w:val="0000FF"/>
                  <w:w w:val="85"/>
                </w:rPr>
                <w:t>Press Release dated March 28, 2022.</w:t>
              </w:r>
            </w:hyperlink>
          </w:p>
        </w:tc>
        <w:tc>
          <w:tcPr>
            <w:tcW w:w="20" w:type="dxa"/>
            <w:vAlign w:val="bottom"/>
            <w:tcBorders>
              <w:bottom w:val="single" w:sz="8" w:color="0000EE"/>
            </w:tcBorders>
          </w:tcPr>
          <w:p>
            <w:pPr>
              <w:spacing w:after="0"/>
              <w:rPr>
                <w:sz w:val="24"/>
                <w:szCs w:val="24"/>
                <w:color w:val="auto"/>
              </w:rPr>
            </w:pPr>
          </w:p>
        </w:tc>
        <w:tc>
          <w:tcPr>
            <w:tcW w:w="7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line="145" w:lineRule="exact"/>
              <w:rPr>
                <w:sz w:val="20"/>
                <w:szCs w:val="20"/>
                <w:color w:val="auto"/>
              </w:rPr>
            </w:pPr>
            <w:r>
              <w:rPr>
                <w:rFonts w:ascii="Arial" w:cs="Arial" w:eastAsia="Arial" w:hAnsi="Arial"/>
                <w:sz w:val="16"/>
                <w:szCs w:val="16"/>
                <w:color w:val="auto"/>
              </w:rPr>
              <w:t>99.2</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2"/>
          </w:tcPr>
          <w:p>
            <w:pPr>
              <w:spacing w:after="0" w:line="145" w:lineRule="exact"/>
              <w:rPr>
                <w:rFonts w:ascii="Arial" w:cs="Arial" w:eastAsia="Arial" w:hAnsi="Arial"/>
                <w:sz w:val="16"/>
                <w:szCs w:val="16"/>
                <w:color w:val="0000FF"/>
                <w:w w:val="87"/>
              </w:rPr>
            </w:pPr>
            <w:hyperlink w:anchor="page10">
              <w:r>
                <w:rPr>
                  <w:rFonts w:ascii="Arial" w:cs="Arial" w:eastAsia="Arial" w:hAnsi="Arial"/>
                  <w:sz w:val="16"/>
                  <w:szCs w:val="16"/>
                  <w:color w:val="0000FF"/>
                  <w:w w:val="87"/>
                </w:rPr>
                <w:t>Acquisition Presentation dated March</w:t>
              </w:r>
            </w:hyperlink>
          </w:p>
        </w:tc>
        <w:tc>
          <w:tcPr>
            <w:tcW w:w="7060" w:type="dxa"/>
            <w:vAlign w:val="bottom"/>
            <w:gridSpan w:val="2"/>
          </w:tcPr>
          <w:p>
            <w:pPr>
              <w:jc w:val="right"/>
              <w:ind w:right="6321"/>
              <w:spacing w:after="0" w:line="145" w:lineRule="exact"/>
              <w:rPr>
                <w:rFonts w:ascii="Arial" w:cs="Arial" w:eastAsia="Arial" w:hAnsi="Arial"/>
                <w:sz w:val="16"/>
                <w:szCs w:val="16"/>
                <w:color w:val="0000FF"/>
                <w:w w:val="95"/>
              </w:rPr>
            </w:pPr>
            <w:hyperlink w:anchor="page10">
              <w:r>
                <w:rPr>
                  <w:rFonts w:ascii="Arial" w:cs="Arial" w:eastAsia="Arial" w:hAnsi="Arial"/>
                  <w:sz w:val="16"/>
                  <w:szCs w:val="16"/>
                  <w:color w:val="0000FF"/>
                  <w:w w:val="95"/>
                </w:rPr>
                <w:t>28, 2022.</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6"/>
                <w:szCs w:val="16"/>
                <w:color w:val="auto"/>
              </w:rPr>
              <w:t>104</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0" w:type="dxa"/>
            <w:vAlign w:val="bottom"/>
            <w:gridSpan w:val="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607"/>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139"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Axsome Therapeutics, Inc.</w:t>
            </w:r>
          </w:p>
        </w:tc>
      </w:tr>
      <w:tr>
        <w:trPr>
          <w:trHeight w:val="43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3160" w:type="dxa"/>
            <w:vAlign w:val="bottom"/>
          </w:tcPr>
          <w:p>
            <w:pPr>
              <w:ind w:left="180"/>
              <w:spacing w:after="0"/>
              <w:rPr>
                <w:sz w:val="20"/>
                <w:szCs w:val="20"/>
                <w:color w:val="auto"/>
              </w:rPr>
            </w:pPr>
            <w:r>
              <w:rPr>
                <w:rFonts w:ascii="Arial" w:cs="Arial" w:eastAsia="Arial" w:hAnsi="Arial"/>
                <w:sz w:val="16"/>
                <w:szCs w:val="16"/>
                <w:color w:val="auto"/>
              </w:rPr>
              <w:t>March 28, 2022</w:t>
            </w:r>
          </w:p>
        </w:tc>
        <w:tc>
          <w:tcPr>
            <w:tcW w:w="2620" w:type="dxa"/>
            <w:vAlign w:val="bottom"/>
          </w:tcPr>
          <w:p>
            <w:pPr>
              <w:ind w:left="1960"/>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Herriot Tabuteau, M.D.</w:t>
            </w:r>
          </w:p>
        </w:tc>
      </w:tr>
      <w:tr>
        <w:trPr>
          <w:trHeight w:val="134"/>
        </w:trPr>
        <w:tc>
          <w:tcPr>
            <w:tcW w:w="5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20" w:type="dxa"/>
            <w:vAlign w:val="bottom"/>
          </w:tcPr>
          <w:p>
            <w:pPr>
              <w:ind w:left="1960"/>
              <w:spacing w:after="0" w:line="134" w:lineRule="exact"/>
              <w:rPr>
                <w:sz w:val="20"/>
                <w:szCs w:val="20"/>
                <w:color w:val="auto"/>
              </w:rPr>
            </w:pPr>
            <w:r>
              <w:rPr>
                <w:rFonts w:ascii="Arial" w:cs="Arial" w:eastAsia="Arial" w:hAnsi="Arial"/>
                <w:sz w:val="15"/>
                <w:szCs w:val="15"/>
                <w:color w:val="auto"/>
              </w:rPr>
              <w:t>Name:</w:t>
            </w:r>
          </w:p>
        </w:tc>
        <w:tc>
          <w:tcPr>
            <w:tcW w:w="4960" w:type="dxa"/>
            <w:vAlign w:val="bottom"/>
          </w:tcPr>
          <w:p>
            <w:pPr>
              <w:ind w:left="20"/>
              <w:spacing w:after="0" w:line="134" w:lineRule="exact"/>
              <w:rPr>
                <w:sz w:val="20"/>
                <w:szCs w:val="20"/>
                <w:color w:val="auto"/>
              </w:rPr>
            </w:pPr>
            <w:r>
              <w:rPr>
                <w:rFonts w:ascii="Arial" w:cs="Arial" w:eastAsia="Arial" w:hAnsi="Arial"/>
                <w:sz w:val="15"/>
                <w:szCs w:val="15"/>
                <w:color w:val="auto"/>
              </w:rPr>
              <w:t>Herriot Tabuteau, M.D.</w:t>
            </w:r>
          </w:p>
        </w:tc>
      </w:tr>
      <w:tr>
        <w:trPr>
          <w:trHeight w:val="200"/>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20" w:type="dxa"/>
            <w:vAlign w:val="bottom"/>
          </w:tcPr>
          <w:p>
            <w:pPr>
              <w:ind w:left="1960"/>
              <w:spacing w:after="0"/>
              <w:rPr>
                <w:sz w:val="20"/>
                <w:szCs w:val="20"/>
                <w:color w:val="auto"/>
              </w:rPr>
            </w:pPr>
            <w:r>
              <w:rPr>
                <w:rFonts w:ascii="Arial" w:cs="Arial" w:eastAsia="Arial" w:hAnsi="Arial"/>
                <w:sz w:val="16"/>
                <w:szCs w:val="16"/>
                <w:color w:val="auto"/>
              </w:rPr>
              <w:t>Title:</w:t>
            </w:r>
          </w:p>
        </w:tc>
        <w:tc>
          <w:tcPr>
            <w:tcW w:w="49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737"/>
        </w:trPr>
        <w:tc>
          <w:tcPr>
            <w:tcW w:w="5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1111250" cy="623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0" cy="62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to Acquire Sunosi® from Jazz Pharmaceuticals, Expanding Axsome’s Leadership in Neuroscience</w:t>
      </w:r>
    </w:p>
    <w:p>
      <w:pPr>
        <w:spacing w:after="0" w:line="187" w:lineRule="exact"/>
        <w:rPr>
          <w:sz w:val="20"/>
          <w:szCs w:val="20"/>
          <w:color w:val="auto"/>
        </w:rPr>
      </w:pPr>
    </w:p>
    <w:p>
      <w:pPr>
        <w:jc w:val="center"/>
        <w:ind w:right="60"/>
        <w:spacing w:after="0" w:line="258" w:lineRule="auto"/>
        <w:rPr>
          <w:sz w:val="20"/>
          <w:szCs w:val="20"/>
          <w:color w:val="auto"/>
        </w:rPr>
      </w:pPr>
      <w:r>
        <w:rPr>
          <w:rFonts w:ascii="Arial" w:cs="Arial" w:eastAsia="Arial" w:hAnsi="Arial"/>
          <w:sz w:val="16"/>
          <w:szCs w:val="16"/>
          <w:i w:val="1"/>
          <w:iCs w:val="1"/>
          <w:color w:val="auto"/>
        </w:rPr>
        <w:t>Sunosi is the first and only dual-acting dopamine and norepinephrine reuptake inhibitor (DNRI) approved by the FDA to improve wakefulness in adults living with excessive daytime sleepiness associated with narcolepsy or obstructive sleep apnea</w:t>
      </w:r>
    </w:p>
    <w:p>
      <w:pPr>
        <w:spacing w:after="0" w:line="148" w:lineRule="exact"/>
        <w:rPr>
          <w:sz w:val="20"/>
          <w:szCs w:val="20"/>
          <w:color w:val="auto"/>
        </w:rPr>
      </w:pPr>
    </w:p>
    <w:p>
      <w:pPr>
        <w:jc w:val="center"/>
        <w:ind w:right="60"/>
        <w:spacing w:after="0" w:line="258" w:lineRule="auto"/>
        <w:rPr>
          <w:sz w:val="20"/>
          <w:szCs w:val="20"/>
          <w:color w:val="auto"/>
        </w:rPr>
      </w:pPr>
      <w:r>
        <w:rPr>
          <w:rFonts w:ascii="Arial" w:cs="Arial" w:eastAsia="Arial" w:hAnsi="Arial"/>
          <w:sz w:val="16"/>
          <w:szCs w:val="16"/>
          <w:i w:val="1"/>
          <w:iCs w:val="1"/>
          <w:color w:val="auto"/>
        </w:rPr>
        <w:t>Acquisition accelerates Axsome’s transformation into a global commercial entity ahead of potential near-term launches of AXS-05 in major depressive disorder (MDD) and AXS-07 in migraine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Highly synergistic with Axsome’s existing neuroscience portfolio and Digital Centric Commercialization™ (DCC) platform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Anticipated long-lived exclusivity for Sunosi with potential for significant additional indications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Immediately revenue generating, and expected to be breakeven to operating plan in 2023, and substantially accretive thereafter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to host conference call today at 8:00 AM ET</w:t>
      </w:r>
    </w:p>
    <w:p>
      <w:pPr>
        <w:spacing w:after="0" w:line="19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NEW YORK, March 28, 2022 (GLOBE NEWSWIRE) – Axsome Therapeutics, Inc. (NASDAQ: AXSM), a biopharmaceutical company developing novel therapies for the management of central nervous system (CNS) disorders, today announced that the Company has entered into a definitive agreement to acquire Sunosi® (solriamfetol) from Jazz Pharmaceuticals (NASDAQ: JAZZ). Sunosi is a dual-acting dopamine and norepinephrine reuptake inhibitor (DNRI) indicated to improve wakefulness in adult patients with excessive daytime sleepiness (EDS) due to narcolepsy or obstructive sleep apnea (OSA).</w:t>
      </w:r>
    </w:p>
    <w:p>
      <w:pPr>
        <w:spacing w:after="0" w:line="14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Upon closing, the transaction will accelerate Axsome’s transition to a global commercial entity, leverage Axsome’s first-in-class Digital Centric Commercialization™ platform ahead of potential near-term launches of AXS-05 in depression and AXS-07 in migraine, and strengthen Axsome’s industry-leading neuroscience portfolio.</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Sunosi was approved by the U.S. Food and Drug Administration (FDA) in 2019 and by the European Medicines Agency (EMA) in 2020. Sunosi is the first and only DNRI approved to treat EDS in adults living with narcolepsy or OSA. Sunosi net sales were $57.9 million in 2021, representing year-over-year growth of 104%. In addition to further growth potential in the current indication for Sunosi, there are opportunities to pursue new high-value indications in psychiatry and neurology.</w:t>
      </w:r>
    </w:p>
    <w:p>
      <w:pPr>
        <w:spacing w:after="0" w:line="14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acquisition immediately transforms Axsome into a global commercial entity, upon closing, and accelerates our growth as a premier biopharmaceutical company focused on delivering potentially life-changing medicines to people living with serious CNS conditions,” said Herriot Tabuteau, MD, Chief Executive Officer of Axsome. “Sunosi has demonstrated clinically meaningful efficacy, possesses a unique mechanism of action, and has generated positive patient and physician feedback. We are excited by its significant growth potential and excellent strategic fit with the Axsome portfolio. Furthermore, the addition of Sunosi augments and accelerates our commercial preparedness ahead of the potential near-term launches of our two existing lead assets, AXS-05 and AXS-07, and allows us to fully leverage our first-in-class Digital Centric Commercialization™ platform with three complementary assets. We are committed to ensuring uninterrupted patient access to Sunosi during the transition period and look forward to building on the strong foundation for Sunosi laid by Jazz.”</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assessing the overall treatment landscape, we determined Axsome would be well positioned to maximize the value of Sunosi, both to patients and to Jazz. Axsome is well placed to leverage its complementary commercial business to ensure Sunosi can effectively reach those who can benefit from this important medicine,” said Bruce Cozadd, Chief Executive Officer of Jazz. “Further, we believe Axsome’s track record of clinical development provides a promising foundation for the exploration of Sunosi in additional indications.”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Sunosi Transaction Rationale</w:t>
      </w:r>
    </w:p>
    <w:p>
      <w:pPr>
        <w:spacing w:after="0" w:line="183" w:lineRule="exact"/>
        <w:rPr>
          <w:sz w:val="20"/>
          <w:szCs w:val="20"/>
          <w:color w:val="auto"/>
        </w:rPr>
      </w:pPr>
    </w:p>
    <w:p>
      <w:pPr>
        <w:jc w:val="both"/>
        <w:ind w:left="740" w:hanging="370"/>
        <w:spacing w:after="0" w:line="2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Adds a High-potential Commercial Asset to Axsome’s Industry-leading, Late-stage Neuroscience Portfolio</w:t>
      </w:r>
      <w:r>
        <w:rPr>
          <w:rFonts w:ascii="Arial" w:cs="Arial" w:eastAsia="Arial" w:hAnsi="Arial"/>
          <w:sz w:val="16"/>
          <w:szCs w:val="16"/>
          <w:color w:val="auto"/>
        </w:rPr>
        <w:t>: The acquisition of Sunosi</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transforms Axsome into a global commercial entity upon closing. Sunosi complements Axsome’s existing neuroscience portfolio led by AXS-05 for major depressive disorder (MDD) and AXS-07 for migraine, both of which are undergoing NDA reviews with anticipated FDA actions this year. The transaction positions Axsome to potentially make three important new medicines available in 2022 to patients living with CNS disorders.</w:t>
      </w:r>
    </w:p>
    <w:p>
      <w:pPr>
        <w:spacing w:after="0" w:line="176" w:lineRule="exact"/>
        <w:rPr>
          <w:rFonts w:ascii="Arial" w:cs="Arial" w:eastAsia="Arial" w:hAnsi="Arial"/>
          <w:sz w:val="16"/>
          <w:szCs w:val="16"/>
          <w:color w:val="auto"/>
        </w:rPr>
      </w:pPr>
    </w:p>
    <w:p>
      <w:pPr>
        <w:jc w:val="both"/>
        <w:ind w:left="740" w:right="20"/>
        <w:spacing w:after="0" w:line="235" w:lineRule="auto"/>
        <w:rPr>
          <w:rFonts w:ascii="Arial" w:cs="Arial" w:eastAsia="Arial" w:hAnsi="Arial"/>
          <w:sz w:val="16"/>
          <w:szCs w:val="16"/>
          <w:color w:val="auto"/>
        </w:rPr>
      </w:pPr>
      <w:r>
        <w:rPr>
          <w:rFonts w:ascii="Arial" w:cs="Arial" w:eastAsia="Arial" w:hAnsi="Arial"/>
          <w:sz w:val="16"/>
          <w:szCs w:val="16"/>
          <w:color w:val="auto"/>
        </w:rPr>
        <w:t>Sunosi has high clinical and commercial potential based on 1) its well-established and clinically meaningful efficacy in EDS associated with narcolepsy and OSA, 2) consistent positive feedback from patients, health care professionals, and providers, 3) potential for rapid development in new indications, and 4) patent expiries out to 2040 before potential extensions. Based on further growth potential in the current indication, and potential new indications, the Company estimates peak revenue potential of greater than $1 billion for Sunosi.</w:t>
      </w:r>
    </w:p>
    <w:p>
      <w:pPr>
        <w:spacing w:after="0" w:line="158" w:lineRule="exact"/>
        <w:rPr>
          <w:rFonts w:ascii="Arial" w:cs="Arial" w:eastAsia="Arial" w:hAnsi="Arial"/>
          <w:sz w:val="16"/>
          <w:szCs w:val="16"/>
          <w:color w:val="auto"/>
        </w:rPr>
      </w:pPr>
    </w:p>
    <w:p>
      <w:pPr>
        <w:jc w:val="both"/>
        <w:ind w:left="740" w:hanging="370"/>
        <w:spacing w:after="0" w:line="250"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Highly Synergistic with Axsome’s Therapeutic Focus and First-in-class Digital Centric Commercialization™ (DCC) Platform</w:t>
      </w:r>
      <w:r>
        <w:rPr>
          <w:rFonts w:ascii="Arial" w:cs="Arial" w:eastAsia="Arial" w:hAnsi="Arial"/>
          <w:sz w:val="16"/>
          <w:szCs w:val="16"/>
          <w:color w:val="auto"/>
        </w:rPr>
        <w:t>: Sunosi is highly</w:t>
      </w:r>
      <w:r>
        <w:rPr>
          <w:rFonts w:ascii="Arial" w:cs="Arial" w:eastAsia="Arial" w:hAnsi="Arial"/>
          <w:sz w:val="16"/>
          <w:szCs w:val="16"/>
          <w:b w:val="1"/>
          <w:bCs w:val="1"/>
          <w:color w:val="auto"/>
        </w:rPr>
        <w:t xml:space="preserve"> </w:t>
      </w:r>
      <w:r>
        <w:rPr>
          <w:rFonts w:ascii="Arial" w:cs="Arial" w:eastAsia="Arial" w:hAnsi="Arial"/>
          <w:sz w:val="16"/>
          <w:szCs w:val="16"/>
          <w:color w:val="auto"/>
        </w:rPr>
        <w:t>synergistic with Axsome’s anticipated commercialization of AXS-05 for depression and AXS-07 for migraine based on the overlap of these conditions with EDS, and complementary prescriber call points. Depression and migraine patients have among the highest prevalence of clinically significant EDS (37%-50%)</w:t>
      </w:r>
      <w:r>
        <w:rPr>
          <w:rFonts w:ascii="Arial" w:cs="Arial" w:eastAsia="Arial" w:hAnsi="Arial"/>
          <w:sz w:val="21"/>
          <w:szCs w:val="21"/>
          <w:color w:val="auto"/>
          <w:vertAlign w:val="superscript"/>
        </w:rPr>
        <w:t>1,2</w:t>
      </w:r>
      <w:r>
        <w:rPr>
          <w:rFonts w:ascii="Arial" w:cs="Arial" w:eastAsia="Arial" w:hAnsi="Arial"/>
          <w:sz w:val="16"/>
          <w:szCs w:val="16"/>
          <w:color w:val="auto"/>
        </w:rPr>
        <w:t>, and neurologists and psychiatrists are among the key prescribers for wake-promoting agents (40% of prescriptions)</w:t>
      </w:r>
      <w:r>
        <w:rPr>
          <w:rFonts w:ascii="Arial" w:cs="Arial" w:eastAsia="Arial" w:hAnsi="Arial"/>
          <w:sz w:val="21"/>
          <w:szCs w:val="21"/>
          <w:color w:val="auto"/>
          <w:vertAlign w:val="superscript"/>
        </w:rPr>
        <w:t>3</w:t>
      </w:r>
      <w:r>
        <w:rPr>
          <w:rFonts w:ascii="Arial" w:cs="Arial" w:eastAsia="Arial" w:hAnsi="Arial"/>
          <w:sz w:val="16"/>
          <w:szCs w:val="16"/>
          <w:color w:val="auto"/>
        </w:rPr>
        <w:t>.</w:t>
      </w:r>
    </w:p>
    <w:p>
      <w:pPr>
        <w:spacing w:after="0" w:line="92" w:lineRule="exact"/>
        <w:rPr>
          <w:rFonts w:ascii="Arial" w:cs="Arial" w:eastAsia="Arial" w:hAnsi="Arial"/>
          <w:sz w:val="16"/>
          <w:szCs w:val="16"/>
          <w:color w:val="auto"/>
        </w:rPr>
      </w:pPr>
    </w:p>
    <w:p>
      <w:pPr>
        <w:ind w:left="740" w:right="20"/>
        <w:spacing w:after="0" w:line="238" w:lineRule="auto"/>
        <w:rPr>
          <w:rFonts w:ascii="Arial" w:cs="Arial" w:eastAsia="Arial" w:hAnsi="Arial"/>
          <w:sz w:val="16"/>
          <w:szCs w:val="16"/>
          <w:color w:val="auto"/>
        </w:rPr>
      </w:pPr>
      <w:r>
        <w:rPr>
          <w:rFonts w:ascii="Arial" w:cs="Arial" w:eastAsia="Arial" w:hAnsi="Arial"/>
          <w:sz w:val="16"/>
          <w:szCs w:val="16"/>
          <w:color w:val="auto"/>
        </w:rPr>
        <w:t>Axsome’s first-in-class DCC platform has been designed to optimize physician targeting and engagement, and promotional spend. The DCC platform and Axsome’s therapeutic focus will allow for increased reach to key Sunosi prescriber groups.</w:t>
      </w:r>
    </w:p>
    <w:p>
      <w:pPr>
        <w:spacing w:after="0" w:line="159" w:lineRule="exact"/>
        <w:rPr>
          <w:rFonts w:ascii="Arial" w:cs="Arial" w:eastAsia="Arial" w:hAnsi="Arial"/>
          <w:sz w:val="16"/>
          <w:szCs w:val="16"/>
          <w:color w:val="auto"/>
        </w:rPr>
      </w:pPr>
    </w:p>
    <w:p>
      <w:pPr>
        <w:ind w:left="740" w:hanging="370"/>
        <w:spacing w:after="0" w:line="263"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Anticipated to Deliver Substantial Shareholder Value</w:t>
      </w:r>
      <w:r>
        <w:rPr>
          <w:rFonts w:ascii="Arial" w:cs="Arial" w:eastAsia="Arial" w:hAnsi="Arial"/>
          <w:sz w:val="16"/>
          <w:szCs w:val="16"/>
          <w:color w:val="auto"/>
        </w:rPr>
        <w:t>: Sunosi will be immediately revenue generating upon closing, and is expected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breakeven to Axsome’s operating plan in 2023 and substantially accretive thereafter.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Details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Under the terms of the agreement, Axsome will receive from Jazz worldwide commercial, development, manufacturing, and intellectual property rights to Sunosi, except for certain Asian markets. Jazz will receive from Axsome a total upfront payment of $53 million, a high single-digit royalty on Axsome’s U.S. net sales of Sunosi in the current indication and a mid-single-digit royalty on Axsome’s U.S. net sales of Sunosi in future indications.</w:t>
      </w:r>
    </w:p>
    <w:p>
      <w:pPr>
        <w:spacing w:after="0" w:line="179"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Axsome will also assume the commitments of Jazz to SK Biopharmaceuticals (SK) and Aerial Biopharma (Aerial). SK is the originator of Sunosi and retains rights in 12 Asian markets, including China, Korea, and Japan. In 2014, Jazz acquired from Aerial worldwide rights to Sunosi excluding those Asian markets. The assumed commitments to SK and Aerial include single-digit tiered royalties based on Axsome sales of Sunosi, and up to $165 million in revenue milestones and $1 million in development milestones.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Axsome expects to finance the transaction via its existing $300 million term loan facility with Hercules Capital, Inc.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96"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6"/>
          <w:szCs w:val="16"/>
          <w:b w:val="1"/>
          <w:bCs w:val="1"/>
          <w:color w:val="auto"/>
        </w:rPr>
        <w:t>Closing Conditions</w:t>
      </w:r>
    </w:p>
    <w:p>
      <w:pPr>
        <w:spacing w:after="0" w:line="203" w:lineRule="exact"/>
        <w:rPr>
          <w:sz w:val="20"/>
          <w:szCs w:val="20"/>
          <w:color w:val="auto"/>
        </w:rPr>
      </w:pPr>
    </w:p>
    <w:p>
      <w:pPr>
        <w:jc w:val="both"/>
        <w:ind w:left="5" w:right="20"/>
        <w:spacing w:after="0" w:line="235" w:lineRule="auto"/>
        <w:rPr>
          <w:sz w:val="20"/>
          <w:szCs w:val="20"/>
          <w:color w:val="auto"/>
        </w:rPr>
      </w:pPr>
      <w:r>
        <w:rPr>
          <w:rFonts w:ascii="Arial" w:cs="Arial" w:eastAsia="Arial" w:hAnsi="Arial"/>
          <w:sz w:val="16"/>
          <w:szCs w:val="16"/>
          <w:color w:val="auto"/>
        </w:rPr>
        <w:t>The transaction has been unanimously approved by Axsome’s Board of Directors, and is subject to customary closing conditions, including the expiration or termination of the waiting period under the Hart-Scott Rodino Antitrust Improvements Act of 1976. The transaction is structured to be completed in sequential closings for the U.S. and ex-U.S. territories. Subject to the satisfaction or waiver of the closing conditions, the companies expect the U.S. transaction to close in the second quarter of 2022, and the ex-U.S. transaction to close within 60 days following the U.S. transaction close.</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Additional Information</w:t>
      </w:r>
    </w:p>
    <w:p>
      <w:pPr>
        <w:spacing w:after="0" w:line="203" w:lineRule="exact"/>
        <w:rPr>
          <w:sz w:val="20"/>
          <w:szCs w:val="20"/>
          <w:color w:val="auto"/>
        </w:rPr>
      </w:pPr>
    </w:p>
    <w:p>
      <w:pPr>
        <w:jc w:val="both"/>
        <w:ind w:left="5" w:right="20"/>
        <w:spacing w:after="0" w:line="238" w:lineRule="auto"/>
        <w:rPr>
          <w:sz w:val="20"/>
          <w:szCs w:val="20"/>
          <w:color w:val="auto"/>
        </w:rPr>
      </w:pPr>
      <w:r>
        <w:rPr>
          <w:rFonts w:ascii="Arial" w:cs="Arial" w:eastAsia="Arial" w:hAnsi="Arial"/>
          <w:sz w:val="16"/>
          <w:szCs w:val="16"/>
          <w:color w:val="auto"/>
        </w:rPr>
        <w:t>Axsome intends to file a Form 8-K with the SEC on the same day as this press release. The disclosure in this press release is subject to any additional details contained in such Form 8-K. Investors and stockholders are encouraged to read the Form 8-K.</w:t>
      </w:r>
    </w:p>
    <w:p>
      <w:pPr>
        <w:spacing w:after="0" w:line="1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203"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5"/>
          <w:szCs w:val="15"/>
          <w:color w:val="auto"/>
        </w:rPr>
        <w:t>Axsome will host a conference call and webcast today at 8:00 AM Eastern to discuss the acquisition of Sunosi. To participate in the live conference call, please dial (844) 200-6205 (toll-free domestic) or (929) 526-1599 (international) and use the conference ID 015166. The live webcast can be accessed on the "Webcasts</w:t>
      </w:r>
    </w:p>
    <w:p>
      <w:pPr>
        <w:spacing w:after="0" w:line="1" w:lineRule="exact"/>
        <w:rPr>
          <w:sz w:val="20"/>
          <w:szCs w:val="20"/>
          <w:color w:val="auto"/>
        </w:rPr>
      </w:pPr>
    </w:p>
    <w:p>
      <w:pPr>
        <w:ind w:left="5" w:hanging="5"/>
        <w:spacing w:after="0" w:line="238" w:lineRule="auto"/>
        <w:tabs>
          <w:tab w:leader="none" w:pos="16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Presentations" page of the "Investors" section of the Company’s website at axsome.com. A replay of the webcast will be available for approximately 30 days following the live event.</w:t>
      </w:r>
    </w:p>
    <w:p>
      <w:pPr>
        <w:spacing w:after="0" w:line="1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Advisors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auto"/>
        </w:rPr>
        <w:t>DLA Piper LLP acted as legal counsel to Axsome.</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Sunosi® (solriamfetol)</w:t>
      </w:r>
    </w:p>
    <w:p>
      <w:pPr>
        <w:spacing w:after="0" w:line="108" w:lineRule="exact"/>
        <w:rPr>
          <w:sz w:val="20"/>
          <w:szCs w:val="20"/>
          <w:color w:val="auto"/>
        </w:rPr>
      </w:pPr>
    </w:p>
    <w:p>
      <w:pPr>
        <w:jc w:val="both"/>
        <w:ind w:left="5" w:right="20"/>
        <w:spacing w:after="0" w:line="234" w:lineRule="auto"/>
        <w:rPr>
          <w:sz w:val="20"/>
          <w:szCs w:val="20"/>
          <w:color w:val="auto"/>
        </w:rPr>
      </w:pPr>
      <w:r>
        <w:rPr>
          <w:rFonts w:ascii="Arial" w:cs="Arial" w:eastAsia="Arial" w:hAnsi="Arial"/>
          <w:sz w:val="16"/>
          <w:szCs w:val="16"/>
          <w:color w:val="auto"/>
        </w:rPr>
        <w:t>Sunosi is a dual-acting dopamine and norepinephrine reuptake inhibitor shown to improve wakefulness in adults living with excessive daytime sleepiness (EDS) due to narcolepsy or obstructive sleep apnea (OSA). Sunosi received U.S. Food and Drug Administration approval on March 20, 2019 to improve wakefulness in adult patients with EDS associated with narcolepsy or OSA and was designated a Schedule IV medicine by the U.S. Drug Enforcement Agency on June 17, 2019. SK Biopharmaceuticals Co., Ltd., the discoverer of the compound, maintains rights in 12 Asian markets, including Korea, China and Japan. Sunosi has orphan drug designation for narcolepsy in the United States.</w:t>
      </w:r>
    </w:p>
    <w:p>
      <w:pPr>
        <w:spacing w:after="0" w:line="1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Important Safety Information</w:t>
      </w:r>
    </w:p>
    <w:p>
      <w:pPr>
        <w:spacing w:after="0" w:line="159" w:lineRule="exact"/>
        <w:rPr>
          <w:sz w:val="20"/>
          <w:szCs w:val="20"/>
          <w:color w:val="auto"/>
        </w:rPr>
      </w:pPr>
    </w:p>
    <w:p>
      <w:pPr>
        <w:jc w:val="both"/>
        <w:ind w:left="5"/>
        <w:spacing w:after="0" w:line="242" w:lineRule="auto"/>
        <w:rPr>
          <w:sz w:val="20"/>
          <w:szCs w:val="20"/>
          <w:color w:val="auto"/>
        </w:rPr>
      </w:pPr>
      <w:r>
        <w:rPr>
          <w:rFonts w:ascii="Arial" w:cs="Arial" w:eastAsia="Arial" w:hAnsi="Arial"/>
          <w:sz w:val="16"/>
          <w:szCs w:val="16"/>
          <w:b w:val="1"/>
          <w:bCs w:val="1"/>
          <w:color w:val="auto"/>
        </w:rPr>
        <w:t xml:space="preserve">SUNOSI (solriamfetol) is available in 75 mg and 150 mg tablets and is a federally controlled substance (C-IV) because it contains solriamfetol that can be a target for people who abuse prescription medicines or street drugs. </w:t>
      </w:r>
      <w:r>
        <w:rPr>
          <w:rFonts w:ascii="Arial" w:cs="Arial" w:eastAsia="Arial" w:hAnsi="Arial"/>
          <w:sz w:val="16"/>
          <w:szCs w:val="16"/>
          <w:color w:val="auto"/>
        </w:rPr>
        <w:t>Keep SUNOSI in a safe place to protect it from theft. Never give or sell your</w:t>
      </w:r>
      <w:r>
        <w:rPr>
          <w:rFonts w:ascii="Arial" w:cs="Arial" w:eastAsia="Arial" w:hAnsi="Arial"/>
          <w:sz w:val="16"/>
          <w:szCs w:val="16"/>
          <w:b w:val="1"/>
          <w:bCs w:val="1"/>
          <w:color w:val="auto"/>
        </w:rPr>
        <w:t xml:space="preserve"> </w:t>
      </w:r>
      <w:r>
        <w:rPr>
          <w:rFonts w:ascii="Arial" w:cs="Arial" w:eastAsia="Arial" w:hAnsi="Arial"/>
          <w:sz w:val="16"/>
          <w:szCs w:val="16"/>
          <w:color w:val="auto"/>
        </w:rPr>
        <w:t>SUNOSI to anyone else, because it may cause death or harm them and it is against the law. Tell your doctor if you have ever abused or been dependent on alcohol, prescription medicines, or street drugs.</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Before taking SUNOSI, tell your doctor about all of your medical conditions, including if you:</w:t>
      </w:r>
    </w:p>
    <w:p>
      <w:pPr>
        <w:spacing w:after="0" w:line="7" w:lineRule="exact"/>
        <w:rPr>
          <w:sz w:val="20"/>
          <w:szCs w:val="20"/>
          <w:color w:val="auto"/>
        </w:rPr>
      </w:pPr>
    </w:p>
    <w:p>
      <w:pPr>
        <w:ind w:left="565" w:hanging="190"/>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heart problems, high blood pressure, kidney problems, diabetes, or high cholesterol</w:t>
      </w:r>
    </w:p>
    <w:p>
      <w:pPr>
        <w:ind w:left="565" w:hanging="190"/>
        <w:spacing w:after="0" w:line="231"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had a heart attack or a stroke</w:t>
      </w:r>
    </w:p>
    <w:p>
      <w:pPr>
        <w:ind w:left="565" w:hanging="190"/>
        <w:spacing w:after="0" w:line="231"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 history of mental health problems (including psychosis and bipolar disorders), or of drug or alcohol abuse or addiction</w:t>
      </w:r>
    </w:p>
    <w:p>
      <w:pPr>
        <w:ind w:left="565" w:hanging="190"/>
        <w:spacing w:after="0" w:line="231"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are pregnant or planning to become pregnant. It is not known if SUNOSI will harm your unborn baby</w:t>
      </w:r>
    </w:p>
    <w:p>
      <w:pPr>
        <w:ind w:left="565" w:right="20" w:hanging="190"/>
        <w:spacing w:after="0" w:line="238"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are breastfeeding or plan to breastfeed. It is not known if SUNOSI passes into your breast milk. Talk to your doctor about the best way to feed your baby if you take SUNOSI.</w:t>
      </w:r>
    </w:p>
    <w:p>
      <w:pPr>
        <w:spacing w:after="0" w:line="170"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161925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296"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What are the possible side effects of SUNOSI?</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SUNOSI may cause serious side effects, including:</w:t>
      </w:r>
    </w:p>
    <w:p>
      <w:pPr>
        <w:spacing w:after="0" w:line="13" w:lineRule="exact"/>
        <w:rPr>
          <w:sz w:val="20"/>
          <w:szCs w:val="20"/>
          <w:color w:val="auto"/>
        </w:rPr>
      </w:pPr>
    </w:p>
    <w:p>
      <w:pPr>
        <w:ind w:left="560" w:hanging="190"/>
        <w:spacing w:after="0" w:line="231" w:lineRule="auto"/>
        <w:tabs>
          <w:tab w:leader="none" w:pos="471"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Increased blood pressure and heart rate. </w:t>
      </w:r>
      <w:r>
        <w:rPr>
          <w:rFonts w:ascii="Arial" w:cs="Arial" w:eastAsia="Arial" w:hAnsi="Arial"/>
          <w:sz w:val="16"/>
          <w:szCs w:val="16"/>
          <w:color w:val="auto"/>
        </w:rPr>
        <w:t>SUNOSI can cause blood pressure and heart rate increases that can increase the risk of heart attack, stroke,</w:t>
      </w:r>
      <w:r>
        <w:rPr>
          <w:rFonts w:ascii="Arial" w:cs="Arial" w:eastAsia="Arial" w:hAnsi="Arial"/>
          <w:sz w:val="16"/>
          <w:szCs w:val="16"/>
          <w:b w:val="1"/>
          <w:bCs w:val="1"/>
          <w:color w:val="auto"/>
        </w:rPr>
        <w:t xml:space="preserve"> </w:t>
      </w:r>
      <w:r>
        <w:rPr>
          <w:rFonts w:ascii="Arial" w:cs="Arial" w:eastAsia="Arial" w:hAnsi="Arial"/>
          <w:sz w:val="16"/>
          <w:szCs w:val="16"/>
          <w:color w:val="auto"/>
        </w:rPr>
        <w:t>heart failure, and death. Your doctor should check your blood pressure before and during treatment with SUNOSI. Your doctor may decrease your dose or tell you to stop taking SUNOSI if you develop high blood pressure that does not go away during treatment with SUNOSI.</w:t>
      </w:r>
    </w:p>
    <w:p>
      <w:pPr>
        <w:ind w:left="560" w:right="20" w:hanging="190"/>
        <w:spacing w:after="0" w:line="238" w:lineRule="auto"/>
        <w:tabs>
          <w:tab w:leader="none" w:pos="483"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Mental (psychiatric) symptoms including anxiety, problems sleeping (insomnia), irritability, and agitation. </w:t>
      </w:r>
      <w:r>
        <w:rPr>
          <w:rFonts w:ascii="Arial" w:cs="Arial" w:eastAsia="Arial" w:hAnsi="Arial"/>
          <w:sz w:val="16"/>
          <w:szCs w:val="16"/>
          <w:color w:val="auto"/>
        </w:rPr>
        <w:t>Tell your doctor if you develop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symptoms. Your doctor may change your dose or tell you to stop taking SUNOSI if you develop side effects during treatment with SUNOSI.</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most common side effects of SUNOSI include:</w:t>
      </w:r>
    </w:p>
    <w:p>
      <w:pPr>
        <w:ind w:left="720" w:hanging="350"/>
        <w:spacing w:after="0" w:line="23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headache</w:t>
      </w:r>
    </w:p>
    <w:p>
      <w:pPr>
        <w:ind w:left="720" w:hanging="350"/>
        <w:spacing w:after="0" w:line="23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decreased appetite</w:t>
      </w:r>
    </w:p>
    <w:p>
      <w:pPr>
        <w:ind w:left="720" w:hanging="350"/>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problems sleeping</w:t>
      </w:r>
    </w:p>
    <w:p>
      <w:pPr>
        <w:spacing w:after="0" w:line="4" w:lineRule="exact"/>
        <w:rPr>
          <w:rFonts w:ascii="Arial" w:cs="Arial" w:eastAsia="Arial" w:hAnsi="Arial"/>
          <w:sz w:val="16"/>
          <w:szCs w:val="16"/>
          <w:color w:val="auto"/>
        </w:rPr>
      </w:pPr>
    </w:p>
    <w:p>
      <w:pPr>
        <w:ind w:left="720" w:hanging="350"/>
        <w:spacing w:after="0" w:line="23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nausea</w:t>
      </w:r>
    </w:p>
    <w:p>
      <w:pPr>
        <w:ind w:left="720" w:hanging="350"/>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anxiety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are not all the possible side effects of SUNOSI. Call your doctor for advice about side effects.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 are encouraged to report negative side effects of prescription drugs to the FDA. Visit www.fda.gov/medwatch, or call 1-800-FDA-1088.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Please find full prescribing information here: https://pp.jazzpharma.com/pi/sunosi.en.USPI.pdf</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Obstructive Sleep Apnea and Excessive Daytime Sleepiness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Obstructive sleep apnea, commonly referred to as sleep apnea, is a highly prevalent disease (as high as 14% in men and 5% in women) in which excessive daytime sleepiness is a major presenting complaint in many cases. Positive Airway Pressure (PAP) therapy, with its most common form being Continuous Positive Airway Pressure (CPAP), has been shown to be an effective therapy for sleep apnea that frequently results in improvement in excessive daytime sleepiness in many patients; however, not all patients tolerate CPAP therapy and among those who tolerate CPAP, usage is highly variable. Excessive daytime sleepiness may persist in people with sleep apnea despite using CPAP.</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Narcolepsy</w:t>
      </w:r>
    </w:p>
    <w:p>
      <w:pPr>
        <w:spacing w:after="0" w:line="20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Narcolepsy interferes with cognitive, psychological, and social functioning, increases the risk of work- and driving-related accidents, and is associated with a 1.5-fold higher mortality rate.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10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96"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 Looking Statements</w:t>
      </w:r>
    </w:p>
    <w:p>
      <w:pPr>
        <w:spacing w:after="0" w:line="108"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expected closing of the transaction referenced in this press release,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231" w:lineRule="auto"/>
        <w:rPr>
          <w:sz w:val="20"/>
          <w:szCs w:val="20"/>
          <w:color w:val="auto"/>
        </w:rPr>
      </w:pPr>
      <w:r>
        <w:rPr>
          <w:rFonts w:ascii="Arial" w:cs="Arial" w:eastAsia="Arial" w:hAnsi="Arial"/>
          <w:sz w:val="16"/>
          <w:szCs w:val="16"/>
          <w:color w:val="auto"/>
        </w:rPr>
        <w:t>Chief Operating Officer</w:t>
      </w:r>
    </w:p>
    <w:p>
      <w:pPr>
        <w:spacing w:after="0" w:line="231" w:lineRule="auto"/>
        <w:rPr>
          <w:sz w:val="20"/>
          <w:szCs w:val="20"/>
          <w:color w:val="auto"/>
        </w:rPr>
      </w:pPr>
      <w:r>
        <w:rPr>
          <w:rFonts w:ascii="Arial" w:cs="Arial" w:eastAsia="Arial" w:hAnsi="Arial"/>
          <w:sz w:val="16"/>
          <w:szCs w:val="16"/>
          <w:color w:val="auto"/>
        </w:rPr>
        <w:t>Axsome Therapeutics, Inc.</w:t>
      </w:r>
    </w:p>
    <w:p>
      <w:pPr>
        <w:spacing w:after="0" w:line="232" w:lineRule="auto"/>
        <w:rPr>
          <w:sz w:val="20"/>
          <w:szCs w:val="20"/>
          <w:color w:val="auto"/>
        </w:rPr>
      </w:pPr>
      <w:r>
        <w:rPr>
          <w:rFonts w:ascii="Arial" w:cs="Arial" w:eastAsia="Arial" w:hAnsi="Arial"/>
          <w:sz w:val="16"/>
          <w:szCs w:val="16"/>
          <w:color w:val="auto"/>
        </w:rPr>
        <w:t>22 Cortlandt Street, 16th Floor</w:t>
      </w:r>
    </w:p>
    <w:p>
      <w:pPr>
        <w:spacing w:after="0" w:line="231" w:lineRule="auto"/>
        <w:rPr>
          <w:sz w:val="20"/>
          <w:szCs w:val="20"/>
          <w:color w:val="auto"/>
        </w:rPr>
      </w:pPr>
      <w:r>
        <w:rPr>
          <w:rFonts w:ascii="Arial" w:cs="Arial" w:eastAsia="Arial" w:hAnsi="Arial"/>
          <w:sz w:val="16"/>
          <w:szCs w:val="16"/>
          <w:color w:val="auto"/>
        </w:rPr>
        <w:t>New York, NY 10007</w:t>
      </w:r>
    </w:p>
    <w:p>
      <w:pPr>
        <w:spacing w:after="0" w:line="232" w:lineRule="auto"/>
        <w:rPr>
          <w:sz w:val="20"/>
          <w:szCs w:val="20"/>
          <w:color w:val="auto"/>
        </w:rPr>
      </w:pPr>
      <w:r>
        <w:rPr>
          <w:rFonts w:ascii="Arial" w:cs="Arial" w:eastAsia="Arial" w:hAnsi="Arial"/>
          <w:sz w:val="16"/>
          <w:szCs w:val="16"/>
          <w:color w:val="auto"/>
        </w:rPr>
        <w:t>Tel: 212-332-3243</w:t>
      </w:r>
    </w:p>
    <w:p>
      <w:pPr>
        <w:spacing w:after="0" w:line="231" w:lineRule="auto"/>
        <w:rPr>
          <w:sz w:val="20"/>
          <w:szCs w:val="20"/>
          <w:color w:val="auto"/>
        </w:rPr>
      </w:pPr>
      <w:r>
        <w:rPr>
          <w:rFonts w:ascii="Arial" w:cs="Arial" w:eastAsia="Arial" w:hAnsi="Arial"/>
          <w:sz w:val="16"/>
          <w:szCs w:val="16"/>
          <w:color w:val="auto"/>
        </w:rPr>
        <w:t>Email: mjacobson@axsome.com</w:t>
      </w:r>
    </w:p>
    <w:p>
      <w:pPr>
        <w:spacing w:after="0"/>
        <w:rPr>
          <w:sz w:val="20"/>
          <w:szCs w:val="20"/>
          <w:color w:val="auto"/>
        </w:rPr>
      </w:pPr>
      <w:r>
        <w:rPr>
          <w:rFonts w:ascii="Arial" w:cs="Arial" w:eastAsia="Arial" w:hAnsi="Arial"/>
          <w:sz w:val="16"/>
          <w:szCs w:val="16"/>
          <w:color w:val="auto"/>
        </w:rPr>
        <w:t>www.axsome.com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References</w:t>
      </w:r>
    </w:p>
    <w:p>
      <w:pPr>
        <w:spacing w:after="0" w:line="101" w:lineRule="exact"/>
        <w:rPr>
          <w:sz w:val="20"/>
          <w:szCs w:val="20"/>
          <w:color w:val="auto"/>
        </w:rPr>
      </w:pPr>
    </w:p>
    <w:p>
      <w:pPr>
        <w:ind w:left="74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Stroe AF, et al. (2010) Sleep Medicine 11, 890–896</w:t>
      </w:r>
    </w:p>
    <w:p>
      <w:pPr>
        <w:ind w:left="74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Hein M, et al. (2019) J Affective Disorders 243, 23–32</w:t>
      </w:r>
    </w:p>
    <w:p>
      <w:pPr>
        <w:spacing w:after="0" w:line="5" w:lineRule="exact"/>
        <w:rPr>
          <w:rFonts w:ascii="Arial" w:cs="Arial" w:eastAsia="Arial" w:hAnsi="Arial"/>
          <w:sz w:val="16"/>
          <w:szCs w:val="16"/>
          <w:color w:val="auto"/>
        </w:rPr>
      </w:pPr>
    </w:p>
    <w:p>
      <w:pPr>
        <w:ind w:left="740" w:hanging="370"/>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Symphony Health data, February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amp;"/>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2022-03-28T07:02:52Z</dcterms:created>
  <dcterms:modified xsi:type="dcterms:W3CDTF">2022-03-28T07:02:52Z</dcterms:modified>
</cp:coreProperties>
</file>